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0F8DF" w14:textId="77777777" w:rsidR="00BA7D6B" w:rsidRPr="00497554" w:rsidRDefault="00BA7D6B" w:rsidP="00056FAC">
      <w:pPr>
        <w:rPr>
          <w:rFonts w:cs="Calibri"/>
        </w:rPr>
      </w:pPr>
      <w:bookmarkStart w:id="0" w:name="_Toc187766404"/>
      <w:bookmarkStart w:id="1" w:name="_Hlk184797473"/>
    </w:p>
    <w:p w14:paraId="4F2BFB9B" w14:textId="2EE673B4" w:rsidR="00E5797D" w:rsidRPr="0052190B" w:rsidRDefault="00DC71C2" w:rsidP="00B7571C">
      <w:pPr>
        <w:pStyle w:val="GeneralHeading"/>
        <w:spacing w:before="0" w:after="0"/>
        <w:rPr>
          <w:bCs/>
          <w:sz w:val="36"/>
          <w:szCs w:val="36"/>
        </w:rPr>
      </w:pPr>
      <w:r w:rsidRPr="00E473A9">
        <w:rPr>
          <w:rStyle w:val="1-MainHeadingChar"/>
          <w:b/>
          <w:bCs/>
        </w:rPr>
        <w:t>5</w:t>
      </w:r>
      <w:r w:rsidR="00433044" w:rsidRPr="00E473A9">
        <w:rPr>
          <w:rStyle w:val="1-MainHeadingChar"/>
          <w:b/>
          <w:bCs/>
        </w:rPr>
        <w:t>.</w:t>
      </w:r>
      <w:r w:rsidRPr="00E473A9">
        <w:rPr>
          <w:rStyle w:val="1-MainHeadingChar"/>
          <w:b/>
          <w:bCs/>
        </w:rPr>
        <w:t>13</w:t>
      </w:r>
      <w:r w:rsidR="00163F66" w:rsidRPr="00E473A9">
        <w:rPr>
          <w:rStyle w:val="1-MainHeadingChar"/>
          <w:b/>
          <w:bCs/>
        </w:rPr>
        <w:tab/>
      </w:r>
      <w:r w:rsidR="005F7693" w:rsidRPr="00E473A9">
        <w:rPr>
          <w:rStyle w:val="5-SubsectionSubheadingChar"/>
          <w:b/>
          <w:bCs/>
          <w:sz w:val="36"/>
          <w:szCs w:val="36"/>
        </w:rPr>
        <w:t>PALOPEGTERIPARATIDE</w:t>
      </w:r>
      <w:r w:rsidR="00163F66" w:rsidRPr="00E473A9">
        <w:rPr>
          <w:rStyle w:val="5-SubsectionSubheadingChar"/>
          <w:b/>
          <w:bCs/>
          <w:sz w:val="36"/>
          <w:szCs w:val="36"/>
        </w:rPr>
        <w:t>,</w:t>
      </w:r>
      <w:r w:rsidR="00163F66" w:rsidRPr="00E473A9">
        <w:rPr>
          <w:rStyle w:val="5-SubsectionSubheadingChar"/>
          <w:b/>
          <w:bCs/>
          <w:sz w:val="36"/>
          <w:szCs w:val="36"/>
        </w:rPr>
        <w:br/>
      </w:r>
      <w:r w:rsidR="005E52D7" w:rsidRPr="0052190B">
        <w:rPr>
          <w:bCs/>
          <w:sz w:val="36"/>
          <w:szCs w:val="36"/>
        </w:rPr>
        <w:t xml:space="preserve">Solution for </w:t>
      </w:r>
      <w:r w:rsidR="00E95578" w:rsidRPr="0052190B">
        <w:rPr>
          <w:bCs/>
          <w:sz w:val="36"/>
          <w:szCs w:val="36"/>
        </w:rPr>
        <w:t>subcutaneous injection</w:t>
      </w:r>
      <w:r w:rsidR="00E5797D" w:rsidRPr="0052190B">
        <w:rPr>
          <w:bCs/>
          <w:sz w:val="36"/>
          <w:szCs w:val="36"/>
        </w:rPr>
        <w:t xml:space="preserve"> </w:t>
      </w:r>
      <w:r w:rsidR="002107A7" w:rsidRPr="0052190B">
        <w:rPr>
          <w:bCs/>
          <w:sz w:val="36"/>
          <w:szCs w:val="36"/>
        </w:rPr>
        <w:t>168 mcg</w:t>
      </w:r>
      <w:r w:rsidR="00587BDF" w:rsidRPr="0052190B">
        <w:rPr>
          <w:bCs/>
          <w:sz w:val="36"/>
          <w:szCs w:val="36"/>
        </w:rPr>
        <w:t xml:space="preserve"> in </w:t>
      </w:r>
      <w:r w:rsidR="00587BDF" w:rsidRPr="0052190B">
        <w:rPr>
          <w:bCs/>
          <w:sz w:val="36"/>
          <w:szCs w:val="36"/>
        </w:rPr>
        <w:br/>
      </w:r>
      <w:r w:rsidR="002107A7" w:rsidRPr="0052190B">
        <w:rPr>
          <w:bCs/>
          <w:sz w:val="36"/>
          <w:szCs w:val="36"/>
        </w:rPr>
        <w:t>0.56 mL</w:t>
      </w:r>
      <w:r w:rsidR="00FF7629" w:rsidRPr="0052190B">
        <w:rPr>
          <w:bCs/>
          <w:sz w:val="36"/>
          <w:szCs w:val="36"/>
        </w:rPr>
        <w:t xml:space="preserve"> pre-filled pen,</w:t>
      </w:r>
      <w:r w:rsidR="00163F66" w:rsidRPr="0052190B">
        <w:rPr>
          <w:bCs/>
          <w:sz w:val="36"/>
          <w:szCs w:val="36"/>
        </w:rPr>
        <w:br/>
      </w:r>
      <w:r w:rsidR="00E5797D" w:rsidRPr="0052190B">
        <w:rPr>
          <w:bCs/>
          <w:sz w:val="36"/>
          <w:szCs w:val="36"/>
        </w:rPr>
        <w:t>Solution for subcutaneous injection 294 mcg</w:t>
      </w:r>
      <w:r w:rsidR="00587BDF" w:rsidRPr="0052190B">
        <w:rPr>
          <w:bCs/>
          <w:sz w:val="36"/>
          <w:szCs w:val="36"/>
        </w:rPr>
        <w:t xml:space="preserve"> in </w:t>
      </w:r>
      <w:r w:rsidR="00587BDF" w:rsidRPr="0052190B">
        <w:rPr>
          <w:bCs/>
          <w:sz w:val="36"/>
          <w:szCs w:val="36"/>
        </w:rPr>
        <w:br/>
      </w:r>
      <w:r w:rsidR="00E5797D" w:rsidRPr="0052190B">
        <w:rPr>
          <w:bCs/>
          <w:sz w:val="36"/>
          <w:szCs w:val="36"/>
        </w:rPr>
        <w:t>0.98 mL pre-filled pen,</w:t>
      </w:r>
    </w:p>
    <w:p w14:paraId="1EF18FCF" w14:textId="59F19176" w:rsidR="00C20FA6" w:rsidRPr="0052190B" w:rsidRDefault="00E5797D" w:rsidP="00B7571C">
      <w:pPr>
        <w:pStyle w:val="3-BodyText"/>
        <w:numPr>
          <w:ilvl w:val="0"/>
          <w:numId w:val="0"/>
        </w:numPr>
        <w:spacing w:before="0" w:after="0"/>
        <w:ind w:left="720"/>
        <w:jc w:val="left"/>
        <w:rPr>
          <w:b/>
          <w:bCs/>
          <w:sz w:val="36"/>
          <w:szCs w:val="36"/>
        </w:rPr>
      </w:pPr>
      <w:r w:rsidRPr="0052190B">
        <w:rPr>
          <w:b/>
          <w:bCs/>
          <w:sz w:val="36"/>
          <w:szCs w:val="36"/>
        </w:rPr>
        <w:t>Solution for subcutaneous injection</w:t>
      </w:r>
      <w:r w:rsidR="00587BDF" w:rsidRPr="0052190B">
        <w:rPr>
          <w:b/>
          <w:bCs/>
          <w:sz w:val="36"/>
          <w:szCs w:val="36"/>
        </w:rPr>
        <w:t xml:space="preserve"> </w:t>
      </w:r>
      <w:r w:rsidRPr="0052190B">
        <w:rPr>
          <w:b/>
          <w:bCs/>
          <w:sz w:val="36"/>
          <w:szCs w:val="36"/>
        </w:rPr>
        <w:t>420 mcg</w:t>
      </w:r>
      <w:r w:rsidR="00587BDF" w:rsidRPr="0052190B">
        <w:rPr>
          <w:b/>
          <w:bCs/>
          <w:sz w:val="36"/>
          <w:szCs w:val="36"/>
        </w:rPr>
        <w:t xml:space="preserve"> in </w:t>
      </w:r>
      <w:r w:rsidR="00587BDF" w:rsidRPr="0052190B">
        <w:rPr>
          <w:b/>
          <w:bCs/>
          <w:sz w:val="36"/>
          <w:szCs w:val="36"/>
        </w:rPr>
        <w:br/>
      </w:r>
      <w:r w:rsidRPr="0052190B">
        <w:rPr>
          <w:b/>
          <w:bCs/>
          <w:sz w:val="36"/>
          <w:szCs w:val="36"/>
        </w:rPr>
        <w:t>1.4 mL pre-filled pen,</w:t>
      </w:r>
    </w:p>
    <w:p w14:paraId="51C6701A" w14:textId="01900236" w:rsidR="00B60939" w:rsidRPr="0052190B" w:rsidRDefault="6DE06285" w:rsidP="383E5602">
      <w:pPr>
        <w:pStyle w:val="3-BodyText"/>
        <w:numPr>
          <w:ilvl w:val="0"/>
          <w:numId w:val="0"/>
        </w:numPr>
        <w:spacing w:before="0" w:after="240"/>
        <w:ind w:left="720"/>
        <w:jc w:val="left"/>
        <w:rPr>
          <w:b/>
          <w:bCs/>
          <w:sz w:val="36"/>
          <w:szCs w:val="36"/>
        </w:rPr>
      </w:pPr>
      <w:r w:rsidRPr="383E5602">
        <w:rPr>
          <w:b/>
          <w:bCs/>
          <w:sz w:val="36"/>
          <w:szCs w:val="36"/>
        </w:rPr>
        <w:t>Yorvipath</w:t>
      </w:r>
      <w:r w:rsidR="6F5234D2" w:rsidRPr="383E5602">
        <w:rPr>
          <w:b/>
          <w:bCs/>
          <w:sz w:val="36"/>
          <w:szCs w:val="36"/>
          <w:vertAlign w:val="superscript"/>
        </w:rPr>
        <w:t>®</w:t>
      </w:r>
      <w:r w:rsidR="00587BDF">
        <w:br/>
      </w:r>
      <w:r w:rsidR="230C4F6D" w:rsidRPr="383E5602">
        <w:rPr>
          <w:b/>
          <w:bCs/>
          <w:sz w:val="36"/>
          <w:szCs w:val="36"/>
        </w:rPr>
        <w:t>Sp</w:t>
      </w:r>
      <w:r w:rsidR="1396E108" w:rsidRPr="383E5602">
        <w:rPr>
          <w:b/>
          <w:bCs/>
          <w:sz w:val="36"/>
          <w:szCs w:val="36"/>
        </w:rPr>
        <w:t>ecialised Therapeutics Pharma Pty Ltd</w:t>
      </w:r>
      <w:r w:rsidR="6F5234D2" w:rsidRPr="383E5602">
        <w:rPr>
          <w:b/>
          <w:bCs/>
          <w:sz w:val="36"/>
          <w:szCs w:val="36"/>
        </w:rPr>
        <w:t>.</w:t>
      </w:r>
      <w:bookmarkEnd w:id="0"/>
      <w:r w:rsidR="6217394D" w:rsidRPr="383E5602">
        <w:rPr>
          <w:b/>
          <w:bCs/>
          <w:sz w:val="36"/>
          <w:szCs w:val="36"/>
        </w:rPr>
        <w:t xml:space="preserve"> </w:t>
      </w:r>
    </w:p>
    <w:p w14:paraId="11C00795" w14:textId="3DFB6D23" w:rsidR="00B50DB8" w:rsidRPr="0098262F" w:rsidRDefault="00B50DB8" w:rsidP="00995674">
      <w:pPr>
        <w:pStyle w:val="2-SectionHeading"/>
        <w:numPr>
          <w:ilvl w:val="0"/>
          <w:numId w:val="23"/>
        </w:numPr>
      </w:pPr>
      <w:bookmarkStart w:id="2" w:name="_Toc187766406"/>
      <w:r w:rsidRPr="0098262F">
        <w:t xml:space="preserve">Purpose of </w:t>
      </w:r>
      <w:r w:rsidR="00CD7193" w:rsidRPr="0098262F">
        <w:t>s</w:t>
      </w:r>
      <w:r w:rsidR="00BB3A45" w:rsidRPr="0098262F">
        <w:t>ubmission</w:t>
      </w:r>
      <w:bookmarkEnd w:id="2"/>
    </w:p>
    <w:p w14:paraId="5A54B90C" w14:textId="3F1E9533" w:rsidR="00006F1D" w:rsidRDefault="00006F1D" w:rsidP="00006F1D">
      <w:pPr>
        <w:pStyle w:val="3-BodyText"/>
      </w:pPr>
      <w:r w:rsidRPr="4D2BAA30">
        <w:t xml:space="preserve">The </w:t>
      </w:r>
      <w:r w:rsidR="00CF7F24" w:rsidRPr="4D2BAA30">
        <w:t xml:space="preserve">Category 1 </w:t>
      </w:r>
      <w:r w:rsidRPr="4D2BAA30">
        <w:t xml:space="preserve">submission requested </w:t>
      </w:r>
      <w:r w:rsidR="00602F90">
        <w:t>General Schedule</w:t>
      </w:r>
      <w:r w:rsidR="000F5603">
        <w:t xml:space="preserve"> – Authority Required (telephone/online) </w:t>
      </w:r>
      <w:r w:rsidRPr="4D2BAA30">
        <w:t>PBS</w:t>
      </w:r>
      <w:r w:rsidR="000F5603">
        <w:t xml:space="preserve"> listing</w:t>
      </w:r>
      <w:r w:rsidRPr="4D2BAA30">
        <w:t xml:space="preserve"> for palopegteriparatide, a prodrug of parathyroid hormone (PTH), for the treatment of adult patients with chronic hypoparathyroidism (HPT) who are inadequately controlled on conventional therapy</w:t>
      </w:r>
      <w:r w:rsidR="00FB229D" w:rsidRPr="4D2BAA30">
        <w:t xml:space="preserve"> (active vitamin D and calcium supplements)</w:t>
      </w:r>
      <w:r w:rsidRPr="4D2BAA30">
        <w:t>.</w:t>
      </w:r>
    </w:p>
    <w:p w14:paraId="7F4BD487" w14:textId="57F1DCA2" w:rsidR="00006F1D" w:rsidRPr="0098262F" w:rsidRDefault="3E892BD1" w:rsidP="00006F1D">
      <w:pPr>
        <w:pStyle w:val="3-BodyText"/>
      </w:pPr>
      <w:r w:rsidRPr="383E5602">
        <w:t>Listing was requested on the basis of a cost-</w:t>
      </w:r>
      <w:r w:rsidR="5C87A20A" w:rsidRPr="383E5602">
        <w:t xml:space="preserve">utility </w:t>
      </w:r>
      <w:r w:rsidRPr="383E5602">
        <w:t xml:space="preserve">analysis versus conventional therapy. The components of the overall clinical claim addressed by the submission are summarised in </w:t>
      </w:r>
      <w:r w:rsidR="00006F1D">
        <w:fldChar w:fldCharType="begin"/>
      </w:r>
      <w:r w:rsidR="00006F1D">
        <w:instrText xml:space="preserve"> REF _Ref184558426 \h </w:instrText>
      </w:r>
      <w:r w:rsidR="00006F1D">
        <w:fldChar w:fldCharType="separate"/>
      </w:r>
      <w:r w:rsidR="00DA35E4" w:rsidRPr="383E5602">
        <w:t xml:space="preserve">Table </w:t>
      </w:r>
      <w:r w:rsidR="00DA35E4">
        <w:rPr>
          <w:noProof/>
        </w:rPr>
        <w:t>1</w:t>
      </w:r>
      <w:r w:rsidR="00006F1D">
        <w:fldChar w:fldCharType="end"/>
      </w:r>
      <w:r w:rsidRPr="383E5602">
        <w:t>.</w:t>
      </w:r>
    </w:p>
    <w:p w14:paraId="1B2530B6" w14:textId="17D1223F" w:rsidR="00006F1D" w:rsidRPr="0098262F" w:rsidRDefault="3E892BD1" w:rsidP="383E5602">
      <w:pPr>
        <w:pStyle w:val="TableFigureHeading"/>
        <w:rPr>
          <w:rStyle w:val="CommentReference"/>
          <w:b/>
        </w:rPr>
      </w:pPr>
      <w:bookmarkStart w:id="3" w:name="_Ref184558426"/>
      <w:r w:rsidRPr="383E5602">
        <w:lastRenderedPageBreak/>
        <w:t xml:space="preserve">Table </w:t>
      </w:r>
      <w:r w:rsidR="00006F1D" w:rsidRPr="383E5602">
        <w:fldChar w:fldCharType="begin"/>
      </w:r>
      <w:r w:rsidR="00006F1D">
        <w:instrText xml:space="preserve"> SEQ Table \* ARABIC </w:instrText>
      </w:r>
      <w:r w:rsidR="00006F1D" w:rsidRPr="383E5602">
        <w:fldChar w:fldCharType="separate"/>
      </w:r>
      <w:r w:rsidR="00DA35E4">
        <w:rPr>
          <w:noProof/>
        </w:rPr>
        <w:t>1</w:t>
      </w:r>
      <w:r w:rsidR="00006F1D" w:rsidRPr="383E5602">
        <w:rPr>
          <w:noProof/>
        </w:rPr>
        <w:fldChar w:fldCharType="end"/>
      </w:r>
      <w:bookmarkEnd w:id="3"/>
      <w:r w:rsidRPr="383E5602">
        <w:t>:</w:t>
      </w:r>
      <w:r w:rsidRPr="383E5602">
        <w:rPr>
          <w:rStyle w:val="CommentReference"/>
          <w:b/>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315"/>
        <w:gridCol w:w="7702"/>
      </w:tblGrid>
      <w:tr w:rsidR="00006F1D" w:rsidRPr="0098262F" w14:paraId="7AAF5262" w14:textId="77777777" w:rsidTr="00833AB1">
        <w:trPr>
          <w:cantSplit/>
          <w:tblHeader/>
        </w:trPr>
        <w:tc>
          <w:tcPr>
            <w:tcW w:w="729" w:type="pct"/>
            <w:shd w:val="clear" w:color="auto" w:fill="auto"/>
          </w:tcPr>
          <w:p w14:paraId="7CCA7EB8" w14:textId="77777777" w:rsidR="00006F1D" w:rsidRPr="0098262F" w:rsidRDefault="00006F1D" w:rsidP="00874192">
            <w:pPr>
              <w:pStyle w:val="In-tableHeading"/>
              <w:framePr w:wrap="around"/>
              <w:rPr>
                <w:szCs w:val="20"/>
              </w:rPr>
            </w:pPr>
            <w:r w:rsidRPr="0098262F">
              <w:t>Component</w:t>
            </w:r>
          </w:p>
        </w:tc>
        <w:tc>
          <w:tcPr>
            <w:tcW w:w="4271" w:type="pct"/>
            <w:shd w:val="clear" w:color="auto" w:fill="auto"/>
          </w:tcPr>
          <w:p w14:paraId="7F6C596B" w14:textId="77777777" w:rsidR="00006F1D" w:rsidRPr="0098262F" w:rsidRDefault="00006F1D" w:rsidP="00874192">
            <w:pPr>
              <w:pStyle w:val="In-tableHeading"/>
              <w:framePr w:wrap="around"/>
            </w:pPr>
            <w:r w:rsidRPr="0098262F">
              <w:t>Description</w:t>
            </w:r>
          </w:p>
        </w:tc>
      </w:tr>
      <w:tr w:rsidR="00006F1D" w:rsidRPr="0098262F" w14:paraId="23F40A53" w14:textId="77777777" w:rsidTr="00833AB1">
        <w:trPr>
          <w:cantSplit/>
        </w:trPr>
        <w:tc>
          <w:tcPr>
            <w:tcW w:w="729" w:type="pct"/>
            <w:shd w:val="clear" w:color="auto" w:fill="auto"/>
          </w:tcPr>
          <w:p w14:paraId="32F864D3" w14:textId="77777777" w:rsidR="00006F1D" w:rsidRPr="0098262F" w:rsidRDefault="00006F1D" w:rsidP="006C0FF8">
            <w:pPr>
              <w:pStyle w:val="TableText0"/>
              <w:framePr w:wrap="around"/>
            </w:pPr>
            <w:r w:rsidRPr="0098262F">
              <w:t>Population</w:t>
            </w:r>
          </w:p>
        </w:tc>
        <w:tc>
          <w:tcPr>
            <w:tcW w:w="4271" w:type="pct"/>
            <w:shd w:val="clear" w:color="auto" w:fill="auto"/>
          </w:tcPr>
          <w:p w14:paraId="7E40C9CA" w14:textId="4FA28EC9" w:rsidR="00006F1D" w:rsidRDefault="00006F1D" w:rsidP="00A9507C">
            <w:pPr>
              <w:pStyle w:val="TableParagraph"/>
              <w:spacing w:line="240" w:lineRule="auto"/>
              <w:ind w:left="0" w:right="108"/>
              <w:rPr>
                <w:sz w:val="20"/>
              </w:rPr>
            </w:pPr>
            <w:r>
              <w:rPr>
                <w:sz w:val="20"/>
              </w:rPr>
              <w:t>Patients with chronic hypoparathyroidism due to postsurgical, auto-immune, genetic, or idiopathic causes for</w:t>
            </w:r>
            <w:r>
              <w:rPr>
                <w:spacing w:val="-1"/>
                <w:sz w:val="20"/>
              </w:rPr>
              <w:t xml:space="preserve"> </w:t>
            </w:r>
            <w:r>
              <w:rPr>
                <w:sz w:val="20"/>
              </w:rPr>
              <w:t>(&gt;</w:t>
            </w:r>
            <w:r>
              <w:rPr>
                <w:spacing w:val="-2"/>
                <w:sz w:val="20"/>
              </w:rPr>
              <w:t xml:space="preserve"> </w:t>
            </w:r>
            <w:r>
              <w:rPr>
                <w:sz w:val="20"/>
              </w:rPr>
              <w:t>12</w:t>
            </w:r>
            <w:r>
              <w:rPr>
                <w:spacing w:val="-2"/>
                <w:sz w:val="20"/>
              </w:rPr>
              <w:t xml:space="preserve"> </w:t>
            </w:r>
            <w:r>
              <w:rPr>
                <w:sz w:val="20"/>
              </w:rPr>
              <w:t>months),</w:t>
            </w:r>
            <w:r>
              <w:rPr>
                <w:spacing w:val="-3"/>
                <w:sz w:val="20"/>
              </w:rPr>
              <w:t xml:space="preserve"> </w:t>
            </w:r>
            <w:r>
              <w:rPr>
                <w:sz w:val="20"/>
              </w:rPr>
              <w:t>who</w:t>
            </w:r>
            <w:r>
              <w:rPr>
                <w:spacing w:val="-2"/>
                <w:sz w:val="20"/>
              </w:rPr>
              <w:t xml:space="preserve"> </w:t>
            </w:r>
            <w:r>
              <w:rPr>
                <w:sz w:val="20"/>
              </w:rPr>
              <w:t>have</w:t>
            </w:r>
            <w:r>
              <w:rPr>
                <w:spacing w:val="-3"/>
                <w:sz w:val="20"/>
              </w:rPr>
              <w:t xml:space="preserve"> </w:t>
            </w:r>
            <w:r>
              <w:rPr>
                <w:sz w:val="20"/>
              </w:rPr>
              <w:t>been</w:t>
            </w:r>
            <w:r>
              <w:rPr>
                <w:spacing w:val="-3"/>
                <w:sz w:val="20"/>
              </w:rPr>
              <w:t xml:space="preserve"> </w:t>
            </w:r>
            <w:r>
              <w:rPr>
                <w:sz w:val="20"/>
              </w:rPr>
              <w:t>treated</w:t>
            </w:r>
            <w:r>
              <w:rPr>
                <w:spacing w:val="-2"/>
                <w:sz w:val="20"/>
              </w:rPr>
              <w:t xml:space="preserve"> </w:t>
            </w:r>
            <w:r>
              <w:rPr>
                <w:sz w:val="20"/>
              </w:rPr>
              <w:t>with</w:t>
            </w:r>
            <w:r>
              <w:rPr>
                <w:spacing w:val="-3"/>
                <w:sz w:val="20"/>
              </w:rPr>
              <w:t xml:space="preserve"> </w:t>
            </w:r>
            <w:r>
              <w:rPr>
                <w:sz w:val="20"/>
              </w:rPr>
              <w:t>calcitriol</w:t>
            </w:r>
            <w:r>
              <w:rPr>
                <w:spacing w:val="-3"/>
                <w:sz w:val="20"/>
              </w:rPr>
              <w:t xml:space="preserve"> </w:t>
            </w:r>
            <w:r>
              <w:rPr>
                <w:sz w:val="20"/>
              </w:rPr>
              <w:t>≥ 0.5</w:t>
            </w:r>
            <w:r>
              <w:rPr>
                <w:spacing w:val="-2"/>
                <w:sz w:val="20"/>
              </w:rPr>
              <w:t xml:space="preserve"> </w:t>
            </w:r>
            <w:r w:rsidR="00805271">
              <w:rPr>
                <w:sz w:val="20"/>
              </w:rPr>
              <w:t>mcg</w:t>
            </w:r>
            <w:r>
              <w:rPr>
                <w:sz w:val="20"/>
              </w:rPr>
              <w:t>/day</w:t>
            </w:r>
            <w:r>
              <w:rPr>
                <w:spacing w:val="-3"/>
                <w:sz w:val="20"/>
              </w:rPr>
              <w:t xml:space="preserve"> </w:t>
            </w:r>
            <w:r>
              <w:rPr>
                <w:sz w:val="20"/>
              </w:rPr>
              <w:t>in</w:t>
            </w:r>
            <w:r>
              <w:rPr>
                <w:spacing w:val="-3"/>
                <w:sz w:val="20"/>
              </w:rPr>
              <w:t xml:space="preserve"> </w:t>
            </w:r>
            <w:r>
              <w:rPr>
                <w:sz w:val="20"/>
              </w:rPr>
              <w:t>addition</w:t>
            </w:r>
            <w:r>
              <w:rPr>
                <w:spacing w:val="-3"/>
                <w:sz w:val="20"/>
              </w:rPr>
              <w:t xml:space="preserve"> </w:t>
            </w:r>
            <w:r>
              <w:rPr>
                <w:sz w:val="20"/>
              </w:rPr>
              <w:t>to</w:t>
            </w:r>
            <w:r>
              <w:rPr>
                <w:spacing w:val="-3"/>
                <w:sz w:val="20"/>
              </w:rPr>
              <w:t xml:space="preserve"> </w:t>
            </w:r>
            <w:r>
              <w:rPr>
                <w:sz w:val="20"/>
              </w:rPr>
              <w:t>elemental</w:t>
            </w:r>
            <w:r>
              <w:rPr>
                <w:spacing w:val="-3"/>
                <w:sz w:val="20"/>
              </w:rPr>
              <w:t xml:space="preserve"> </w:t>
            </w:r>
            <w:r>
              <w:rPr>
                <w:sz w:val="20"/>
              </w:rPr>
              <w:t>calcium</w:t>
            </w:r>
            <w:r>
              <w:rPr>
                <w:spacing w:val="-2"/>
                <w:sz w:val="20"/>
              </w:rPr>
              <w:t xml:space="preserve"> </w:t>
            </w:r>
            <w:r>
              <w:rPr>
                <w:sz w:val="20"/>
              </w:rPr>
              <w:t>≥ 800 mg/day for at least 12 weeks and who are inadequately controlled on conventional therapy, where inadequately controlled is defined based on meeting any one of the following criteria:</w:t>
            </w:r>
          </w:p>
          <w:p w14:paraId="168A541B" w14:textId="77777777" w:rsidR="00006F1D" w:rsidRDefault="00006F1D" w:rsidP="00CD19F9">
            <w:pPr>
              <w:pStyle w:val="TableParagraph"/>
              <w:numPr>
                <w:ilvl w:val="0"/>
                <w:numId w:val="7"/>
              </w:numPr>
              <w:tabs>
                <w:tab w:val="left" w:pos="465"/>
              </w:tabs>
              <w:spacing w:before="3" w:line="237" w:lineRule="auto"/>
              <w:ind w:right="182"/>
              <w:rPr>
                <w:sz w:val="20"/>
              </w:rPr>
            </w:pPr>
            <w:r>
              <w:rPr>
                <w:sz w:val="20"/>
              </w:rPr>
              <w:t>calcium serum levels &lt; 2.0 mmol/L or prior emergency room/urgent care visits related to hypoparathyroidism</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previous</w:t>
            </w:r>
            <w:r>
              <w:rPr>
                <w:spacing w:val="-5"/>
                <w:sz w:val="20"/>
              </w:rPr>
              <w:t xml:space="preserve"> </w:t>
            </w:r>
            <w:r>
              <w:rPr>
                <w:sz w:val="20"/>
              </w:rPr>
              <w:t>6</w:t>
            </w:r>
            <w:r>
              <w:rPr>
                <w:spacing w:val="-4"/>
                <w:sz w:val="20"/>
              </w:rPr>
              <w:t xml:space="preserve"> </w:t>
            </w:r>
            <w:r>
              <w:rPr>
                <w:sz w:val="20"/>
              </w:rPr>
              <w:t>months),</w:t>
            </w:r>
            <w:r>
              <w:rPr>
                <w:spacing w:val="-5"/>
                <w:sz w:val="20"/>
              </w:rPr>
              <w:t xml:space="preserve"> </w:t>
            </w:r>
            <w:r>
              <w:rPr>
                <w:sz w:val="20"/>
              </w:rPr>
              <w:t>or</w:t>
            </w:r>
            <w:r>
              <w:rPr>
                <w:spacing w:val="-4"/>
                <w:sz w:val="20"/>
              </w:rPr>
              <w:t xml:space="preserve"> </w:t>
            </w:r>
            <w:r>
              <w:rPr>
                <w:sz w:val="20"/>
              </w:rPr>
              <w:t>prior</w:t>
            </w:r>
            <w:r>
              <w:rPr>
                <w:spacing w:val="-4"/>
                <w:sz w:val="20"/>
              </w:rPr>
              <w:t xml:space="preserve"> </w:t>
            </w:r>
            <w:proofErr w:type="spellStart"/>
            <w:r>
              <w:rPr>
                <w:sz w:val="20"/>
              </w:rPr>
              <w:t>hospitalisations</w:t>
            </w:r>
            <w:proofErr w:type="spellEnd"/>
            <w:r>
              <w:rPr>
                <w:spacing w:val="-5"/>
                <w:sz w:val="20"/>
              </w:rPr>
              <w:t xml:space="preserve"> </w:t>
            </w:r>
            <w:r>
              <w:rPr>
                <w:sz w:val="20"/>
              </w:rPr>
              <w:t>related</w:t>
            </w:r>
            <w:r>
              <w:rPr>
                <w:spacing w:val="-4"/>
                <w:sz w:val="20"/>
              </w:rPr>
              <w:t xml:space="preserve"> </w:t>
            </w:r>
            <w:r>
              <w:rPr>
                <w:sz w:val="20"/>
              </w:rPr>
              <w:t>to</w:t>
            </w:r>
            <w:r>
              <w:rPr>
                <w:spacing w:val="-4"/>
                <w:sz w:val="20"/>
              </w:rPr>
              <w:t xml:space="preserve"> </w:t>
            </w:r>
            <w:r>
              <w:rPr>
                <w:sz w:val="20"/>
              </w:rPr>
              <w:t>hypoparathyroidism (in the previous 6 months), or</w:t>
            </w:r>
          </w:p>
          <w:p w14:paraId="53C93DE3" w14:textId="77777777" w:rsidR="00006F1D" w:rsidRDefault="00006F1D" w:rsidP="00CD19F9">
            <w:pPr>
              <w:pStyle w:val="TableParagraph"/>
              <w:numPr>
                <w:ilvl w:val="0"/>
                <w:numId w:val="7"/>
              </w:numPr>
              <w:tabs>
                <w:tab w:val="left" w:pos="465"/>
              </w:tabs>
              <w:spacing w:before="2" w:line="245" w:lineRule="exact"/>
              <w:rPr>
                <w:sz w:val="20"/>
              </w:rPr>
            </w:pPr>
            <w:r>
              <w:rPr>
                <w:sz w:val="20"/>
              </w:rPr>
              <w:t>serum</w:t>
            </w:r>
            <w:r>
              <w:rPr>
                <w:spacing w:val="-7"/>
                <w:sz w:val="20"/>
              </w:rPr>
              <w:t xml:space="preserve"> </w:t>
            </w:r>
            <w:r>
              <w:rPr>
                <w:sz w:val="20"/>
              </w:rPr>
              <w:t>phosphate</w:t>
            </w:r>
            <w:r>
              <w:rPr>
                <w:spacing w:val="-6"/>
                <w:sz w:val="20"/>
              </w:rPr>
              <w:t xml:space="preserve"> </w:t>
            </w:r>
            <w:r>
              <w:rPr>
                <w:sz w:val="20"/>
              </w:rPr>
              <w:t>&gt;</w:t>
            </w:r>
            <w:r>
              <w:rPr>
                <w:spacing w:val="-4"/>
                <w:sz w:val="20"/>
              </w:rPr>
              <w:t xml:space="preserve"> </w:t>
            </w:r>
            <w:r>
              <w:rPr>
                <w:sz w:val="20"/>
              </w:rPr>
              <w:t>1.5</w:t>
            </w:r>
            <w:r>
              <w:rPr>
                <w:spacing w:val="-7"/>
                <w:sz w:val="20"/>
              </w:rPr>
              <w:t xml:space="preserve"> </w:t>
            </w:r>
            <w:r>
              <w:rPr>
                <w:sz w:val="20"/>
              </w:rPr>
              <w:t>mmol/L</w:t>
            </w:r>
            <w:r>
              <w:rPr>
                <w:spacing w:val="-6"/>
                <w:sz w:val="20"/>
              </w:rPr>
              <w:t xml:space="preserve"> </w:t>
            </w:r>
            <w:r>
              <w:rPr>
                <w:sz w:val="20"/>
              </w:rPr>
              <w:t>(4.5</w:t>
            </w:r>
            <w:r>
              <w:rPr>
                <w:spacing w:val="-6"/>
                <w:sz w:val="20"/>
              </w:rPr>
              <w:t xml:space="preserve"> </w:t>
            </w:r>
            <w:r>
              <w:rPr>
                <w:sz w:val="20"/>
              </w:rPr>
              <w:t>mg/dL),</w:t>
            </w:r>
            <w:r>
              <w:rPr>
                <w:spacing w:val="-7"/>
                <w:sz w:val="20"/>
              </w:rPr>
              <w:t xml:space="preserve"> </w:t>
            </w:r>
            <w:r>
              <w:rPr>
                <w:spacing w:val="-5"/>
                <w:sz w:val="20"/>
              </w:rPr>
              <w:t>or</w:t>
            </w:r>
          </w:p>
          <w:p w14:paraId="6A582280" w14:textId="77777777" w:rsidR="00006F1D" w:rsidRDefault="00006F1D" w:rsidP="00CD19F9">
            <w:pPr>
              <w:pStyle w:val="TableParagraph"/>
              <w:numPr>
                <w:ilvl w:val="0"/>
                <w:numId w:val="7"/>
              </w:numPr>
              <w:tabs>
                <w:tab w:val="left" w:pos="465"/>
              </w:tabs>
              <w:spacing w:line="244" w:lineRule="exact"/>
              <w:rPr>
                <w:sz w:val="20"/>
              </w:rPr>
            </w:pPr>
            <w:r>
              <w:rPr>
                <w:sz w:val="20"/>
              </w:rPr>
              <w:t>history</w:t>
            </w:r>
            <w:r>
              <w:rPr>
                <w:spacing w:val="-11"/>
                <w:sz w:val="20"/>
              </w:rPr>
              <w:t xml:space="preserve"> </w:t>
            </w:r>
            <w:r>
              <w:rPr>
                <w:sz w:val="20"/>
              </w:rPr>
              <w:t>of</w:t>
            </w:r>
            <w:r>
              <w:rPr>
                <w:spacing w:val="-9"/>
                <w:sz w:val="20"/>
              </w:rPr>
              <w:t xml:space="preserve"> </w:t>
            </w:r>
            <w:r>
              <w:rPr>
                <w:sz w:val="20"/>
              </w:rPr>
              <w:t>nephrolithiasis,</w:t>
            </w:r>
            <w:r>
              <w:rPr>
                <w:spacing w:val="-10"/>
                <w:sz w:val="20"/>
              </w:rPr>
              <w:t xml:space="preserve"> </w:t>
            </w:r>
            <w:r>
              <w:rPr>
                <w:spacing w:val="-5"/>
                <w:sz w:val="20"/>
              </w:rPr>
              <w:t>or</w:t>
            </w:r>
          </w:p>
          <w:p w14:paraId="52307E10" w14:textId="77777777" w:rsidR="00006F1D" w:rsidRDefault="00006F1D" w:rsidP="00CD19F9">
            <w:pPr>
              <w:pStyle w:val="TableParagraph"/>
              <w:numPr>
                <w:ilvl w:val="0"/>
                <w:numId w:val="7"/>
              </w:numPr>
              <w:tabs>
                <w:tab w:val="left" w:pos="465"/>
              </w:tabs>
              <w:spacing w:line="242" w:lineRule="exact"/>
              <w:rPr>
                <w:sz w:val="20"/>
              </w:rPr>
            </w:pPr>
            <w:r>
              <w:rPr>
                <w:sz w:val="20"/>
              </w:rPr>
              <w:t>history</w:t>
            </w:r>
            <w:r>
              <w:rPr>
                <w:spacing w:val="-11"/>
                <w:sz w:val="20"/>
              </w:rPr>
              <w:t xml:space="preserve"> </w:t>
            </w:r>
            <w:r>
              <w:rPr>
                <w:sz w:val="20"/>
              </w:rPr>
              <w:t>of</w:t>
            </w:r>
            <w:r>
              <w:rPr>
                <w:spacing w:val="-9"/>
                <w:sz w:val="20"/>
              </w:rPr>
              <w:t xml:space="preserve"> </w:t>
            </w:r>
            <w:r>
              <w:rPr>
                <w:sz w:val="20"/>
              </w:rPr>
              <w:t>nephrocalcinosis,</w:t>
            </w:r>
            <w:r>
              <w:rPr>
                <w:spacing w:val="-11"/>
                <w:sz w:val="20"/>
              </w:rPr>
              <w:t xml:space="preserve"> </w:t>
            </w:r>
            <w:r>
              <w:rPr>
                <w:spacing w:val="-5"/>
                <w:sz w:val="20"/>
              </w:rPr>
              <w:t>or</w:t>
            </w:r>
          </w:p>
          <w:p w14:paraId="2961056E" w14:textId="3EEA3661" w:rsidR="00006F1D" w:rsidRPr="002974C2" w:rsidRDefault="00006F1D" w:rsidP="00CD19F9">
            <w:pPr>
              <w:pStyle w:val="TableParagraph"/>
              <w:numPr>
                <w:ilvl w:val="0"/>
                <w:numId w:val="7"/>
              </w:numPr>
              <w:tabs>
                <w:tab w:val="left" w:pos="465"/>
              </w:tabs>
              <w:spacing w:line="242" w:lineRule="exact"/>
              <w:rPr>
                <w:sz w:val="20"/>
              </w:rPr>
            </w:pPr>
            <w:r>
              <w:rPr>
                <w:sz w:val="20"/>
              </w:rPr>
              <w:t>eGFR</w:t>
            </w:r>
            <w:r>
              <w:rPr>
                <w:spacing w:val="-8"/>
                <w:sz w:val="20"/>
              </w:rPr>
              <w:t xml:space="preserve"> </w:t>
            </w:r>
            <w:r>
              <w:rPr>
                <w:sz w:val="20"/>
              </w:rPr>
              <w:t>&lt;</w:t>
            </w:r>
            <w:r>
              <w:rPr>
                <w:spacing w:val="-7"/>
                <w:sz w:val="20"/>
              </w:rPr>
              <w:t xml:space="preserve"> </w:t>
            </w:r>
            <w:r>
              <w:rPr>
                <w:sz w:val="20"/>
              </w:rPr>
              <w:t>60</w:t>
            </w:r>
            <w:r>
              <w:rPr>
                <w:spacing w:val="-8"/>
                <w:sz w:val="20"/>
              </w:rPr>
              <w:t xml:space="preserve"> </w:t>
            </w:r>
            <w:r>
              <w:rPr>
                <w:sz w:val="20"/>
              </w:rPr>
              <w:t>mL/min/1.73</w:t>
            </w:r>
            <w:r w:rsidR="00393AA8">
              <w:rPr>
                <w:sz w:val="20"/>
              </w:rPr>
              <w:t xml:space="preserve"> </w:t>
            </w:r>
            <w:r>
              <w:rPr>
                <w:sz w:val="20"/>
              </w:rPr>
              <w:t>m</w:t>
            </w:r>
            <w:r>
              <w:rPr>
                <w:position w:val="5"/>
                <w:sz w:val="13"/>
              </w:rPr>
              <w:t>2</w:t>
            </w:r>
            <w:r>
              <w:rPr>
                <w:spacing w:val="9"/>
                <w:position w:val="5"/>
                <w:sz w:val="13"/>
              </w:rPr>
              <w:t xml:space="preserve"> </w:t>
            </w:r>
            <w:r>
              <w:rPr>
                <w:spacing w:val="-5"/>
                <w:sz w:val="20"/>
              </w:rPr>
              <w:t>or</w:t>
            </w:r>
          </w:p>
          <w:p w14:paraId="0A1A09BB" w14:textId="77777777" w:rsidR="00006F1D" w:rsidRPr="0098262F" w:rsidRDefault="00006F1D" w:rsidP="00CD19F9">
            <w:pPr>
              <w:pStyle w:val="TableParagraph"/>
              <w:numPr>
                <w:ilvl w:val="0"/>
                <w:numId w:val="7"/>
              </w:numPr>
              <w:tabs>
                <w:tab w:val="left" w:pos="465"/>
              </w:tabs>
              <w:spacing w:line="242" w:lineRule="exact"/>
            </w:pPr>
            <w:r w:rsidRPr="007D5D0E">
              <w:rPr>
                <w:sz w:val="20"/>
              </w:rPr>
              <w:t>24-hour urinary calcium level &gt; 7 mmol/24 hours.</w:t>
            </w:r>
          </w:p>
        </w:tc>
      </w:tr>
      <w:tr w:rsidR="00006F1D" w:rsidRPr="0098262F" w14:paraId="51A40BE4" w14:textId="77777777" w:rsidTr="00833AB1">
        <w:trPr>
          <w:cantSplit/>
        </w:trPr>
        <w:tc>
          <w:tcPr>
            <w:tcW w:w="729" w:type="pct"/>
            <w:shd w:val="clear" w:color="auto" w:fill="auto"/>
          </w:tcPr>
          <w:p w14:paraId="643CDF40" w14:textId="77777777" w:rsidR="00006F1D" w:rsidRPr="0098262F" w:rsidRDefault="00006F1D" w:rsidP="006C0FF8">
            <w:pPr>
              <w:pStyle w:val="TableText0"/>
              <w:framePr w:wrap="around"/>
            </w:pPr>
            <w:r w:rsidRPr="0098262F">
              <w:t>Intervention</w:t>
            </w:r>
          </w:p>
        </w:tc>
        <w:tc>
          <w:tcPr>
            <w:tcW w:w="4271" w:type="pct"/>
            <w:shd w:val="clear" w:color="auto" w:fill="auto"/>
          </w:tcPr>
          <w:p w14:paraId="0E4D96EF" w14:textId="77777777" w:rsidR="00006F1D" w:rsidRPr="006C0FF8" w:rsidRDefault="00006F1D" w:rsidP="00A9507C">
            <w:pPr>
              <w:pStyle w:val="TableParagraph"/>
              <w:framePr w:hSpace="180" w:wrap="around" w:vAnchor="text" w:hAnchor="text" w:y="1"/>
              <w:spacing w:line="240" w:lineRule="auto"/>
              <w:ind w:left="0" w:right="108"/>
              <w:suppressOverlap/>
            </w:pPr>
            <w:r w:rsidRPr="004A37CB">
              <w:rPr>
                <w:sz w:val="20"/>
              </w:rPr>
              <w:t>18 mcg once daily, as a subcutaneous injection (pre- filled pen), with dose adjustments in 3 mcg increments thereafter every 7 days. The dosing range is 6–60 mcg per day; the maintenance dose should be the dose that achieves serum calcium within the normal range, without the need for active vitamin D or therapeutic doses of calcium.</w:t>
            </w:r>
          </w:p>
        </w:tc>
      </w:tr>
      <w:tr w:rsidR="00006F1D" w:rsidRPr="0098262F" w14:paraId="37CC890F" w14:textId="77777777" w:rsidTr="00833AB1">
        <w:trPr>
          <w:cantSplit/>
        </w:trPr>
        <w:tc>
          <w:tcPr>
            <w:tcW w:w="729" w:type="pct"/>
            <w:shd w:val="clear" w:color="auto" w:fill="auto"/>
          </w:tcPr>
          <w:p w14:paraId="1D690518" w14:textId="77777777" w:rsidR="00006F1D" w:rsidRPr="0098262F" w:rsidRDefault="00006F1D" w:rsidP="006C0FF8">
            <w:pPr>
              <w:pStyle w:val="TableText0"/>
              <w:framePr w:wrap="around"/>
            </w:pPr>
            <w:r w:rsidRPr="0098262F">
              <w:t>Comparator</w:t>
            </w:r>
          </w:p>
        </w:tc>
        <w:tc>
          <w:tcPr>
            <w:tcW w:w="4271" w:type="pct"/>
            <w:shd w:val="clear" w:color="auto" w:fill="auto"/>
          </w:tcPr>
          <w:p w14:paraId="60F52656" w14:textId="23475A69" w:rsidR="00006F1D" w:rsidRPr="007D5D0E" w:rsidRDefault="00006F1D" w:rsidP="006C0FF8">
            <w:pPr>
              <w:pStyle w:val="TableText0"/>
              <w:framePr w:wrap="around"/>
              <w:rPr>
                <w:b/>
              </w:rPr>
            </w:pPr>
            <w:r w:rsidRPr="007D5D0E">
              <w:t>Continuing conventional therapy, consisting of active vitamin D and calcium</w:t>
            </w:r>
          </w:p>
        </w:tc>
      </w:tr>
      <w:tr w:rsidR="00006F1D" w:rsidRPr="0098262F" w14:paraId="69B570C3" w14:textId="77777777" w:rsidTr="00833AB1">
        <w:trPr>
          <w:cantSplit/>
        </w:trPr>
        <w:tc>
          <w:tcPr>
            <w:tcW w:w="729" w:type="pct"/>
            <w:shd w:val="clear" w:color="auto" w:fill="auto"/>
          </w:tcPr>
          <w:p w14:paraId="3CB2D9CB" w14:textId="77777777" w:rsidR="00006F1D" w:rsidRPr="0098262F" w:rsidRDefault="00006F1D" w:rsidP="006C0FF8">
            <w:pPr>
              <w:pStyle w:val="TableText0"/>
              <w:framePr w:wrap="around"/>
            </w:pPr>
            <w:r w:rsidRPr="0098262F">
              <w:t>Outcomes</w:t>
            </w:r>
          </w:p>
        </w:tc>
        <w:tc>
          <w:tcPr>
            <w:tcW w:w="4271" w:type="pct"/>
            <w:shd w:val="clear" w:color="auto" w:fill="auto"/>
          </w:tcPr>
          <w:p w14:paraId="345A1651" w14:textId="77777777" w:rsidR="00006F1D" w:rsidRDefault="00006F1D" w:rsidP="00A9507C">
            <w:pPr>
              <w:pStyle w:val="TableParagraph"/>
              <w:spacing w:line="240" w:lineRule="auto"/>
              <w:ind w:left="0" w:right="108"/>
              <w:rPr>
                <w:sz w:val="20"/>
              </w:rPr>
            </w:pPr>
            <w:r>
              <w:rPr>
                <w:spacing w:val="-2"/>
                <w:sz w:val="20"/>
                <w:u w:val="single"/>
              </w:rPr>
              <w:t>Primary endpoint</w:t>
            </w:r>
          </w:p>
          <w:p w14:paraId="7F16E588" w14:textId="77777777" w:rsidR="00006F1D" w:rsidRDefault="00006F1D" w:rsidP="00A9507C">
            <w:pPr>
              <w:pStyle w:val="TableParagraph"/>
              <w:spacing w:line="240" w:lineRule="auto"/>
              <w:ind w:left="0" w:right="108"/>
              <w:rPr>
                <w:spacing w:val="-1"/>
                <w:sz w:val="20"/>
              </w:rPr>
            </w:pPr>
            <w:r>
              <w:rPr>
                <w:sz w:val="20"/>
              </w:rPr>
              <w:t>Response</w:t>
            </w:r>
            <w:r>
              <w:rPr>
                <w:spacing w:val="-1"/>
                <w:sz w:val="20"/>
              </w:rPr>
              <w:t xml:space="preserve"> </w:t>
            </w:r>
            <w:r>
              <w:rPr>
                <w:sz w:val="20"/>
              </w:rPr>
              <w:t>defined</w:t>
            </w:r>
            <w:r>
              <w:rPr>
                <w:spacing w:val="-2"/>
                <w:sz w:val="20"/>
              </w:rPr>
              <w:t xml:space="preserve"> </w:t>
            </w:r>
            <w:r>
              <w:rPr>
                <w:sz w:val="20"/>
              </w:rPr>
              <w:t>as</w:t>
            </w:r>
            <w:r>
              <w:rPr>
                <w:spacing w:val="-2"/>
                <w:sz w:val="20"/>
              </w:rPr>
              <w:t xml:space="preserve"> </w:t>
            </w:r>
            <w:r>
              <w:rPr>
                <w:sz w:val="20"/>
              </w:rPr>
              <w:t>the</w:t>
            </w:r>
            <w:r>
              <w:rPr>
                <w:spacing w:val="-2"/>
                <w:sz w:val="20"/>
              </w:rPr>
              <w:t xml:space="preserve"> </w:t>
            </w:r>
            <w:r>
              <w:rPr>
                <w:sz w:val="20"/>
              </w:rPr>
              <w:t>proportion</w:t>
            </w:r>
            <w:r>
              <w:rPr>
                <w:spacing w:val="-1"/>
                <w:sz w:val="20"/>
              </w:rPr>
              <w:t xml:space="preserve"> </w:t>
            </w:r>
            <w:r>
              <w:rPr>
                <w:sz w:val="20"/>
              </w:rPr>
              <w:t>of</w:t>
            </w:r>
            <w:r>
              <w:rPr>
                <w:spacing w:val="-1"/>
                <w:sz w:val="20"/>
              </w:rPr>
              <w:t xml:space="preserve"> </w:t>
            </w:r>
            <w:r>
              <w:rPr>
                <w:sz w:val="20"/>
              </w:rPr>
              <w:t>participants</w:t>
            </w:r>
            <w:r>
              <w:rPr>
                <w:spacing w:val="-2"/>
                <w:sz w:val="20"/>
              </w:rPr>
              <w:t xml:space="preserve"> </w:t>
            </w:r>
            <w:proofErr w:type="gramStart"/>
            <w:r>
              <w:rPr>
                <w:sz w:val="20"/>
              </w:rPr>
              <w:t>at</w:t>
            </w:r>
            <w:proofErr w:type="gramEnd"/>
            <w:r>
              <w:rPr>
                <w:spacing w:val="-2"/>
                <w:sz w:val="20"/>
              </w:rPr>
              <w:t xml:space="preserve"> </w:t>
            </w:r>
            <w:r>
              <w:rPr>
                <w:sz w:val="20"/>
              </w:rPr>
              <w:t>Week</w:t>
            </w:r>
            <w:r>
              <w:rPr>
                <w:spacing w:val="-1"/>
                <w:sz w:val="20"/>
              </w:rPr>
              <w:t xml:space="preserve"> </w:t>
            </w:r>
            <w:r>
              <w:rPr>
                <w:sz w:val="20"/>
              </w:rPr>
              <w:t>26 who</w:t>
            </w:r>
            <w:r>
              <w:rPr>
                <w:spacing w:val="-2"/>
                <w:sz w:val="20"/>
              </w:rPr>
              <w:t xml:space="preserve"> </w:t>
            </w:r>
            <w:r>
              <w:rPr>
                <w:sz w:val="20"/>
              </w:rPr>
              <w:t>achieved</w:t>
            </w:r>
            <w:r>
              <w:rPr>
                <w:spacing w:val="-2"/>
                <w:sz w:val="20"/>
              </w:rPr>
              <w:t xml:space="preserve"> </w:t>
            </w:r>
            <w:proofErr w:type="gramStart"/>
            <w:r>
              <w:rPr>
                <w:sz w:val="20"/>
              </w:rPr>
              <w:t>all</w:t>
            </w:r>
            <w:r>
              <w:rPr>
                <w:spacing w:val="-2"/>
                <w:sz w:val="20"/>
              </w:rPr>
              <w:t xml:space="preserve"> </w:t>
            </w:r>
            <w:r>
              <w:rPr>
                <w:sz w:val="20"/>
              </w:rPr>
              <w:t>of</w:t>
            </w:r>
            <w:proofErr w:type="gramEnd"/>
            <w:r>
              <w:rPr>
                <w:spacing w:val="-2"/>
                <w:sz w:val="20"/>
              </w:rPr>
              <w:t xml:space="preserve"> </w:t>
            </w:r>
            <w:r>
              <w:rPr>
                <w:sz w:val="20"/>
              </w:rPr>
              <w:t>the</w:t>
            </w:r>
            <w:r>
              <w:rPr>
                <w:spacing w:val="-2"/>
                <w:sz w:val="20"/>
              </w:rPr>
              <w:t xml:space="preserve"> </w:t>
            </w:r>
            <w:r>
              <w:rPr>
                <w:sz w:val="20"/>
              </w:rPr>
              <w:t>following:</w:t>
            </w:r>
            <w:r>
              <w:rPr>
                <w:spacing w:val="-1"/>
                <w:sz w:val="20"/>
              </w:rPr>
              <w:t xml:space="preserve"> </w:t>
            </w:r>
          </w:p>
          <w:p w14:paraId="2C7096E2" w14:textId="2416831E" w:rsidR="00006F1D" w:rsidRDefault="00006F1D" w:rsidP="00A9507C">
            <w:pPr>
              <w:pStyle w:val="TableParagraph"/>
              <w:numPr>
                <w:ilvl w:val="0"/>
                <w:numId w:val="8"/>
              </w:numPr>
              <w:spacing w:before="1" w:line="240" w:lineRule="auto"/>
              <w:ind w:left="699"/>
              <w:rPr>
                <w:sz w:val="20"/>
              </w:rPr>
            </w:pPr>
            <w:r>
              <w:rPr>
                <w:sz w:val="20"/>
              </w:rPr>
              <w:t xml:space="preserve">albumin-adjusted serum calcium in the normal range (2.07–2.64 mmol/L), </w:t>
            </w:r>
          </w:p>
          <w:p w14:paraId="765914F8" w14:textId="77777777" w:rsidR="00006F1D" w:rsidRDefault="00006F1D" w:rsidP="00A9507C">
            <w:pPr>
              <w:pStyle w:val="TableParagraph"/>
              <w:numPr>
                <w:ilvl w:val="0"/>
                <w:numId w:val="8"/>
              </w:numPr>
              <w:spacing w:before="1" w:line="240" w:lineRule="auto"/>
              <w:ind w:left="699"/>
              <w:rPr>
                <w:sz w:val="20"/>
              </w:rPr>
            </w:pPr>
            <w:r>
              <w:rPr>
                <w:sz w:val="20"/>
              </w:rPr>
              <w:t xml:space="preserve">independence from active vitamin D, </w:t>
            </w:r>
          </w:p>
          <w:p w14:paraId="52866920" w14:textId="77777777" w:rsidR="00006F1D" w:rsidRPr="008C3772" w:rsidRDefault="00006F1D" w:rsidP="00A9507C">
            <w:pPr>
              <w:pStyle w:val="TableParagraph"/>
              <w:numPr>
                <w:ilvl w:val="0"/>
                <w:numId w:val="8"/>
              </w:numPr>
              <w:spacing w:before="1" w:line="240" w:lineRule="auto"/>
              <w:ind w:left="699"/>
              <w:rPr>
                <w:sz w:val="20"/>
              </w:rPr>
            </w:pPr>
            <w:r>
              <w:rPr>
                <w:sz w:val="20"/>
              </w:rPr>
              <w:t>independence</w:t>
            </w:r>
            <w:r>
              <w:rPr>
                <w:spacing w:val="-4"/>
                <w:sz w:val="20"/>
              </w:rPr>
              <w:t xml:space="preserve"> </w:t>
            </w:r>
            <w:r>
              <w:rPr>
                <w:sz w:val="20"/>
              </w:rPr>
              <w:t>from</w:t>
            </w:r>
            <w:r>
              <w:rPr>
                <w:spacing w:val="-3"/>
                <w:sz w:val="20"/>
              </w:rPr>
              <w:t xml:space="preserve"> </w:t>
            </w:r>
            <w:r>
              <w:rPr>
                <w:sz w:val="20"/>
              </w:rPr>
              <w:t>therapeutic</w:t>
            </w:r>
            <w:r>
              <w:rPr>
                <w:spacing w:val="-4"/>
                <w:sz w:val="20"/>
              </w:rPr>
              <w:t xml:space="preserve"> </w:t>
            </w:r>
            <w:r>
              <w:rPr>
                <w:sz w:val="20"/>
              </w:rPr>
              <w:t>doses</w:t>
            </w:r>
            <w:r>
              <w:rPr>
                <w:spacing w:val="-4"/>
                <w:sz w:val="20"/>
              </w:rPr>
              <w:t xml:space="preserve"> </w:t>
            </w:r>
            <w:r>
              <w:rPr>
                <w:sz w:val="20"/>
              </w:rPr>
              <w:t>of</w:t>
            </w:r>
            <w:r>
              <w:rPr>
                <w:spacing w:val="-4"/>
                <w:sz w:val="20"/>
              </w:rPr>
              <w:t xml:space="preserve"> </w:t>
            </w:r>
            <w:r>
              <w:rPr>
                <w:sz w:val="20"/>
              </w:rPr>
              <w:t>elemental</w:t>
            </w:r>
            <w:r>
              <w:rPr>
                <w:spacing w:val="-4"/>
                <w:sz w:val="20"/>
              </w:rPr>
              <w:t xml:space="preserve"> </w:t>
            </w:r>
            <w:r>
              <w:rPr>
                <w:sz w:val="20"/>
              </w:rPr>
              <w:t>calcium</w:t>
            </w:r>
            <w:r>
              <w:rPr>
                <w:spacing w:val="-3"/>
                <w:sz w:val="20"/>
              </w:rPr>
              <w:t xml:space="preserve"> </w:t>
            </w:r>
            <w:r>
              <w:rPr>
                <w:sz w:val="20"/>
              </w:rPr>
              <w:t>(&gt; 600</w:t>
            </w:r>
            <w:r>
              <w:rPr>
                <w:spacing w:val="-1"/>
                <w:sz w:val="20"/>
              </w:rPr>
              <w:t xml:space="preserve"> </w:t>
            </w:r>
            <w:r>
              <w:rPr>
                <w:sz w:val="20"/>
              </w:rPr>
              <w:t>mg/day) and</w:t>
            </w:r>
          </w:p>
          <w:p w14:paraId="097BD45C" w14:textId="772918C3" w:rsidR="00006F1D" w:rsidRDefault="00006F1D" w:rsidP="00A9507C">
            <w:pPr>
              <w:pStyle w:val="TableParagraph"/>
              <w:numPr>
                <w:ilvl w:val="0"/>
                <w:numId w:val="8"/>
              </w:numPr>
              <w:spacing w:before="1" w:line="240" w:lineRule="auto"/>
              <w:ind w:left="699"/>
              <w:rPr>
                <w:sz w:val="20"/>
              </w:rPr>
            </w:pPr>
            <w:r>
              <w:rPr>
                <w:sz w:val="20"/>
              </w:rPr>
              <w:t>no</w:t>
            </w:r>
            <w:r>
              <w:rPr>
                <w:spacing w:val="-4"/>
                <w:sz w:val="20"/>
              </w:rPr>
              <w:t xml:space="preserve"> </w:t>
            </w:r>
            <w:r>
              <w:rPr>
                <w:sz w:val="20"/>
              </w:rPr>
              <w:t>increase</w:t>
            </w:r>
            <w:r>
              <w:rPr>
                <w:spacing w:val="-4"/>
                <w:sz w:val="20"/>
              </w:rPr>
              <w:t xml:space="preserve"> </w:t>
            </w:r>
            <w:r>
              <w:rPr>
                <w:sz w:val="20"/>
              </w:rPr>
              <w:t>in</w:t>
            </w:r>
            <w:r>
              <w:rPr>
                <w:spacing w:val="-3"/>
                <w:sz w:val="20"/>
              </w:rPr>
              <w:t xml:space="preserve"> </w:t>
            </w:r>
            <w:r>
              <w:rPr>
                <w:sz w:val="20"/>
              </w:rPr>
              <w:t>study</w:t>
            </w:r>
            <w:r>
              <w:rPr>
                <w:spacing w:val="-2"/>
                <w:sz w:val="20"/>
              </w:rPr>
              <w:t xml:space="preserve"> </w:t>
            </w:r>
            <w:r>
              <w:rPr>
                <w:sz w:val="20"/>
              </w:rPr>
              <w:t>drug</w:t>
            </w:r>
            <w:r w:rsidR="00114D5E">
              <w:rPr>
                <w:sz w:val="20"/>
              </w:rPr>
              <w:t xml:space="preserve"> </w:t>
            </w:r>
            <w:r w:rsidR="00C10DF2" w:rsidRPr="00C10DF2">
              <w:rPr>
                <w:sz w:val="20"/>
                <w:lang w:val="en-AU"/>
              </w:rPr>
              <w:t>drug within 4 weeks prior to Week 26 visit</w:t>
            </w:r>
            <w:r>
              <w:rPr>
                <w:sz w:val="20"/>
              </w:rPr>
              <w:t xml:space="preserve">. </w:t>
            </w:r>
          </w:p>
          <w:p w14:paraId="6E8E77D4" w14:textId="77777777" w:rsidR="00006F1D" w:rsidRPr="008C3772" w:rsidRDefault="00006F1D" w:rsidP="00A9507C">
            <w:pPr>
              <w:pStyle w:val="TableParagraph"/>
              <w:spacing w:line="240" w:lineRule="auto"/>
              <w:ind w:left="0" w:right="108"/>
              <w:rPr>
                <w:sz w:val="20"/>
                <w:u w:val="single"/>
              </w:rPr>
            </w:pPr>
            <w:r w:rsidRPr="008C3772">
              <w:rPr>
                <w:sz w:val="20"/>
                <w:u w:val="single"/>
              </w:rPr>
              <w:t>Secondary endpoints</w:t>
            </w:r>
          </w:p>
          <w:p w14:paraId="7C65417B" w14:textId="6CDD7F0D" w:rsidR="00006F1D" w:rsidRDefault="00006F1D" w:rsidP="00A9507C">
            <w:pPr>
              <w:pStyle w:val="TableParagraph"/>
              <w:numPr>
                <w:ilvl w:val="0"/>
                <w:numId w:val="9"/>
              </w:numPr>
              <w:spacing w:before="1" w:line="240" w:lineRule="auto"/>
              <w:ind w:left="699"/>
              <w:rPr>
                <w:sz w:val="20"/>
              </w:rPr>
            </w:pPr>
            <w:r w:rsidRPr="00CF7F24">
              <w:rPr>
                <w:sz w:val="20"/>
              </w:rPr>
              <w:t>active vitamin</w:t>
            </w:r>
            <w:r w:rsidRPr="00CF7F24">
              <w:rPr>
                <w:spacing w:val="-2"/>
                <w:sz w:val="20"/>
              </w:rPr>
              <w:t xml:space="preserve"> </w:t>
            </w:r>
            <w:r w:rsidRPr="00CF7F24">
              <w:rPr>
                <w:sz w:val="20"/>
              </w:rPr>
              <w:t>D</w:t>
            </w:r>
            <w:r w:rsidRPr="00CF7F24">
              <w:rPr>
                <w:spacing w:val="-2"/>
                <w:sz w:val="20"/>
              </w:rPr>
              <w:t xml:space="preserve"> </w:t>
            </w:r>
            <w:r w:rsidRPr="00CF7F24">
              <w:rPr>
                <w:sz w:val="20"/>
              </w:rPr>
              <w:t>doses</w:t>
            </w:r>
            <w:r w:rsidR="00CF7F24" w:rsidRPr="00CF7F24">
              <w:rPr>
                <w:sz w:val="20"/>
              </w:rPr>
              <w:t xml:space="preserve">, </w:t>
            </w:r>
            <w:r w:rsidRPr="00CF7F24">
              <w:rPr>
                <w:sz w:val="20"/>
              </w:rPr>
              <w:t>pill</w:t>
            </w:r>
            <w:r w:rsidRPr="00CF7F24">
              <w:rPr>
                <w:spacing w:val="-2"/>
                <w:sz w:val="20"/>
              </w:rPr>
              <w:t xml:space="preserve"> </w:t>
            </w:r>
            <w:r w:rsidRPr="00CF7F24">
              <w:rPr>
                <w:sz w:val="20"/>
              </w:rPr>
              <w:t>burden</w:t>
            </w:r>
            <w:r w:rsidR="00CF7F24" w:rsidRPr="00CF7F24">
              <w:rPr>
                <w:sz w:val="20"/>
              </w:rPr>
              <w:t xml:space="preserve">, </w:t>
            </w:r>
            <w:r w:rsidRPr="00CF7F24">
              <w:rPr>
                <w:sz w:val="20"/>
              </w:rPr>
              <w:t>serum</w:t>
            </w:r>
            <w:r w:rsidRPr="00CF7F24">
              <w:rPr>
                <w:spacing w:val="-1"/>
                <w:sz w:val="20"/>
              </w:rPr>
              <w:t xml:space="preserve"> </w:t>
            </w:r>
            <w:r w:rsidRPr="00CF7F24">
              <w:rPr>
                <w:sz w:val="20"/>
              </w:rPr>
              <w:t>calcium,</w:t>
            </w:r>
            <w:r w:rsidR="00CF7F24" w:rsidRPr="00CF7F24">
              <w:rPr>
                <w:sz w:val="20"/>
              </w:rPr>
              <w:t xml:space="preserve"> </w:t>
            </w:r>
            <w:r w:rsidRPr="00CF7F24">
              <w:rPr>
                <w:sz w:val="20"/>
              </w:rPr>
              <w:t>serum phosphate,</w:t>
            </w:r>
            <w:r w:rsidR="00CF7F24" w:rsidRPr="00CF7F24">
              <w:rPr>
                <w:sz w:val="20"/>
              </w:rPr>
              <w:t xml:space="preserve"> </w:t>
            </w:r>
            <w:r w:rsidRPr="00CF7F24">
              <w:rPr>
                <w:sz w:val="20"/>
              </w:rPr>
              <w:t>serum</w:t>
            </w:r>
            <w:r w:rsidRPr="00CF7F24">
              <w:rPr>
                <w:spacing w:val="-1"/>
                <w:sz w:val="20"/>
              </w:rPr>
              <w:t xml:space="preserve"> </w:t>
            </w:r>
            <w:r w:rsidRPr="00CF7F24">
              <w:rPr>
                <w:sz w:val="20"/>
              </w:rPr>
              <w:t>calcium-phosphate product</w:t>
            </w:r>
            <w:r w:rsidR="00CF7F24" w:rsidRPr="00CF7F24">
              <w:rPr>
                <w:sz w:val="20"/>
              </w:rPr>
              <w:t xml:space="preserve">, </w:t>
            </w:r>
            <w:r w:rsidRPr="00CF7F24">
              <w:rPr>
                <w:sz w:val="20"/>
              </w:rPr>
              <w:t>bone mineral density</w:t>
            </w:r>
            <w:r w:rsidR="00CF7F24">
              <w:rPr>
                <w:sz w:val="20"/>
              </w:rPr>
              <w:t>,</w:t>
            </w:r>
            <w:r>
              <w:rPr>
                <w:spacing w:val="-4"/>
                <w:sz w:val="20"/>
              </w:rPr>
              <w:t xml:space="preserve"> </w:t>
            </w:r>
            <w:r w:rsidRPr="008C3772">
              <w:rPr>
                <w:sz w:val="20"/>
              </w:rPr>
              <w:t>HPES</w:t>
            </w:r>
            <w:r w:rsidR="00CF7F24">
              <w:rPr>
                <w:sz w:val="20"/>
              </w:rPr>
              <w:t>,</w:t>
            </w:r>
            <w:r w:rsidRPr="008C3772">
              <w:rPr>
                <w:spacing w:val="-3"/>
                <w:sz w:val="20"/>
              </w:rPr>
              <w:t xml:space="preserve"> </w:t>
            </w:r>
            <w:r w:rsidRPr="008C3772">
              <w:rPr>
                <w:sz w:val="20"/>
              </w:rPr>
              <w:t>EQ-5D</w:t>
            </w:r>
            <w:r w:rsidR="00CF7F24">
              <w:rPr>
                <w:sz w:val="20"/>
              </w:rPr>
              <w:t>,</w:t>
            </w:r>
            <w:r w:rsidRPr="008C3772">
              <w:rPr>
                <w:spacing w:val="-3"/>
                <w:sz w:val="20"/>
              </w:rPr>
              <w:t xml:space="preserve"> </w:t>
            </w:r>
            <w:r w:rsidRPr="008C3772">
              <w:rPr>
                <w:sz w:val="20"/>
              </w:rPr>
              <w:t>SF-3</w:t>
            </w:r>
            <w:r>
              <w:rPr>
                <w:sz w:val="20"/>
              </w:rPr>
              <w:t>6</w:t>
            </w:r>
            <w:r w:rsidR="00CF7F24">
              <w:rPr>
                <w:sz w:val="20"/>
              </w:rPr>
              <w:t>.</w:t>
            </w:r>
          </w:p>
          <w:p w14:paraId="0CA230F0" w14:textId="704F9CF7" w:rsidR="00DA61D6" w:rsidRPr="00C37A19" w:rsidRDefault="00DA61D6" w:rsidP="00A9507C">
            <w:pPr>
              <w:pStyle w:val="TableParagraph"/>
              <w:spacing w:line="240" w:lineRule="auto"/>
              <w:ind w:left="0" w:right="108"/>
              <w:rPr>
                <w:sz w:val="20"/>
                <w:u w:val="single"/>
              </w:rPr>
            </w:pPr>
            <w:r w:rsidRPr="00C37A19">
              <w:rPr>
                <w:sz w:val="20"/>
                <w:u w:val="single"/>
              </w:rPr>
              <w:t>Other endpoints</w:t>
            </w:r>
          </w:p>
          <w:p w14:paraId="7C10073A" w14:textId="4DAD007A" w:rsidR="00DA61D6" w:rsidRDefault="00DA61D6" w:rsidP="00A9507C">
            <w:pPr>
              <w:pStyle w:val="TableParagraph"/>
              <w:numPr>
                <w:ilvl w:val="0"/>
                <w:numId w:val="9"/>
              </w:numPr>
              <w:spacing w:before="1" w:line="240" w:lineRule="auto"/>
              <w:ind w:left="699"/>
              <w:rPr>
                <w:sz w:val="20"/>
              </w:rPr>
            </w:pPr>
            <w:r>
              <w:rPr>
                <w:sz w:val="20"/>
              </w:rPr>
              <w:t>Post-hoc analysis of change from baseline in eGFR.</w:t>
            </w:r>
          </w:p>
          <w:p w14:paraId="538E07B0" w14:textId="77777777" w:rsidR="00006F1D" w:rsidRPr="0069420F" w:rsidRDefault="00006F1D" w:rsidP="00A9507C">
            <w:pPr>
              <w:pStyle w:val="TableParagraph"/>
              <w:spacing w:line="240" w:lineRule="auto"/>
              <w:ind w:left="0" w:right="108"/>
              <w:rPr>
                <w:sz w:val="20"/>
                <w:u w:val="single"/>
              </w:rPr>
            </w:pPr>
            <w:r w:rsidRPr="0069420F">
              <w:rPr>
                <w:sz w:val="20"/>
                <w:u w:val="single"/>
              </w:rPr>
              <w:t>Safety</w:t>
            </w:r>
          </w:p>
          <w:p w14:paraId="196C4590" w14:textId="4E562CFB" w:rsidR="00006F1D" w:rsidRPr="007D5D0E" w:rsidRDefault="00006F1D" w:rsidP="00A9507C">
            <w:pPr>
              <w:pStyle w:val="TableParagraph"/>
              <w:numPr>
                <w:ilvl w:val="0"/>
                <w:numId w:val="9"/>
              </w:numPr>
              <w:spacing w:before="1" w:line="240" w:lineRule="auto"/>
              <w:ind w:left="699"/>
              <w:rPr>
                <w:sz w:val="20"/>
              </w:rPr>
            </w:pPr>
            <w:r w:rsidRPr="00CF7F24">
              <w:rPr>
                <w:sz w:val="20"/>
              </w:rPr>
              <w:t>TEA</w:t>
            </w:r>
            <w:r w:rsidR="00CF7F24" w:rsidRPr="00CF7F24">
              <w:rPr>
                <w:sz w:val="20"/>
              </w:rPr>
              <w:t>Es, s</w:t>
            </w:r>
            <w:r w:rsidRPr="00CF7F24">
              <w:rPr>
                <w:sz w:val="20"/>
              </w:rPr>
              <w:t>erious TEAEs</w:t>
            </w:r>
            <w:r w:rsidR="00CF7F24" w:rsidRPr="00CF7F24">
              <w:rPr>
                <w:sz w:val="20"/>
              </w:rPr>
              <w:t xml:space="preserve">, </w:t>
            </w:r>
            <w:r w:rsidRPr="00CF7F24">
              <w:rPr>
                <w:sz w:val="20"/>
              </w:rPr>
              <w:t xml:space="preserve">TEAEs related to hyper or </w:t>
            </w:r>
            <w:proofErr w:type="spellStart"/>
            <w:r w:rsidRPr="00CF7F24">
              <w:rPr>
                <w:sz w:val="20"/>
              </w:rPr>
              <w:t>hypocalcaemia</w:t>
            </w:r>
            <w:proofErr w:type="spellEnd"/>
            <w:r w:rsidR="00CF7F24" w:rsidRPr="00CF7F24">
              <w:rPr>
                <w:sz w:val="20"/>
              </w:rPr>
              <w:t xml:space="preserve">, </w:t>
            </w:r>
            <w:r w:rsidRPr="00CF7F24">
              <w:rPr>
                <w:sz w:val="20"/>
              </w:rPr>
              <w:t>TEAEs leading to discontinuation</w:t>
            </w:r>
            <w:r w:rsidR="00CF7F24" w:rsidRPr="00CF7F24">
              <w:rPr>
                <w:sz w:val="20"/>
              </w:rPr>
              <w:t>,</w:t>
            </w:r>
            <w:r w:rsidR="00CF7F24">
              <w:rPr>
                <w:sz w:val="20"/>
              </w:rPr>
              <w:t xml:space="preserve"> </w:t>
            </w:r>
            <w:r w:rsidRPr="00CF7F24">
              <w:rPr>
                <w:sz w:val="20"/>
              </w:rPr>
              <w:t>24-hour urinary calcium</w:t>
            </w:r>
            <w:r w:rsidR="00CF7F24">
              <w:rPr>
                <w:sz w:val="20"/>
              </w:rPr>
              <w:t>, d</w:t>
            </w:r>
            <w:r w:rsidRPr="0069420F">
              <w:rPr>
                <w:sz w:val="20"/>
              </w:rPr>
              <w:t>eath</w:t>
            </w:r>
            <w:r w:rsidR="00CF7F24">
              <w:rPr>
                <w:sz w:val="20"/>
              </w:rPr>
              <w:t>.</w:t>
            </w:r>
          </w:p>
        </w:tc>
      </w:tr>
      <w:tr w:rsidR="00006F1D" w:rsidRPr="0098262F" w14:paraId="59F80881" w14:textId="77777777" w:rsidTr="00833AB1">
        <w:trPr>
          <w:cantSplit/>
        </w:trPr>
        <w:tc>
          <w:tcPr>
            <w:tcW w:w="729" w:type="pct"/>
            <w:shd w:val="clear" w:color="auto" w:fill="auto"/>
          </w:tcPr>
          <w:p w14:paraId="70B3E5AB" w14:textId="77777777" w:rsidR="00006F1D" w:rsidRPr="0098262F" w:rsidRDefault="00006F1D" w:rsidP="006C0FF8">
            <w:pPr>
              <w:pStyle w:val="TableText0"/>
              <w:framePr w:wrap="around"/>
            </w:pPr>
            <w:r w:rsidRPr="0098262F">
              <w:t>Clinical claim</w:t>
            </w:r>
          </w:p>
        </w:tc>
        <w:tc>
          <w:tcPr>
            <w:tcW w:w="4271" w:type="pct"/>
            <w:shd w:val="clear" w:color="auto" w:fill="auto"/>
          </w:tcPr>
          <w:p w14:paraId="407EC27D" w14:textId="77777777" w:rsidR="00006F1D" w:rsidRPr="007D5D0E" w:rsidRDefault="00006F1D" w:rsidP="00A9507C">
            <w:pPr>
              <w:pStyle w:val="TableParagraph"/>
              <w:framePr w:hSpace="180" w:wrap="around" w:vAnchor="text" w:hAnchor="text" w:y="1"/>
              <w:spacing w:line="240" w:lineRule="auto"/>
              <w:ind w:left="0" w:right="108"/>
              <w:suppressOverlap/>
              <w:rPr>
                <w:b/>
              </w:rPr>
            </w:pPr>
            <w:proofErr w:type="spellStart"/>
            <w:r w:rsidRPr="004A37CB">
              <w:rPr>
                <w:sz w:val="20"/>
              </w:rPr>
              <w:t>Palopegteriparatide</w:t>
            </w:r>
            <w:proofErr w:type="spellEnd"/>
            <w:r w:rsidRPr="004A37CB">
              <w:rPr>
                <w:sz w:val="20"/>
              </w:rPr>
              <w:t xml:space="preserve"> is superior relative to conventional therapy with respect to efficacy, based on response, health-related quality of life and kidney function, non-inferior with respect to safety in the short term, and expected to be superior in the longer term owing to the independence from conventional therapy.</w:t>
            </w:r>
          </w:p>
        </w:tc>
      </w:tr>
    </w:tbl>
    <w:p w14:paraId="1B6B2790" w14:textId="77777777" w:rsidR="00006F1D" w:rsidRPr="00975F44" w:rsidRDefault="00006F1D" w:rsidP="00265947">
      <w:pPr>
        <w:pStyle w:val="TableFigureFooter"/>
      </w:pPr>
      <w:r w:rsidRPr="00975F44">
        <w:t>Source: Table 1 pp6-7 of the submission.</w:t>
      </w:r>
    </w:p>
    <w:p w14:paraId="78D98BF6" w14:textId="6C05422D" w:rsidR="00006F1D" w:rsidRPr="00975F44" w:rsidRDefault="00006F1D" w:rsidP="00265947">
      <w:pPr>
        <w:pStyle w:val="TableFigureFooter"/>
        <w:rPr>
          <w:rFonts w:asciiTheme="minorHAnsi" w:hAnsiTheme="minorHAnsi"/>
          <w:b/>
          <w:bCs/>
          <w:sz w:val="32"/>
          <w:szCs w:val="32"/>
        </w:rPr>
      </w:pPr>
      <w:r w:rsidRPr="4D2BAA30">
        <w:t xml:space="preserve">eGFR = estimated glomerular filtration rate, EQ-5D = </w:t>
      </w:r>
      <w:r w:rsidR="00FB48C0" w:rsidRPr="4D2BAA30">
        <w:t>EuroQoL</w:t>
      </w:r>
      <w:r w:rsidRPr="4D2BAA30">
        <w:t xml:space="preserve"> 5 Dimension, HPES = Hypoparathyroidism Patient Experience Scale, SF-36 = Short Form Survey 36 questionnaire, TEAE = treatment emergent adverse effects.</w:t>
      </w:r>
    </w:p>
    <w:p w14:paraId="6B4AB6C2" w14:textId="7F01D731" w:rsidR="005C25FF" w:rsidRPr="0098262F" w:rsidRDefault="005C25FF" w:rsidP="004A6040">
      <w:pPr>
        <w:pStyle w:val="2-SectionHeading"/>
      </w:pPr>
      <w:bookmarkStart w:id="4" w:name="_Toc187766407"/>
      <w:r w:rsidRPr="0098262F">
        <w:t>Background</w:t>
      </w:r>
      <w:bookmarkEnd w:id="4"/>
    </w:p>
    <w:p w14:paraId="2C521D6D" w14:textId="78CF03EE" w:rsidR="005C25FF" w:rsidRPr="0098262F" w:rsidRDefault="005C25FF" w:rsidP="004A6040">
      <w:pPr>
        <w:pStyle w:val="4-SubsectionHeading"/>
      </w:pPr>
      <w:bookmarkStart w:id="5" w:name="_Toc22897638"/>
      <w:bookmarkStart w:id="6" w:name="_Toc187766408"/>
      <w:r w:rsidRPr="0098262F">
        <w:t>Registration status</w:t>
      </w:r>
      <w:bookmarkEnd w:id="5"/>
      <w:bookmarkEnd w:id="6"/>
    </w:p>
    <w:p w14:paraId="3E9FE854" w14:textId="2A8D0C4E" w:rsidR="00ED2BBC" w:rsidRDefault="5355EDD5" w:rsidP="00ED2BBC">
      <w:pPr>
        <w:pStyle w:val="3-BodyText"/>
      </w:pPr>
      <w:bookmarkStart w:id="7" w:name="_Toc22897639"/>
      <w:r w:rsidRPr="383E5602">
        <w:t>Palopegteriparatide received orphan drug designation in April 2024. A</w:t>
      </w:r>
      <w:r w:rsidR="000820FF">
        <w:t xml:space="preserve">t the time of PBAC consideration, palopegteriparatide was </w:t>
      </w:r>
      <w:r w:rsidR="00453088">
        <w:t>listed on the Australian Register of Therapeutic Goods</w:t>
      </w:r>
      <w:r w:rsidR="00CF1F5A">
        <w:t xml:space="preserve"> for the treatment of chronic hypoparathyroidism in adults. </w:t>
      </w:r>
    </w:p>
    <w:p w14:paraId="322F8AD5" w14:textId="14CF2B6C" w:rsidR="00556F51" w:rsidRPr="001D07DC" w:rsidRDefault="00556F51" w:rsidP="00923F61">
      <w:pPr>
        <w:pStyle w:val="3-BodyText"/>
        <w:numPr>
          <w:ilvl w:val="0"/>
          <w:numId w:val="0"/>
        </w:numPr>
        <w:ind w:left="827"/>
      </w:pPr>
      <w:r w:rsidRPr="00C33D30">
        <w:rPr>
          <w:i/>
        </w:rPr>
        <w:t>For more detail on PBAC’s view, see section 7 PBAC outcome.</w:t>
      </w:r>
    </w:p>
    <w:p w14:paraId="76E4EF3C" w14:textId="13040F70" w:rsidR="00B60939" w:rsidRPr="0098262F" w:rsidRDefault="00B50DB8" w:rsidP="00C12538">
      <w:pPr>
        <w:pStyle w:val="2-SectionHeading"/>
        <w:spacing w:before="120"/>
      </w:pPr>
      <w:bookmarkStart w:id="8" w:name="_Toc107902078"/>
      <w:bookmarkStart w:id="9" w:name="_Toc187766409"/>
      <w:bookmarkEnd w:id="7"/>
      <w:bookmarkEnd w:id="8"/>
      <w:r w:rsidRPr="0098262F">
        <w:t>Requested listing</w:t>
      </w:r>
      <w:bookmarkEnd w:id="9"/>
    </w:p>
    <w:p w14:paraId="2949EA79" w14:textId="77777777" w:rsidR="00E03DF5" w:rsidRPr="0098262F" w:rsidRDefault="00E03DF5" w:rsidP="006C0FF8">
      <w:pPr>
        <w:pStyle w:val="TableText0"/>
        <w:framePr w:wrap="around"/>
      </w:pPr>
    </w:p>
    <w:tbl>
      <w:tblPr>
        <w:tblW w:w="5030" w:type="pct"/>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2040"/>
        <w:gridCol w:w="960"/>
        <w:gridCol w:w="960"/>
        <w:gridCol w:w="720"/>
        <w:gridCol w:w="1150"/>
      </w:tblGrid>
      <w:tr w:rsidR="00E03DF5" w:rsidRPr="0098262F" w14:paraId="169B7EF6" w14:textId="77777777" w:rsidTr="4D2BAA30">
        <w:trPr>
          <w:cantSplit/>
          <w:trHeight w:val="20"/>
        </w:trPr>
        <w:tc>
          <w:tcPr>
            <w:tcW w:w="3240" w:type="dxa"/>
            <w:vAlign w:val="center"/>
          </w:tcPr>
          <w:p w14:paraId="13B4E7D8" w14:textId="77777777" w:rsidR="00E03DF5" w:rsidRPr="00F93065" w:rsidRDefault="00E03DF5" w:rsidP="00DF3913">
            <w:pPr>
              <w:keepLines/>
              <w:rPr>
                <w:rFonts w:ascii="Arial Narrow" w:hAnsi="Arial Narrow"/>
                <w:b/>
                <w:bCs/>
                <w:color w:val="000000" w:themeColor="text1"/>
                <w:sz w:val="20"/>
                <w:szCs w:val="20"/>
              </w:rPr>
            </w:pPr>
            <w:bookmarkStart w:id="10" w:name="_Hlk104809055"/>
            <w:r w:rsidRPr="00F93065">
              <w:rPr>
                <w:rFonts w:ascii="Arial Narrow" w:hAnsi="Arial Narrow"/>
                <w:b/>
                <w:bCs/>
                <w:color w:val="000000" w:themeColor="text1"/>
                <w:sz w:val="20"/>
                <w:szCs w:val="20"/>
              </w:rPr>
              <w:t>MEDICINAL PRODUCT</w:t>
            </w:r>
          </w:p>
          <w:p w14:paraId="1E2F12AD" w14:textId="77777777" w:rsidR="00E03DF5" w:rsidRPr="00F93065" w:rsidRDefault="00E03DF5" w:rsidP="00DF3913">
            <w:pPr>
              <w:keepLines/>
              <w:rPr>
                <w:rFonts w:ascii="Arial Narrow" w:hAnsi="Arial Narrow"/>
                <w:b/>
                <w:color w:val="000000" w:themeColor="text1"/>
                <w:sz w:val="20"/>
                <w:szCs w:val="20"/>
              </w:rPr>
            </w:pPr>
            <w:r w:rsidRPr="00F93065">
              <w:rPr>
                <w:rFonts w:ascii="Arial Narrow" w:hAnsi="Arial Narrow"/>
                <w:b/>
                <w:bCs/>
                <w:color w:val="000000" w:themeColor="text1"/>
                <w:sz w:val="20"/>
                <w:szCs w:val="20"/>
              </w:rPr>
              <w:t>medicinal product pack</w:t>
            </w:r>
          </w:p>
        </w:tc>
        <w:tc>
          <w:tcPr>
            <w:tcW w:w="2040" w:type="dxa"/>
            <w:vAlign w:val="center"/>
          </w:tcPr>
          <w:p w14:paraId="0EEC3C16" w14:textId="4378BD78" w:rsidR="00E03DF5" w:rsidRPr="004D54D6" w:rsidRDefault="00BD7481" w:rsidP="00BD7481">
            <w:pPr>
              <w:pStyle w:val="TableText0"/>
              <w:framePr w:wrap="around"/>
              <w:jc w:val="center"/>
              <w:rPr>
                <w:b/>
                <w:bCs w:val="0"/>
                <w:szCs w:val="20"/>
              </w:rPr>
            </w:pPr>
            <w:r>
              <w:rPr>
                <w:b/>
                <w:bCs w:val="0"/>
              </w:rPr>
              <w:t>DPMQ</w:t>
            </w:r>
          </w:p>
        </w:tc>
        <w:tc>
          <w:tcPr>
            <w:tcW w:w="960" w:type="dxa"/>
            <w:vAlign w:val="center"/>
          </w:tcPr>
          <w:p w14:paraId="17C9C52D" w14:textId="77777777" w:rsidR="00E03DF5" w:rsidRPr="0098262F" w:rsidRDefault="00E03DF5" w:rsidP="00DF3913">
            <w:pPr>
              <w:keepLines/>
              <w:jc w:val="center"/>
              <w:rPr>
                <w:rFonts w:ascii="Arial Narrow" w:hAnsi="Arial Narrow"/>
                <w:b/>
                <w:sz w:val="20"/>
                <w:szCs w:val="20"/>
              </w:rPr>
            </w:pPr>
            <w:r w:rsidRPr="0098262F">
              <w:rPr>
                <w:rFonts w:ascii="Arial Narrow" w:hAnsi="Arial Narrow"/>
                <w:b/>
                <w:sz w:val="20"/>
                <w:szCs w:val="20"/>
              </w:rPr>
              <w:t>Max. qty packs</w:t>
            </w:r>
          </w:p>
        </w:tc>
        <w:tc>
          <w:tcPr>
            <w:tcW w:w="960" w:type="dxa"/>
            <w:vAlign w:val="center"/>
          </w:tcPr>
          <w:p w14:paraId="329E1721" w14:textId="77777777" w:rsidR="00E03DF5" w:rsidRPr="0098262F" w:rsidRDefault="00E03DF5" w:rsidP="00DF3913">
            <w:pPr>
              <w:keepLines/>
              <w:jc w:val="center"/>
              <w:rPr>
                <w:rFonts w:ascii="Arial Narrow" w:hAnsi="Arial Narrow"/>
                <w:b/>
                <w:sz w:val="20"/>
                <w:szCs w:val="20"/>
              </w:rPr>
            </w:pPr>
            <w:r w:rsidRPr="0098262F">
              <w:rPr>
                <w:rFonts w:ascii="Arial Narrow" w:hAnsi="Arial Narrow"/>
                <w:b/>
                <w:sz w:val="20"/>
                <w:szCs w:val="20"/>
              </w:rPr>
              <w:t>Max. qty units</w:t>
            </w:r>
          </w:p>
        </w:tc>
        <w:tc>
          <w:tcPr>
            <w:tcW w:w="720" w:type="dxa"/>
            <w:vAlign w:val="center"/>
          </w:tcPr>
          <w:p w14:paraId="75EA2746" w14:textId="1D218145" w:rsidR="00E03DF5" w:rsidRPr="0098262F" w:rsidRDefault="00531D82" w:rsidP="00DF3913">
            <w:pPr>
              <w:keepLines/>
              <w:jc w:val="center"/>
              <w:rPr>
                <w:rFonts w:ascii="Arial Narrow" w:hAnsi="Arial Narrow"/>
                <w:b/>
                <w:sz w:val="20"/>
                <w:szCs w:val="20"/>
              </w:rPr>
            </w:pPr>
            <w:r w:rsidRPr="0098262F">
              <w:rPr>
                <w:rFonts w:ascii="Arial Narrow" w:hAnsi="Arial Narrow"/>
                <w:b/>
                <w:sz w:val="20"/>
                <w:szCs w:val="20"/>
              </w:rPr>
              <w:t>№. of</w:t>
            </w:r>
          </w:p>
          <w:p w14:paraId="32F1A3EA" w14:textId="77777777" w:rsidR="00E03DF5" w:rsidRPr="0098262F" w:rsidRDefault="00E03DF5" w:rsidP="4D2BAA30">
            <w:pPr>
              <w:keepLines/>
              <w:jc w:val="center"/>
              <w:rPr>
                <w:rFonts w:ascii="Arial Narrow" w:hAnsi="Arial Narrow"/>
                <w:b/>
                <w:bCs/>
                <w:sz w:val="20"/>
                <w:szCs w:val="20"/>
              </w:rPr>
            </w:pPr>
            <w:proofErr w:type="spellStart"/>
            <w:r w:rsidRPr="4D2BAA30">
              <w:rPr>
                <w:rFonts w:ascii="Arial Narrow" w:hAnsi="Arial Narrow"/>
                <w:b/>
                <w:bCs/>
                <w:sz w:val="20"/>
                <w:szCs w:val="20"/>
              </w:rPr>
              <w:t>Rpts</w:t>
            </w:r>
            <w:proofErr w:type="spellEnd"/>
          </w:p>
        </w:tc>
        <w:tc>
          <w:tcPr>
            <w:tcW w:w="1150" w:type="dxa"/>
            <w:vAlign w:val="center"/>
          </w:tcPr>
          <w:p w14:paraId="7B2A08AB" w14:textId="77777777" w:rsidR="00E03DF5" w:rsidRPr="0098262F" w:rsidRDefault="00E03DF5" w:rsidP="00DF3913">
            <w:pPr>
              <w:keepLines/>
              <w:rPr>
                <w:rFonts w:ascii="Arial Narrow" w:hAnsi="Arial Narrow"/>
                <w:b/>
                <w:sz w:val="20"/>
                <w:szCs w:val="20"/>
              </w:rPr>
            </w:pPr>
            <w:r w:rsidRPr="0098262F">
              <w:rPr>
                <w:rFonts w:ascii="Arial Narrow" w:hAnsi="Arial Narrow"/>
                <w:b/>
                <w:sz w:val="20"/>
                <w:szCs w:val="20"/>
              </w:rPr>
              <w:t>Available brands</w:t>
            </w:r>
          </w:p>
        </w:tc>
      </w:tr>
    </w:tbl>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E03DF5" w:rsidRPr="0098262F" w14:paraId="6628E873" w14:textId="77777777" w:rsidTr="4D2BAA30">
        <w:trPr>
          <w:cantSplit/>
          <w:trHeight w:val="20"/>
        </w:trPr>
        <w:tc>
          <w:tcPr>
            <w:tcW w:w="9072" w:type="dxa"/>
            <w:vAlign w:val="center"/>
          </w:tcPr>
          <w:p w14:paraId="66625A23" w14:textId="77777777" w:rsidR="00E03DF5" w:rsidRPr="0098262F" w:rsidRDefault="00E03DF5" w:rsidP="4D2BAA30">
            <w:pPr>
              <w:pStyle w:val="TableText0"/>
              <w:framePr w:wrap="around"/>
            </w:pPr>
            <w:r w:rsidRPr="4D2BAA30">
              <w:t>Palopegteriparatide</w:t>
            </w:r>
          </w:p>
        </w:tc>
      </w:tr>
    </w:tbl>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Pr>
      <w:tblGrid>
        <w:gridCol w:w="1681"/>
        <w:gridCol w:w="1560"/>
        <w:gridCol w:w="2040"/>
        <w:gridCol w:w="960"/>
        <w:gridCol w:w="960"/>
        <w:gridCol w:w="720"/>
        <w:gridCol w:w="1150"/>
      </w:tblGrid>
      <w:tr w:rsidR="00E03DF5" w:rsidRPr="0098262F" w14:paraId="3C83AD7C" w14:textId="77777777" w:rsidTr="383E5602">
        <w:trPr>
          <w:cantSplit/>
          <w:trHeight w:val="20"/>
        </w:trPr>
        <w:tc>
          <w:tcPr>
            <w:tcW w:w="3240" w:type="dxa"/>
            <w:gridSpan w:val="2"/>
          </w:tcPr>
          <w:p w14:paraId="4A6A67A8" w14:textId="77777777" w:rsidR="00E03DF5" w:rsidRPr="00A06048" w:rsidRDefault="00E03DF5" w:rsidP="4D2BAA30">
            <w:pPr>
              <w:keepLines/>
              <w:jc w:val="left"/>
              <w:rPr>
                <w:rFonts w:ascii="Arial Narrow" w:hAnsi="Arial Narrow"/>
                <w:sz w:val="20"/>
                <w:szCs w:val="20"/>
              </w:rPr>
            </w:pPr>
            <w:r w:rsidRPr="4D2BAA30">
              <w:rPr>
                <w:rFonts w:ascii="Arial Narrow" w:hAnsi="Arial Narrow"/>
                <w:sz w:val="20"/>
                <w:szCs w:val="20"/>
              </w:rPr>
              <w:t>Palopegteriparatide 168 mcg/0.56 mL solution for injection, pre-filled pen</w:t>
            </w:r>
          </w:p>
        </w:tc>
        <w:tc>
          <w:tcPr>
            <w:tcW w:w="2040" w:type="dxa"/>
            <w:vAlign w:val="center"/>
          </w:tcPr>
          <w:p w14:paraId="72332146" w14:textId="609F86A1" w:rsidR="00E03DF5" w:rsidRPr="00A2463A" w:rsidRDefault="00E03DF5" w:rsidP="00975F44">
            <w:pPr>
              <w:pStyle w:val="Tabletext"/>
              <w:jc w:val="center"/>
              <w:rPr>
                <w:iCs/>
                <w:szCs w:val="20"/>
              </w:rPr>
            </w:pPr>
            <w:r w:rsidRPr="00A2463A">
              <w:rPr>
                <w:iCs/>
                <w:szCs w:val="20"/>
              </w:rPr>
              <w:t>Published:</w:t>
            </w:r>
            <w:r w:rsidR="008F4DEB" w:rsidRPr="00A2463A">
              <w:rPr>
                <w:iCs/>
                <w:szCs w:val="20"/>
              </w:rPr>
              <w:t xml:space="preserve"> </w:t>
            </w:r>
            <w:r w:rsidRPr="00A2463A">
              <w:rPr>
                <w:iCs/>
                <w:szCs w:val="20"/>
              </w:rPr>
              <w:t>$</w:t>
            </w:r>
            <w:r w:rsidR="00836BEA" w:rsidRPr="00CA6752">
              <w:rPr>
                <w:iCs/>
                <w:color w:val="000000"/>
                <w:spacing w:val="53"/>
                <w:szCs w:val="20"/>
                <w:shd w:val="solid" w:color="000000" w:fill="000000"/>
                <w:fitText w:val="330" w:id="-694428160"/>
                <w14:textFill>
                  <w14:solidFill>
                    <w14:srgbClr w14:val="000000">
                      <w14:alpha w14:val="100000"/>
                    </w14:srgbClr>
                  </w14:solidFill>
                </w14:textFill>
              </w:rPr>
              <w:t>|||</w:t>
            </w:r>
            <w:r w:rsidR="00836BEA" w:rsidRPr="00CA6752">
              <w:rPr>
                <w:iCs/>
                <w:color w:val="000000"/>
                <w:spacing w:val="1"/>
                <w:szCs w:val="20"/>
                <w:shd w:val="solid" w:color="000000" w:fill="000000"/>
                <w:fitText w:val="330" w:id="-694428160"/>
                <w14:textFill>
                  <w14:solidFill>
                    <w14:srgbClr w14:val="000000">
                      <w14:alpha w14:val="100000"/>
                    </w14:srgbClr>
                  </w14:solidFill>
                </w14:textFill>
              </w:rPr>
              <w:t>|</w:t>
            </w:r>
          </w:p>
          <w:p w14:paraId="71C8F780" w14:textId="2964140E" w:rsidR="00E03DF5" w:rsidRPr="00A2463A" w:rsidRDefault="00E03DF5" w:rsidP="00975F44">
            <w:pPr>
              <w:pStyle w:val="Tabletext"/>
              <w:jc w:val="center"/>
            </w:pPr>
            <w:r w:rsidRPr="00A2463A">
              <w:rPr>
                <w:iCs/>
                <w:szCs w:val="20"/>
              </w:rPr>
              <w:t>Effective:</w:t>
            </w:r>
            <w:r w:rsidR="008F4DEB" w:rsidRPr="00A2463A">
              <w:rPr>
                <w:iCs/>
                <w:szCs w:val="20"/>
              </w:rPr>
              <w:t xml:space="preserve"> </w:t>
            </w:r>
            <w:r w:rsidRPr="00A2463A">
              <w:rPr>
                <w:iCs/>
                <w:szCs w:val="20"/>
              </w:rPr>
              <w:t>$</w:t>
            </w:r>
            <w:r w:rsidR="00836BEA" w:rsidRPr="00CA6752">
              <w:rPr>
                <w:iCs/>
                <w:color w:val="000000"/>
                <w:spacing w:val="53"/>
                <w:szCs w:val="20"/>
                <w:shd w:val="solid" w:color="000000" w:fill="000000"/>
                <w:fitText w:val="330" w:id="-694428159"/>
                <w14:textFill>
                  <w14:solidFill>
                    <w14:srgbClr w14:val="000000">
                      <w14:alpha w14:val="100000"/>
                    </w14:srgbClr>
                  </w14:solidFill>
                </w14:textFill>
              </w:rPr>
              <w:t>|||</w:t>
            </w:r>
            <w:r w:rsidR="00836BEA" w:rsidRPr="00CA6752">
              <w:rPr>
                <w:iCs/>
                <w:color w:val="000000"/>
                <w:spacing w:val="1"/>
                <w:szCs w:val="20"/>
                <w:shd w:val="solid" w:color="000000" w:fill="000000"/>
                <w:fitText w:val="330" w:id="-694428159"/>
                <w14:textFill>
                  <w14:solidFill>
                    <w14:srgbClr w14:val="000000">
                      <w14:alpha w14:val="100000"/>
                    </w14:srgbClr>
                  </w14:solidFill>
                </w14:textFill>
              </w:rPr>
              <w:t>|</w:t>
            </w:r>
          </w:p>
        </w:tc>
        <w:tc>
          <w:tcPr>
            <w:tcW w:w="960" w:type="dxa"/>
            <w:vAlign w:val="center"/>
          </w:tcPr>
          <w:p w14:paraId="45CBDB9E" w14:textId="77777777" w:rsidR="00E03DF5" w:rsidRPr="0098262F" w:rsidRDefault="00E03DF5" w:rsidP="00975F44">
            <w:pPr>
              <w:keepLines/>
              <w:jc w:val="center"/>
              <w:rPr>
                <w:rFonts w:ascii="Arial Narrow" w:hAnsi="Arial Narrow"/>
                <w:sz w:val="20"/>
                <w:szCs w:val="20"/>
              </w:rPr>
            </w:pPr>
            <w:r>
              <w:rPr>
                <w:rFonts w:ascii="Arial Narrow" w:hAnsi="Arial Narrow"/>
                <w:sz w:val="20"/>
                <w:szCs w:val="20"/>
              </w:rPr>
              <w:t>1</w:t>
            </w:r>
          </w:p>
        </w:tc>
        <w:tc>
          <w:tcPr>
            <w:tcW w:w="960" w:type="dxa"/>
            <w:vAlign w:val="center"/>
          </w:tcPr>
          <w:p w14:paraId="38B50874" w14:textId="77777777" w:rsidR="00E03DF5" w:rsidRPr="0098262F" w:rsidRDefault="00E03DF5" w:rsidP="00975F44">
            <w:pPr>
              <w:keepLines/>
              <w:jc w:val="center"/>
              <w:rPr>
                <w:rFonts w:ascii="Arial Narrow" w:hAnsi="Arial Narrow"/>
                <w:sz w:val="20"/>
                <w:szCs w:val="20"/>
              </w:rPr>
            </w:pPr>
            <w:r>
              <w:rPr>
                <w:rFonts w:ascii="Arial Narrow" w:hAnsi="Arial Narrow"/>
                <w:sz w:val="20"/>
                <w:szCs w:val="20"/>
              </w:rPr>
              <w:t>2</w:t>
            </w:r>
          </w:p>
        </w:tc>
        <w:tc>
          <w:tcPr>
            <w:tcW w:w="720" w:type="dxa"/>
            <w:vAlign w:val="center"/>
          </w:tcPr>
          <w:p w14:paraId="14120BA2" w14:textId="77777777" w:rsidR="00E03DF5" w:rsidRPr="0098262F" w:rsidRDefault="00E03DF5" w:rsidP="00975F44">
            <w:pPr>
              <w:keepLines/>
              <w:jc w:val="center"/>
              <w:rPr>
                <w:rFonts w:ascii="Arial Narrow" w:hAnsi="Arial Narrow"/>
                <w:sz w:val="20"/>
                <w:szCs w:val="20"/>
              </w:rPr>
            </w:pPr>
            <w:r>
              <w:rPr>
                <w:rFonts w:ascii="Arial Narrow" w:hAnsi="Arial Narrow"/>
                <w:sz w:val="20"/>
                <w:szCs w:val="20"/>
              </w:rPr>
              <w:t>6</w:t>
            </w:r>
          </w:p>
        </w:tc>
        <w:tc>
          <w:tcPr>
            <w:tcW w:w="1150" w:type="dxa"/>
            <w:vAlign w:val="center"/>
          </w:tcPr>
          <w:p w14:paraId="1354EFE4" w14:textId="77777777" w:rsidR="00E03DF5" w:rsidRPr="0098262F" w:rsidRDefault="00E03DF5" w:rsidP="383E5602">
            <w:pPr>
              <w:keepLines/>
              <w:rPr>
                <w:rFonts w:ascii="Arial Narrow" w:hAnsi="Arial Narrow"/>
                <w:color w:val="0066FF"/>
                <w:sz w:val="20"/>
                <w:szCs w:val="20"/>
              </w:rPr>
            </w:pPr>
            <w:r w:rsidRPr="383E5602">
              <w:rPr>
                <w:rFonts w:ascii="Arial Narrow" w:hAnsi="Arial Narrow"/>
                <w:sz w:val="20"/>
                <w:szCs w:val="20"/>
              </w:rPr>
              <w:t>Yorvipath</w:t>
            </w:r>
          </w:p>
        </w:tc>
      </w:tr>
      <w:tr w:rsidR="00E03DF5" w:rsidRPr="0098262F" w14:paraId="32F1192F" w14:textId="77777777" w:rsidTr="383E5602">
        <w:trPr>
          <w:cantSplit/>
          <w:trHeight w:val="20"/>
        </w:trPr>
        <w:tc>
          <w:tcPr>
            <w:tcW w:w="3240" w:type="dxa"/>
            <w:gridSpan w:val="2"/>
          </w:tcPr>
          <w:p w14:paraId="6A4C40B1" w14:textId="413D813C" w:rsidR="00E03DF5" w:rsidRPr="00A06048" w:rsidRDefault="00E03DF5" w:rsidP="4D2BAA30">
            <w:pPr>
              <w:keepLines/>
              <w:jc w:val="left"/>
              <w:rPr>
                <w:rFonts w:ascii="Arial Narrow" w:hAnsi="Arial Narrow"/>
                <w:sz w:val="20"/>
                <w:szCs w:val="20"/>
              </w:rPr>
            </w:pPr>
            <w:r w:rsidRPr="4D2BAA30">
              <w:rPr>
                <w:rFonts w:ascii="Arial Narrow" w:hAnsi="Arial Narrow"/>
                <w:sz w:val="20"/>
                <w:szCs w:val="20"/>
              </w:rPr>
              <w:t>Palopegteriparatide 294 mcg/0.98 mL solution for injection,</w:t>
            </w:r>
            <w:r w:rsidR="00BD7481" w:rsidRPr="4D2BAA30">
              <w:rPr>
                <w:rFonts w:ascii="Arial Narrow" w:hAnsi="Arial Narrow"/>
                <w:sz w:val="20"/>
                <w:szCs w:val="20"/>
              </w:rPr>
              <w:t xml:space="preserve"> </w:t>
            </w:r>
            <w:r w:rsidRPr="4D2BAA30">
              <w:rPr>
                <w:rFonts w:ascii="Arial Narrow" w:hAnsi="Arial Narrow"/>
                <w:sz w:val="20"/>
                <w:szCs w:val="20"/>
              </w:rPr>
              <w:t>pre-filled pen</w:t>
            </w:r>
          </w:p>
        </w:tc>
        <w:tc>
          <w:tcPr>
            <w:tcW w:w="2040" w:type="dxa"/>
            <w:vAlign w:val="center"/>
          </w:tcPr>
          <w:p w14:paraId="2EB1B42B" w14:textId="29B2F4D0" w:rsidR="005E52D7" w:rsidRPr="00A2463A" w:rsidRDefault="00CE5165" w:rsidP="00975F44">
            <w:pPr>
              <w:pStyle w:val="Tabletext"/>
              <w:jc w:val="center"/>
              <w:rPr>
                <w:iCs/>
                <w:szCs w:val="20"/>
              </w:rPr>
            </w:pPr>
            <w:r w:rsidRPr="00A2463A">
              <w:rPr>
                <w:iCs/>
                <w:szCs w:val="20"/>
              </w:rPr>
              <w:t>Published:</w:t>
            </w:r>
            <w:r w:rsidR="008F4DEB" w:rsidRPr="00A2463A">
              <w:rPr>
                <w:iCs/>
                <w:szCs w:val="20"/>
              </w:rPr>
              <w:t xml:space="preserve"> </w:t>
            </w:r>
            <w:r w:rsidRPr="00A2463A">
              <w:rPr>
                <w:iCs/>
                <w:szCs w:val="20"/>
              </w:rPr>
              <w:t>$</w:t>
            </w:r>
            <w:r w:rsidR="00836BEA" w:rsidRPr="00CA6752">
              <w:rPr>
                <w:iCs/>
                <w:color w:val="000000"/>
                <w:spacing w:val="53"/>
                <w:szCs w:val="20"/>
                <w:shd w:val="solid" w:color="000000" w:fill="000000"/>
                <w:fitText w:val="330" w:id="-694428158"/>
                <w14:textFill>
                  <w14:solidFill>
                    <w14:srgbClr w14:val="000000">
                      <w14:alpha w14:val="100000"/>
                    </w14:srgbClr>
                  </w14:solidFill>
                </w14:textFill>
              </w:rPr>
              <w:t>|||</w:t>
            </w:r>
            <w:r w:rsidR="00836BEA" w:rsidRPr="00CA6752">
              <w:rPr>
                <w:iCs/>
                <w:color w:val="000000"/>
                <w:spacing w:val="1"/>
                <w:szCs w:val="20"/>
                <w:shd w:val="solid" w:color="000000" w:fill="000000"/>
                <w:fitText w:val="330" w:id="-694428158"/>
                <w14:textFill>
                  <w14:solidFill>
                    <w14:srgbClr w14:val="000000">
                      <w14:alpha w14:val="100000"/>
                    </w14:srgbClr>
                  </w14:solidFill>
                </w14:textFill>
              </w:rPr>
              <w:t>|</w:t>
            </w:r>
          </w:p>
          <w:p w14:paraId="552270FC" w14:textId="17A5F642" w:rsidR="00E03DF5" w:rsidRPr="00A2463A" w:rsidRDefault="00CE5165" w:rsidP="00975F44">
            <w:pPr>
              <w:pStyle w:val="Tabletext"/>
              <w:jc w:val="center"/>
              <w:rPr>
                <w:iCs/>
                <w:szCs w:val="20"/>
              </w:rPr>
            </w:pPr>
            <w:r w:rsidRPr="00A2463A">
              <w:rPr>
                <w:iCs/>
                <w:szCs w:val="20"/>
              </w:rPr>
              <w:t>Effective:</w:t>
            </w:r>
            <w:r w:rsidR="008F4DEB" w:rsidRPr="00A2463A">
              <w:rPr>
                <w:iCs/>
                <w:szCs w:val="20"/>
              </w:rPr>
              <w:t xml:space="preserve"> </w:t>
            </w:r>
            <w:r w:rsidRPr="00A2463A">
              <w:rPr>
                <w:iCs/>
                <w:szCs w:val="20"/>
              </w:rPr>
              <w:t>$</w:t>
            </w:r>
            <w:r w:rsidR="00836BEA" w:rsidRPr="00CA6752">
              <w:rPr>
                <w:iCs/>
                <w:color w:val="000000"/>
                <w:spacing w:val="53"/>
                <w:szCs w:val="20"/>
                <w:shd w:val="solid" w:color="000000" w:fill="000000"/>
                <w:fitText w:val="330" w:id="-694428157"/>
                <w14:textFill>
                  <w14:solidFill>
                    <w14:srgbClr w14:val="000000">
                      <w14:alpha w14:val="100000"/>
                    </w14:srgbClr>
                  </w14:solidFill>
                </w14:textFill>
              </w:rPr>
              <w:t>|||</w:t>
            </w:r>
            <w:r w:rsidR="00836BEA" w:rsidRPr="00CA6752">
              <w:rPr>
                <w:iCs/>
                <w:color w:val="000000"/>
                <w:spacing w:val="1"/>
                <w:szCs w:val="20"/>
                <w:shd w:val="solid" w:color="000000" w:fill="000000"/>
                <w:fitText w:val="330" w:id="-694428157"/>
                <w14:textFill>
                  <w14:solidFill>
                    <w14:srgbClr w14:val="000000">
                      <w14:alpha w14:val="100000"/>
                    </w14:srgbClr>
                  </w14:solidFill>
                </w14:textFill>
              </w:rPr>
              <w:t>|</w:t>
            </w:r>
          </w:p>
        </w:tc>
        <w:tc>
          <w:tcPr>
            <w:tcW w:w="960" w:type="dxa"/>
            <w:vAlign w:val="center"/>
          </w:tcPr>
          <w:p w14:paraId="255557E1" w14:textId="77777777" w:rsidR="00E03DF5" w:rsidRPr="0098262F" w:rsidRDefault="00E03DF5" w:rsidP="00975F44">
            <w:pPr>
              <w:keepLines/>
              <w:jc w:val="center"/>
              <w:rPr>
                <w:rFonts w:ascii="Arial Narrow" w:hAnsi="Arial Narrow"/>
                <w:sz w:val="20"/>
                <w:szCs w:val="20"/>
              </w:rPr>
            </w:pPr>
            <w:r>
              <w:rPr>
                <w:rFonts w:ascii="Arial Narrow" w:hAnsi="Arial Narrow"/>
                <w:sz w:val="20"/>
                <w:szCs w:val="20"/>
              </w:rPr>
              <w:t>1</w:t>
            </w:r>
          </w:p>
        </w:tc>
        <w:tc>
          <w:tcPr>
            <w:tcW w:w="960" w:type="dxa"/>
            <w:vAlign w:val="center"/>
          </w:tcPr>
          <w:p w14:paraId="56190E88" w14:textId="77777777" w:rsidR="00E03DF5" w:rsidRPr="0098262F" w:rsidRDefault="00E03DF5" w:rsidP="00975F44">
            <w:pPr>
              <w:keepLines/>
              <w:jc w:val="center"/>
              <w:rPr>
                <w:rFonts w:ascii="Arial Narrow" w:hAnsi="Arial Narrow"/>
                <w:sz w:val="20"/>
                <w:szCs w:val="20"/>
              </w:rPr>
            </w:pPr>
            <w:r>
              <w:rPr>
                <w:rFonts w:ascii="Arial Narrow" w:hAnsi="Arial Narrow"/>
                <w:sz w:val="20"/>
                <w:szCs w:val="20"/>
              </w:rPr>
              <w:t>2</w:t>
            </w:r>
          </w:p>
        </w:tc>
        <w:tc>
          <w:tcPr>
            <w:tcW w:w="720" w:type="dxa"/>
            <w:vAlign w:val="center"/>
          </w:tcPr>
          <w:p w14:paraId="1A4F4F4D" w14:textId="77777777" w:rsidR="00E03DF5" w:rsidRPr="0098262F" w:rsidRDefault="00E03DF5" w:rsidP="00975F44">
            <w:pPr>
              <w:keepLines/>
              <w:jc w:val="center"/>
              <w:rPr>
                <w:rFonts w:ascii="Arial Narrow" w:hAnsi="Arial Narrow"/>
                <w:sz w:val="20"/>
                <w:szCs w:val="20"/>
              </w:rPr>
            </w:pPr>
            <w:r>
              <w:rPr>
                <w:rFonts w:ascii="Arial Narrow" w:hAnsi="Arial Narrow"/>
                <w:sz w:val="20"/>
                <w:szCs w:val="20"/>
              </w:rPr>
              <w:t>6</w:t>
            </w:r>
          </w:p>
        </w:tc>
        <w:tc>
          <w:tcPr>
            <w:tcW w:w="1150" w:type="dxa"/>
            <w:vAlign w:val="center"/>
          </w:tcPr>
          <w:p w14:paraId="6FA1F2EB" w14:textId="77777777" w:rsidR="00E03DF5" w:rsidRPr="0098262F" w:rsidRDefault="00E03DF5" w:rsidP="383E5602">
            <w:pPr>
              <w:keepLines/>
              <w:rPr>
                <w:rFonts w:ascii="Arial Narrow" w:hAnsi="Arial Narrow"/>
                <w:color w:val="0066FF"/>
                <w:sz w:val="20"/>
                <w:szCs w:val="20"/>
              </w:rPr>
            </w:pPr>
            <w:r w:rsidRPr="383E5602">
              <w:rPr>
                <w:rFonts w:ascii="Arial Narrow" w:hAnsi="Arial Narrow"/>
                <w:sz w:val="20"/>
                <w:szCs w:val="20"/>
              </w:rPr>
              <w:t>Yorvipath</w:t>
            </w:r>
          </w:p>
        </w:tc>
      </w:tr>
      <w:tr w:rsidR="00E03DF5" w:rsidRPr="0098262F" w14:paraId="20332C39" w14:textId="77777777" w:rsidTr="00A2463A">
        <w:trPr>
          <w:cantSplit/>
          <w:trHeight w:val="421"/>
        </w:trPr>
        <w:tc>
          <w:tcPr>
            <w:tcW w:w="3240" w:type="dxa"/>
            <w:gridSpan w:val="2"/>
          </w:tcPr>
          <w:p w14:paraId="07D2FC69" w14:textId="06A12C14" w:rsidR="00E03DF5" w:rsidRPr="00A06048" w:rsidRDefault="00E03DF5" w:rsidP="4D2BAA30">
            <w:pPr>
              <w:keepLines/>
              <w:jc w:val="left"/>
              <w:rPr>
                <w:rFonts w:ascii="Arial Narrow" w:hAnsi="Arial Narrow"/>
                <w:sz w:val="20"/>
                <w:szCs w:val="20"/>
              </w:rPr>
            </w:pPr>
            <w:r w:rsidRPr="4D2BAA30">
              <w:rPr>
                <w:rFonts w:ascii="Arial Narrow" w:hAnsi="Arial Narrow"/>
                <w:sz w:val="20"/>
                <w:szCs w:val="20"/>
              </w:rPr>
              <w:t>Palopegteriparatide 420 mcg/1.4 mL solution for injection,</w:t>
            </w:r>
            <w:r w:rsidR="00BD7481" w:rsidRPr="4D2BAA30">
              <w:rPr>
                <w:rFonts w:ascii="Arial Narrow" w:hAnsi="Arial Narrow"/>
                <w:sz w:val="20"/>
                <w:szCs w:val="20"/>
              </w:rPr>
              <w:t xml:space="preserve"> </w:t>
            </w:r>
            <w:r w:rsidRPr="4D2BAA30">
              <w:rPr>
                <w:rFonts w:ascii="Arial Narrow" w:hAnsi="Arial Narrow"/>
                <w:sz w:val="20"/>
                <w:szCs w:val="20"/>
              </w:rPr>
              <w:t>pre-filled pen</w:t>
            </w:r>
          </w:p>
        </w:tc>
        <w:tc>
          <w:tcPr>
            <w:tcW w:w="2040" w:type="dxa"/>
            <w:vAlign w:val="center"/>
          </w:tcPr>
          <w:p w14:paraId="563B1C26" w14:textId="7064C13F" w:rsidR="005E52D7" w:rsidRPr="00A2463A" w:rsidRDefault="00CE5165" w:rsidP="00975F44">
            <w:pPr>
              <w:pStyle w:val="Tabletext"/>
              <w:jc w:val="center"/>
              <w:rPr>
                <w:iCs/>
                <w:szCs w:val="20"/>
              </w:rPr>
            </w:pPr>
            <w:r w:rsidRPr="00A2463A">
              <w:rPr>
                <w:iCs/>
                <w:szCs w:val="20"/>
              </w:rPr>
              <w:t>Published:</w:t>
            </w:r>
            <w:r w:rsidR="008F4DEB" w:rsidRPr="00A2463A">
              <w:rPr>
                <w:iCs/>
                <w:szCs w:val="20"/>
              </w:rPr>
              <w:t xml:space="preserve"> </w:t>
            </w:r>
            <w:r w:rsidRPr="00A2463A">
              <w:rPr>
                <w:iCs/>
                <w:szCs w:val="20"/>
              </w:rPr>
              <w:t>$</w:t>
            </w:r>
            <w:r w:rsidR="00836BEA" w:rsidRPr="00836BEA">
              <w:rPr>
                <w:iCs/>
                <w:color w:val="000000"/>
                <w:spacing w:val="53"/>
                <w:szCs w:val="20"/>
                <w:shd w:val="solid" w:color="000000" w:fill="000000"/>
                <w:fitText w:val="330" w:id="-694428156"/>
                <w14:textFill>
                  <w14:solidFill>
                    <w14:srgbClr w14:val="000000">
                      <w14:alpha w14:val="100000"/>
                    </w14:srgbClr>
                  </w14:solidFill>
                </w14:textFill>
              </w:rPr>
              <w:t>|||</w:t>
            </w:r>
            <w:r w:rsidR="00836BEA" w:rsidRPr="00836BEA">
              <w:rPr>
                <w:iCs/>
                <w:color w:val="000000"/>
                <w:spacing w:val="1"/>
                <w:szCs w:val="20"/>
                <w:shd w:val="solid" w:color="000000" w:fill="000000"/>
                <w:fitText w:val="330" w:id="-694428156"/>
                <w14:textFill>
                  <w14:solidFill>
                    <w14:srgbClr w14:val="000000">
                      <w14:alpha w14:val="100000"/>
                    </w14:srgbClr>
                  </w14:solidFill>
                </w14:textFill>
              </w:rPr>
              <w:t>|</w:t>
            </w:r>
          </w:p>
          <w:p w14:paraId="1557F136" w14:textId="49B4E191" w:rsidR="00E03DF5" w:rsidRPr="00A2463A" w:rsidRDefault="00CE5165" w:rsidP="00975F44">
            <w:pPr>
              <w:pStyle w:val="Tabletext"/>
              <w:jc w:val="center"/>
              <w:rPr>
                <w:iCs/>
                <w:szCs w:val="20"/>
              </w:rPr>
            </w:pPr>
            <w:r w:rsidRPr="00A2463A">
              <w:rPr>
                <w:iCs/>
                <w:szCs w:val="20"/>
              </w:rPr>
              <w:t>Effective:</w:t>
            </w:r>
            <w:r w:rsidR="008F4DEB" w:rsidRPr="00A2463A">
              <w:rPr>
                <w:iCs/>
                <w:szCs w:val="20"/>
              </w:rPr>
              <w:t xml:space="preserve"> </w:t>
            </w:r>
            <w:r w:rsidRPr="00A2463A">
              <w:rPr>
                <w:iCs/>
                <w:szCs w:val="20"/>
              </w:rPr>
              <w:t>$</w:t>
            </w:r>
            <w:r w:rsidR="00836BEA" w:rsidRPr="00CA6752">
              <w:rPr>
                <w:iCs/>
                <w:color w:val="000000"/>
                <w:spacing w:val="53"/>
                <w:szCs w:val="20"/>
                <w:shd w:val="solid" w:color="000000" w:fill="000000"/>
                <w:fitText w:val="330" w:id="-694428155"/>
                <w14:textFill>
                  <w14:solidFill>
                    <w14:srgbClr w14:val="000000">
                      <w14:alpha w14:val="100000"/>
                    </w14:srgbClr>
                  </w14:solidFill>
                </w14:textFill>
              </w:rPr>
              <w:t>|||</w:t>
            </w:r>
            <w:r w:rsidR="00836BEA" w:rsidRPr="00CA6752">
              <w:rPr>
                <w:iCs/>
                <w:color w:val="000000"/>
                <w:spacing w:val="1"/>
                <w:szCs w:val="20"/>
                <w:shd w:val="solid" w:color="000000" w:fill="000000"/>
                <w:fitText w:val="330" w:id="-694428155"/>
                <w14:textFill>
                  <w14:solidFill>
                    <w14:srgbClr w14:val="000000">
                      <w14:alpha w14:val="100000"/>
                    </w14:srgbClr>
                  </w14:solidFill>
                </w14:textFill>
              </w:rPr>
              <w:t>|</w:t>
            </w:r>
          </w:p>
        </w:tc>
        <w:tc>
          <w:tcPr>
            <w:tcW w:w="960" w:type="dxa"/>
            <w:vAlign w:val="center"/>
          </w:tcPr>
          <w:p w14:paraId="69CD643B" w14:textId="77777777" w:rsidR="00E03DF5" w:rsidRPr="0098262F" w:rsidRDefault="00E03DF5" w:rsidP="00975F44">
            <w:pPr>
              <w:keepNext/>
              <w:jc w:val="center"/>
              <w:rPr>
                <w:rFonts w:ascii="Arial Narrow" w:hAnsi="Arial Narrow"/>
                <w:sz w:val="20"/>
                <w:szCs w:val="20"/>
              </w:rPr>
            </w:pPr>
            <w:r>
              <w:rPr>
                <w:rFonts w:ascii="Arial Narrow" w:hAnsi="Arial Narrow"/>
                <w:sz w:val="20"/>
                <w:szCs w:val="20"/>
              </w:rPr>
              <w:t>1</w:t>
            </w:r>
          </w:p>
        </w:tc>
        <w:tc>
          <w:tcPr>
            <w:tcW w:w="960" w:type="dxa"/>
            <w:vAlign w:val="center"/>
          </w:tcPr>
          <w:p w14:paraId="078B0D72" w14:textId="77777777" w:rsidR="00E03DF5" w:rsidRPr="0098262F" w:rsidRDefault="00E03DF5" w:rsidP="00975F44">
            <w:pPr>
              <w:keepNext/>
              <w:jc w:val="center"/>
              <w:rPr>
                <w:rFonts w:ascii="Arial Narrow" w:hAnsi="Arial Narrow"/>
                <w:sz w:val="20"/>
                <w:szCs w:val="20"/>
              </w:rPr>
            </w:pPr>
            <w:r>
              <w:rPr>
                <w:rFonts w:ascii="Arial Narrow" w:hAnsi="Arial Narrow"/>
                <w:sz w:val="20"/>
                <w:szCs w:val="20"/>
              </w:rPr>
              <w:t>2</w:t>
            </w:r>
          </w:p>
        </w:tc>
        <w:tc>
          <w:tcPr>
            <w:tcW w:w="720" w:type="dxa"/>
            <w:vAlign w:val="center"/>
          </w:tcPr>
          <w:p w14:paraId="7C8F7200" w14:textId="77777777" w:rsidR="00E03DF5" w:rsidRPr="0098262F" w:rsidRDefault="00E03DF5" w:rsidP="00975F44">
            <w:pPr>
              <w:keepNext/>
              <w:jc w:val="center"/>
              <w:rPr>
                <w:rFonts w:ascii="Arial Narrow" w:hAnsi="Arial Narrow"/>
                <w:sz w:val="20"/>
                <w:szCs w:val="20"/>
              </w:rPr>
            </w:pPr>
            <w:r>
              <w:rPr>
                <w:rFonts w:ascii="Arial Narrow" w:hAnsi="Arial Narrow"/>
                <w:sz w:val="20"/>
                <w:szCs w:val="20"/>
              </w:rPr>
              <w:t>6</w:t>
            </w:r>
          </w:p>
        </w:tc>
        <w:tc>
          <w:tcPr>
            <w:tcW w:w="1150" w:type="dxa"/>
            <w:vAlign w:val="center"/>
          </w:tcPr>
          <w:p w14:paraId="261574EB" w14:textId="77777777" w:rsidR="00E03DF5" w:rsidRPr="0098262F" w:rsidRDefault="00E03DF5" w:rsidP="383E5602">
            <w:pPr>
              <w:keepNext/>
              <w:jc w:val="left"/>
              <w:rPr>
                <w:rFonts w:ascii="Arial Narrow" w:hAnsi="Arial Narrow"/>
                <w:sz w:val="20"/>
                <w:szCs w:val="20"/>
              </w:rPr>
            </w:pPr>
            <w:r w:rsidRPr="383E5602">
              <w:rPr>
                <w:rFonts w:ascii="Arial Narrow" w:hAnsi="Arial Narrow"/>
                <w:sz w:val="20"/>
                <w:szCs w:val="20"/>
              </w:rPr>
              <w:t>Yorvipath</w:t>
            </w:r>
          </w:p>
        </w:tc>
      </w:tr>
      <w:bookmarkEnd w:id="10"/>
      <w:tr w:rsidR="00E03DF5" w14:paraId="507BDD52"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439CE" w14:textId="77777777" w:rsidR="00E03DF5" w:rsidRDefault="00E03DF5" w:rsidP="00DF3913">
            <w:pPr>
              <w:pStyle w:val="TableParagraph"/>
              <w:spacing w:line="229" w:lineRule="exact"/>
              <w:rPr>
                <w:b/>
                <w:sz w:val="20"/>
              </w:rPr>
            </w:pPr>
            <w:proofErr w:type="spellStart"/>
            <w:r>
              <w:rPr>
                <w:b/>
                <w:spacing w:val="-2"/>
                <w:sz w:val="20"/>
              </w:rPr>
              <w:t>Episodicity</w:t>
            </w:r>
            <w:proofErr w:type="spellEnd"/>
            <w:r>
              <w:rPr>
                <w:b/>
                <w:spacing w:val="-2"/>
                <w:sz w:val="20"/>
              </w:rPr>
              <w:t>:</w:t>
            </w: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8F64" w14:textId="77777777" w:rsidR="00E03DF5" w:rsidRDefault="00E03DF5" w:rsidP="00DF3913">
            <w:pPr>
              <w:pStyle w:val="TableParagraph"/>
              <w:spacing w:line="229" w:lineRule="exact"/>
              <w:ind w:left="105"/>
              <w:rPr>
                <w:sz w:val="20"/>
              </w:rPr>
            </w:pPr>
            <w:r>
              <w:rPr>
                <w:spacing w:val="-2"/>
                <w:sz w:val="20"/>
              </w:rPr>
              <w:t>Chronic</w:t>
            </w:r>
          </w:p>
        </w:tc>
      </w:tr>
      <w:tr w:rsidR="00E03DF5" w14:paraId="676307FB"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34"/>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68581" w14:textId="77777777" w:rsidR="00E03DF5" w:rsidRDefault="00E03DF5" w:rsidP="00DF3913">
            <w:pPr>
              <w:pStyle w:val="TableParagraph"/>
              <w:spacing w:line="229" w:lineRule="exact"/>
              <w:rPr>
                <w:b/>
                <w:sz w:val="20"/>
              </w:rPr>
            </w:pPr>
            <w:r>
              <w:rPr>
                <w:b/>
                <w:spacing w:val="-2"/>
                <w:sz w:val="20"/>
              </w:rPr>
              <w:t>Severity:</w:t>
            </w: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C833A" w14:textId="77777777" w:rsidR="00E03DF5" w:rsidRDefault="00E03DF5" w:rsidP="00DF3913">
            <w:pPr>
              <w:pStyle w:val="TableParagraph"/>
              <w:spacing w:line="229" w:lineRule="exact"/>
              <w:ind w:left="105"/>
              <w:rPr>
                <w:sz w:val="20"/>
              </w:rPr>
            </w:pPr>
            <w:r>
              <w:rPr>
                <w:spacing w:val="-10"/>
                <w:sz w:val="20"/>
              </w:rPr>
              <w:t>–</w:t>
            </w:r>
          </w:p>
        </w:tc>
      </w:tr>
      <w:tr w:rsidR="00E03DF5" w14:paraId="378186FF"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62610" w14:textId="77777777" w:rsidR="00E03DF5" w:rsidRDefault="00E03DF5" w:rsidP="00DF3913">
            <w:pPr>
              <w:pStyle w:val="TableParagraph"/>
              <w:spacing w:line="229" w:lineRule="exact"/>
              <w:rPr>
                <w:b/>
                <w:sz w:val="20"/>
              </w:rPr>
            </w:pPr>
            <w:r>
              <w:rPr>
                <w:b/>
                <w:spacing w:val="-2"/>
                <w:sz w:val="20"/>
              </w:rPr>
              <w:t>Condition:</w:t>
            </w: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F13A6" w14:textId="77777777" w:rsidR="00E03DF5" w:rsidRDefault="00E03DF5" w:rsidP="00DF3913">
            <w:pPr>
              <w:pStyle w:val="TableParagraph"/>
              <w:spacing w:line="229" w:lineRule="exact"/>
              <w:ind w:left="105"/>
              <w:rPr>
                <w:sz w:val="20"/>
              </w:rPr>
            </w:pPr>
            <w:r>
              <w:rPr>
                <w:spacing w:val="-2"/>
                <w:sz w:val="20"/>
              </w:rPr>
              <w:t>Hypoparathyroidism</w:t>
            </w:r>
          </w:p>
        </w:tc>
      </w:tr>
      <w:tr w:rsidR="00E03DF5" w14:paraId="41C7BED8"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4A73F" w14:textId="77777777" w:rsidR="00E03DF5" w:rsidRDefault="00E03DF5" w:rsidP="00DF3913">
            <w:pPr>
              <w:pStyle w:val="TableParagraph"/>
              <w:spacing w:line="229" w:lineRule="exact"/>
              <w:rPr>
                <w:b/>
                <w:sz w:val="20"/>
              </w:rPr>
            </w:pPr>
            <w:r>
              <w:rPr>
                <w:b/>
                <w:sz w:val="20"/>
              </w:rPr>
              <w:t>PBS</w:t>
            </w:r>
            <w:r>
              <w:rPr>
                <w:b/>
                <w:spacing w:val="-7"/>
                <w:sz w:val="20"/>
              </w:rPr>
              <w:t xml:space="preserve"> </w:t>
            </w:r>
            <w:r>
              <w:rPr>
                <w:b/>
                <w:spacing w:val="-2"/>
                <w:sz w:val="20"/>
              </w:rPr>
              <w:t>indication:</w:t>
            </w: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1138C" w14:textId="77777777" w:rsidR="00E03DF5" w:rsidRDefault="00E03DF5" w:rsidP="00DF3913">
            <w:pPr>
              <w:pStyle w:val="TableParagraph"/>
              <w:spacing w:line="229" w:lineRule="exact"/>
              <w:ind w:left="105"/>
              <w:rPr>
                <w:sz w:val="20"/>
              </w:rPr>
            </w:pPr>
            <w:r>
              <w:rPr>
                <w:sz w:val="20"/>
              </w:rPr>
              <w:t>Patients</w:t>
            </w:r>
            <w:r>
              <w:rPr>
                <w:spacing w:val="-10"/>
                <w:sz w:val="20"/>
              </w:rPr>
              <w:t xml:space="preserve"> </w:t>
            </w:r>
            <w:r>
              <w:rPr>
                <w:sz w:val="20"/>
              </w:rPr>
              <w:t>with</w:t>
            </w:r>
            <w:r>
              <w:rPr>
                <w:spacing w:val="-9"/>
                <w:sz w:val="20"/>
              </w:rPr>
              <w:t xml:space="preserve"> </w:t>
            </w:r>
            <w:r>
              <w:rPr>
                <w:spacing w:val="-2"/>
                <w:sz w:val="20"/>
              </w:rPr>
              <w:t>hypoparathyroidism</w:t>
            </w:r>
          </w:p>
        </w:tc>
      </w:tr>
      <w:tr w:rsidR="00E03DF5" w14:paraId="4CC5E69D"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14E45" w14:textId="77777777" w:rsidR="00E03DF5" w:rsidRDefault="00E03DF5" w:rsidP="00DF3913">
            <w:pPr>
              <w:pStyle w:val="TableParagraph"/>
              <w:spacing w:line="227" w:lineRule="exact"/>
              <w:rPr>
                <w:b/>
                <w:sz w:val="20"/>
              </w:rPr>
            </w:pPr>
            <w:r>
              <w:rPr>
                <w:b/>
                <w:sz w:val="20"/>
              </w:rPr>
              <w:t>Treatment</w:t>
            </w:r>
            <w:r>
              <w:rPr>
                <w:b/>
                <w:spacing w:val="-8"/>
                <w:sz w:val="20"/>
              </w:rPr>
              <w:t xml:space="preserve"> </w:t>
            </w:r>
            <w:r>
              <w:rPr>
                <w:b/>
                <w:spacing w:val="-2"/>
                <w:sz w:val="20"/>
              </w:rPr>
              <w:t>phase:</w:t>
            </w: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472D4" w14:textId="05BCF02D" w:rsidR="00E03DF5" w:rsidRDefault="002F4726" w:rsidP="00DF3913">
            <w:pPr>
              <w:pStyle w:val="TableParagraph"/>
              <w:spacing w:line="227" w:lineRule="exact"/>
              <w:ind w:left="105"/>
              <w:rPr>
                <w:sz w:val="20"/>
              </w:rPr>
            </w:pPr>
            <w:r>
              <w:rPr>
                <w:sz w:val="20"/>
              </w:rPr>
              <w:t>I</w:t>
            </w:r>
            <w:r w:rsidR="00E03DF5">
              <w:rPr>
                <w:sz w:val="20"/>
              </w:rPr>
              <w:t>nitial</w:t>
            </w:r>
            <w:r w:rsidR="00E03DF5">
              <w:rPr>
                <w:spacing w:val="-10"/>
                <w:sz w:val="20"/>
              </w:rPr>
              <w:t xml:space="preserve"> </w:t>
            </w:r>
            <w:r w:rsidR="00E03DF5">
              <w:rPr>
                <w:spacing w:val="-2"/>
                <w:sz w:val="20"/>
              </w:rPr>
              <w:t>treatment</w:t>
            </w:r>
          </w:p>
        </w:tc>
      </w:tr>
      <w:tr w:rsidR="00E03DF5" w14:paraId="7817CF0B" w14:textId="77777777" w:rsidTr="00602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4"/>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C5337" w14:textId="4172C69F" w:rsidR="00E03DF5" w:rsidRPr="004A1ED8" w:rsidRDefault="00E03DF5" w:rsidP="004A1ED8">
            <w:pPr>
              <w:pStyle w:val="TableParagraph"/>
              <w:spacing w:line="240" w:lineRule="auto"/>
              <w:rPr>
                <w:b/>
                <w:sz w:val="20"/>
              </w:rPr>
            </w:pPr>
            <w:r>
              <w:rPr>
                <w:b/>
                <w:spacing w:val="-2"/>
                <w:sz w:val="20"/>
              </w:rPr>
              <w:t>Restriction:</w:t>
            </w: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F8B82" w14:textId="10AE0BB7" w:rsidR="002C7C87" w:rsidRPr="004A1ED8" w:rsidRDefault="002F4726" w:rsidP="004A1ED8">
            <w:pPr>
              <w:jc w:val="left"/>
              <w:rPr>
                <w:rFonts w:ascii="Arial Narrow" w:eastAsia="Arial Narrow" w:hAnsi="Arial Narrow" w:cs="Arial Narrow"/>
                <w:sz w:val="20"/>
                <w:szCs w:val="22"/>
                <w:lang w:val="en-US" w:eastAsia="en-US"/>
              </w:rPr>
            </w:pPr>
            <w:r>
              <w:rPr>
                <w:rFonts w:ascii="MS Gothic" w:eastAsia="MS Gothic" w:hAnsi="MS Gothic" w:hint="eastAsia"/>
              </w:rPr>
              <w:t>☒</w:t>
            </w:r>
            <w:r w:rsidR="00E03DF5" w:rsidRPr="002C7C87">
              <w:rPr>
                <w:rFonts w:ascii="Arial Narrow" w:eastAsia="Arial Narrow" w:hAnsi="Arial Narrow" w:cs="Arial Narrow"/>
                <w:sz w:val="20"/>
                <w:szCs w:val="22"/>
                <w:lang w:val="en-US" w:eastAsia="en-US"/>
              </w:rPr>
              <w:t>Authority Required –</w:t>
            </w:r>
            <w:r w:rsidR="002C7C87">
              <w:rPr>
                <w:rFonts w:ascii="Arial Narrow" w:eastAsia="Arial Narrow" w:hAnsi="Arial Narrow" w:cs="Arial Narrow"/>
                <w:sz w:val="20"/>
                <w:szCs w:val="22"/>
                <w:lang w:val="en-US" w:eastAsia="en-US"/>
              </w:rPr>
              <w:t>Telephon</w:t>
            </w:r>
            <w:r w:rsidR="004A1ED8">
              <w:rPr>
                <w:rFonts w:ascii="Arial Narrow" w:eastAsia="Arial Narrow" w:hAnsi="Arial Narrow" w:cs="Arial Narrow"/>
                <w:sz w:val="20"/>
                <w:szCs w:val="22"/>
                <w:lang w:val="en-US" w:eastAsia="en-US"/>
              </w:rPr>
              <w:t>e</w:t>
            </w:r>
          </w:p>
        </w:tc>
      </w:tr>
      <w:tr w:rsidR="00E03DF5" w14:paraId="055E8A39"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ECA83" w14:textId="77777777" w:rsidR="00E03DF5" w:rsidRDefault="00E03DF5" w:rsidP="00DF3913">
            <w:pPr>
              <w:pStyle w:val="TableParagraph"/>
              <w:spacing w:line="227" w:lineRule="exact"/>
              <w:rPr>
                <w:b/>
                <w:sz w:val="20"/>
              </w:rPr>
            </w:pPr>
            <w:r>
              <w:rPr>
                <w:b/>
                <w:sz w:val="20"/>
              </w:rPr>
              <w:t>Treatment</w:t>
            </w:r>
            <w:r>
              <w:rPr>
                <w:b/>
                <w:spacing w:val="-7"/>
                <w:sz w:val="20"/>
              </w:rPr>
              <w:t xml:space="preserve"> </w:t>
            </w:r>
            <w:r>
              <w:rPr>
                <w:b/>
                <w:spacing w:val="-2"/>
                <w:sz w:val="20"/>
              </w:rPr>
              <w:t>criteria:</w:t>
            </w: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BE49F" w14:textId="77777777" w:rsidR="00E03DF5" w:rsidRDefault="00E03DF5" w:rsidP="00DF3913">
            <w:pPr>
              <w:pStyle w:val="TableParagraph"/>
              <w:spacing w:line="227" w:lineRule="exact"/>
              <w:ind w:left="105"/>
              <w:rPr>
                <w:sz w:val="20"/>
              </w:rPr>
            </w:pPr>
            <w:r>
              <w:rPr>
                <w:sz w:val="20"/>
              </w:rPr>
              <w:t>Must</w:t>
            </w:r>
            <w:r>
              <w:rPr>
                <w:spacing w:val="-4"/>
                <w:sz w:val="20"/>
              </w:rPr>
              <w:t xml:space="preserve"> </w:t>
            </w:r>
            <w:r>
              <w:rPr>
                <w:sz w:val="20"/>
              </w:rPr>
              <w:t>be</w:t>
            </w:r>
            <w:r>
              <w:rPr>
                <w:spacing w:val="-4"/>
                <w:sz w:val="20"/>
              </w:rPr>
              <w:t xml:space="preserve"> </w:t>
            </w:r>
            <w:r>
              <w:rPr>
                <w:sz w:val="20"/>
              </w:rPr>
              <w:t>treated</w:t>
            </w:r>
            <w:r>
              <w:rPr>
                <w:spacing w:val="-4"/>
                <w:sz w:val="20"/>
              </w:rPr>
              <w:t xml:space="preserve"> </w:t>
            </w:r>
            <w:r>
              <w:rPr>
                <w:sz w:val="20"/>
              </w:rPr>
              <w:t>by</w:t>
            </w:r>
            <w:r>
              <w:rPr>
                <w:spacing w:val="-4"/>
                <w:sz w:val="20"/>
              </w:rPr>
              <w:t xml:space="preserve"> </w:t>
            </w:r>
            <w:r>
              <w:rPr>
                <w:sz w:val="20"/>
              </w:rPr>
              <w:t>an</w:t>
            </w:r>
            <w:r>
              <w:rPr>
                <w:spacing w:val="-4"/>
                <w:sz w:val="20"/>
              </w:rPr>
              <w:t xml:space="preserve"> </w:t>
            </w:r>
            <w:r>
              <w:rPr>
                <w:spacing w:val="-2"/>
                <w:sz w:val="20"/>
              </w:rPr>
              <w:t>endocrinologist</w:t>
            </w:r>
          </w:p>
        </w:tc>
      </w:tr>
      <w:tr w:rsidR="00E03DF5" w14:paraId="4B7C1AED"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70"/>
        </w:trPr>
        <w:tc>
          <w:tcPr>
            <w:tcW w:w="1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953BF" w14:textId="77777777" w:rsidR="00E03DF5" w:rsidRDefault="00E03DF5" w:rsidP="00DF3913">
            <w:pPr>
              <w:pStyle w:val="TableParagraph"/>
              <w:spacing w:line="229" w:lineRule="exact"/>
              <w:rPr>
                <w:b/>
                <w:sz w:val="20"/>
              </w:rPr>
            </w:pPr>
            <w:r>
              <w:rPr>
                <w:b/>
                <w:sz w:val="20"/>
              </w:rPr>
              <w:t>Clinical</w:t>
            </w:r>
            <w:r>
              <w:rPr>
                <w:b/>
                <w:spacing w:val="-9"/>
                <w:sz w:val="20"/>
              </w:rPr>
              <w:t xml:space="preserve"> </w:t>
            </w:r>
            <w:r>
              <w:rPr>
                <w:b/>
                <w:spacing w:val="-2"/>
                <w:sz w:val="20"/>
              </w:rPr>
              <w:t>criteria:</w:t>
            </w: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E9238" w14:textId="496DC518" w:rsidR="00E03DF5" w:rsidRDefault="00E03DF5" w:rsidP="00DF3913">
            <w:pPr>
              <w:pStyle w:val="TableParagraph"/>
              <w:spacing w:line="240" w:lineRule="auto"/>
              <w:ind w:left="105"/>
              <w:rPr>
                <w:sz w:val="20"/>
                <w:szCs w:val="20"/>
              </w:rPr>
            </w:pPr>
            <w:proofErr w:type="gramStart"/>
            <w:r w:rsidRPr="70F671B8">
              <w:rPr>
                <w:sz w:val="20"/>
                <w:szCs w:val="20"/>
              </w:rPr>
              <w:t>Patient</w:t>
            </w:r>
            <w:proofErr w:type="gramEnd"/>
            <w:r w:rsidRPr="70F671B8">
              <w:rPr>
                <w:sz w:val="20"/>
                <w:szCs w:val="20"/>
              </w:rPr>
              <w:t xml:space="preserve"> must have been diagnosed with chronic hypoparathyroidism due to postsurgical, auto-immune, genetic, or idiopathic causes for (&gt; 12 months), established based on presence of persistent </w:t>
            </w:r>
            <w:proofErr w:type="spellStart"/>
            <w:r w:rsidRPr="70F671B8">
              <w:rPr>
                <w:sz w:val="20"/>
                <w:szCs w:val="20"/>
              </w:rPr>
              <w:t>hypocalcaemia</w:t>
            </w:r>
            <w:proofErr w:type="spellEnd"/>
            <w:r w:rsidRPr="70F671B8">
              <w:rPr>
                <w:sz w:val="20"/>
                <w:szCs w:val="20"/>
              </w:rPr>
              <w:t xml:space="preserve"> in the setting of inappropriately</w:t>
            </w:r>
            <w:r w:rsidRPr="70F671B8">
              <w:rPr>
                <w:spacing w:val="-6"/>
                <w:sz w:val="20"/>
                <w:szCs w:val="20"/>
              </w:rPr>
              <w:t xml:space="preserve"> </w:t>
            </w:r>
            <w:r w:rsidRPr="70F671B8">
              <w:rPr>
                <w:sz w:val="20"/>
                <w:szCs w:val="20"/>
              </w:rPr>
              <w:t>low</w:t>
            </w:r>
            <w:r w:rsidRPr="70F671B8">
              <w:rPr>
                <w:spacing w:val="-6"/>
                <w:sz w:val="20"/>
                <w:szCs w:val="20"/>
              </w:rPr>
              <w:t xml:space="preserve"> </w:t>
            </w:r>
            <w:r w:rsidRPr="70F671B8">
              <w:rPr>
                <w:sz w:val="20"/>
                <w:szCs w:val="20"/>
              </w:rPr>
              <w:t>serum</w:t>
            </w:r>
            <w:r w:rsidRPr="70F671B8">
              <w:rPr>
                <w:spacing w:val="-5"/>
                <w:sz w:val="20"/>
                <w:szCs w:val="20"/>
              </w:rPr>
              <w:t xml:space="preserve"> </w:t>
            </w:r>
            <w:r w:rsidRPr="70F671B8">
              <w:rPr>
                <w:sz w:val="20"/>
                <w:szCs w:val="20"/>
              </w:rPr>
              <w:t>parathyroid</w:t>
            </w:r>
            <w:r w:rsidRPr="70F671B8">
              <w:rPr>
                <w:spacing w:val="-5"/>
                <w:sz w:val="20"/>
                <w:szCs w:val="20"/>
              </w:rPr>
              <w:t xml:space="preserve"> </w:t>
            </w:r>
            <w:r w:rsidRPr="70F671B8">
              <w:rPr>
                <w:sz w:val="20"/>
                <w:szCs w:val="20"/>
              </w:rPr>
              <w:t>hormone</w:t>
            </w:r>
            <w:r w:rsidRPr="70F671B8">
              <w:rPr>
                <w:spacing w:val="-6"/>
                <w:sz w:val="20"/>
                <w:szCs w:val="20"/>
              </w:rPr>
              <w:t xml:space="preserve"> </w:t>
            </w:r>
            <w:r w:rsidRPr="70F671B8">
              <w:rPr>
                <w:sz w:val="20"/>
                <w:szCs w:val="20"/>
              </w:rPr>
              <w:t>(PTH)</w:t>
            </w:r>
            <w:r w:rsidRPr="70F671B8">
              <w:rPr>
                <w:spacing w:val="-5"/>
                <w:sz w:val="20"/>
                <w:szCs w:val="20"/>
              </w:rPr>
              <w:t xml:space="preserve"> </w:t>
            </w:r>
            <w:r w:rsidRPr="70F671B8">
              <w:rPr>
                <w:sz w:val="20"/>
                <w:szCs w:val="20"/>
              </w:rPr>
              <w:t>levels</w:t>
            </w:r>
            <w:r w:rsidRPr="70F671B8">
              <w:rPr>
                <w:spacing w:val="-6"/>
                <w:sz w:val="20"/>
                <w:szCs w:val="20"/>
              </w:rPr>
              <w:t xml:space="preserve"> </w:t>
            </w:r>
            <w:r w:rsidRPr="70F671B8">
              <w:rPr>
                <w:sz w:val="20"/>
                <w:szCs w:val="20"/>
              </w:rPr>
              <w:t>(PTH</w:t>
            </w:r>
            <w:r w:rsidRPr="70F671B8">
              <w:rPr>
                <w:spacing w:val="-4"/>
                <w:sz w:val="20"/>
                <w:szCs w:val="20"/>
              </w:rPr>
              <w:t xml:space="preserve"> </w:t>
            </w:r>
            <w:r w:rsidRPr="70F671B8">
              <w:rPr>
                <w:sz w:val="20"/>
                <w:szCs w:val="20"/>
              </w:rPr>
              <w:t>levels</w:t>
            </w:r>
            <w:r w:rsidRPr="70F671B8">
              <w:rPr>
                <w:spacing w:val="-6"/>
                <w:sz w:val="20"/>
                <w:szCs w:val="20"/>
              </w:rPr>
              <w:t xml:space="preserve"> </w:t>
            </w:r>
            <w:r w:rsidRPr="70F671B8">
              <w:rPr>
                <w:sz w:val="20"/>
                <w:szCs w:val="20"/>
              </w:rPr>
              <w:t>at</w:t>
            </w:r>
            <w:r w:rsidRPr="70F671B8">
              <w:rPr>
                <w:spacing w:val="-6"/>
                <w:sz w:val="20"/>
                <w:szCs w:val="20"/>
              </w:rPr>
              <w:t xml:space="preserve"> </w:t>
            </w:r>
            <w:r w:rsidRPr="70F671B8">
              <w:rPr>
                <w:sz w:val="20"/>
                <w:szCs w:val="20"/>
              </w:rPr>
              <w:t>or below the median value of the reference range at the laboratory)</w:t>
            </w:r>
          </w:p>
        </w:tc>
      </w:tr>
      <w:tr w:rsidR="00E03DF5" w14:paraId="52AF221F"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vMerge/>
          </w:tcPr>
          <w:p w14:paraId="7321D2DB"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316D0" w14:textId="77777777" w:rsidR="00E03DF5" w:rsidRDefault="00E03DF5" w:rsidP="00DF3913">
            <w:pPr>
              <w:pStyle w:val="TableParagraph"/>
              <w:spacing w:line="240" w:lineRule="auto"/>
              <w:ind w:left="105"/>
              <w:rPr>
                <w:sz w:val="20"/>
              </w:rPr>
            </w:pPr>
            <w:r>
              <w:rPr>
                <w:spacing w:val="-5"/>
                <w:sz w:val="20"/>
              </w:rPr>
              <w:t>AND</w:t>
            </w:r>
          </w:p>
        </w:tc>
      </w:tr>
      <w:tr w:rsidR="00E03DF5" w14:paraId="74D9C447"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57"/>
        </w:trPr>
        <w:tc>
          <w:tcPr>
            <w:tcW w:w="1680" w:type="dxa"/>
            <w:vMerge/>
          </w:tcPr>
          <w:p w14:paraId="23BCE325"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4A1A4" w14:textId="45675D12" w:rsidR="00E03DF5" w:rsidRDefault="00E03DF5" w:rsidP="00DF3913">
            <w:pPr>
              <w:pStyle w:val="TableParagraph"/>
              <w:ind w:left="105"/>
              <w:rPr>
                <w:sz w:val="20"/>
              </w:rPr>
            </w:pPr>
            <w:r>
              <w:rPr>
                <w:sz w:val="20"/>
              </w:rPr>
              <w:t>Patient</w:t>
            </w:r>
            <w:r>
              <w:rPr>
                <w:spacing w:val="-6"/>
                <w:sz w:val="20"/>
              </w:rPr>
              <w:t xml:space="preserve"> </w:t>
            </w:r>
            <w:r>
              <w:rPr>
                <w:sz w:val="20"/>
              </w:rPr>
              <w:t>must</w:t>
            </w:r>
            <w:r>
              <w:rPr>
                <w:spacing w:val="-6"/>
                <w:sz w:val="20"/>
              </w:rPr>
              <w:t xml:space="preserve"> </w:t>
            </w:r>
            <w:r>
              <w:rPr>
                <w:sz w:val="20"/>
              </w:rPr>
              <w:t>have</w:t>
            </w:r>
            <w:r>
              <w:rPr>
                <w:spacing w:val="-6"/>
                <w:sz w:val="20"/>
              </w:rPr>
              <w:t xml:space="preserve"> </w:t>
            </w:r>
            <w:r>
              <w:rPr>
                <w:sz w:val="20"/>
              </w:rPr>
              <w:t>been</w:t>
            </w:r>
            <w:r>
              <w:rPr>
                <w:spacing w:val="-7"/>
                <w:sz w:val="20"/>
              </w:rPr>
              <w:t xml:space="preserve"> </w:t>
            </w:r>
            <w:r>
              <w:rPr>
                <w:sz w:val="20"/>
              </w:rPr>
              <w:t>treated</w:t>
            </w:r>
            <w:r>
              <w:rPr>
                <w:spacing w:val="-5"/>
                <w:sz w:val="20"/>
              </w:rPr>
              <w:t xml:space="preserve"> </w:t>
            </w:r>
            <w:r>
              <w:rPr>
                <w:sz w:val="20"/>
              </w:rPr>
              <w:t>with</w:t>
            </w:r>
            <w:r>
              <w:rPr>
                <w:spacing w:val="-7"/>
                <w:sz w:val="20"/>
              </w:rPr>
              <w:t xml:space="preserve"> </w:t>
            </w:r>
            <w:r>
              <w:rPr>
                <w:sz w:val="20"/>
              </w:rPr>
              <w:t>calcitriol</w:t>
            </w:r>
            <w:r>
              <w:rPr>
                <w:spacing w:val="-6"/>
                <w:sz w:val="20"/>
              </w:rPr>
              <w:t xml:space="preserve"> </w:t>
            </w:r>
            <w:r>
              <w:rPr>
                <w:sz w:val="20"/>
              </w:rPr>
              <w:t>≥</w:t>
            </w:r>
            <w:r>
              <w:rPr>
                <w:spacing w:val="-3"/>
                <w:sz w:val="20"/>
              </w:rPr>
              <w:t xml:space="preserve"> </w:t>
            </w:r>
            <w:r>
              <w:rPr>
                <w:sz w:val="20"/>
              </w:rPr>
              <w:t>0.5</w:t>
            </w:r>
            <w:r>
              <w:rPr>
                <w:spacing w:val="-6"/>
                <w:sz w:val="20"/>
              </w:rPr>
              <w:t xml:space="preserve"> </w:t>
            </w:r>
            <w:r>
              <w:rPr>
                <w:sz w:val="20"/>
              </w:rPr>
              <w:t>mcg/day</w:t>
            </w:r>
            <w:r>
              <w:rPr>
                <w:spacing w:val="-6"/>
                <w:sz w:val="20"/>
              </w:rPr>
              <w:t xml:space="preserve"> </w:t>
            </w:r>
            <w:r>
              <w:rPr>
                <w:sz w:val="20"/>
              </w:rPr>
              <w:t>in</w:t>
            </w:r>
            <w:r>
              <w:rPr>
                <w:spacing w:val="-6"/>
                <w:sz w:val="20"/>
              </w:rPr>
              <w:t xml:space="preserve"> </w:t>
            </w:r>
            <w:r>
              <w:rPr>
                <w:sz w:val="20"/>
              </w:rPr>
              <w:t>addition</w:t>
            </w:r>
            <w:r>
              <w:rPr>
                <w:spacing w:val="-6"/>
                <w:sz w:val="20"/>
              </w:rPr>
              <w:t xml:space="preserve"> </w:t>
            </w:r>
            <w:r>
              <w:rPr>
                <w:spacing w:val="-5"/>
                <w:sz w:val="20"/>
              </w:rPr>
              <w:t>to</w:t>
            </w:r>
            <w:r w:rsidR="00B95397">
              <w:rPr>
                <w:sz w:val="20"/>
              </w:rPr>
              <w:t xml:space="preserve"> </w:t>
            </w:r>
            <w:r>
              <w:rPr>
                <w:sz w:val="20"/>
              </w:rPr>
              <w:t>elemental</w:t>
            </w:r>
            <w:r>
              <w:rPr>
                <w:spacing w:val="-6"/>
                <w:sz w:val="20"/>
              </w:rPr>
              <w:t xml:space="preserve"> </w:t>
            </w:r>
            <w:r>
              <w:rPr>
                <w:sz w:val="20"/>
              </w:rPr>
              <w:t>calcium</w:t>
            </w:r>
            <w:r>
              <w:rPr>
                <w:spacing w:val="-5"/>
                <w:sz w:val="20"/>
              </w:rPr>
              <w:t xml:space="preserve"> </w:t>
            </w:r>
            <w:r>
              <w:rPr>
                <w:sz w:val="20"/>
              </w:rPr>
              <w:t>≥</w:t>
            </w:r>
            <w:r>
              <w:rPr>
                <w:spacing w:val="-5"/>
                <w:sz w:val="20"/>
              </w:rPr>
              <w:t xml:space="preserve"> </w:t>
            </w:r>
            <w:r>
              <w:rPr>
                <w:sz w:val="20"/>
              </w:rPr>
              <w:t>800</w:t>
            </w:r>
            <w:r>
              <w:rPr>
                <w:spacing w:val="-6"/>
                <w:sz w:val="20"/>
              </w:rPr>
              <w:t xml:space="preserve"> </w:t>
            </w:r>
            <w:r>
              <w:rPr>
                <w:sz w:val="20"/>
              </w:rPr>
              <w:t>mg/day</w:t>
            </w:r>
            <w:r>
              <w:rPr>
                <w:spacing w:val="-3"/>
                <w:sz w:val="20"/>
              </w:rPr>
              <w:t xml:space="preserve"> </w:t>
            </w:r>
            <w:r>
              <w:rPr>
                <w:sz w:val="20"/>
              </w:rPr>
              <w:t>for</w:t>
            </w:r>
            <w:r>
              <w:rPr>
                <w:spacing w:val="-4"/>
                <w:sz w:val="20"/>
              </w:rPr>
              <w:t xml:space="preserve"> </w:t>
            </w:r>
            <w:r>
              <w:rPr>
                <w:sz w:val="20"/>
              </w:rPr>
              <w:t>at</w:t>
            </w:r>
            <w:r>
              <w:rPr>
                <w:spacing w:val="-5"/>
                <w:sz w:val="20"/>
              </w:rPr>
              <w:t xml:space="preserve"> </w:t>
            </w:r>
            <w:r>
              <w:rPr>
                <w:sz w:val="20"/>
              </w:rPr>
              <w:t>least</w:t>
            </w:r>
            <w:r>
              <w:rPr>
                <w:spacing w:val="-6"/>
                <w:sz w:val="20"/>
              </w:rPr>
              <w:t xml:space="preserve"> </w:t>
            </w:r>
            <w:r>
              <w:rPr>
                <w:sz w:val="20"/>
              </w:rPr>
              <w:t>12</w:t>
            </w:r>
            <w:r>
              <w:rPr>
                <w:spacing w:val="-6"/>
                <w:sz w:val="20"/>
              </w:rPr>
              <w:t xml:space="preserve"> </w:t>
            </w:r>
            <w:r>
              <w:rPr>
                <w:spacing w:val="-4"/>
                <w:sz w:val="20"/>
              </w:rPr>
              <w:t>weeks</w:t>
            </w:r>
          </w:p>
        </w:tc>
      </w:tr>
      <w:tr w:rsidR="00E03DF5" w14:paraId="090AD05B"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vMerge/>
          </w:tcPr>
          <w:p w14:paraId="614BBE5E"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30F9D" w14:textId="77777777" w:rsidR="00E03DF5" w:rsidRDefault="00E03DF5" w:rsidP="00DF3913">
            <w:pPr>
              <w:pStyle w:val="TableParagraph"/>
              <w:spacing w:line="229" w:lineRule="exact"/>
              <w:ind w:left="105"/>
              <w:rPr>
                <w:sz w:val="20"/>
              </w:rPr>
            </w:pPr>
            <w:r>
              <w:rPr>
                <w:spacing w:val="-5"/>
                <w:sz w:val="20"/>
              </w:rPr>
              <w:t>AND</w:t>
            </w:r>
          </w:p>
        </w:tc>
      </w:tr>
      <w:tr w:rsidR="00E03DF5" w14:paraId="5B36D202"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8"/>
        </w:trPr>
        <w:tc>
          <w:tcPr>
            <w:tcW w:w="1680" w:type="dxa"/>
            <w:vMerge/>
          </w:tcPr>
          <w:p w14:paraId="7EE7F01F"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7A597" w14:textId="65092B49" w:rsidR="00E03DF5" w:rsidRPr="001E2570" w:rsidRDefault="00E03DF5" w:rsidP="006F3882">
            <w:pPr>
              <w:pStyle w:val="TableParagraph"/>
              <w:spacing w:line="227" w:lineRule="exact"/>
              <w:ind w:left="105"/>
              <w:rPr>
                <w:sz w:val="20"/>
              </w:rPr>
            </w:pPr>
            <w:r>
              <w:rPr>
                <w:sz w:val="20"/>
              </w:rPr>
              <w:t>Patient</w:t>
            </w:r>
            <w:r>
              <w:rPr>
                <w:spacing w:val="-7"/>
                <w:sz w:val="20"/>
              </w:rPr>
              <w:t xml:space="preserve"> </w:t>
            </w:r>
            <w:r>
              <w:rPr>
                <w:sz w:val="20"/>
              </w:rPr>
              <w:t>must</w:t>
            </w:r>
            <w:r>
              <w:rPr>
                <w:spacing w:val="-6"/>
                <w:sz w:val="20"/>
              </w:rPr>
              <w:t xml:space="preserve"> </w:t>
            </w:r>
            <w:r>
              <w:rPr>
                <w:spacing w:val="-2"/>
                <w:sz w:val="20"/>
              </w:rPr>
              <w:t>have</w:t>
            </w:r>
            <w:r w:rsidR="006F3882">
              <w:rPr>
                <w:sz w:val="20"/>
              </w:rPr>
              <w:t xml:space="preserve"> </w:t>
            </w:r>
            <w:r>
              <w:rPr>
                <w:sz w:val="20"/>
              </w:rPr>
              <w:t>calcium</w:t>
            </w:r>
            <w:r>
              <w:rPr>
                <w:spacing w:val="-6"/>
                <w:sz w:val="20"/>
              </w:rPr>
              <w:t xml:space="preserve"> </w:t>
            </w:r>
            <w:r>
              <w:rPr>
                <w:sz w:val="20"/>
              </w:rPr>
              <w:t>serum</w:t>
            </w:r>
            <w:r>
              <w:rPr>
                <w:spacing w:val="-6"/>
                <w:sz w:val="20"/>
              </w:rPr>
              <w:t xml:space="preserve"> </w:t>
            </w:r>
            <w:r>
              <w:rPr>
                <w:sz w:val="20"/>
              </w:rPr>
              <w:t>levels</w:t>
            </w:r>
            <w:r>
              <w:rPr>
                <w:spacing w:val="-6"/>
                <w:sz w:val="20"/>
              </w:rPr>
              <w:t xml:space="preserve"> </w:t>
            </w:r>
            <w:r>
              <w:rPr>
                <w:sz w:val="20"/>
              </w:rPr>
              <w:t>&lt;</w:t>
            </w:r>
            <w:r>
              <w:rPr>
                <w:spacing w:val="-4"/>
                <w:sz w:val="20"/>
              </w:rPr>
              <w:t xml:space="preserve"> </w:t>
            </w:r>
            <w:r>
              <w:rPr>
                <w:sz w:val="20"/>
              </w:rPr>
              <w:t>2.0</w:t>
            </w:r>
            <w:r>
              <w:rPr>
                <w:spacing w:val="-6"/>
                <w:sz w:val="20"/>
              </w:rPr>
              <w:t xml:space="preserve"> </w:t>
            </w:r>
            <w:r>
              <w:rPr>
                <w:sz w:val="20"/>
              </w:rPr>
              <w:t>mmol/L</w:t>
            </w:r>
            <w:r w:rsidRPr="001E2570">
              <w:rPr>
                <w:sz w:val="20"/>
              </w:rPr>
              <w:t>,</w:t>
            </w:r>
            <w:r w:rsidRPr="001E2570">
              <w:rPr>
                <w:spacing w:val="-6"/>
                <w:sz w:val="20"/>
              </w:rPr>
              <w:t xml:space="preserve"> </w:t>
            </w:r>
            <w:r w:rsidRPr="001E2570">
              <w:rPr>
                <w:spacing w:val="-5"/>
                <w:sz w:val="20"/>
              </w:rPr>
              <w:t>or</w:t>
            </w:r>
          </w:p>
          <w:p w14:paraId="46AF4419" w14:textId="73518C88" w:rsidR="00DE685E" w:rsidRPr="001E2570" w:rsidRDefault="00E03DF5" w:rsidP="00DF3913">
            <w:pPr>
              <w:pStyle w:val="TableParagraph"/>
              <w:spacing w:before="1" w:line="240" w:lineRule="auto"/>
              <w:ind w:left="105"/>
              <w:rPr>
                <w:sz w:val="20"/>
              </w:rPr>
            </w:pPr>
            <w:r w:rsidRPr="001E2570">
              <w:rPr>
                <w:sz w:val="20"/>
              </w:rPr>
              <w:t>prior</w:t>
            </w:r>
            <w:r w:rsidRPr="001E2570">
              <w:rPr>
                <w:spacing w:val="-5"/>
                <w:sz w:val="20"/>
              </w:rPr>
              <w:t xml:space="preserve"> </w:t>
            </w:r>
            <w:r w:rsidRPr="001E2570">
              <w:rPr>
                <w:sz w:val="20"/>
              </w:rPr>
              <w:t>emergency</w:t>
            </w:r>
            <w:r w:rsidRPr="001E2570">
              <w:rPr>
                <w:spacing w:val="-6"/>
                <w:sz w:val="20"/>
              </w:rPr>
              <w:t xml:space="preserve"> </w:t>
            </w:r>
            <w:r w:rsidRPr="001E2570">
              <w:rPr>
                <w:sz w:val="20"/>
              </w:rPr>
              <w:t>room/urgent</w:t>
            </w:r>
            <w:r w:rsidRPr="001E2570">
              <w:rPr>
                <w:spacing w:val="-5"/>
                <w:sz w:val="20"/>
              </w:rPr>
              <w:t xml:space="preserve"> </w:t>
            </w:r>
            <w:r w:rsidRPr="001E2570">
              <w:rPr>
                <w:sz w:val="20"/>
              </w:rPr>
              <w:t>care</w:t>
            </w:r>
            <w:r w:rsidRPr="001E2570">
              <w:rPr>
                <w:spacing w:val="-6"/>
                <w:sz w:val="20"/>
              </w:rPr>
              <w:t xml:space="preserve"> </w:t>
            </w:r>
            <w:r w:rsidRPr="001E2570">
              <w:rPr>
                <w:sz w:val="20"/>
              </w:rPr>
              <w:t>visits</w:t>
            </w:r>
            <w:r w:rsidRPr="001E2570">
              <w:rPr>
                <w:spacing w:val="-6"/>
                <w:sz w:val="20"/>
              </w:rPr>
              <w:t xml:space="preserve"> </w:t>
            </w:r>
            <w:r w:rsidRPr="001E2570">
              <w:rPr>
                <w:sz w:val="20"/>
              </w:rPr>
              <w:t>related</w:t>
            </w:r>
            <w:r w:rsidRPr="001E2570">
              <w:rPr>
                <w:spacing w:val="-5"/>
                <w:sz w:val="20"/>
              </w:rPr>
              <w:t xml:space="preserve"> </w:t>
            </w:r>
            <w:r w:rsidRPr="001E2570">
              <w:rPr>
                <w:sz w:val="20"/>
              </w:rPr>
              <w:t>to</w:t>
            </w:r>
            <w:r w:rsidRPr="001E2570">
              <w:rPr>
                <w:spacing w:val="-5"/>
                <w:sz w:val="20"/>
              </w:rPr>
              <w:t xml:space="preserve"> </w:t>
            </w:r>
            <w:r w:rsidRPr="001E2570">
              <w:rPr>
                <w:sz w:val="20"/>
              </w:rPr>
              <w:t>hypoparathyroidism</w:t>
            </w:r>
            <w:r w:rsidRPr="001E2570">
              <w:rPr>
                <w:spacing w:val="-5"/>
                <w:sz w:val="20"/>
              </w:rPr>
              <w:t xml:space="preserve"> </w:t>
            </w:r>
            <w:r w:rsidRPr="001E2570">
              <w:rPr>
                <w:sz w:val="20"/>
              </w:rPr>
              <w:t>in</w:t>
            </w:r>
            <w:r w:rsidRPr="001E2570">
              <w:rPr>
                <w:spacing w:val="-6"/>
                <w:sz w:val="20"/>
              </w:rPr>
              <w:t xml:space="preserve"> </w:t>
            </w:r>
            <w:r w:rsidRPr="001E2570">
              <w:rPr>
                <w:sz w:val="20"/>
              </w:rPr>
              <w:t>the previous 6 months, or</w:t>
            </w:r>
          </w:p>
          <w:p w14:paraId="240126B6" w14:textId="77777777" w:rsidR="00E03DF5" w:rsidRDefault="00E03DF5" w:rsidP="00DE685E">
            <w:pPr>
              <w:pStyle w:val="TableParagraph"/>
              <w:spacing w:before="1" w:line="240" w:lineRule="auto"/>
              <w:ind w:left="105"/>
              <w:rPr>
                <w:sz w:val="20"/>
              </w:rPr>
            </w:pPr>
            <w:r w:rsidRPr="001E2570">
              <w:rPr>
                <w:sz w:val="20"/>
              </w:rPr>
              <w:t>prior</w:t>
            </w:r>
            <w:r w:rsidRPr="001E2570">
              <w:rPr>
                <w:spacing w:val="-8"/>
                <w:sz w:val="20"/>
              </w:rPr>
              <w:t xml:space="preserve"> </w:t>
            </w:r>
            <w:proofErr w:type="spellStart"/>
            <w:r w:rsidRPr="001E2570">
              <w:rPr>
                <w:sz w:val="20"/>
              </w:rPr>
              <w:t>hospitalisations</w:t>
            </w:r>
            <w:proofErr w:type="spellEnd"/>
            <w:r w:rsidRPr="001E2570">
              <w:rPr>
                <w:spacing w:val="-9"/>
                <w:sz w:val="20"/>
              </w:rPr>
              <w:t xml:space="preserve"> </w:t>
            </w:r>
            <w:r w:rsidRPr="001E2570">
              <w:rPr>
                <w:sz w:val="20"/>
              </w:rPr>
              <w:t>related</w:t>
            </w:r>
            <w:r w:rsidRPr="001E2570">
              <w:rPr>
                <w:spacing w:val="-8"/>
                <w:sz w:val="20"/>
              </w:rPr>
              <w:t xml:space="preserve"> </w:t>
            </w:r>
            <w:r w:rsidRPr="001E2570">
              <w:rPr>
                <w:sz w:val="20"/>
              </w:rPr>
              <w:t>to</w:t>
            </w:r>
            <w:r w:rsidRPr="001E2570">
              <w:rPr>
                <w:spacing w:val="-7"/>
                <w:sz w:val="20"/>
              </w:rPr>
              <w:t xml:space="preserve"> </w:t>
            </w:r>
            <w:r w:rsidRPr="001E2570">
              <w:rPr>
                <w:sz w:val="20"/>
              </w:rPr>
              <w:t>hypoparathyroidism</w:t>
            </w:r>
            <w:r w:rsidRPr="001E2570">
              <w:rPr>
                <w:spacing w:val="-7"/>
                <w:sz w:val="20"/>
              </w:rPr>
              <w:t xml:space="preserve"> </w:t>
            </w:r>
            <w:r w:rsidRPr="001E2570">
              <w:rPr>
                <w:sz w:val="20"/>
              </w:rPr>
              <w:t>in</w:t>
            </w:r>
            <w:r w:rsidRPr="001E2570">
              <w:rPr>
                <w:spacing w:val="-9"/>
                <w:sz w:val="20"/>
              </w:rPr>
              <w:t xml:space="preserve"> </w:t>
            </w:r>
            <w:r w:rsidRPr="001E2570">
              <w:rPr>
                <w:sz w:val="20"/>
              </w:rPr>
              <w:t>the</w:t>
            </w:r>
            <w:r w:rsidRPr="001E2570">
              <w:rPr>
                <w:spacing w:val="-8"/>
                <w:sz w:val="20"/>
              </w:rPr>
              <w:t xml:space="preserve"> </w:t>
            </w:r>
            <w:r w:rsidRPr="001E2570">
              <w:rPr>
                <w:sz w:val="20"/>
              </w:rPr>
              <w:t>previous</w:t>
            </w:r>
            <w:r w:rsidRPr="001E2570">
              <w:rPr>
                <w:spacing w:val="-7"/>
                <w:sz w:val="20"/>
              </w:rPr>
              <w:t xml:space="preserve"> </w:t>
            </w:r>
            <w:r w:rsidRPr="001E2570">
              <w:rPr>
                <w:sz w:val="20"/>
              </w:rPr>
              <w:t>6</w:t>
            </w:r>
            <w:r w:rsidRPr="001E2570">
              <w:rPr>
                <w:spacing w:val="-8"/>
                <w:sz w:val="20"/>
              </w:rPr>
              <w:t xml:space="preserve"> </w:t>
            </w:r>
            <w:r w:rsidRPr="001E2570">
              <w:rPr>
                <w:spacing w:val="-2"/>
                <w:sz w:val="20"/>
              </w:rPr>
              <w:t>months</w:t>
            </w:r>
          </w:p>
        </w:tc>
      </w:tr>
      <w:tr w:rsidR="00E03DF5" w14:paraId="56E56DC1"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vMerge/>
          </w:tcPr>
          <w:p w14:paraId="612371EA"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5FA06" w14:textId="77777777" w:rsidR="00E03DF5" w:rsidRDefault="00E03DF5" w:rsidP="00DF3913">
            <w:pPr>
              <w:pStyle w:val="TableParagraph"/>
              <w:spacing w:line="229" w:lineRule="exact"/>
              <w:ind w:left="105"/>
              <w:rPr>
                <w:sz w:val="20"/>
              </w:rPr>
            </w:pPr>
            <w:r>
              <w:rPr>
                <w:spacing w:val="-5"/>
                <w:sz w:val="20"/>
              </w:rPr>
              <w:t>OR</w:t>
            </w:r>
          </w:p>
        </w:tc>
      </w:tr>
      <w:tr w:rsidR="00E03DF5" w14:paraId="3C945B8F"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vMerge/>
          </w:tcPr>
          <w:p w14:paraId="3AB05A15"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CB0B9" w14:textId="77777777" w:rsidR="00E03DF5" w:rsidRDefault="00E03DF5" w:rsidP="00DF3913">
            <w:pPr>
              <w:pStyle w:val="TableParagraph"/>
              <w:spacing w:line="229" w:lineRule="exact"/>
              <w:ind w:left="105"/>
              <w:rPr>
                <w:sz w:val="20"/>
              </w:rPr>
            </w:pPr>
            <w:r>
              <w:rPr>
                <w:sz w:val="20"/>
              </w:rPr>
              <w:t>Patient</w:t>
            </w:r>
            <w:r>
              <w:rPr>
                <w:spacing w:val="-6"/>
                <w:sz w:val="20"/>
              </w:rPr>
              <w:t xml:space="preserve"> </w:t>
            </w:r>
            <w:r>
              <w:rPr>
                <w:sz w:val="20"/>
              </w:rPr>
              <w:t>must</w:t>
            </w:r>
            <w:r>
              <w:rPr>
                <w:spacing w:val="-5"/>
                <w:sz w:val="20"/>
              </w:rPr>
              <w:t xml:space="preserve"> </w:t>
            </w:r>
            <w:r>
              <w:rPr>
                <w:sz w:val="20"/>
              </w:rPr>
              <w:t>have</w:t>
            </w:r>
            <w:r>
              <w:rPr>
                <w:spacing w:val="-6"/>
                <w:sz w:val="20"/>
              </w:rPr>
              <w:t xml:space="preserve"> </w:t>
            </w:r>
            <w:r>
              <w:rPr>
                <w:sz w:val="20"/>
              </w:rPr>
              <w:t>had</w:t>
            </w:r>
            <w:r>
              <w:rPr>
                <w:spacing w:val="-5"/>
                <w:sz w:val="20"/>
              </w:rPr>
              <w:t xml:space="preserve"> </w:t>
            </w:r>
            <w:r>
              <w:rPr>
                <w:sz w:val="20"/>
              </w:rPr>
              <w:t>serum</w:t>
            </w:r>
            <w:r>
              <w:rPr>
                <w:spacing w:val="-5"/>
                <w:sz w:val="20"/>
              </w:rPr>
              <w:t xml:space="preserve"> </w:t>
            </w:r>
            <w:r>
              <w:rPr>
                <w:sz w:val="20"/>
              </w:rPr>
              <w:t>phosphate</w:t>
            </w:r>
            <w:r>
              <w:rPr>
                <w:spacing w:val="-4"/>
                <w:sz w:val="20"/>
              </w:rPr>
              <w:t xml:space="preserve"> </w:t>
            </w:r>
            <w:r>
              <w:rPr>
                <w:sz w:val="20"/>
              </w:rPr>
              <w:t>&gt;</w:t>
            </w:r>
            <w:r>
              <w:rPr>
                <w:spacing w:val="-6"/>
                <w:sz w:val="20"/>
              </w:rPr>
              <w:t xml:space="preserve"> </w:t>
            </w:r>
            <w:r>
              <w:rPr>
                <w:sz w:val="20"/>
              </w:rPr>
              <w:t>1.5</w:t>
            </w:r>
            <w:r>
              <w:rPr>
                <w:spacing w:val="-5"/>
                <w:sz w:val="20"/>
              </w:rPr>
              <w:t xml:space="preserve"> </w:t>
            </w:r>
            <w:r>
              <w:rPr>
                <w:spacing w:val="-2"/>
                <w:sz w:val="20"/>
              </w:rPr>
              <w:t>mmol/L</w:t>
            </w:r>
          </w:p>
        </w:tc>
      </w:tr>
      <w:tr w:rsidR="00E03DF5" w14:paraId="54400FFA"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vMerge/>
          </w:tcPr>
          <w:p w14:paraId="22895930"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F50EB" w14:textId="77777777" w:rsidR="00E03DF5" w:rsidRDefault="00E03DF5" w:rsidP="00DF3913">
            <w:pPr>
              <w:pStyle w:val="TableParagraph"/>
              <w:spacing w:line="229" w:lineRule="exact"/>
              <w:ind w:left="105"/>
              <w:rPr>
                <w:sz w:val="20"/>
              </w:rPr>
            </w:pPr>
            <w:r>
              <w:rPr>
                <w:spacing w:val="-5"/>
                <w:sz w:val="20"/>
              </w:rPr>
              <w:t>OR</w:t>
            </w:r>
          </w:p>
        </w:tc>
      </w:tr>
      <w:tr w:rsidR="00E03DF5" w14:paraId="06520306"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61"/>
        </w:trPr>
        <w:tc>
          <w:tcPr>
            <w:tcW w:w="1680" w:type="dxa"/>
            <w:vMerge/>
          </w:tcPr>
          <w:p w14:paraId="38B1C409"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A5B6C" w14:textId="77777777" w:rsidR="00E03DF5" w:rsidRPr="00147C7D" w:rsidRDefault="00E03DF5" w:rsidP="00DF3913">
            <w:pPr>
              <w:pStyle w:val="TableParagraph"/>
              <w:spacing w:line="232" w:lineRule="exact"/>
              <w:ind w:left="105" w:right="143"/>
              <w:rPr>
                <w:sz w:val="20"/>
              </w:rPr>
            </w:pPr>
            <w:proofErr w:type="gramStart"/>
            <w:r w:rsidRPr="00147C7D">
              <w:rPr>
                <w:sz w:val="20"/>
              </w:rPr>
              <w:t>Patient</w:t>
            </w:r>
            <w:proofErr w:type="gramEnd"/>
            <w:r w:rsidRPr="00147C7D">
              <w:rPr>
                <w:spacing w:val="-4"/>
                <w:sz w:val="20"/>
              </w:rPr>
              <w:t xml:space="preserve"> </w:t>
            </w:r>
            <w:r w:rsidRPr="00147C7D">
              <w:rPr>
                <w:sz w:val="20"/>
              </w:rPr>
              <w:t>must</w:t>
            </w:r>
            <w:r w:rsidRPr="00147C7D">
              <w:rPr>
                <w:spacing w:val="-4"/>
                <w:sz w:val="20"/>
              </w:rPr>
              <w:t xml:space="preserve"> </w:t>
            </w:r>
            <w:r w:rsidRPr="00147C7D">
              <w:rPr>
                <w:sz w:val="20"/>
              </w:rPr>
              <w:t>have</w:t>
            </w:r>
            <w:r w:rsidRPr="00147C7D">
              <w:rPr>
                <w:spacing w:val="-5"/>
                <w:sz w:val="20"/>
              </w:rPr>
              <w:t xml:space="preserve"> </w:t>
            </w:r>
            <w:r w:rsidRPr="00147C7D">
              <w:rPr>
                <w:sz w:val="20"/>
              </w:rPr>
              <w:t>a</w:t>
            </w:r>
            <w:r w:rsidRPr="00147C7D">
              <w:rPr>
                <w:spacing w:val="-3"/>
                <w:sz w:val="20"/>
              </w:rPr>
              <w:t xml:space="preserve"> </w:t>
            </w:r>
            <w:r w:rsidRPr="00147C7D">
              <w:rPr>
                <w:sz w:val="20"/>
              </w:rPr>
              <w:t>history</w:t>
            </w:r>
            <w:r w:rsidRPr="00147C7D">
              <w:rPr>
                <w:spacing w:val="-5"/>
                <w:sz w:val="20"/>
              </w:rPr>
              <w:t xml:space="preserve"> </w:t>
            </w:r>
            <w:r w:rsidRPr="00147C7D">
              <w:rPr>
                <w:sz w:val="20"/>
              </w:rPr>
              <w:t>of</w:t>
            </w:r>
            <w:r w:rsidRPr="00147C7D">
              <w:rPr>
                <w:spacing w:val="-4"/>
                <w:sz w:val="20"/>
              </w:rPr>
              <w:t xml:space="preserve"> </w:t>
            </w:r>
            <w:r w:rsidRPr="00147C7D">
              <w:rPr>
                <w:sz w:val="20"/>
              </w:rPr>
              <w:t>nephrolithiasis,</w:t>
            </w:r>
            <w:r w:rsidRPr="00147C7D">
              <w:rPr>
                <w:spacing w:val="-5"/>
                <w:sz w:val="20"/>
              </w:rPr>
              <w:t xml:space="preserve"> </w:t>
            </w:r>
            <w:r w:rsidRPr="00147C7D">
              <w:rPr>
                <w:sz w:val="20"/>
              </w:rPr>
              <w:t>or</w:t>
            </w:r>
            <w:r w:rsidRPr="00147C7D">
              <w:rPr>
                <w:spacing w:val="-4"/>
                <w:sz w:val="20"/>
              </w:rPr>
              <w:t xml:space="preserve"> </w:t>
            </w:r>
            <w:r w:rsidRPr="00147C7D">
              <w:rPr>
                <w:sz w:val="20"/>
              </w:rPr>
              <w:t>a</w:t>
            </w:r>
            <w:r w:rsidRPr="00147C7D">
              <w:rPr>
                <w:spacing w:val="-4"/>
                <w:sz w:val="20"/>
              </w:rPr>
              <w:t xml:space="preserve"> </w:t>
            </w:r>
            <w:r w:rsidRPr="00147C7D">
              <w:rPr>
                <w:sz w:val="20"/>
              </w:rPr>
              <w:t>history</w:t>
            </w:r>
            <w:r w:rsidRPr="00147C7D">
              <w:rPr>
                <w:spacing w:val="-5"/>
                <w:sz w:val="20"/>
              </w:rPr>
              <w:t xml:space="preserve"> </w:t>
            </w:r>
            <w:r w:rsidRPr="00147C7D">
              <w:rPr>
                <w:sz w:val="20"/>
              </w:rPr>
              <w:t>of</w:t>
            </w:r>
            <w:r w:rsidRPr="00147C7D">
              <w:rPr>
                <w:spacing w:val="-4"/>
                <w:sz w:val="20"/>
              </w:rPr>
              <w:t xml:space="preserve"> </w:t>
            </w:r>
            <w:r w:rsidRPr="00147C7D">
              <w:rPr>
                <w:sz w:val="20"/>
              </w:rPr>
              <w:t>nephrocalcinosis, or eGFR &lt; 60 mL/min/1.73m</w:t>
            </w:r>
            <w:r w:rsidRPr="00147C7D">
              <w:rPr>
                <w:position w:val="5"/>
                <w:sz w:val="13"/>
              </w:rPr>
              <w:t>2</w:t>
            </w:r>
            <w:r w:rsidRPr="00147C7D">
              <w:rPr>
                <w:spacing w:val="31"/>
                <w:position w:val="5"/>
                <w:sz w:val="13"/>
              </w:rPr>
              <w:t xml:space="preserve"> </w:t>
            </w:r>
            <w:r w:rsidRPr="00147C7D">
              <w:rPr>
                <w:sz w:val="20"/>
              </w:rPr>
              <w:t>(estimated glomerular filtration rate)</w:t>
            </w:r>
          </w:p>
        </w:tc>
      </w:tr>
      <w:tr w:rsidR="00E03DF5" w14:paraId="357B82FF"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vMerge/>
          </w:tcPr>
          <w:p w14:paraId="134AA6EB"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23F84" w14:textId="77777777" w:rsidR="00E03DF5" w:rsidRDefault="00E03DF5" w:rsidP="00DF3913">
            <w:pPr>
              <w:pStyle w:val="TableParagraph"/>
              <w:spacing w:line="226" w:lineRule="exact"/>
              <w:ind w:left="105"/>
              <w:rPr>
                <w:sz w:val="20"/>
              </w:rPr>
            </w:pPr>
            <w:r>
              <w:rPr>
                <w:spacing w:val="-5"/>
                <w:sz w:val="20"/>
              </w:rPr>
              <w:t>OR</w:t>
            </w:r>
          </w:p>
        </w:tc>
      </w:tr>
      <w:tr w:rsidR="00E03DF5" w14:paraId="097EE6B4"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vMerge/>
          </w:tcPr>
          <w:p w14:paraId="5E5D3485"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4C1E3" w14:textId="77777777" w:rsidR="00E03DF5" w:rsidRDefault="00E03DF5" w:rsidP="00DF3913">
            <w:pPr>
              <w:pStyle w:val="TableParagraph"/>
              <w:spacing w:line="229" w:lineRule="exact"/>
              <w:ind w:left="105"/>
              <w:rPr>
                <w:sz w:val="20"/>
              </w:rPr>
            </w:pPr>
            <w:r>
              <w:rPr>
                <w:sz w:val="20"/>
              </w:rPr>
              <w:t>Patient</w:t>
            </w:r>
            <w:r>
              <w:rPr>
                <w:spacing w:val="-6"/>
                <w:sz w:val="20"/>
              </w:rPr>
              <w:t xml:space="preserve"> </w:t>
            </w:r>
            <w:r>
              <w:rPr>
                <w:sz w:val="20"/>
              </w:rPr>
              <w:t>must</w:t>
            </w:r>
            <w:r>
              <w:rPr>
                <w:spacing w:val="-5"/>
                <w:sz w:val="20"/>
              </w:rPr>
              <w:t xml:space="preserve"> </w:t>
            </w:r>
            <w:r>
              <w:rPr>
                <w:sz w:val="20"/>
              </w:rPr>
              <w:t>have</w:t>
            </w:r>
            <w:r>
              <w:rPr>
                <w:spacing w:val="-7"/>
                <w:sz w:val="20"/>
              </w:rPr>
              <w:t xml:space="preserve"> </w:t>
            </w:r>
            <w:r>
              <w:rPr>
                <w:sz w:val="20"/>
              </w:rPr>
              <w:t>had</w:t>
            </w:r>
            <w:r>
              <w:rPr>
                <w:spacing w:val="-5"/>
                <w:sz w:val="20"/>
              </w:rPr>
              <w:t xml:space="preserve"> </w:t>
            </w:r>
            <w:r>
              <w:rPr>
                <w:sz w:val="20"/>
              </w:rPr>
              <w:t>24-hour</w:t>
            </w:r>
            <w:r>
              <w:rPr>
                <w:spacing w:val="-6"/>
                <w:sz w:val="20"/>
              </w:rPr>
              <w:t xml:space="preserve"> </w:t>
            </w:r>
            <w:r>
              <w:rPr>
                <w:sz w:val="20"/>
              </w:rPr>
              <w:t>urinary</w:t>
            </w:r>
            <w:r>
              <w:rPr>
                <w:spacing w:val="-6"/>
                <w:sz w:val="20"/>
              </w:rPr>
              <w:t xml:space="preserve"> </w:t>
            </w:r>
            <w:r>
              <w:rPr>
                <w:sz w:val="20"/>
              </w:rPr>
              <w:t>calcium</w:t>
            </w:r>
            <w:r>
              <w:rPr>
                <w:spacing w:val="-5"/>
                <w:sz w:val="20"/>
              </w:rPr>
              <w:t xml:space="preserve"> </w:t>
            </w:r>
            <w:r>
              <w:rPr>
                <w:sz w:val="20"/>
              </w:rPr>
              <w:t>level</w:t>
            </w:r>
            <w:r>
              <w:rPr>
                <w:spacing w:val="-5"/>
                <w:sz w:val="20"/>
              </w:rPr>
              <w:t xml:space="preserve"> </w:t>
            </w:r>
            <w:r>
              <w:rPr>
                <w:sz w:val="20"/>
              </w:rPr>
              <w:t>&gt;</w:t>
            </w:r>
            <w:r>
              <w:rPr>
                <w:spacing w:val="-5"/>
                <w:sz w:val="20"/>
              </w:rPr>
              <w:t xml:space="preserve"> </w:t>
            </w:r>
            <w:r>
              <w:rPr>
                <w:sz w:val="20"/>
              </w:rPr>
              <w:t>7</w:t>
            </w:r>
            <w:r>
              <w:rPr>
                <w:spacing w:val="-7"/>
                <w:sz w:val="20"/>
              </w:rPr>
              <w:t xml:space="preserve"> </w:t>
            </w:r>
            <w:r>
              <w:rPr>
                <w:sz w:val="20"/>
              </w:rPr>
              <w:t>mmol/24</w:t>
            </w:r>
            <w:r>
              <w:rPr>
                <w:spacing w:val="-5"/>
                <w:sz w:val="20"/>
              </w:rPr>
              <w:t xml:space="preserve"> </w:t>
            </w:r>
            <w:r>
              <w:rPr>
                <w:spacing w:val="-2"/>
                <w:sz w:val="20"/>
              </w:rPr>
              <w:t>hours</w:t>
            </w:r>
          </w:p>
        </w:tc>
      </w:tr>
      <w:tr w:rsidR="00E03DF5" w14:paraId="784CEC5C"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vMerge/>
          </w:tcPr>
          <w:p w14:paraId="64653492"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EB330" w14:textId="77777777" w:rsidR="00E03DF5" w:rsidRDefault="00E03DF5" w:rsidP="00DF3913">
            <w:pPr>
              <w:pStyle w:val="TableParagraph"/>
              <w:spacing w:line="229" w:lineRule="exact"/>
              <w:ind w:left="105"/>
              <w:rPr>
                <w:sz w:val="20"/>
              </w:rPr>
            </w:pPr>
            <w:r>
              <w:rPr>
                <w:spacing w:val="-5"/>
                <w:sz w:val="20"/>
              </w:rPr>
              <w:t>AND</w:t>
            </w:r>
          </w:p>
        </w:tc>
      </w:tr>
      <w:tr w:rsidR="00E03DF5" w14:paraId="45A48863"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vMerge/>
          </w:tcPr>
          <w:p w14:paraId="3A1480E8" w14:textId="77777777" w:rsidR="00E03DF5" w:rsidRDefault="00E03DF5" w:rsidP="00DF3913">
            <w:pPr>
              <w:rPr>
                <w:sz w:val="2"/>
                <w:szCs w:val="2"/>
              </w:rPr>
            </w:pP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204F2" w14:textId="77777777" w:rsidR="00E03DF5" w:rsidRDefault="00E03DF5" w:rsidP="168826E2">
            <w:pPr>
              <w:pStyle w:val="TableParagraph"/>
              <w:spacing w:line="229" w:lineRule="exact"/>
              <w:ind w:left="105"/>
              <w:rPr>
                <w:sz w:val="20"/>
                <w:szCs w:val="20"/>
              </w:rPr>
            </w:pPr>
            <w:proofErr w:type="gramStart"/>
            <w:r w:rsidRPr="168826E2">
              <w:rPr>
                <w:sz w:val="20"/>
                <w:szCs w:val="20"/>
              </w:rPr>
              <w:t>Patient</w:t>
            </w:r>
            <w:proofErr w:type="gramEnd"/>
            <w:r w:rsidRPr="168826E2">
              <w:rPr>
                <w:spacing w:val="-6"/>
                <w:sz w:val="20"/>
                <w:szCs w:val="20"/>
              </w:rPr>
              <w:t xml:space="preserve"> </w:t>
            </w:r>
            <w:r w:rsidRPr="168826E2">
              <w:rPr>
                <w:sz w:val="20"/>
                <w:szCs w:val="20"/>
              </w:rPr>
              <w:t>must</w:t>
            </w:r>
            <w:r w:rsidRPr="168826E2">
              <w:rPr>
                <w:spacing w:val="-5"/>
                <w:sz w:val="20"/>
                <w:szCs w:val="20"/>
              </w:rPr>
              <w:t xml:space="preserve"> </w:t>
            </w:r>
            <w:r w:rsidRPr="168826E2">
              <w:rPr>
                <w:sz w:val="20"/>
                <w:szCs w:val="20"/>
              </w:rPr>
              <w:t>not</w:t>
            </w:r>
            <w:r w:rsidRPr="168826E2">
              <w:rPr>
                <w:spacing w:val="-6"/>
                <w:sz w:val="20"/>
                <w:szCs w:val="20"/>
              </w:rPr>
              <w:t xml:space="preserve"> </w:t>
            </w:r>
            <w:r w:rsidRPr="168826E2">
              <w:rPr>
                <w:sz w:val="20"/>
                <w:szCs w:val="20"/>
              </w:rPr>
              <w:t>receive</w:t>
            </w:r>
            <w:r w:rsidRPr="168826E2">
              <w:rPr>
                <w:spacing w:val="-5"/>
                <w:sz w:val="20"/>
                <w:szCs w:val="20"/>
              </w:rPr>
              <w:t xml:space="preserve"> </w:t>
            </w:r>
            <w:r w:rsidRPr="168826E2">
              <w:rPr>
                <w:sz w:val="20"/>
                <w:szCs w:val="20"/>
              </w:rPr>
              <w:t>more</w:t>
            </w:r>
            <w:r w:rsidRPr="168826E2">
              <w:rPr>
                <w:spacing w:val="-6"/>
                <w:sz w:val="20"/>
                <w:szCs w:val="20"/>
              </w:rPr>
              <w:t xml:space="preserve"> </w:t>
            </w:r>
            <w:r w:rsidRPr="168826E2">
              <w:rPr>
                <w:sz w:val="20"/>
                <w:szCs w:val="20"/>
              </w:rPr>
              <w:t>than</w:t>
            </w:r>
            <w:r w:rsidRPr="168826E2">
              <w:rPr>
                <w:spacing w:val="-6"/>
                <w:sz w:val="20"/>
                <w:szCs w:val="20"/>
              </w:rPr>
              <w:t xml:space="preserve"> </w:t>
            </w:r>
            <w:r w:rsidRPr="168826E2">
              <w:rPr>
                <w:sz w:val="20"/>
                <w:szCs w:val="20"/>
              </w:rPr>
              <w:t>26</w:t>
            </w:r>
            <w:r w:rsidRPr="168826E2">
              <w:rPr>
                <w:spacing w:val="-6"/>
                <w:sz w:val="20"/>
                <w:szCs w:val="20"/>
              </w:rPr>
              <w:t xml:space="preserve"> </w:t>
            </w:r>
            <w:r w:rsidRPr="168826E2">
              <w:rPr>
                <w:sz w:val="20"/>
                <w:szCs w:val="20"/>
              </w:rPr>
              <w:t>weeks</w:t>
            </w:r>
            <w:r w:rsidRPr="168826E2">
              <w:rPr>
                <w:spacing w:val="-6"/>
                <w:sz w:val="20"/>
                <w:szCs w:val="20"/>
              </w:rPr>
              <w:t xml:space="preserve"> </w:t>
            </w:r>
            <w:r w:rsidRPr="168826E2">
              <w:rPr>
                <w:sz w:val="20"/>
                <w:szCs w:val="20"/>
              </w:rPr>
              <w:t>of</w:t>
            </w:r>
            <w:r w:rsidRPr="168826E2">
              <w:rPr>
                <w:spacing w:val="-5"/>
                <w:sz w:val="20"/>
                <w:szCs w:val="20"/>
              </w:rPr>
              <w:t xml:space="preserve"> </w:t>
            </w:r>
            <w:r w:rsidRPr="168826E2">
              <w:rPr>
                <w:sz w:val="20"/>
                <w:szCs w:val="20"/>
              </w:rPr>
              <w:t>treatment</w:t>
            </w:r>
            <w:r w:rsidRPr="168826E2">
              <w:rPr>
                <w:spacing w:val="-6"/>
                <w:sz w:val="20"/>
                <w:szCs w:val="20"/>
              </w:rPr>
              <w:t xml:space="preserve"> </w:t>
            </w:r>
            <w:r w:rsidRPr="168826E2">
              <w:rPr>
                <w:sz w:val="20"/>
                <w:szCs w:val="20"/>
              </w:rPr>
              <w:t>under</w:t>
            </w:r>
            <w:r w:rsidRPr="168826E2">
              <w:rPr>
                <w:spacing w:val="-5"/>
                <w:sz w:val="20"/>
                <w:szCs w:val="20"/>
              </w:rPr>
              <w:t xml:space="preserve"> </w:t>
            </w:r>
            <w:r w:rsidRPr="168826E2">
              <w:rPr>
                <w:sz w:val="20"/>
                <w:szCs w:val="20"/>
              </w:rPr>
              <w:t>this</w:t>
            </w:r>
            <w:r w:rsidRPr="168826E2">
              <w:rPr>
                <w:spacing w:val="-6"/>
                <w:sz w:val="20"/>
                <w:szCs w:val="20"/>
              </w:rPr>
              <w:t xml:space="preserve"> </w:t>
            </w:r>
            <w:r w:rsidRPr="168826E2">
              <w:rPr>
                <w:spacing w:val="-2"/>
                <w:sz w:val="20"/>
                <w:szCs w:val="20"/>
              </w:rPr>
              <w:t>restriction.</w:t>
            </w:r>
          </w:p>
        </w:tc>
      </w:tr>
      <w:tr w:rsidR="00E03DF5" w14:paraId="5612B306" w14:textId="77777777" w:rsidTr="383E5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11AF3" w14:textId="481E7A27" w:rsidR="00E03DF5" w:rsidRPr="001E2570" w:rsidRDefault="00E03DF5" w:rsidP="00DF3913">
            <w:pPr>
              <w:pStyle w:val="TableParagraph"/>
              <w:spacing w:line="229" w:lineRule="exact"/>
              <w:rPr>
                <w:b/>
                <w:sz w:val="20"/>
              </w:rPr>
            </w:pPr>
            <w:r w:rsidRPr="001E2570">
              <w:rPr>
                <w:b/>
                <w:sz w:val="20"/>
              </w:rPr>
              <w:t>Population</w:t>
            </w:r>
            <w:r w:rsidRPr="001E2570">
              <w:rPr>
                <w:b/>
                <w:spacing w:val="-8"/>
                <w:sz w:val="20"/>
              </w:rPr>
              <w:t xml:space="preserve"> </w:t>
            </w:r>
            <w:r w:rsidRPr="001E2570">
              <w:rPr>
                <w:b/>
                <w:spacing w:val="-2"/>
                <w:sz w:val="20"/>
              </w:rPr>
              <w:t>criteria</w:t>
            </w:r>
            <w:r w:rsidR="00FF58A4" w:rsidRPr="001E2570">
              <w:rPr>
                <w:b/>
                <w:spacing w:val="-2"/>
                <w:sz w:val="20"/>
              </w:rPr>
              <w:t>:</w:t>
            </w:r>
          </w:p>
        </w:tc>
        <w:tc>
          <w:tcPr>
            <w:tcW w:w="73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C614" w14:textId="77777777" w:rsidR="00E03DF5" w:rsidRPr="001E2570" w:rsidRDefault="00E03DF5" w:rsidP="00DF3913">
            <w:pPr>
              <w:pStyle w:val="TableParagraph"/>
              <w:spacing w:line="229" w:lineRule="exact"/>
              <w:ind w:left="105"/>
              <w:rPr>
                <w:sz w:val="20"/>
              </w:rPr>
            </w:pPr>
            <w:r w:rsidRPr="001E2570">
              <w:rPr>
                <w:sz w:val="20"/>
              </w:rPr>
              <w:t>Patient</w:t>
            </w:r>
            <w:r w:rsidRPr="001E2570">
              <w:rPr>
                <w:spacing w:val="-5"/>
                <w:sz w:val="20"/>
              </w:rPr>
              <w:t xml:space="preserve"> </w:t>
            </w:r>
            <w:r w:rsidRPr="001E2570">
              <w:rPr>
                <w:sz w:val="20"/>
              </w:rPr>
              <w:t>must</w:t>
            </w:r>
            <w:r w:rsidRPr="001E2570">
              <w:rPr>
                <w:spacing w:val="-4"/>
                <w:sz w:val="20"/>
              </w:rPr>
              <w:t xml:space="preserve"> </w:t>
            </w:r>
            <w:r w:rsidRPr="001E2570">
              <w:rPr>
                <w:sz w:val="20"/>
              </w:rPr>
              <w:t>be</w:t>
            </w:r>
            <w:r w:rsidRPr="001E2570">
              <w:rPr>
                <w:spacing w:val="-4"/>
                <w:sz w:val="20"/>
              </w:rPr>
              <w:t xml:space="preserve"> </w:t>
            </w:r>
            <w:r w:rsidRPr="001E2570">
              <w:rPr>
                <w:sz w:val="20"/>
              </w:rPr>
              <w:t>≥</w:t>
            </w:r>
            <w:r w:rsidRPr="001E2570">
              <w:rPr>
                <w:spacing w:val="-2"/>
                <w:sz w:val="20"/>
              </w:rPr>
              <w:t xml:space="preserve"> </w:t>
            </w:r>
            <w:r w:rsidRPr="001E2570">
              <w:rPr>
                <w:sz w:val="20"/>
              </w:rPr>
              <w:t>18</w:t>
            </w:r>
            <w:r w:rsidRPr="001E2570">
              <w:rPr>
                <w:spacing w:val="-4"/>
                <w:sz w:val="20"/>
              </w:rPr>
              <w:t xml:space="preserve"> </w:t>
            </w:r>
            <w:r w:rsidRPr="001E2570">
              <w:rPr>
                <w:sz w:val="20"/>
              </w:rPr>
              <w:t>years</w:t>
            </w:r>
            <w:r w:rsidRPr="001E2570">
              <w:rPr>
                <w:spacing w:val="-5"/>
                <w:sz w:val="20"/>
              </w:rPr>
              <w:t xml:space="preserve"> old</w:t>
            </w:r>
          </w:p>
        </w:tc>
      </w:tr>
    </w:tbl>
    <w:p w14:paraId="266ACB24" w14:textId="77777777" w:rsidR="00E03DF5" w:rsidRDefault="00E03DF5" w:rsidP="00E03DF5"/>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7392"/>
      </w:tblGrid>
      <w:tr w:rsidR="00E03DF5" w14:paraId="60DF4650" w14:textId="77777777" w:rsidTr="00FF58A4">
        <w:trPr>
          <w:trHeight w:val="20"/>
        </w:trPr>
        <w:tc>
          <w:tcPr>
            <w:tcW w:w="1680" w:type="dxa"/>
          </w:tcPr>
          <w:p w14:paraId="26E42D2C" w14:textId="77777777" w:rsidR="00E03DF5" w:rsidRDefault="00E03DF5" w:rsidP="00DF3913">
            <w:pPr>
              <w:pStyle w:val="TableParagraph"/>
              <w:spacing w:line="229" w:lineRule="exact"/>
              <w:rPr>
                <w:b/>
                <w:sz w:val="20"/>
              </w:rPr>
            </w:pPr>
            <w:r>
              <w:rPr>
                <w:b/>
                <w:sz w:val="20"/>
              </w:rPr>
              <w:t>Treatment</w:t>
            </w:r>
            <w:r>
              <w:rPr>
                <w:b/>
                <w:spacing w:val="-8"/>
                <w:sz w:val="20"/>
              </w:rPr>
              <w:t xml:space="preserve"> </w:t>
            </w:r>
            <w:r>
              <w:rPr>
                <w:b/>
                <w:spacing w:val="-2"/>
                <w:sz w:val="20"/>
              </w:rPr>
              <w:t>phase:</w:t>
            </w:r>
          </w:p>
        </w:tc>
        <w:tc>
          <w:tcPr>
            <w:tcW w:w="7392" w:type="dxa"/>
          </w:tcPr>
          <w:p w14:paraId="1AA5ACB4" w14:textId="77777777" w:rsidR="00E03DF5" w:rsidRDefault="00E03DF5" w:rsidP="00DF3913">
            <w:pPr>
              <w:pStyle w:val="TableParagraph"/>
              <w:spacing w:line="229" w:lineRule="exact"/>
              <w:ind w:left="105"/>
              <w:rPr>
                <w:sz w:val="20"/>
              </w:rPr>
            </w:pPr>
            <w:r>
              <w:rPr>
                <w:sz w:val="20"/>
              </w:rPr>
              <w:t>Continuing</w:t>
            </w:r>
            <w:r>
              <w:rPr>
                <w:spacing w:val="-9"/>
                <w:sz w:val="20"/>
              </w:rPr>
              <w:t xml:space="preserve"> </w:t>
            </w:r>
            <w:r>
              <w:rPr>
                <w:sz w:val="20"/>
              </w:rPr>
              <w:t>treatment</w:t>
            </w:r>
            <w:r>
              <w:rPr>
                <w:spacing w:val="-7"/>
                <w:sz w:val="20"/>
              </w:rPr>
              <w:t xml:space="preserve"> </w:t>
            </w:r>
            <w:r>
              <w:rPr>
                <w:sz w:val="20"/>
              </w:rPr>
              <w:t>–</w:t>
            </w:r>
            <w:r>
              <w:rPr>
                <w:spacing w:val="-8"/>
                <w:sz w:val="20"/>
              </w:rPr>
              <w:t xml:space="preserve"> </w:t>
            </w:r>
            <w:r>
              <w:rPr>
                <w:sz w:val="20"/>
              </w:rPr>
              <w:t>first</w:t>
            </w:r>
            <w:r>
              <w:rPr>
                <w:spacing w:val="-9"/>
                <w:sz w:val="20"/>
              </w:rPr>
              <w:t xml:space="preserve"> </w:t>
            </w:r>
            <w:r>
              <w:rPr>
                <w:sz w:val="20"/>
              </w:rPr>
              <w:t>continuing</w:t>
            </w:r>
            <w:r>
              <w:rPr>
                <w:spacing w:val="-8"/>
                <w:sz w:val="20"/>
              </w:rPr>
              <w:t xml:space="preserve"> </w:t>
            </w:r>
            <w:r>
              <w:rPr>
                <w:spacing w:val="-2"/>
                <w:sz w:val="20"/>
              </w:rPr>
              <w:t>treatment</w:t>
            </w:r>
          </w:p>
        </w:tc>
      </w:tr>
      <w:tr w:rsidR="00E03DF5" w14:paraId="6F2D2F22" w14:textId="77777777" w:rsidTr="00FF58A4">
        <w:trPr>
          <w:trHeight w:val="20"/>
        </w:trPr>
        <w:tc>
          <w:tcPr>
            <w:tcW w:w="1680" w:type="dxa"/>
          </w:tcPr>
          <w:p w14:paraId="399797C6" w14:textId="0C6061A5" w:rsidR="00E03DF5" w:rsidRPr="002F4726" w:rsidRDefault="00E03DF5" w:rsidP="002F4726">
            <w:pPr>
              <w:pStyle w:val="TableParagraph"/>
              <w:spacing w:line="228" w:lineRule="exact"/>
              <w:rPr>
                <w:b/>
                <w:sz w:val="20"/>
              </w:rPr>
            </w:pPr>
            <w:r>
              <w:rPr>
                <w:b/>
                <w:spacing w:val="-2"/>
                <w:sz w:val="20"/>
              </w:rPr>
              <w:t>Restriction:</w:t>
            </w:r>
          </w:p>
        </w:tc>
        <w:tc>
          <w:tcPr>
            <w:tcW w:w="7392" w:type="dxa"/>
          </w:tcPr>
          <w:p w14:paraId="0F9C0309" w14:textId="2085DD61" w:rsidR="00E03DF5" w:rsidRDefault="002F4726" w:rsidP="002F4726">
            <w:pPr>
              <w:pStyle w:val="TableParagraph"/>
              <w:spacing w:line="240" w:lineRule="auto"/>
              <w:ind w:left="0" w:right="2969"/>
              <w:rPr>
                <w:sz w:val="20"/>
              </w:rPr>
            </w:pPr>
            <w:r>
              <w:rPr>
                <w:rFonts w:ascii="MS Gothic" w:eastAsia="MS Gothic" w:hAnsi="MS Gothic" w:hint="eastAsia"/>
              </w:rPr>
              <w:t>☒</w:t>
            </w:r>
            <w:r w:rsidRPr="002C7C87">
              <w:rPr>
                <w:sz w:val="20"/>
              </w:rPr>
              <w:t>Authority Required –</w:t>
            </w:r>
            <w:r>
              <w:rPr>
                <w:sz w:val="20"/>
              </w:rPr>
              <w:t>Telephone</w:t>
            </w:r>
          </w:p>
        </w:tc>
      </w:tr>
      <w:tr w:rsidR="00E03DF5" w14:paraId="25BE84E5" w14:textId="77777777" w:rsidTr="00FF58A4">
        <w:trPr>
          <w:trHeight w:val="20"/>
        </w:trPr>
        <w:tc>
          <w:tcPr>
            <w:tcW w:w="1680" w:type="dxa"/>
          </w:tcPr>
          <w:p w14:paraId="33761467" w14:textId="77777777" w:rsidR="00E03DF5" w:rsidRDefault="00E03DF5" w:rsidP="00DF3913">
            <w:pPr>
              <w:pStyle w:val="TableParagraph"/>
              <w:spacing w:line="229" w:lineRule="exact"/>
              <w:rPr>
                <w:b/>
                <w:sz w:val="20"/>
              </w:rPr>
            </w:pPr>
            <w:r>
              <w:rPr>
                <w:b/>
                <w:sz w:val="20"/>
              </w:rPr>
              <w:t>Treatment</w:t>
            </w:r>
            <w:r>
              <w:rPr>
                <w:b/>
                <w:spacing w:val="-8"/>
                <w:sz w:val="20"/>
              </w:rPr>
              <w:t xml:space="preserve"> </w:t>
            </w:r>
            <w:r>
              <w:rPr>
                <w:b/>
                <w:spacing w:val="-2"/>
                <w:sz w:val="20"/>
              </w:rPr>
              <w:t>criteria:</w:t>
            </w:r>
          </w:p>
        </w:tc>
        <w:tc>
          <w:tcPr>
            <w:tcW w:w="7392" w:type="dxa"/>
          </w:tcPr>
          <w:p w14:paraId="53F9805E" w14:textId="77777777" w:rsidR="00E03DF5" w:rsidRDefault="00E03DF5" w:rsidP="00DF3913">
            <w:pPr>
              <w:pStyle w:val="TableParagraph"/>
              <w:spacing w:line="229" w:lineRule="exact"/>
              <w:ind w:left="105"/>
              <w:rPr>
                <w:sz w:val="20"/>
              </w:rPr>
            </w:pPr>
            <w:r>
              <w:rPr>
                <w:sz w:val="20"/>
              </w:rPr>
              <w:t>Must</w:t>
            </w:r>
            <w:r>
              <w:rPr>
                <w:spacing w:val="-4"/>
                <w:sz w:val="20"/>
              </w:rPr>
              <w:t xml:space="preserve"> </w:t>
            </w:r>
            <w:r>
              <w:rPr>
                <w:sz w:val="20"/>
              </w:rPr>
              <w:t>be</w:t>
            </w:r>
            <w:r>
              <w:rPr>
                <w:spacing w:val="-4"/>
                <w:sz w:val="20"/>
              </w:rPr>
              <w:t xml:space="preserve"> </w:t>
            </w:r>
            <w:r>
              <w:rPr>
                <w:sz w:val="20"/>
              </w:rPr>
              <w:t>treated</w:t>
            </w:r>
            <w:r>
              <w:rPr>
                <w:spacing w:val="-4"/>
                <w:sz w:val="20"/>
              </w:rPr>
              <w:t xml:space="preserve"> </w:t>
            </w:r>
            <w:r>
              <w:rPr>
                <w:sz w:val="20"/>
              </w:rPr>
              <w:t>by</w:t>
            </w:r>
            <w:r>
              <w:rPr>
                <w:spacing w:val="-4"/>
                <w:sz w:val="20"/>
              </w:rPr>
              <w:t xml:space="preserve"> </w:t>
            </w:r>
            <w:r>
              <w:rPr>
                <w:sz w:val="20"/>
              </w:rPr>
              <w:t>an</w:t>
            </w:r>
            <w:r>
              <w:rPr>
                <w:spacing w:val="-4"/>
                <w:sz w:val="20"/>
              </w:rPr>
              <w:t xml:space="preserve"> </w:t>
            </w:r>
            <w:r>
              <w:rPr>
                <w:spacing w:val="-2"/>
                <w:sz w:val="20"/>
              </w:rPr>
              <w:t>endocrinologist</w:t>
            </w:r>
          </w:p>
        </w:tc>
      </w:tr>
      <w:tr w:rsidR="00E03DF5" w14:paraId="1C157C1E" w14:textId="77777777" w:rsidTr="00FF58A4">
        <w:trPr>
          <w:trHeight w:val="20"/>
        </w:trPr>
        <w:tc>
          <w:tcPr>
            <w:tcW w:w="1680" w:type="dxa"/>
            <w:vMerge w:val="restart"/>
          </w:tcPr>
          <w:p w14:paraId="18FD0A81" w14:textId="77777777" w:rsidR="00E03DF5" w:rsidRDefault="00E03DF5" w:rsidP="00DF3913">
            <w:pPr>
              <w:pStyle w:val="TableParagraph"/>
              <w:spacing w:line="240" w:lineRule="auto"/>
              <w:rPr>
                <w:b/>
                <w:sz w:val="20"/>
              </w:rPr>
            </w:pPr>
            <w:r>
              <w:rPr>
                <w:b/>
                <w:sz w:val="20"/>
              </w:rPr>
              <w:t>Clinical</w:t>
            </w:r>
            <w:r>
              <w:rPr>
                <w:b/>
                <w:spacing w:val="-9"/>
                <w:sz w:val="20"/>
              </w:rPr>
              <w:t xml:space="preserve"> </w:t>
            </w:r>
            <w:r>
              <w:rPr>
                <w:b/>
                <w:spacing w:val="-2"/>
                <w:sz w:val="20"/>
              </w:rPr>
              <w:t>criteria:</w:t>
            </w:r>
          </w:p>
        </w:tc>
        <w:tc>
          <w:tcPr>
            <w:tcW w:w="7392" w:type="dxa"/>
          </w:tcPr>
          <w:p w14:paraId="3E88AB04" w14:textId="71FEAB88" w:rsidR="00E03DF5" w:rsidRDefault="00E03DF5" w:rsidP="00DF3913">
            <w:pPr>
              <w:pStyle w:val="TableParagraph"/>
              <w:spacing w:line="240" w:lineRule="auto"/>
              <w:ind w:left="105"/>
              <w:rPr>
                <w:sz w:val="20"/>
              </w:rPr>
            </w:pPr>
            <w:proofErr w:type="gramStart"/>
            <w:r>
              <w:rPr>
                <w:sz w:val="20"/>
              </w:rPr>
              <w:t>Patient</w:t>
            </w:r>
            <w:proofErr w:type="gramEnd"/>
            <w:r>
              <w:rPr>
                <w:spacing w:val="-4"/>
                <w:sz w:val="20"/>
              </w:rPr>
              <w:t xml:space="preserve"> </w:t>
            </w:r>
            <w:r>
              <w:rPr>
                <w:sz w:val="20"/>
              </w:rPr>
              <w:t>must</w:t>
            </w:r>
            <w:r>
              <w:rPr>
                <w:spacing w:val="-4"/>
                <w:sz w:val="20"/>
              </w:rPr>
              <w:t xml:space="preserve"> </w:t>
            </w:r>
            <w:r>
              <w:rPr>
                <w:sz w:val="20"/>
              </w:rPr>
              <w:t>have</w:t>
            </w:r>
            <w:r>
              <w:rPr>
                <w:spacing w:val="-4"/>
                <w:sz w:val="20"/>
              </w:rPr>
              <w:t xml:space="preserve"> </w:t>
            </w:r>
            <w:r>
              <w:rPr>
                <w:sz w:val="20"/>
              </w:rPr>
              <w:t>received</w:t>
            </w:r>
            <w:r>
              <w:rPr>
                <w:spacing w:val="-4"/>
                <w:sz w:val="20"/>
              </w:rPr>
              <w:t xml:space="preserve"> </w:t>
            </w:r>
            <w:r>
              <w:rPr>
                <w:sz w:val="20"/>
              </w:rPr>
              <w:t>this</w:t>
            </w:r>
            <w:r>
              <w:rPr>
                <w:spacing w:val="-4"/>
                <w:sz w:val="20"/>
              </w:rPr>
              <w:t xml:space="preserve"> </w:t>
            </w:r>
            <w:r>
              <w:rPr>
                <w:sz w:val="20"/>
              </w:rPr>
              <w:t>drug</w:t>
            </w:r>
            <w:r>
              <w:rPr>
                <w:spacing w:val="-4"/>
                <w:sz w:val="20"/>
              </w:rPr>
              <w:t xml:space="preserve"> </w:t>
            </w:r>
            <w:r>
              <w:rPr>
                <w:sz w:val="20"/>
              </w:rPr>
              <w:t>as</w:t>
            </w:r>
            <w:r>
              <w:rPr>
                <w:spacing w:val="-4"/>
                <w:sz w:val="20"/>
              </w:rPr>
              <w:t xml:space="preserve"> </w:t>
            </w:r>
            <w:r>
              <w:rPr>
                <w:sz w:val="20"/>
              </w:rPr>
              <w:t>their</w:t>
            </w:r>
            <w:r>
              <w:rPr>
                <w:spacing w:val="-1"/>
                <w:sz w:val="20"/>
              </w:rPr>
              <w:t xml:space="preserve"> </w:t>
            </w:r>
            <w:r>
              <w:rPr>
                <w:sz w:val="20"/>
              </w:rPr>
              <w:t>most</w:t>
            </w:r>
            <w:r>
              <w:rPr>
                <w:spacing w:val="-4"/>
                <w:sz w:val="20"/>
              </w:rPr>
              <w:t xml:space="preserve"> </w:t>
            </w:r>
            <w:r>
              <w:rPr>
                <w:sz w:val="20"/>
              </w:rPr>
              <w:t>recent</w:t>
            </w:r>
            <w:r>
              <w:rPr>
                <w:spacing w:val="-4"/>
                <w:sz w:val="20"/>
              </w:rPr>
              <w:t xml:space="preserve"> </w:t>
            </w:r>
            <w:r>
              <w:rPr>
                <w:sz w:val="20"/>
              </w:rPr>
              <w:t>course</w:t>
            </w:r>
            <w:r>
              <w:rPr>
                <w:spacing w:val="-4"/>
                <w:sz w:val="20"/>
              </w:rPr>
              <w:t xml:space="preserve"> </w:t>
            </w:r>
            <w:r>
              <w:rPr>
                <w:sz w:val="20"/>
              </w:rPr>
              <w:t>of</w:t>
            </w:r>
            <w:r>
              <w:rPr>
                <w:spacing w:val="-4"/>
                <w:sz w:val="20"/>
              </w:rPr>
              <w:t xml:space="preserve"> </w:t>
            </w:r>
            <w:r>
              <w:rPr>
                <w:sz w:val="20"/>
              </w:rPr>
              <w:t>PBS-subsidised treatment for this condition</w:t>
            </w:r>
          </w:p>
        </w:tc>
      </w:tr>
      <w:tr w:rsidR="00E03DF5" w14:paraId="0477F320" w14:textId="77777777" w:rsidTr="00FF58A4">
        <w:trPr>
          <w:trHeight w:val="20"/>
        </w:trPr>
        <w:tc>
          <w:tcPr>
            <w:tcW w:w="1680" w:type="dxa"/>
            <w:vMerge/>
            <w:tcBorders>
              <w:top w:val="nil"/>
            </w:tcBorders>
          </w:tcPr>
          <w:p w14:paraId="7F473F32" w14:textId="77777777" w:rsidR="00E03DF5" w:rsidRDefault="00E03DF5" w:rsidP="00DF3913">
            <w:pPr>
              <w:rPr>
                <w:sz w:val="2"/>
                <w:szCs w:val="2"/>
              </w:rPr>
            </w:pPr>
          </w:p>
        </w:tc>
        <w:tc>
          <w:tcPr>
            <w:tcW w:w="7392" w:type="dxa"/>
          </w:tcPr>
          <w:p w14:paraId="6B50591F" w14:textId="77777777" w:rsidR="00E03DF5" w:rsidRDefault="00E03DF5" w:rsidP="00DF3913">
            <w:pPr>
              <w:pStyle w:val="TableParagraph"/>
              <w:spacing w:line="229" w:lineRule="exact"/>
              <w:ind w:left="105"/>
              <w:rPr>
                <w:sz w:val="20"/>
              </w:rPr>
            </w:pPr>
            <w:r>
              <w:rPr>
                <w:spacing w:val="-5"/>
                <w:sz w:val="20"/>
              </w:rPr>
              <w:t>AND</w:t>
            </w:r>
          </w:p>
        </w:tc>
      </w:tr>
      <w:tr w:rsidR="00E03DF5" w14:paraId="6CB265FF" w14:textId="77777777" w:rsidTr="00FF58A4">
        <w:trPr>
          <w:trHeight w:val="20"/>
        </w:trPr>
        <w:tc>
          <w:tcPr>
            <w:tcW w:w="1680" w:type="dxa"/>
            <w:vMerge/>
            <w:tcBorders>
              <w:top w:val="nil"/>
            </w:tcBorders>
          </w:tcPr>
          <w:p w14:paraId="08B6C5A8" w14:textId="77777777" w:rsidR="00E03DF5" w:rsidRDefault="00E03DF5" w:rsidP="00DF3913">
            <w:pPr>
              <w:rPr>
                <w:sz w:val="2"/>
                <w:szCs w:val="2"/>
              </w:rPr>
            </w:pPr>
          </w:p>
        </w:tc>
        <w:tc>
          <w:tcPr>
            <w:tcW w:w="7392" w:type="dxa"/>
          </w:tcPr>
          <w:p w14:paraId="66C965E4" w14:textId="77777777" w:rsidR="00E03DF5" w:rsidRDefault="00E03DF5" w:rsidP="00DF3913">
            <w:pPr>
              <w:pStyle w:val="TableParagraph"/>
              <w:spacing w:line="240" w:lineRule="auto"/>
              <w:ind w:left="105" w:right="143"/>
              <w:rPr>
                <w:sz w:val="20"/>
              </w:rPr>
            </w:pPr>
            <w:proofErr w:type="gramStart"/>
            <w:r>
              <w:rPr>
                <w:sz w:val="20"/>
              </w:rPr>
              <w:t>Patient</w:t>
            </w:r>
            <w:proofErr w:type="gramEnd"/>
            <w:r>
              <w:rPr>
                <w:spacing w:val="-5"/>
                <w:sz w:val="20"/>
              </w:rPr>
              <w:t xml:space="preserve"> </w:t>
            </w:r>
            <w:r>
              <w:rPr>
                <w:sz w:val="20"/>
              </w:rPr>
              <w:t>must</w:t>
            </w:r>
            <w:r>
              <w:rPr>
                <w:spacing w:val="-5"/>
                <w:sz w:val="20"/>
              </w:rPr>
              <w:t xml:space="preserve"> </w:t>
            </w:r>
            <w:r>
              <w:rPr>
                <w:sz w:val="20"/>
              </w:rPr>
              <w:t>have</w:t>
            </w:r>
            <w:r>
              <w:rPr>
                <w:spacing w:val="-6"/>
                <w:sz w:val="20"/>
              </w:rPr>
              <w:t xml:space="preserve"> </w:t>
            </w:r>
            <w:r>
              <w:rPr>
                <w:sz w:val="20"/>
              </w:rPr>
              <w:t>demonstrated</w:t>
            </w:r>
            <w:r>
              <w:rPr>
                <w:spacing w:val="-3"/>
                <w:sz w:val="20"/>
              </w:rPr>
              <w:t xml:space="preserve"> </w:t>
            </w:r>
            <w:r>
              <w:rPr>
                <w:sz w:val="20"/>
              </w:rPr>
              <w:t>an</w:t>
            </w:r>
            <w:r>
              <w:rPr>
                <w:spacing w:val="-5"/>
                <w:sz w:val="20"/>
              </w:rPr>
              <w:t xml:space="preserve"> </w:t>
            </w:r>
            <w:r>
              <w:rPr>
                <w:sz w:val="20"/>
              </w:rPr>
              <w:t>adequate</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treatment</w:t>
            </w:r>
            <w:r>
              <w:rPr>
                <w:spacing w:val="-6"/>
                <w:sz w:val="20"/>
              </w:rPr>
              <w:t xml:space="preserve"> </w:t>
            </w:r>
            <w:r>
              <w:rPr>
                <w:sz w:val="20"/>
              </w:rPr>
              <w:t>with</w:t>
            </w:r>
            <w:r>
              <w:rPr>
                <w:spacing w:val="-6"/>
                <w:sz w:val="20"/>
              </w:rPr>
              <w:t xml:space="preserve"> </w:t>
            </w:r>
            <w:r>
              <w:rPr>
                <w:sz w:val="20"/>
              </w:rPr>
              <w:t xml:space="preserve">this </w:t>
            </w:r>
            <w:r>
              <w:rPr>
                <w:spacing w:val="-4"/>
                <w:sz w:val="20"/>
              </w:rPr>
              <w:t>drug</w:t>
            </w:r>
          </w:p>
          <w:p w14:paraId="5756CDF1" w14:textId="77777777" w:rsidR="00E03DF5" w:rsidRDefault="00E03DF5" w:rsidP="00DF3913">
            <w:pPr>
              <w:pStyle w:val="TableParagraph"/>
              <w:spacing w:before="229" w:line="240" w:lineRule="auto"/>
              <w:ind w:left="105"/>
              <w:rPr>
                <w:sz w:val="20"/>
              </w:rPr>
            </w:pPr>
            <w:r>
              <w:rPr>
                <w:sz w:val="20"/>
              </w:rPr>
              <w:t>An</w:t>
            </w:r>
            <w:r>
              <w:rPr>
                <w:spacing w:val="-8"/>
                <w:sz w:val="20"/>
              </w:rPr>
              <w:t xml:space="preserve"> </w:t>
            </w:r>
            <w:r>
              <w:rPr>
                <w:sz w:val="20"/>
              </w:rPr>
              <w:t>adequate</w:t>
            </w:r>
            <w:r>
              <w:rPr>
                <w:spacing w:val="-6"/>
                <w:sz w:val="20"/>
              </w:rPr>
              <w:t xml:space="preserve"> </w:t>
            </w:r>
            <w:r>
              <w:rPr>
                <w:sz w:val="20"/>
              </w:rPr>
              <w:t>response</w:t>
            </w:r>
            <w:r>
              <w:rPr>
                <w:spacing w:val="-7"/>
                <w:sz w:val="20"/>
              </w:rPr>
              <w:t xml:space="preserve"> </w:t>
            </w:r>
            <w:r>
              <w:rPr>
                <w:sz w:val="20"/>
              </w:rPr>
              <w:t>to</w:t>
            </w:r>
            <w:r>
              <w:rPr>
                <w:spacing w:val="-7"/>
                <w:sz w:val="20"/>
              </w:rPr>
              <w:t xml:space="preserve"> </w:t>
            </w:r>
            <w:r>
              <w:rPr>
                <w:sz w:val="20"/>
              </w:rPr>
              <w:t>treatment</w:t>
            </w:r>
            <w:r>
              <w:rPr>
                <w:spacing w:val="-7"/>
                <w:sz w:val="20"/>
              </w:rPr>
              <w:t xml:space="preserve"> </w:t>
            </w:r>
            <w:r>
              <w:rPr>
                <w:sz w:val="20"/>
              </w:rPr>
              <w:t>is</w:t>
            </w:r>
            <w:r>
              <w:rPr>
                <w:spacing w:val="-7"/>
                <w:sz w:val="20"/>
              </w:rPr>
              <w:t xml:space="preserve"> </w:t>
            </w:r>
            <w:r>
              <w:rPr>
                <w:sz w:val="20"/>
              </w:rPr>
              <w:t>defined</w:t>
            </w:r>
            <w:r>
              <w:rPr>
                <w:spacing w:val="-6"/>
                <w:sz w:val="20"/>
              </w:rPr>
              <w:t xml:space="preserve"> </w:t>
            </w:r>
            <w:r>
              <w:rPr>
                <w:spacing w:val="-5"/>
                <w:sz w:val="20"/>
              </w:rPr>
              <w:t>as:</w:t>
            </w:r>
          </w:p>
          <w:p w14:paraId="382788E4" w14:textId="77777777" w:rsidR="00E03DF5" w:rsidRDefault="00E03DF5" w:rsidP="00DF3913">
            <w:pPr>
              <w:pStyle w:val="TableParagraph"/>
              <w:spacing w:before="229" w:line="240" w:lineRule="auto"/>
              <w:ind w:left="105" w:right="1546"/>
              <w:rPr>
                <w:sz w:val="20"/>
              </w:rPr>
            </w:pPr>
            <w:r>
              <w:rPr>
                <w:sz w:val="20"/>
              </w:rPr>
              <w:t>An</w:t>
            </w:r>
            <w:r>
              <w:rPr>
                <w:spacing w:val="-7"/>
                <w:sz w:val="20"/>
              </w:rPr>
              <w:t xml:space="preserve"> </w:t>
            </w:r>
            <w:r>
              <w:rPr>
                <w:sz w:val="20"/>
              </w:rPr>
              <w:t>albumin-adjusted</w:t>
            </w:r>
            <w:r>
              <w:rPr>
                <w:spacing w:val="-6"/>
                <w:sz w:val="20"/>
              </w:rPr>
              <w:t xml:space="preserve"> </w:t>
            </w:r>
            <w:r>
              <w:rPr>
                <w:sz w:val="20"/>
              </w:rPr>
              <w:t>serum</w:t>
            </w:r>
            <w:r>
              <w:rPr>
                <w:spacing w:val="-6"/>
                <w:sz w:val="20"/>
              </w:rPr>
              <w:t xml:space="preserve"> </w:t>
            </w:r>
            <w:r>
              <w:rPr>
                <w:sz w:val="20"/>
              </w:rPr>
              <w:t>calcium</w:t>
            </w:r>
            <w:r>
              <w:rPr>
                <w:spacing w:val="-6"/>
                <w:sz w:val="20"/>
              </w:rPr>
              <w:t xml:space="preserve"> </w:t>
            </w:r>
            <w:r>
              <w:rPr>
                <w:sz w:val="20"/>
              </w:rPr>
              <w:t>in</w:t>
            </w:r>
            <w:r>
              <w:rPr>
                <w:spacing w:val="-7"/>
                <w:sz w:val="20"/>
              </w:rPr>
              <w:t xml:space="preserve"> </w:t>
            </w:r>
            <w:r>
              <w:rPr>
                <w:sz w:val="20"/>
              </w:rPr>
              <w:t>the</w:t>
            </w:r>
            <w:r>
              <w:rPr>
                <w:spacing w:val="-4"/>
                <w:sz w:val="20"/>
              </w:rPr>
              <w:t xml:space="preserve"> </w:t>
            </w:r>
            <w:r>
              <w:rPr>
                <w:sz w:val="20"/>
              </w:rPr>
              <w:t>normal</w:t>
            </w:r>
            <w:r>
              <w:rPr>
                <w:spacing w:val="-7"/>
                <w:sz w:val="20"/>
              </w:rPr>
              <w:t xml:space="preserve"> </w:t>
            </w:r>
            <w:r>
              <w:rPr>
                <w:sz w:val="20"/>
              </w:rPr>
              <w:t xml:space="preserve">range </w:t>
            </w:r>
            <w:r>
              <w:rPr>
                <w:spacing w:val="-4"/>
                <w:sz w:val="20"/>
              </w:rPr>
              <w:t>AND</w:t>
            </w:r>
          </w:p>
          <w:p w14:paraId="5FBB73B5" w14:textId="77777777" w:rsidR="00E03DF5" w:rsidRDefault="00E03DF5" w:rsidP="00DF3913">
            <w:pPr>
              <w:pStyle w:val="TableParagraph"/>
              <w:spacing w:line="240" w:lineRule="auto"/>
              <w:ind w:left="105" w:right="2422"/>
              <w:rPr>
                <w:sz w:val="20"/>
              </w:rPr>
            </w:pPr>
            <w:r>
              <w:rPr>
                <w:sz w:val="20"/>
              </w:rPr>
              <w:t>Without</w:t>
            </w:r>
            <w:r>
              <w:rPr>
                <w:spacing w:val="-7"/>
                <w:sz w:val="20"/>
              </w:rPr>
              <w:t xml:space="preserve"> </w:t>
            </w:r>
            <w:r>
              <w:rPr>
                <w:sz w:val="20"/>
              </w:rPr>
              <w:t>concomitant</w:t>
            </w:r>
            <w:r>
              <w:rPr>
                <w:spacing w:val="-8"/>
                <w:sz w:val="20"/>
              </w:rPr>
              <w:t xml:space="preserve"> </w:t>
            </w:r>
            <w:r>
              <w:rPr>
                <w:sz w:val="20"/>
              </w:rPr>
              <w:t>use</w:t>
            </w:r>
            <w:r>
              <w:rPr>
                <w:spacing w:val="-8"/>
                <w:sz w:val="20"/>
              </w:rPr>
              <w:t xml:space="preserve"> </w:t>
            </w:r>
            <w:r>
              <w:rPr>
                <w:sz w:val="20"/>
              </w:rPr>
              <w:t>of</w:t>
            </w:r>
            <w:r>
              <w:rPr>
                <w:spacing w:val="-8"/>
                <w:sz w:val="20"/>
              </w:rPr>
              <w:t xml:space="preserve"> </w:t>
            </w:r>
            <w:r>
              <w:rPr>
                <w:sz w:val="20"/>
              </w:rPr>
              <w:t>active</w:t>
            </w:r>
            <w:r>
              <w:rPr>
                <w:spacing w:val="-5"/>
                <w:sz w:val="20"/>
              </w:rPr>
              <w:t xml:space="preserve"> </w:t>
            </w:r>
            <w:r>
              <w:rPr>
                <w:sz w:val="20"/>
              </w:rPr>
              <w:t>vitamin</w:t>
            </w:r>
            <w:r>
              <w:rPr>
                <w:spacing w:val="-8"/>
                <w:sz w:val="20"/>
              </w:rPr>
              <w:t xml:space="preserve"> </w:t>
            </w:r>
            <w:r>
              <w:rPr>
                <w:sz w:val="20"/>
              </w:rPr>
              <w:t xml:space="preserve">D </w:t>
            </w:r>
            <w:r>
              <w:rPr>
                <w:spacing w:val="-4"/>
                <w:sz w:val="20"/>
              </w:rPr>
              <w:t>AND</w:t>
            </w:r>
          </w:p>
          <w:p w14:paraId="3552E1A3" w14:textId="77777777" w:rsidR="00E03DF5" w:rsidRDefault="00E03DF5" w:rsidP="00DF3913">
            <w:pPr>
              <w:pStyle w:val="TableParagraph"/>
              <w:spacing w:line="240" w:lineRule="auto"/>
              <w:ind w:left="105" w:right="323"/>
              <w:rPr>
                <w:sz w:val="20"/>
              </w:rPr>
            </w:pPr>
            <w:r>
              <w:rPr>
                <w:sz w:val="20"/>
              </w:rPr>
              <w:t>Without</w:t>
            </w:r>
            <w:r>
              <w:rPr>
                <w:spacing w:val="-4"/>
                <w:sz w:val="20"/>
              </w:rPr>
              <w:t xml:space="preserve"> </w:t>
            </w:r>
            <w:r>
              <w:rPr>
                <w:sz w:val="20"/>
              </w:rPr>
              <w:t>concomitant</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elemental</w:t>
            </w:r>
            <w:r>
              <w:rPr>
                <w:spacing w:val="-5"/>
                <w:sz w:val="20"/>
              </w:rPr>
              <w:t xml:space="preserve"> </w:t>
            </w:r>
            <w:r>
              <w:rPr>
                <w:sz w:val="20"/>
              </w:rPr>
              <w:t>calcium</w:t>
            </w:r>
            <w:r>
              <w:rPr>
                <w:spacing w:val="-4"/>
                <w:sz w:val="20"/>
              </w:rPr>
              <w:t xml:space="preserve"> </w:t>
            </w:r>
            <w:r>
              <w:rPr>
                <w:sz w:val="20"/>
              </w:rPr>
              <w:t>at</w:t>
            </w:r>
            <w:r>
              <w:rPr>
                <w:spacing w:val="-4"/>
                <w:sz w:val="20"/>
              </w:rPr>
              <w:t xml:space="preserve"> </w:t>
            </w:r>
            <w:r>
              <w:rPr>
                <w:sz w:val="20"/>
              </w:rPr>
              <w:t>a</w:t>
            </w:r>
            <w:r>
              <w:rPr>
                <w:spacing w:val="-5"/>
                <w:sz w:val="20"/>
              </w:rPr>
              <w:t xml:space="preserve"> </w:t>
            </w:r>
            <w:r>
              <w:rPr>
                <w:sz w:val="20"/>
              </w:rPr>
              <w:t>dose</w:t>
            </w:r>
            <w:r>
              <w:rPr>
                <w:spacing w:val="-4"/>
                <w:sz w:val="20"/>
              </w:rPr>
              <w:t xml:space="preserve"> </w:t>
            </w:r>
            <w:r>
              <w:rPr>
                <w:sz w:val="20"/>
              </w:rPr>
              <w:t>of</w:t>
            </w:r>
            <w:r>
              <w:rPr>
                <w:spacing w:val="-4"/>
                <w:sz w:val="20"/>
              </w:rPr>
              <w:t xml:space="preserve"> </w:t>
            </w:r>
            <w:r>
              <w:rPr>
                <w:sz w:val="20"/>
              </w:rPr>
              <w:t>&gt; 600</w:t>
            </w:r>
            <w:r>
              <w:rPr>
                <w:spacing w:val="-2"/>
                <w:sz w:val="20"/>
              </w:rPr>
              <w:t xml:space="preserve"> </w:t>
            </w:r>
            <w:r>
              <w:rPr>
                <w:sz w:val="20"/>
              </w:rPr>
              <w:t xml:space="preserve">mg/day </w:t>
            </w:r>
            <w:r>
              <w:rPr>
                <w:spacing w:val="-4"/>
                <w:sz w:val="20"/>
              </w:rPr>
              <w:t>AND</w:t>
            </w:r>
          </w:p>
          <w:p w14:paraId="47A6FFDC" w14:textId="77777777" w:rsidR="00E03DF5" w:rsidRDefault="00E03DF5" w:rsidP="00DF3913">
            <w:pPr>
              <w:pStyle w:val="TableParagraph"/>
              <w:spacing w:before="1" w:line="215" w:lineRule="exact"/>
              <w:ind w:left="105"/>
              <w:rPr>
                <w:sz w:val="20"/>
              </w:rPr>
            </w:pPr>
            <w:r>
              <w:rPr>
                <w:sz w:val="20"/>
              </w:rPr>
              <w:t>The</w:t>
            </w:r>
            <w:r>
              <w:rPr>
                <w:spacing w:val="-5"/>
                <w:sz w:val="20"/>
              </w:rPr>
              <w:t xml:space="preserve"> </w:t>
            </w:r>
            <w:r>
              <w:rPr>
                <w:sz w:val="20"/>
              </w:rPr>
              <w:t>dose</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drug</w:t>
            </w:r>
            <w:r>
              <w:rPr>
                <w:spacing w:val="-4"/>
                <w:sz w:val="20"/>
              </w:rPr>
              <w:t xml:space="preserve"> </w:t>
            </w:r>
            <w:r>
              <w:rPr>
                <w:sz w:val="20"/>
              </w:rPr>
              <w:t>must</w:t>
            </w:r>
            <w:r>
              <w:rPr>
                <w:spacing w:val="-5"/>
                <w:sz w:val="20"/>
              </w:rPr>
              <w:t xml:space="preserve"> </w:t>
            </w:r>
            <w:r>
              <w:rPr>
                <w:sz w:val="20"/>
              </w:rPr>
              <w:t>be</w:t>
            </w:r>
            <w:r>
              <w:rPr>
                <w:spacing w:val="-4"/>
                <w:sz w:val="20"/>
              </w:rPr>
              <w:t xml:space="preserve"> </w:t>
            </w:r>
            <w:r>
              <w:rPr>
                <w:sz w:val="20"/>
              </w:rPr>
              <w:t>stable</w:t>
            </w:r>
            <w:r>
              <w:rPr>
                <w:spacing w:val="-4"/>
                <w:sz w:val="20"/>
              </w:rPr>
              <w:t xml:space="preserve"> </w:t>
            </w:r>
            <w:r>
              <w:rPr>
                <w:sz w:val="20"/>
              </w:rPr>
              <w:t>over</w:t>
            </w:r>
            <w:r>
              <w:rPr>
                <w:spacing w:val="-4"/>
                <w:sz w:val="20"/>
              </w:rPr>
              <w:t xml:space="preserve"> </w:t>
            </w:r>
            <w:r>
              <w:rPr>
                <w:sz w:val="20"/>
              </w:rPr>
              <w:t>the</w:t>
            </w:r>
            <w:r>
              <w:rPr>
                <w:spacing w:val="-5"/>
                <w:sz w:val="20"/>
              </w:rPr>
              <w:t xml:space="preserve"> </w:t>
            </w:r>
            <w:r>
              <w:rPr>
                <w:sz w:val="20"/>
              </w:rPr>
              <w:t>last</w:t>
            </w:r>
            <w:r>
              <w:rPr>
                <w:spacing w:val="-5"/>
                <w:sz w:val="20"/>
              </w:rPr>
              <w:t xml:space="preserve"> </w:t>
            </w:r>
            <w:r>
              <w:rPr>
                <w:sz w:val="20"/>
              </w:rPr>
              <w:t>four</w:t>
            </w:r>
            <w:r>
              <w:rPr>
                <w:spacing w:val="-5"/>
                <w:sz w:val="20"/>
              </w:rPr>
              <w:t xml:space="preserve"> </w:t>
            </w:r>
            <w:r>
              <w:rPr>
                <w:spacing w:val="-2"/>
                <w:sz w:val="20"/>
              </w:rPr>
              <w:t>weeks.</w:t>
            </w:r>
          </w:p>
        </w:tc>
      </w:tr>
      <w:tr w:rsidR="00E03DF5" w14:paraId="37E40356" w14:textId="77777777" w:rsidTr="00FF58A4">
        <w:trPr>
          <w:trHeight w:val="20"/>
        </w:trPr>
        <w:tc>
          <w:tcPr>
            <w:tcW w:w="1680" w:type="dxa"/>
          </w:tcPr>
          <w:p w14:paraId="12FFE7FE" w14:textId="212C7E8B" w:rsidR="00E03DF5" w:rsidRPr="001E2570" w:rsidRDefault="00E03DF5" w:rsidP="00DF3913">
            <w:pPr>
              <w:pStyle w:val="TableParagraph"/>
              <w:spacing w:line="229" w:lineRule="exact"/>
              <w:rPr>
                <w:b/>
                <w:sz w:val="20"/>
              </w:rPr>
            </w:pPr>
            <w:r w:rsidRPr="001E2570">
              <w:rPr>
                <w:b/>
                <w:sz w:val="20"/>
              </w:rPr>
              <w:t>Population</w:t>
            </w:r>
            <w:r w:rsidRPr="001E2570">
              <w:rPr>
                <w:b/>
                <w:spacing w:val="-8"/>
                <w:sz w:val="20"/>
              </w:rPr>
              <w:t xml:space="preserve"> </w:t>
            </w:r>
            <w:r w:rsidRPr="001E2570">
              <w:rPr>
                <w:b/>
                <w:spacing w:val="-2"/>
                <w:sz w:val="20"/>
              </w:rPr>
              <w:t>criteria</w:t>
            </w:r>
            <w:r w:rsidR="00FF58A4" w:rsidRPr="001E2570">
              <w:rPr>
                <w:b/>
                <w:spacing w:val="-2"/>
                <w:sz w:val="20"/>
              </w:rPr>
              <w:t>:</w:t>
            </w:r>
          </w:p>
        </w:tc>
        <w:tc>
          <w:tcPr>
            <w:tcW w:w="7392" w:type="dxa"/>
          </w:tcPr>
          <w:p w14:paraId="7E73B497" w14:textId="77777777" w:rsidR="00E03DF5" w:rsidRPr="001E2570" w:rsidRDefault="00E03DF5" w:rsidP="00DF3913">
            <w:pPr>
              <w:pStyle w:val="TableParagraph"/>
              <w:spacing w:line="229" w:lineRule="exact"/>
              <w:ind w:left="105"/>
              <w:rPr>
                <w:sz w:val="20"/>
              </w:rPr>
            </w:pPr>
            <w:r w:rsidRPr="001E2570">
              <w:rPr>
                <w:sz w:val="20"/>
              </w:rPr>
              <w:t>Patient</w:t>
            </w:r>
            <w:r w:rsidRPr="001E2570">
              <w:rPr>
                <w:spacing w:val="-5"/>
                <w:sz w:val="20"/>
              </w:rPr>
              <w:t xml:space="preserve"> </w:t>
            </w:r>
            <w:r w:rsidRPr="001E2570">
              <w:rPr>
                <w:sz w:val="20"/>
              </w:rPr>
              <w:t>must</w:t>
            </w:r>
            <w:r w:rsidRPr="001E2570">
              <w:rPr>
                <w:spacing w:val="-4"/>
                <w:sz w:val="20"/>
              </w:rPr>
              <w:t xml:space="preserve"> </w:t>
            </w:r>
            <w:r w:rsidRPr="001E2570">
              <w:rPr>
                <w:sz w:val="20"/>
              </w:rPr>
              <w:t>be</w:t>
            </w:r>
            <w:r w:rsidRPr="001E2570">
              <w:rPr>
                <w:spacing w:val="-4"/>
                <w:sz w:val="20"/>
              </w:rPr>
              <w:t xml:space="preserve"> </w:t>
            </w:r>
            <w:r w:rsidRPr="001E2570">
              <w:rPr>
                <w:sz w:val="20"/>
              </w:rPr>
              <w:t>≥</w:t>
            </w:r>
            <w:r w:rsidRPr="001E2570">
              <w:rPr>
                <w:spacing w:val="-4"/>
                <w:sz w:val="20"/>
              </w:rPr>
              <w:t xml:space="preserve"> </w:t>
            </w:r>
            <w:r w:rsidRPr="001E2570">
              <w:rPr>
                <w:sz w:val="20"/>
              </w:rPr>
              <w:t>18</w:t>
            </w:r>
            <w:r w:rsidRPr="001E2570">
              <w:rPr>
                <w:spacing w:val="-5"/>
                <w:sz w:val="20"/>
              </w:rPr>
              <w:t xml:space="preserve"> </w:t>
            </w:r>
            <w:r w:rsidRPr="001E2570">
              <w:rPr>
                <w:sz w:val="20"/>
              </w:rPr>
              <w:t>years</w:t>
            </w:r>
            <w:r w:rsidRPr="001E2570">
              <w:rPr>
                <w:spacing w:val="-2"/>
                <w:sz w:val="20"/>
              </w:rPr>
              <w:t xml:space="preserve"> </w:t>
            </w:r>
            <w:r w:rsidRPr="001E2570">
              <w:rPr>
                <w:spacing w:val="-5"/>
                <w:sz w:val="20"/>
              </w:rPr>
              <w:t>old</w:t>
            </w:r>
          </w:p>
        </w:tc>
      </w:tr>
    </w:tbl>
    <w:p w14:paraId="4160C519" w14:textId="77777777" w:rsidR="00E03DF5" w:rsidRDefault="00E03DF5" w:rsidP="00E03DF5"/>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7392"/>
      </w:tblGrid>
      <w:tr w:rsidR="00CE5165" w14:paraId="416CCDC4" w14:textId="77777777" w:rsidTr="00FF58A4">
        <w:trPr>
          <w:trHeight w:val="20"/>
        </w:trPr>
        <w:tc>
          <w:tcPr>
            <w:tcW w:w="1680" w:type="dxa"/>
          </w:tcPr>
          <w:p w14:paraId="2D71426A" w14:textId="77777777" w:rsidR="00CE5165" w:rsidRDefault="00CE5165" w:rsidP="00DF3913">
            <w:pPr>
              <w:pStyle w:val="TableParagraph"/>
              <w:spacing w:line="229" w:lineRule="exact"/>
              <w:rPr>
                <w:b/>
                <w:sz w:val="20"/>
              </w:rPr>
            </w:pPr>
            <w:r>
              <w:rPr>
                <w:b/>
                <w:sz w:val="20"/>
              </w:rPr>
              <w:t>Treatment</w:t>
            </w:r>
            <w:r>
              <w:rPr>
                <w:b/>
                <w:spacing w:val="-8"/>
                <w:sz w:val="20"/>
              </w:rPr>
              <w:t xml:space="preserve"> </w:t>
            </w:r>
            <w:r>
              <w:rPr>
                <w:b/>
                <w:spacing w:val="-2"/>
                <w:sz w:val="20"/>
              </w:rPr>
              <w:t>phase:</w:t>
            </w:r>
          </w:p>
        </w:tc>
        <w:tc>
          <w:tcPr>
            <w:tcW w:w="7392" w:type="dxa"/>
          </w:tcPr>
          <w:p w14:paraId="6D0DB1D9" w14:textId="77777777" w:rsidR="00CE5165" w:rsidRDefault="00CE5165" w:rsidP="00DF3913">
            <w:pPr>
              <w:pStyle w:val="TableParagraph"/>
              <w:spacing w:line="229" w:lineRule="exact"/>
              <w:ind w:left="105"/>
              <w:rPr>
                <w:sz w:val="20"/>
              </w:rPr>
            </w:pPr>
            <w:r>
              <w:rPr>
                <w:sz w:val="20"/>
              </w:rPr>
              <w:t>Continuing</w:t>
            </w:r>
            <w:r>
              <w:rPr>
                <w:spacing w:val="-10"/>
                <w:sz w:val="20"/>
              </w:rPr>
              <w:t xml:space="preserve"> </w:t>
            </w:r>
            <w:r>
              <w:rPr>
                <w:sz w:val="20"/>
              </w:rPr>
              <w:t>treatment</w:t>
            </w:r>
            <w:r>
              <w:rPr>
                <w:spacing w:val="-11"/>
                <w:sz w:val="20"/>
              </w:rPr>
              <w:t xml:space="preserve"> </w:t>
            </w:r>
            <w:r>
              <w:rPr>
                <w:sz w:val="20"/>
              </w:rPr>
              <w:t>–</w:t>
            </w:r>
            <w:r>
              <w:rPr>
                <w:spacing w:val="-10"/>
                <w:sz w:val="20"/>
              </w:rPr>
              <w:t xml:space="preserve"> </w:t>
            </w:r>
            <w:r>
              <w:rPr>
                <w:sz w:val="20"/>
              </w:rPr>
              <w:t>subsequent</w:t>
            </w:r>
            <w:r>
              <w:rPr>
                <w:spacing w:val="-10"/>
                <w:sz w:val="20"/>
              </w:rPr>
              <w:t xml:space="preserve"> </w:t>
            </w:r>
            <w:r>
              <w:rPr>
                <w:sz w:val="20"/>
              </w:rPr>
              <w:t>continuing</w:t>
            </w:r>
            <w:r>
              <w:rPr>
                <w:spacing w:val="-10"/>
                <w:sz w:val="20"/>
              </w:rPr>
              <w:t xml:space="preserve"> </w:t>
            </w:r>
            <w:r>
              <w:rPr>
                <w:spacing w:val="-2"/>
                <w:sz w:val="20"/>
              </w:rPr>
              <w:t>treatment</w:t>
            </w:r>
          </w:p>
        </w:tc>
      </w:tr>
      <w:tr w:rsidR="00CE5165" w14:paraId="01DD0EB6" w14:textId="77777777" w:rsidTr="00FF58A4">
        <w:trPr>
          <w:trHeight w:val="20"/>
        </w:trPr>
        <w:tc>
          <w:tcPr>
            <w:tcW w:w="1680" w:type="dxa"/>
          </w:tcPr>
          <w:p w14:paraId="4B5E5600" w14:textId="63903D69" w:rsidR="00CE5165" w:rsidRPr="002F4726" w:rsidRDefault="00CE5165" w:rsidP="002F4726">
            <w:pPr>
              <w:pStyle w:val="TableParagraph"/>
              <w:spacing w:line="228" w:lineRule="exact"/>
              <w:rPr>
                <w:b/>
                <w:sz w:val="20"/>
              </w:rPr>
            </w:pPr>
            <w:r>
              <w:rPr>
                <w:b/>
                <w:spacing w:val="-2"/>
                <w:sz w:val="20"/>
              </w:rPr>
              <w:t>Restriction:</w:t>
            </w:r>
          </w:p>
        </w:tc>
        <w:tc>
          <w:tcPr>
            <w:tcW w:w="7392" w:type="dxa"/>
          </w:tcPr>
          <w:p w14:paraId="6DF59835" w14:textId="7A191691" w:rsidR="00CE5165" w:rsidRDefault="002F4726" w:rsidP="002F4726">
            <w:pPr>
              <w:pStyle w:val="TableParagraph"/>
              <w:spacing w:line="240" w:lineRule="auto"/>
              <w:ind w:left="0" w:right="2969"/>
              <w:rPr>
                <w:sz w:val="20"/>
              </w:rPr>
            </w:pPr>
            <w:r>
              <w:rPr>
                <w:rFonts w:ascii="MS Gothic" w:eastAsia="MS Gothic" w:hAnsi="MS Gothic" w:hint="eastAsia"/>
              </w:rPr>
              <w:t>☒</w:t>
            </w:r>
            <w:r w:rsidRPr="002C7C87">
              <w:rPr>
                <w:sz w:val="20"/>
              </w:rPr>
              <w:t>Authority Required –</w:t>
            </w:r>
            <w:r>
              <w:rPr>
                <w:sz w:val="20"/>
              </w:rPr>
              <w:t>Telephone</w:t>
            </w:r>
          </w:p>
        </w:tc>
      </w:tr>
      <w:tr w:rsidR="00CE5165" w14:paraId="4E6FFC31" w14:textId="77777777" w:rsidTr="00FF58A4">
        <w:trPr>
          <w:trHeight w:val="20"/>
        </w:trPr>
        <w:tc>
          <w:tcPr>
            <w:tcW w:w="1680" w:type="dxa"/>
          </w:tcPr>
          <w:p w14:paraId="188A0D7F" w14:textId="77777777" w:rsidR="00CE5165" w:rsidRDefault="00CE5165" w:rsidP="00DF3913">
            <w:pPr>
              <w:pStyle w:val="TableParagraph"/>
              <w:spacing w:line="229" w:lineRule="exact"/>
              <w:rPr>
                <w:b/>
                <w:sz w:val="20"/>
              </w:rPr>
            </w:pPr>
            <w:r>
              <w:rPr>
                <w:b/>
                <w:sz w:val="20"/>
              </w:rPr>
              <w:t>Treatment</w:t>
            </w:r>
            <w:r>
              <w:rPr>
                <w:b/>
                <w:spacing w:val="-8"/>
                <w:sz w:val="20"/>
              </w:rPr>
              <w:t xml:space="preserve"> </w:t>
            </w:r>
            <w:r>
              <w:rPr>
                <w:b/>
                <w:spacing w:val="-2"/>
                <w:sz w:val="20"/>
              </w:rPr>
              <w:t>criteria:</w:t>
            </w:r>
          </w:p>
        </w:tc>
        <w:tc>
          <w:tcPr>
            <w:tcW w:w="7392" w:type="dxa"/>
          </w:tcPr>
          <w:p w14:paraId="03348F85" w14:textId="77777777" w:rsidR="00CE5165" w:rsidRDefault="00CE5165" w:rsidP="00DF3913">
            <w:pPr>
              <w:pStyle w:val="TableParagraph"/>
              <w:spacing w:line="240" w:lineRule="auto"/>
              <w:ind w:left="105" w:right="2969"/>
              <w:rPr>
                <w:sz w:val="20"/>
              </w:rPr>
            </w:pPr>
            <w:r>
              <w:rPr>
                <w:sz w:val="20"/>
              </w:rPr>
              <w:t>Must</w:t>
            </w:r>
            <w:r>
              <w:rPr>
                <w:spacing w:val="-9"/>
                <w:sz w:val="20"/>
              </w:rPr>
              <w:t xml:space="preserve"> </w:t>
            </w:r>
            <w:r>
              <w:rPr>
                <w:sz w:val="20"/>
              </w:rPr>
              <w:t>be</w:t>
            </w:r>
            <w:r>
              <w:rPr>
                <w:spacing w:val="-9"/>
                <w:sz w:val="20"/>
              </w:rPr>
              <w:t xml:space="preserve"> </w:t>
            </w:r>
            <w:r>
              <w:rPr>
                <w:sz w:val="20"/>
              </w:rPr>
              <w:t>treated</w:t>
            </w:r>
            <w:r>
              <w:rPr>
                <w:spacing w:val="-9"/>
                <w:sz w:val="20"/>
              </w:rPr>
              <w:t xml:space="preserve"> </w:t>
            </w:r>
            <w:r>
              <w:rPr>
                <w:sz w:val="20"/>
              </w:rPr>
              <w:t>by</w:t>
            </w:r>
            <w:r>
              <w:rPr>
                <w:spacing w:val="-9"/>
                <w:sz w:val="20"/>
              </w:rPr>
              <w:t xml:space="preserve"> </w:t>
            </w:r>
            <w:r>
              <w:rPr>
                <w:sz w:val="20"/>
              </w:rPr>
              <w:t>an</w:t>
            </w:r>
            <w:r>
              <w:rPr>
                <w:spacing w:val="-9"/>
                <w:sz w:val="20"/>
              </w:rPr>
              <w:t xml:space="preserve"> </w:t>
            </w:r>
            <w:r>
              <w:rPr>
                <w:sz w:val="20"/>
              </w:rPr>
              <w:t xml:space="preserve">endocrinologist </w:t>
            </w:r>
            <w:r>
              <w:rPr>
                <w:spacing w:val="-6"/>
                <w:sz w:val="20"/>
              </w:rPr>
              <w:t>OR</w:t>
            </w:r>
          </w:p>
          <w:p w14:paraId="12728549" w14:textId="77777777" w:rsidR="00CE5165" w:rsidRDefault="00CE5165" w:rsidP="00DF3913">
            <w:pPr>
              <w:pStyle w:val="TableParagraph"/>
              <w:spacing w:line="230" w:lineRule="exact"/>
              <w:ind w:left="105"/>
              <w:rPr>
                <w:sz w:val="20"/>
              </w:rPr>
            </w:pPr>
            <w:r>
              <w:rPr>
                <w:sz w:val="20"/>
              </w:rPr>
              <w:t>Must</w:t>
            </w:r>
            <w:r>
              <w:rPr>
                <w:spacing w:val="-4"/>
                <w:sz w:val="20"/>
              </w:rPr>
              <w:t xml:space="preserve"> </w:t>
            </w:r>
            <w:r>
              <w:rPr>
                <w:sz w:val="20"/>
              </w:rPr>
              <w:t>be</w:t>
            </w:r>
            <w:r>
              <w:rPr>
                <w:spacing w:val="-3"/>
                <w:sz w:val="20"/>
              </w:rPr>
              <w:t xml:space="preserve"> </w:t>
            </w:r>
            <w:r>
              <w:rPr>
                <w:sz w:val="20"/>
              </w:rPr>
              <w:t>treated</w:t>
            </w:r>
            <w:r>
              <w:rPr>
                <w:spacing w:val="-4"/>
                <w:sz w:val="20"/>
              </w:rPr>
              <w:t xml:space="preserve"> </w:t>
            </w:r>
            <w:r>
              <w:rPr>
                <w:sz w:val="20"/>
              </w:rPr>
              <w:t>by</w:t>
            </w:r>
            <w:r>
              <w:rPr>
                <w:spacing w:val="-4"/>
                <w:sz w:val="20"/>
              </w:rPr>
              <w:t xml:space="preserve"> </w:t>
            </w:r>
            <w:r>
              <w:rPr>
                <w:sz w:val="20"/>
              </w:rPr>
              <w:t>a</w:t>
            </w:r>
            <w:r>
              <w:rPr>
                <w:spacing w:val="-5"/>
                <w:sz w:val="20"/>
              </w:rPr>
              <w:t xml:space="preserve"> </w:t>
            </w:r>
            <w:r>
              <w:rPr>
                <w:sz w:val="20"/>
              </w:rPr>
              <w:t>general</w:t>
            </w:r>
            <w:r>
              <w:rPr>
                <w:spacing w:val="-5"/>
                <w:sz w:val="20"/>
              </w:rPr>
              <w:t xml:space="preserve"> </w:t>
            </w:r>
            <w:r>
              <w:rPr>
                <w:sz w:val="20"/>
              </w:rPr>
              <w:t>practitioner</w:t>
            </w:r>
            <w:r>
              <w:rPr>
                <w:spacing w:val="-4"/>
                <w:sz w:val="20"/>
              </w:rPr>
              <w:t xml:space="preserve"> </w:t>
            </w:r>
            <w:r>
              <w:rPr>
                <w:sz w:val="20"/>
              </w:rPr>
              <w:t>experienced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management</w:t>
            </w:r>
            <w:r>
              <w:rPr>
                <w:spacing w:val="-5"/>
                <w:sz w:val="20"/>
              </w:rPr>
              <w:t xml:space="preserve"> </w:t>
            </w:r>
            <w:r>
              <w:rPr>
                <w:sz w:val="20"/>
              </w:rPr>
              <w:t>of hypoparathyroidism in consultation with an endocrinologist</w:t>
            </w:r>
          </w:p>
        </w:tc>
      </w:tr>
      <w:tr w:rsidR="00164C4A" w:rsidRPr="00384302" w14:paraId="33004C7B" w14:textId="77777777" w:rsidTr="00FF58A4">
        <w:trPr>
          <w:trHeight w:val="20"/>
        </w:trPr>
        <w:tc>
          <w:tcPr>
            <w:tcW w:w="1680" w:type="dxa"/>
            <w:vMerge w:val="restart"/>
          </w:tcPr>
          <w:p w14:paraId="392AB6E6" w14:textId="77777777" w:rsidR="00164C4A" w:rsidRPr="00384302" w:rsidRDefault="00164C4A" w:rsidP="00DF3913">
            <w:pPr>
              <w:pStyle w:val="TableParagraph"/>
              <w:spacing w:line="227" w:lineRule="exact"/>
              <w:rPr>
                <w:b/>
                <w:sz w:val="20"/>
              </w:rPr>
            </w:pPr>
            <w:r w:rsidRPr="00384302">
              <w:rPr>
                <w:b/>
                <w:sz w:val="20"/>
              </w:rPr>
              <w:t>Clinical</w:t>
            </w:r>
            <w:r w:rsidRPr="00384302">
              <w:rPr>
                <w:b/>
                <w:spacing w:val="-9"/>
                <w:sz w:val="20"/>
              </w:rPr>
              <w:t xml:space="preserve"> </w:t>
            </w:r>
            <w:r w:rsidRPr="00384302">
              <w:rPr>
                <w:b/>
                <w:spacing w:val="-2"/>
                <w:sz w:val="20"/>
              </w:rPr>
              <w:t>criteria:</w:t>
            </w:r>
          </w:p>
        </w:tc>
        <w:tc>
          <w:tcPr>
            <w:tcW w:w="7392" w:type="dxa"/>
          </w:tcPr>
          <w:p w14:paraId="36B759E4" w14:textId="520778D1" w:rsidR="00164C4A" w:rsidRPr="00384302" w:rsidRDefault="00164C4A" w:rsidP="00DF3913">
            <w:pPr>
              <w:pStyle w:val="TableParagraph"/>
              <w:spacing w:line="240" w:lineRule="auto"/>
              <w:ind w:left="105"/>
              <w:rPr>
                <w:sz w:val="20"/>
              </w:rPr>
            </w:pPr>
            <w:proofErr w:type="gramStart"/>
            <w:r w:rsidRPr="00384302">
              <w:rPr>
                <w:sz w:val="20"/>
              </w:rPr>
              <w:t>Patient</w:t>
            </w:r>
            <w:proofErr w:type="gramEnd"/>
            <w:r w:rsidRPr="00384302">
              <w:rPr>
                <w:spacing w:val="-3"/>
                <w:sz w:val="20"/>
              </w:rPr>
              <w:t xml:space="preserve"> </w:t>
            </w:r>
            <w:r w:rsidRPr="00384302">
              <w:rPr>
                <w:sz w:val="20"/>
              </w:rPr>
              <w:t>must</w:t>
            </w:r>
            <w:r w:rsidRPr="00384302">
              <w:rPr>
                <w:spacing w:val="-3"/>
                <w:sz w:val="20"/>
              </w:rPr>
              <w:t xml:space="preserve"> </w:t>
            </w:r>
            <w:r w:rsidRPr="00384302">
              <w:rPr>
                <w:sz w:val="20"/>
              </w:rPr>
              <w:t>have</w:t>
            </w:r>
            <w:r w:rsidRPr="00384302">
              <w:rPr>
                <w:spacing w:val="-4"/>
                <w:sz w:val="20"/>
              </w:rPr>
              <w:t xml:space="preserve"> </w:t>
            </w:r>
            <w:r w:rsidRPr="00384302">
              <w:rPr>
                <w:sz w:val="20"/>
              </w:rPr>
              <w:t>received</w:t>
            </w:r>
            <w:r w:rsidRPr="00384302">
              <w:rPr>
                <w:spacing w:val="-4"/>
                <w:sz w:val="20"/>
              </w:rPr>
              <w:t xml:space="preserve"> </w:t>
            </w:r>
            <w:r w:rsidRPr="00384302">
              <w:rPr>
                <w:sz w:val="20"/>
              </w:rPr>
              <w:t>this</w:t>
            </w:r>
            <w:r w:rsidRPr="00384302">
              <w:rPr>
                <w:spacing w:val="-4"/>
                <w:sz w:val="20"/>
              </w:rPr>
              <w:t xml:space="preserve"> </w:t>
            </w:r>
            <w:r w:rsidRPr="00384302">
              <w:rPr>
                <w:sz w:val="20"/>
              </w:rPr>
              <w:t>drug</w:t>
            </w:r>
            <w:r w:rsidRPr="00384302">
              <w:rPr>
                <w:spacing w:val="-3"/>
                <w:sz w:val="20"/>
              </w:rPr>
              <w:t xml:space="preserve"> </w:t>
            </w:r>
            <w:r w:rsidRPr="00384302">
              <w:rPr>
                <w:sz w:val="20"/>
              </w:rPr>
              <w:t>as</w:t>
            </w:r>
            <w:r w:rsidRPr="00384302">
              <w:rPr>
                <w:spacing w:val="-3"/>
                <w:sz w:val="20"/>
              </w:rPr>
              <w:t xml:space="preserve"> </w:t>
            </w:r>
            <w:r w:rsidRPr="00384302">
              <w:rPr>
                <w:sz w:val="20"/>
              </w:rPr>
              <w:t>their</w:t>
            </w:r>
            <w:r w:rsidRPr="00384302">
              <w:rPr>
                <w:spacing w:val="-3"/>
                <w:sz w:val="20"/>
              </w:rPr>
              <w:t xml:space="preserve"> </w:t>
            </w:r>
            <w:r w:rsidRPr="00384302">
              <w:rPr>
                <w:sz w:val="20"/>
              </w:rPr>
              <w:t>most</w:t>
            </w:r>
            <w:r w:rsidRPr="00384302">
              <w:rPr>
                <w:spacing w:val="-3"/>
                <w:sz w:val="20"/>
              </w:rPr>
              <w:t xml:space="preserve"> </w:t>
            </w:r>
            <w:r w:rsidRPr="00384302">
              <w:rPr>
                <w:sz w:val="20"/>
              </w:rPr>
              <w:t>recent</w:t>
            </w:r>
            <w:r w:rsidRPr="00384302">
              <w:rPr>
                <w:spacing w:val="-3"/>
                <w:sz w:val="20"/>
              </w:rPr>
              <w:t xml:space="preserve"> </w:t>
            </w:r>
            <w:r w:rsidRPr="00384302">
              <w:rPr>
                <w:sz w:val="20"/>
              </w:rPr>
              <w:t>course</w:t>
            </w:r>
            <w:r w:rsidRPr="00384302">
              <w:rPr>
                <w:spacing w:val="-4"/>
                <w:sz w:val="20"/>
              </w:rPr>
              <w:t xml:space="preserve"> </w:t>
            </w:r>
            <w:r w:rsidRPr="00384302">
              <w:rPr>
                <w:sz w:val="20"/>
              </w:rPr>
              <w:t>of</w:t>
            </w:r>
            <w:r w:rsidRPr="00384302">
              <w:rPr>
                <w:spacing w:val="-4"/>
                <w:sz w:val="20"/>
              </w:rPr>
              <w:t xml:space="preserve"> </w:t>
            </w:r>
            <w:r w:rsidRPr="00384302">
              <w:rPr>
                <w:sz w:val="20"/>
              </w:rPr>
              <w:t>PBS-subsidised treatment for this condition</w:t>
            </w:r>
          </w:p>
        </w:tc>
      </w:tr>
      <w:tr w:rsidR="00164C4A" w:rsidRPr="00384302" w14:paraId="42B67041" w14:textId="77777777" w:rsidTr="00FF58A4">
        <w:trPr>
          <w:trHeight w:val="20"/>
        </w:trPr>
        <w:tc>
          <w:tcPr>
            <w:tcW w:w="1680" w:type="dxa"/>
            <w:vMerge/>
          </w:tcPr>
          <w:p w14:paraId="2D82DD8E" w14:textId="77777777" w:rsidR="00164C4A" w:rsidRPr="00384302" w:rsidRDefault="00164C4A" w:rsidP="00DF3913">
            <w:pPr>
              <w:rPr>
                <w:sz w:val="2"/>
                <w:szCs w:val="2"/>
              </w:rPr>
            </w:pPr>
          </w:p>
        </w:tc>
        <w:tc>
          <w:tcPr>
            <w:tcW w:w="7392" w:type="dxa"/>
          </w:tcPr>
          <w:p w14:paraId="107A6662" w14:textId="77777777" w:rsidR="00164C4A" w:rsidRPr="00384302" w:rsidRDefault="00164C4A" w:rsidP="00DF3913">
            <w:pPr>
              <w:pStyle w:val="TableParagraph"/>
              <w:spacing w:line="227" w:lineRule="exact"/>
              <w:ind w:left="105"/>
              <w:rPr>
                <w:sz w:val="20"/>
              </w:rPr>
            </w:pPr>
            <w:r w:rsidRPr="00384302">
              <w:rPr>
                <w:spacing w:val="-5"/>
                <w:sz w:val="20"/>
              </w:rPr>
              <w:t>AND</w:t>
            </w:r>
          </w:p>
        </w:tc>
      </w:tr>
      <w:tr w:rsidR="00791E81" w:rsidRPr="00384302" w14:paraId="2B499EE9" w14:textId="77777777" w:rsidTr="00791E81">
        <w:trPr>
          <w:trHeight w:val="98"/>
        </w:trPr>
        <w:tc>
          <w:tcPr>
            <w:tcW w:w="1680" w:type="dxa"/>
            <w:vMerge/>
          </w:tcPr>
          <w:p w14:paraId="6BFD3F5C" w14:textId="77777777" w:rsidR="00791E81" w:rsidRPr="00384302" w:rsidRDefault="00791E81" w:rsidP="00DF3913">
            <w:pPr>
              <w:rPr>
                <w:sz w:val="2"/>
                <w:szCs w:val="2"/>
              </w:rPr>
            </w:pPr>
          </w:p>
        </w:tc>
        <w:tc>
          <w:tcPr>
            <w:tcW w:w="7392" w:type="dxa"/>
          </w:tcPr>
          <w:p w14:paraId="6D748CC7" w14:textId="77777777" w:rsidR="00791E81" w:rsidRPr="001E2570" w:rsidRDefault="00791E81" w:rsidP="00DF3913">
            <w:pPr>
              <w:pStyle w:val="TableParagraph"/>
              <w:spacing w:line="229" w:lineRule="exact"/>
              <w:ind w:left="105"/>
              <w:rPr>
                <w:sz w:val="20"/>
              </w:rPr>
            </w:pPr>
            <w:proofErr w:type="gramStart"/>
            <w:r w:rsidRPr="001E2570">
              <w:rPr>
                <w:sz w:val="20"/>
              </w:rPr>
              <w:t>Patient</w:t>
            </w:r>
            <w:proofErr w:type="gramEnd"/>
            <w:r w:rsidRPr="001E2570">
              <w:rPr>
                <w:spacing w:val="-9"/>
                <w:sz w:val="20"/>
              </w:rPr>
              <w:t xml:space="preserve"> </w:t>
            </w:r>
            <w:r w:rsidRPr="001E2570">
              <w:rPr>
                <w:sz w:val="20"/>
              </w:rPr>
              <w:t>must</w:t>
            </w:r>
            <w:r w:rsidRPr="001E2570">
              <w:rPr>
                <w:spacing w:val="-8"/>
                <w:sz w:val="20"/>
              </w:rPr>
              <w:t xml:space="preserve"> </w:t>
            </w:r>
            <w:r w:rsidRPr="001E2570">
              <w:rPr>
                <w:sz w:val="20"/>
              </w:rPr>
              <w:t>be</w:t>
            </w:r>
            <w:r w:rsidRPr="001E2570">
              <w:rPr>
                <w:spacing w:val="-8"/>
                <w:sz w:val="20"/>
              </w:rPr>
              <w:t xml:space="preserve"> </w:t>
            </w:r>
            <w:r w:rsidRPr="001E2570">
              <w:rPr>
                <w:sz w:val="20"/>
              </w:rPr>
              <w:t>undergoing</w:t>
            </w:r>
            <w:r w:rsidRPr="001E2570">
              <w:rPr>
                <w:spacing w:val="-8"/>
                <w:sz w:val="20"/>
              </w:rPr>
              <w:t xml:space="preserve"> </w:t>
            </w:r>
            <w:r w:rsidRPr="001E2570">
              <w:rPr>
                <w:sz w:val="20"/>
              </w:rPr>
              <w:t>regular</w:t>
            </w:r>
            <w:r w:rsidRPr="001E2570">
              <w:rPr>
                <w:spacing w:val="-8"/>
                <w:sz w:val="20"/>
              </w:rPr>
              <w:t xml:space="preserve"> </w:t>
            </w:r>
            <w:r w:rsidRPr="001E2570">
              <w:rPr>
                <w:sz w:val="20"/>
              </w:rPr>
              <w:t>biochemistry</w:t>
            </w:r>
            <w:r w:rsidRPr="001E2570">
              <w:rPr>
                <w:spacing w:val="-9"/>
                <w:sz w:val="20"/>
              </w:rPr>
              <w:t xml:space="preserve"> </w:t>
            </w:r>
            <w:r w:rsidRPr="001E2570">
              <w:rPr>
                <w:sz w:val="20"/>
              </w:rPr>
              <w:t>serum/urine</w:t>
            </w:r>
            <w:r w:rsidRPr="001E2570">
              <w:rPr>
                <w:spacing w:val="-8"/>
                <w:sz w:val="20"/>
              </w:rPr>
              <w:t xml:space="preserve"> </w:t>
            </w:r>
            <w:r w:rsidRPr="001E2570">
              <w:rPr>
                <w:spacing w:val="-2"/>
                <w:sz w:val="20"/>
              </w:rPr>
              <w:t>testing</w:t>
            </w:r>
          </w:p>
        </w:tc>
      </w:tr>
      <w:tr w:rsidR="00CE5165" w:rsidRPr="00384302" w14:paraId="45E31BCC" w14:textId="77777777" w:rsidTr="00FF58A4">
        <w:trPr>
          <w:trHeight w:val="20"/>
        </w:trPr>
        <w:tc>
          <w:tcPr>
            <w:tcW w:w="1680" w:type="dxa"/>
          </w:tcPr>
          <w:p w14:paraId="42622AC9" w14:textId="56CCACE4" w:rsidR="00CE5165" w:rsidRPr="001E2570" w:rsidRDefault="00CE5165" w:rsidP="00DF3913">
            <w:pPr>
              <w:pStyle w:val="TableParagraph"/>
              <w:spacing w:line="227" w:lineRule="exact"/>
              <w:rPr>
                <w:b/>
                <w:sz w:val="20"/>
              </w:rPr>
            </w:pPr>
            <w:r w:rsidRPr="001E2570">
              <w:rPr>
                <w:b/>
                <w:sz w:val="20"/>
              </w:rPr>
              <w:t>Population</w:t>
            </w:r>
            <w:r w:rsidRPr="001E2570">
              <w:rPr>
                <w:b/>
                <w:spacing w:val="-8"/>
                <w:sz w:val="20"/>
              </w:rPr>
              <w:t xml:space="preserve"> </w:t>
            </w:r>
            <w:r w:rsidRPr="001E2570">
              <w:rPr>
                <w:b/>
                <w:spacing w:val="-2"/>
                <w:sz w:val="20"/>
              </w:rPr>
              <w:t>criteria</w:t>
            </w:r>
            <w:r w:rsidR="00FF58A4" w:rsidRPr="001E2570">
              <w:rPr>
                <w:b/>
                <w:spacing w:val="-2"/>
                <w:sz w:val="20"/>
              </w:rPr>
              <w:t>:</w:t>
            </w:r>
          </w:p>
        </w:tc>
        <w:tc>
          <w:tcPr>
            <w:tcW w:w="7392" w:type="dxa"/>
          </w:tcPr>
          <w:p w14:paraId="4B102833" w14:textId="132F0FD9" w:rsidR="00CE5165" w:rsidRPr="001E2570" w:rsidRDefault="00CE5165" w:rsidP="00DF3913">
            <w:pPr>
              <w:pStyle w:val="TableParagraph"/>
              <w:spacing w:line="227" w:lineRule="exact"/>
              <w:ind w:left="105"/>
              <w:rPr>
                <w:sz w:val="20"/>
                <w:szCs w:val="20"/>
              </w:rPr>
            </w:pPr>
            <w:r w:rsidRPr="001E2570">
              <w:rPr>
                <w:sz w:val="20"/>
                <w:szCs w:val="20"/>
              </w:rPr>
              <w:t>Patient</w:t>
            </w:r>
            <w:r w:rsidRPr="001E2570">
              <w:rPr>
                <w:spacing w:val="-5"/>
                <w:sz w:val="20"/>
                <w:szCs w:val="20"/>
              </w:rPr>
              <w:t xml:space="preserve"> </w:t>
            </w:r>
            <w:r w:rsidRPr="001E2570">
              <w:rPr>
                <w:sz w:val="20"/>
                <w:szCs w:val="20"/>
              </w:rPr>
              <w:t>must</w:t>
            </w:r>
            <w:r w:rsidRPr="001E2570">
              <w:rPr>
                <w:spacing w:val="-4"/>
                <w:sz w:val="20"/>
                <w:szCs w:val="20"/>
              </w:rPr>
              <w:t xml:space="preserve"> </w:t>
            </w:r>
            <w:r w:rsidRPr="001E2570">
              <w:rPr>
                <w:sz w:val="20"/>
                <w:szCs w:val="20"/>
              </w:rPr>
              <w:t>be</w:t>
            </w:r>
            <w:r w:rsidRPr="001E2570">
              <w:rPr>
                <w:spacing w:val="-4"/>
                <w:sz w:val="20"/>
                <w:szCs w:val="20"/>
              </w:rPr>
              <w:t xml:space="preserve"> </w:t>
            </w:r>
            <w:r w:rsidRPr="001E2570">
              <w:rPr>
                <w:sz w:val="20"/>
                <w:szCs w:val="20"/>
              </w:rPr>
              <w:t>≥</w:t>
            </w:r>
            <w:r w:rsidRPr="001E2570">
              <w:rPr>
                <w:spacing w:val="-4"/>
                <w:sz w:val="20"/>
                <w:szCs w:val="20"/>
              </w:rPr>
              <w:t xml:space="preserve"> </w:t>
            </w:r>
            <w:r w:rsidRPr="001E2570">
              <w:rPr>
                <w:sz w:val="20"/>
                <w:szCs w:val="20"/>
              </w:rPr>
              <w:t>18</w:t>
            </w:r>
            <w:r w:rsidRPr="001E2570">
              <w:rPr>
                <w:spacing w:val="-5"/>
                <w:sz w:val="20"/>
                <w:szCs w:val="20"/>
              </w:rPr>
              <w:t xml:space="preserve"> </w:t>
            </w:r>
            <w:r w:rsidRPr="001E2570">
              <w:rPr>
                <w:sz w:val="20"/>
                <w:szCs w:val="20"/>
              </w:rPr>
              <w:t>years</w:t>
            </w:r>
            <w:r w:rsidRPr="001E2570">
              <w:rPr>
                <w:spacing w:val="-5"/>
                <w:sz w:val="20"/>
                <w:szCs w:val="20"/>
              </w:rPr>
              <w:t xml:space="preserve"> old</w:t>
            </w:r>
          </w:p>
        </w:tc>
      </w:tr>
    </w:tbl>
    <w:p w14:paraId="1E04AFC9" w14:textId="77777777" w:rsidR="00CE5165" w:rsidRPr="00384302" w:rsidRDefault="00CE5165" w:rsidP="00E03DF5"/>
    <w:p w14:paraId="7F7F5BE0" w14:textId="2BA89992" w:rsidR="009F520C" w:rsidRPr="00384302" w:rsidRDefault="00E03DF5" w:rsidP="00E03DF5">
      <w:pPr>
        <w:pStyle w:val="3-BodyText"/>
      </w:pPr>
      <w:r w:rsidRPr="00384302">
        <w:t>The submission requested a Special Pricing Arrangement (SPA)</w:t>
      </w:r>
      <w:r w:rsidR="00CE5165" w:rsidRPr="00384302">
        <w:t xml:space="preserve"> with an effective price that is </w:t>
      </w:r>
      <w:r w:rsidR="00836BEA" w:rsidRPr="00CA6752">
        <w:rPr>
          <w:color w:val="000000"/>
          <w:w w:val="60"/>
          <w:shd w:val="solid" w:color="000000" w:fill="000000"/>
          <w:fitText w:val="470" w:id="-694428154"/>
          <w14:textFill>
            <w14:solidFill>
              <w14:srgbClr w14:val="000000">
                <w14:alpha w14:val="100000"/>
              </w14:srgbClr>
            </w14:solidFill>
          </w14:textFill>
        </w:rPr>
        <w:t>|||  ||</w:t>
      </w:r>
      <w:r w:rsidR="00836BEA" w:rsidRPr="00CA6752">
        <w:rPr>
          <w:color w:val="000000"/>
          <w:spacing w:val="6"/>
          <w:w w:val="60"/>
          <w:shd w:val="solid" w:color="000000" w:fill="000000"/>
          <w:fitText w:val="470" w:id="-694428154"/>
          <w14:textFill>
            <w14:solidFill>
              <w14:srgbClr w14:val="000000">
                <w14:alpha w14:val="100000"/>
              </w14:srgbClr>
            </w14:solidFill>
          </w14:textFill>
        </w:rPr>
        <w:t>|</w:t>
      </w:r>
      <w:r w:rsidR="00A841BD" w:rsidRPr="00384302">
        <w:t>% less than the published price.</w:t>
      </w:r>
    </w:p>
    <w:p w14:paraId="0121BA65" w14:textId="12525B38" w:rsidR="00975F44" w:rsidRPr="00B22EDA" w:rsidRDefault="1582367F" w:rsidP="00CD19F9">
      <w:pPr>
        <w:pStyle w:val="3-BodyText"/>
      </w:pPr>
      <w:r w:rsidRPr="383E5602">
        <w:t>The proposed PBS restriction</w:t>
      </w:r>
      <w:r w:rsidR="00D01123">
        <w:t>,</w:t>
      </w:r>
      <w:r w:rsidRPr="383E5602">
        <w:t xml:space="preserve"> which restricts use to patients with chronic HPT which persists for more than 12 months and are inadequately controlled on conventional therapy</w:t>
      </w:r>
      <w:r w:rsidR="00D01123">
        <w:t>,</w:t>
      </w:r>
      <w:r w:rsidR="00680100">
        <w:t xml:space="preserve"> is narrower than the TGA indication</w:t>
      </w:r>
      <w:r w:rsidRPr="383E5602">
        <w:t>.</w:t>
      </w:r>
    </w:p>
    <w:p w14:paraId="05EFA6E5" w14:textId="634B8353" w:rsidR="009F520C" w:rsidRPr="00B22EDA" w:rsidRDefault="009F520C" w:rsidP="009F520C">
      <w:pPr>
        <w:pStyle w:val="3-BodyText"/>
      </w:pPr>
      <w:r w:rsidRPr="00B22EDA">
        <w:t>The submission proposed 3 pre-filled pens</w:t>
      </w:r>
      <w:r w:rsidR="00A86038">
        <w:t xml:space="preserve"> which deliver different doses</w:t>
      </w:r>
      <w:r w:rsidRPr="00B22EDA">
        <w:t xml:space="preserve"> for PBS listing. These doses were consistent with the </w:t>
      </w:r>
      <w:r w:rsidR="00F977AF">
        <w:t xml:space="preserve">Product Information </w:t>
      </w:r>
      <w:r w:rsidRPr="00B22EDA">
        <w:t>and the clinical data presented</w:t>
      </w:r>
      <w:r w:rsidR="00666418" w:rsidRPr="00B22EDA">
        <w:t>.</w:t>
      </w:r>
    </w:p>
    <w:p w14:paraId="55E2427B" w14:textId="02E585FC" w:rsidR="009F520C" w:rsidRPr="00B22EDA" w:rsidRDefault="009F520C" w:rsidP="00995674">
      <w:pPr>
        <w:pStyle w:val="3-BodyText"/>
        <w:numPr>
          <w:ilvl w:val="2"/>
          <w:numId w:val="10"/>
        </w:numPr>
        <w:ind w:left="1080"/>
      </w:pPr>
      <w:r w:rsidRPr="00B22EDA">
        <w:t xml:space="preserve">168 mcg/0.56 mL solution for injection in pre-filled pen (each pre-filled pen delivers doses of 6, 9, or 12 mcg of </w:t>
      </w:r>
      <w:r w:rsidR="00531D82" w:rsidRPr="00B22EDA">
        <w:t>PTH (</w:t>
      </w:r>
      <w:r w:rsidRPr="00B22EDA">
        <w:t>1-34));</w:t>
      </w:r>
    </w:p>
    <w:p w14:paraId="641D57BA" w14:textId="51CDC760" w:rsidR="009F520C" w:rsidRPr="00B22EDA" w:rsidRDefault="009F520C" w:rsidP="00995674">
      <w:pPr>
        <w:pStyle w:val="3-BodyText"/>
        <w:numPr>
          <w:ilvl w:val="2"/>
          <w:numId w:val="10"/>
        </w:numPr>
        <w:ind w:left="1080"/>
      </w:pPr>
      <w:r w:rsidRPr="00B22EDA">
        <w:t xml:space="preserve">294 mcg/0.98 mL solution for injection in pre-filled pen (each pre-filled pen delivers doses of 15, 18, or 21 mcg of </w:t>
      </w:r>
      <w:r w:rsidR="00531D82" w:rsidRPr="00B22EDA">
        <w:t>PTH (</w:t>
      </w:r>
      <w:r w:rsidRPr="00B22EDA">
        <w:t>1-34)) and</w:t>
      </w:r>
    </w:p>
    <w:p w14:paraId="54BB5BC0" w14:textId="7CF71A9E" w:rsidR="009F520C" w:rsidRPr="00B22EDA" w:rsidRDefault="009F520C" w:rsidP="00995674">
      <w:pPr>
        <w:pStyle w:val="3-BodyText"/>
        <w:numPr>
          <w:ilvl w:val="2"/>
          <w:numId w:val="10"/>
        </w:numPr>
        <w:ind w:left="1080"/>
      </w:pPr>
      <w:r w:rsidRPr="00B22EDA">
        <w:t xml:space="preserve">420 mcg/1.4 mL solution for injection in pre-filled pen (each pre-filled pen delivers doses of 24, 27, or 30 mcg of </w:t>
      </w:r>
      <w:r w:rsidR="00531D82" w:rsidRPr="00B22EDA">
        <w:t>PTH (</w:t>
      </w:r>
      <w:r w:rsidRPr="00B22EDA">
        <w:t>1-34)).</w:t>
      </w:r>
    </w:p>
    <w:p w14:paraId="6C300E98" w14:textId="6B92EAAB" w:rsidR="00A841BD" w:rsidRPr="001D07DC" w:rsidRDefault="00E03DF5" w:rsidP="00A841BD">
      <w:pPr>
        <w:pStyle w:val="3-BodyText"/>
      </w:pPr>
      <w:r w:rsidRPr="001D07DC">
        <w:t>The PBS restriction defines chronic HPT as</w:t>
      </w:r>
      <w:r w:rsidR="00803C6B" w:rsidRPr="001D07DC">
        <w:t xml:space="preserve"> having had a diagnosis of HPT for </w:t>
      </w:r>
      <w:r w:rsidRPr="001D07DC">
        <w:t xml:space="preserve">&gt; 12 months. </w:t>
      </w:r>
      <w:r w:rsidR="00E01CA2" w:rsidRPr="001D07DC">
        <w:t>A</w:t>
      </w:r>
      <w:r w:rsidRPr="001D07DC">
        <w:t xml:space="preserve">ll patients in </w:t>
      </w:r>
      <w:r w:rsidR="00C02CF2" w:rsidRPr="001D07DC">
        <w:t xml:space="preserve">the </w:t>
      </w:r>
      <w:r w:rsidRPr="001D07DC">
        <w:t xml:space="preserve">PaTHway </w:t>
      </w:r>
      <w:r w:rsidR="00C02CF2" w:rsidRPr="001D07DC">
        <w:t xml:space="preserve">trial </w:t>
      </w:r>
      <w:r w:rsidRPr="001D07DC">
        <w:t>had HPT for &gt; 12 months.</w:t>
      </w:r>
    </w:p>
    <w:p w14:paraId="20D4D934" w14:textId="1C273927" w:rsidR="003373F0" w:rsidRPr="001D07DC" w:rsidRDefault="00E03DF5" w:rsidP="00850627">
      <w:pPr>
        <w:pStyle w:val="3-BodyText"/>
      </w:pPr>
      <w:r w:rsidRPr="001D07DC">
        <w:t>For initial treatment</w:t>
      </w:r>
      <w:r w:rsidR="1D18D9DA" w:rsidRPr="001D07DC">
        <w:t>,</w:t>
      </w:r>
      <w:r w:rsidRPr="001D07DC">
        <w:t xml:space="preserve"> the PBS restriction outlines a list of criteria for inadequate control</w:t>
      </w:r>
      <w:r w:rsidR="1D18D9DA" w:rsidRPr="001D07DC">
        <w:t xml:space="preserve"> of </w:t>
      </w:r>
      <w:r w:rsidR="2A7AFFF8" w:rsidRPr="001D07DC">
        <w:t>HPT</w:t>
      </w:r>
      <w:r w:rsidRPr="001D07DC">
        <w:t xml:space="preserve">, of which at least one needs to be met for the patient to be eligible for PBS subsidised palopegteriparatide. The criteria for inadequate control </w:t>
      </w:r>
      <w:r w:rsidR="247B9E3B" w:rsidRPr="001D07DC">
        <w:t xml:space="preserve">were </w:t>
      </w:r>
      <w:r w:rsidRPr="001D07DC">
        <w:t>based on the Hypoparathyroidism Summary Statement and Guidelines from the Second International Workshop (Khan International Guidelines)</w:t>
      </w:r>
      <w:r w:rsidR="0082518E" w:rsidRPr="001D07DC">
        <w:rPr>
          <w:rStyle w:val="FootnoteReference"/>
        </w:rPr>
        <w:footnoteReference w:id="2"/>
      </w:r>
      <w:r w:rsidRPr="001D07DC">
        <w:t xml:space="preserve"> and </w:t>
      </w:r>
      <w:r w:rsidR="0D447516" w:rsidRPr="001D07DC">
        <w:t>by</w:t>
      </w:r>
      <w:r w:rsidRPr="001D07DC">
        <w:t xml:space="preserve"> consultation with 9 endocrinologists.</w:t>
      </w:r>
    </w:p>
    <w:p w14:paraId="517226DE" w14:textId="66C81787" w:rsidR="00E03DF5" w:rsidRPr="001D07DC" w:rsidRDefault="0078207F" w:rsidP="168826E2">
      <w:pPr>
        <w:pStyle w:val="3-BodyText"/>
      </w:pPr>
      <w:bookmarkStart w:id="11" w:name="_Ref187931583"/>
      <w:r w:rsidRPr="001D07DC">
        <w:t xml:space="preserve">The criteria for inadequate control </w:t>
      </w:r>
      <w:r w:rsidR="00226D50" w:rsidRPr="001D07DC">
        <w:t xml:space="preserve">in the proposed restriction </w:t>
      </w:r>
      <w:r w:rsidR="009F520C" w:rsidRPr="001D07DC">
        <w:t>were</w:t>
      </w:r>
      <w:r w:rsidRPr="001D07DC">
        <w:t xml:space="preserve"> not aligned with the trial inclusion criteria. The </w:t>
      </w:r>
      <w:r w:rsidR="00CE1BFD" w:rsidRPr="001D07DC">
        <w:t>submission therefore</w:t>
      </w:r>
      <w:r w:rsidRPr="001D07DC">
        <w:t xml:space="preserve"> performed a </w:t>
      </w:r>
      <w:r w:rsidRPr="00F977AF">
        <w:rPr>
          <w:i/>
          <w:iCs/>
        </w:rPr>
        <w:t>post</w:t>
      </w:r>
      <w:r w:rsidR="00CE1BFD" w:rsidRPr="00F977AF">
        <w:rPr>
          <w:i/>
          <w:iCs/>
        </w:rPr>
        <w:t>-</w:t>
      </w:r>
      <w:r w:rsidRPr="00F977AF">
        <w:rPr>
          <w:i/>
          <w:iCs/>
        </w:rPr>
        <w:t>hoc</w:t>
      </w:r>
      <w:r w:rsidRPr="001D07DC">
        <w:t xml:space="preserve"> subgroup analysis </w:t>
      </w:r>
      <w:r w:rsidR="003373F0" w:rsidRPr="001D07DC">
        <w:t xml:space="preserve">for efficacy </w:t>
      </w:r>
      <w:r w:rsidRPr="001D07DC">
        <w:t>to provide evidence for palopegteriparatide in patients who were inadequately controlled</w:t>
      </w:r>
      <w:r w:rsidR="0096772B" w:rsidRPr="001D07DC">
        <w:t>, as per the proposed restriction criteria</w:t>
      </w:r>
      <w:r w:rsidRPr="001D07DC">
        <w:t>.</w:t>
      </w:r>
      <w:r w:rsidR="003373F0" w:rsidRPr="001D07DC">
        <w:t xml:space="preserve"> </w:t>
      </w:r>
      <w:r w:rsidR="001B36B1" w:rsidRPr="001D07DC">
        <w:t>However, t</w:t>
      </w:r>
      <w:r w:rsidR="004C6801" w:rsidRPr="001D07DC">
        <w:t xml:space="preserve">he definition of inadequate control used to define the subgroup was </w:t>
      </w:r>
      <w:r w:rsidR="001B36B1" w:rsidRPr="001D07DC">
        <w:t>in</w:t>
      </w:r>
      <w:r w:rsidR="004C6801" w:rsidRPr="001D07DC">
        <w:t xml:space="preserve">consistent with the proposed PBS restriction </w:t>
      </w:r>
      <w:r w:rsidR="001B36B1" w:rsidRPr="001D07DC">
        <w:t xml:space="preserve">in </w:t>
      </w:r>
      <w:r w:rsidR="004C6801" w:rsidRPr="001D07DC">
        <w:t xml:space="preserve">that </w:t>
      </w:r>
      <w:r w:rsidR="001B36B1" w:rsidRPr="001D07DC">
        <w:t>it</w:t>
      </w:r>
      <w:r w:rsidR="003373F0" w:rsidRPr="001D07DC">
        <w:t xml:space="preserve"> did not include patients who had inadequately controlled serum calcium</w:t>
      </w:r>
      <w:r w:rsidR="00717CD6" w:rsidRPr="001D07DC">
        <w:t xml:space="preserve"> (i.e. &lt; 2.0 mmol/L)</w:t>
      </w:r>
      <w:r w:rsidR="0096464B" w:rsidRPr="001D07DC">
        <w:t>,</w:t>
      </w:r>
      <w:r w:rsidR="003373F0" w:rsidRPr="001D07DC">
        <w:t xml:space="preserve"> as one of the </w:t>
      </w:r>
      <w:r w:rsidR="0096464B" w:rsidRPr="001D07DC">
        <w:t xml:space="preserve">PaTHway </w:t>
      </w:r>
      <w:r w:rsidR="003373F0" w:rsidRPr="001D07DC">
        <w:t>inclusion criteria specified they must have normal serum calcium levels (i.e., albumin-adjusted serum calcium 7.8-10.6 mg/dL (or 1.95-2.64 mmol/L) or ionised serum calcium 4.40-5.29 mg/dL (or 1.10-1.32 mmol/L))</w:t>
      </w:r>
      <w:r w:rsidR="004C6801" w:rsidRPr="001D07DC">
        <w:t xml:space="preserve">. </w:t>
      </w:r>
      <w:r w:rsidR="003373F0" w:rsidRPr="001D07DC">
        <w:t xml:space="preserve">The </w:t>
      </w:r>
      <w:r w:rsidR="00F977AF">
        <w:t>Product Information</w:t>
      </w:r>
      <w:r w:rsidR="00F977AF" w:rsidRPr="001D07DC">
        <w:t xml:space="preserve"> </w:t>
      </w:r>
      <w:r w:rsidR="003373F0" w:rsidRPr="001D07DC">
        <w:t>also specifies patients should have serum calcium in the normal range or slightly below the normal range before starting treatment.</w:t>
      </w:r>
      <w:bookmarkEnd w:id="11"/>
      <w:r w:rsidR="006E30B6" w:rsidRPr="001D07DC">
        <w:t xml:space="preserve"> </w:t>
      </w:r>
    </w:p>
    <w:p w14:paraId="2349FA93" w14:textId="6224DF43" w:rsidR="00E03DF5" w:rsidRPr="001D07DC" w:rsidRDefault="00E03DF5" w:rsidP="383E5602">
      <w:pPr>
        <w:pStyle w:val="3-BodyText"/>
      </w:pPr>
      <w:r w:rsidRPr="001D07DC">
        <w:t xml:space="preserve">The clinical biochemistry cut-offs proposed for inadequate control </w:t>
      </w:r>
      <w:r w:rsidR="265EAE53" w:rsidRPr="001D07DC">
        <w:t xml:space="preserve">for serum calcium, serum phosphate and 24-hour urinary calcium </w:t>
      </w:r>
      <w:r w:rsidRPr="001D07DC">
        <w:t xml:space="preserve">as listed above were appropriate and aligned with Australian pathology reference ranges and agreed upon by </w:t>
      </w:r>
      <w:r w:rsidR="1AC7E3AD" w:rsidRPr="001D07DC">
        <w:t xml:space="preserve">the </w:t>
      </w:r>
      <w:r w:rsidRPr="001D07DC">
        <w:t>9 endocrinologists who work in the treatment of HPT. The submission did not provide any evidence to support the criteri</w:t>
      </w:r>
      <w:r w:rsidR="05875779" w:rsidRPr="001D07DC">
        <w:t>on</w:t>
      </w:r>
      <w:r w:rsidRPr="001D07DC">
        <w:t xml:space="preserve"> for prior emergency room/urgent care visit/hospitalisation for hypoparathyroidism in the previous 6 months as an indication of inadequate control</w:t>
      </w:r>
      <w:r w:rsidR="619283D0" w:rsidRPr="001D07DC">
        <w:t xml:space="preserve"> as it was not included as an inclusion criterion in the Pa</w:t>
      </w:r>
      <w:r w:rsidR="42ED1816" w:rsidRPr="001D07DC">
        <w:t>THway</w:t>
      </w:r>
      <w:r w:rsidR="619283D0" w:rsidRPr="001D07DC">
        <w:t xml:space="preserve"> clinical trial</w:t>
      </w:r>
      <w:r w:rsidRPr="001D07DC">
        <w:t xml:space="preserve">. It is possible that some patients will have had an emergency room/urgent care visit/hospitalisation in the previous 6 months, then subsequently </w:t>
      </w:r>
      <w:r w:rsidR="5C0FD76C" w:rsidRPr="001D07DC">
        <w:t xml:space="preserve">have </w:t>
      </w:r>
      <w:r w:rsidRPr="001D07DC">
        <w:t>been adequately controlled on conventional therapy. Under the proposed PBS restriction, these patients would be eligible for palopegteriparatide despite being adequately controlled on conventional therapy.</w:t>
      </w:r>
      <w:r w:rsidR="265EAE53" w:rsidRPr="001D07DC">
        <w:t xml:space="preserve"> </w:t>
      </w:r>
      <w:r w:rsidR="78E593DA" w:rsidRPr="001D07DC">
        <w:t xml:space="preserve">The ESC </w:t>
      </w:r>
      <w:r w:rsidR="00B21346">
        <w:t xml:space="preserve">and DUSC </w:t>
      </w:r>
      <w:r w:rsidR="78E593DA" w:rsidRPr="001D07DC">
        <w:t>noted t</w:t>
      </w:r>
      <w:r w:rsidR="265EAE53" w:rsidRPr="001D07DC">
        <w:t xml:space="preserve">his </w:t>
      </w:r>
      <w:proofErr w:type="gramStart"/>
      <w:r w:rsidR="00F977AF">
        <w:t>was</w:t>
      </w:r>
      <w:proofErr w:type="gramEnd"/>
      <w:r w:rsidR="00F977AF" w:rsidRPr="001D07DC">
        <w:t xml:space="preserve"> </w:t>
      </w:r>
      <w:r w:rsidR="265EAE53" w:rsidRPr="001D07DC">
        <w:t>likely to apply to a small number of patients</w:t>
      </w:r>
      <w:r w:rsidR="004C3C1A">
        <w:t xml:space="preserve"> and considered that </w:t>
      </w:r>
      <w:r w:rsidR="78E593DA" w:rsidRPr="001D07DC">
        <w:t>i</w:t>
      </w:r>
      <w:r w:rsidR="265EAE53" w:rsidRPr="001D07DC">
        <w:t xml:space="preserve">t </w:t>
      </w:r>
      <w:r w:rsidR="004C3C1A">
        <w:t>would be</w:t>
      </w:r>
      <w:r w:rsidR="004C3C1A" w:rsidRPr="001D07DC">
        <w:t xml:space="preserve"> </w:t>
      </w:r>
      <w:r w:rsidR="265EAE53" w:rsidRPr="001D07DC">
        <w:t>unlikely that an endocrinologist responsible for the care of such a patient would change treatment based on this criterion.</w:t>
      </w:r>
      <w:r w:rsidR="7D548839" w:rsidRPr="001D07DC">
        <w:t xml:space="preserve"> Additionally, the</w:t>
      </w:r>
      <w:r w:rsidR="1C1C106F" w:rsidRPr="001D07DC">
        <w:t xml:space="preserve"> ESC noted that </w:t>
      </w:r>
      <w:r w:rsidR="03B85989" w:rsidRPr="001D07DC">
        <w:t xml:space="preserve">the </w:t>
      </w:r>
      <w:r w:rsidR="7D548839" w:rsidRPr="001D07DC">
        <w:t xml:space="preserve">presence of nephrocalcinosis and renal calculi does not </w:t>
      </w:r>
      <w:r w:rsidR="00B629AB">
        <w:t xml:space="preserve">necessarily </w:t>
      </w:r>
      <w:r w:rsidR="7D548839" w:rsidRPr="001D07DC">
        <w:t xml:space="preserve">indicate current inadequate control </w:t>
      </w:r>
      <w:r w:rsidR="03B85989" w:rsidRPr="001D07DC">
        <w:t xml:space="preserve">of serum calcium </w:t>
      </w:r>
      <w:r w:rsidR="7D548839" w:rsidRPr="001D07DC">
        <w:t xml:space="preserve">and an </w:t>
      </w:r>
      <w:r w:rsidR="003B769D">
        <w:t>estimated glomerular filtration rate (</w:t>
      </w:r>
      <w:r w:rsidR="7D548839" w:rsidRPr="001D07DC">
        <w:t>eGFR</w:t>
      </w:r>
      <w:r w:rsidR="003B769D">
        <w:t>)</w:t>
      </w:r>
      <w:r w:rsidR="7D548839" w:rsidRPr="001D07DC">
        <w:t xml:space="preserve"> &lt; 60mL/min/1.73</w:t>
      </w:r>
      <w:r w:rsidR="003B769D">
        <w:t xml:space="preserve"> </w:t>
      </w:r>
      <w:r w:rsidR="7D548839" w:rsidRPr="001D07DC">
        <w:t>m</w:t>
      </w:r>
      <w:r w:rsidR="7D548839" w:rsidRPr="001D07DC">
        <w:rPr>
          <w:vertAlign w:val="superscript"/>
        </w:rPr>
        <w:t>2</w:t>
      </w:r>
      <w:r w:rsidR="7D548839" w:rsidRPr="001D07DC">
        <w:t xml:space="preserve"> could be due to many other potential causes. Therefore, the ESC </w:t>
      </w:r>
      <w:r w:rsidR="00B21346">
        <w:t xml:space="preserve">and DUSC </w:t>
      </w:r>
      <w:r w:rsidR="7D548839" w:rsidRPr="001D07DC">
        <w:t xml:space="preserve">considered these requirements </w:t>
      </w:r>
      <w:r w:rsidR="03B85989" w:rsidRPr="001D07DC">
        <w:t xml:space="preserve">should </w:t>
      </w:r>
      <w:r w:rsidR="7D548839" w:rsidRPr="001D07DC">
        <w:t>be removed from the proposed restriction.</w:t>
      </w:r>
      <w:r w:rsidR="00C56024">
        <w:t xml:space="preserve"> The pre-PBAC response </w:t>
      </w:r>
      <w:r w:rsidR="005630FB">
        <w:t>requested</w:t>
      </w:r>
      <w:r w:rsidR="00C56024">
        <w:t xml:space="preserve"> that </w:t>
      </w:r>
      <w:r w:rsidR="00A04DFC">
        <w:t xml:space="preserve">the criteria </w:t>
      </w:r>
      <w:r w:rsidR="00E35469">
        <w:t>requiring a history of nephrolithiasis and a history of nephrocalcinosis be included</w:t>
      </w:r>
      <w:r w:rsidR="005630FB">
        <w:t>.</w:t>
      </w:r>
    </w:p>
    <w:p w14:paraId="169EF0D3" w14:textId="0C020053" w:rsidR="00BD0C79" w:rsidRPr="001D07DC" w:rsidRDefault="42B4894A">
      <w:pPr>
        <w:pStyle w:val="3-BodyText"/>
      </w:pPr>
      <w:r w:rsidRPr="001D07DC">
        <w:t>The ESC noted that p</w:t>
      </w:r>
      <w:r w:rsidR="37503E60" w:rsidRPr="001D07DC">
        <w:t>alopegteriparatide has not been studied in patients with severe renal impairment (eGFR &lt; 30 mL/min/1.73 m</w:t>
      </w:r>
      <w:r w:rsidR="37503E60" w:rsidRPr="001D07DC">
        <w:rPr>
          <w:vertAlign w:val="superscript"/>
        </w:rPr>
        <w:t>2</w:t>
      </w:r>
      <w:r w:rsidR="37503E60" w:rsidRPr="001D07DC">
        <w:t>).</w:t>
      </w:r>
      <w:r w:rsidR="3E81C1F8" w:rsidRPr="001D07DC">
        <w:t xml:space="preserve"> Therefore, the ESC considered </w:t>
      </w:r>
      <w:r w:rsidR="74251982" w:rsidRPr="001D07DC">
        <w:t>the inclusion of the following clinical criterion be appropriate “Patient must not have an eGFR of less than or equal to 30 mL/min/1.73</w:t>
      </w:r>
      <w:r w:rsidR="00B314A6">
        <w:t xml:space="preserve"> </w:t>
      </w:r>
      <w:r w:rsidR="74251982" w:rsidRPr="001D07DC">
        <w:t>m</w:t>
      </w:r>
      <w:r w:rsidR="74251982" w:rsidRPr="001D07DC">
        <w:rPr>
          <w:vertAlign w:val="superscript"/>
        </w:rPr>
        <w:t>2</w:t>
      </w:r>
      <w:r w:rsidR="74251982" w:rsidRPr="001D07DC">
        <w:t>”.</w:t>
      </w:r>
      <w:r w:rsidR="00BC2108">
        <w:t xml:space="preserve"> The pre-PBAC response stated that this was a reasonable inclusion.</w:t>
      </w:r>
    </w:p>
    <w:p w14:paraId="6A8996A8" w14:textId="4D9F9774" w:rsidR="00BD0C79" w:rsidRPr="001D07DC" w:rsidRDefault="37503E60" w:rsidP="00E03DF5">
      <w:pPr>
        <w:pStyle w:val="3-BodyText"/>
      </w:pPr>
      <w:r w:rsidRPr="001D07DC">
        <w:t xml:space="preserve">The PBS restriction is restricted to patients </w:t>
      </w:r>
      <w:r w:rsidRPr="001D07DC">
        <w:rPr>
          <w:rFonts w:cs="Calibri"/>
        </w:rPr>
        <w:t>≥</w:t>
      </w:r>
      <w:r w:rsidRPr="001D07DC">
        <w:t xml:space="preserve"> 18 years which is aligned with PaTHway. The submission did not discuss the treatment of HPT in patients aged &lt; 18 years.</w:t>
      </w:r>
      <w:r w:rsidR="3942B191" w:rsidRPr="001D07DC">
        <w:t xml:space="preserve"> The ESC </w:t>
      </w:r>
      <w:r w:rsidR="4470440C" w:rsidRPr="001D07DC">
        <w:t xml:space="preserve">considered </w:t>
      </w:r>
      <w:r w:rsidR="15AB06B1" w:rsidRPr="001D07DC">
        <w:t xml:space="preserve">that </w:t>
      </w:r>
      <w:r w:rsidR="2AD6D789" w:rsidRPr="001D07DC">
        <w:t xml:space="preserve">it may be appropriate for </w:t>
      </w:r>
      <w:r w:rsidR="15AB06B1" w:rsidRPr="001D07DC">
        <w:t xml:space="preserve">the </w:t>
      </w:r>
      <w:r w:rsidR="7B19F616" w:rsidRPr="001D07DC">
        <w:t xml:space="preserve">restriction </w:t>
      </w:r>
      <w:r w:rsidR="2AD6D789" w:rsidRPr="001D07DC">
        <w:t>to</w:t>
      </w:r>
      <w:r w:rsidR="7B19F616" w:rsidRPr="001D07DC">
        <w:t xml:space="preserve"> be age agnostic</w:t>
      </w:r>
      <w:r w:rsidR="05CC2841" w:rsidRPr="001D07DC">
        <w:t>.</w:t>
      </w:r>
    </w:p>
    <w:p w14:paraId="3B659A3A" w14:textId="54D5215C" w:rsidR="00BD0C79" w:rsidRPr="001D07DC" w:rsidRDefault="37503E60" w:rsidP="383E5602">
      <w:pPr>
        <w:pStyle w:val="3-BodyText"/>
      </w:pPr>
      <w:r w:rsidRPr="001D07DC">
        <w:t xml:space="preserve">The first continuing treatment restriction required patients to </w:t>
      </w:r>
      <w:r w:rsidR="7C6C5F88" w:rsidRPr="001D07DC">
        <w:t xml:space="preserve">have demonstrated an adequate response to treatment, defined as </w:t>
      </w:r>
      <w:r w:rsidR="6FE4AE10" w:rsidRPr="001D07DC">
        <w:t>an albu</w:t>
      </w:r>
      <w:r w:rsidR="7DE748D0" w:rsidRPr="001D07DC">
        <w:t>min-adjusted serum calcium in the normal range</w:t>
      </w:r>
      <w:r w:rsidR="0F14D819" w:rsidRPr="001D07DC">
        <w:t xml:space="preserve">, AND without concomitant use of active vitamin D, AND without concomitant use of elemental calcium at a dose of &gt; 600 mg/day, AND the dose of this drug must be stable over the last four weeks, </w:t>
      </w:r>
      <w:r w:rsidRPr="001D07DC">
        <w:t xml:space="preserve">to continue treatment. The </w:t>
      </w:r>
      <w:r w:rsidR="0F14D819" w:rsidRPr="001D07DC">
        <w:t xml:space="preserve">ESC noted that the </w:t>
      </w:r>
      <w:r w:rsidRPr="001D07DC">
        <w:t xml:space="preserve">subsequent continuing treatment restriction does not require patients to meet any </w:t>
      </w:r>
      <w:r w:rsidR="00B629AB">
        <w:t xml:space="preserve">specific </w:t>
      </w:r>
      <w:r w:rsidRPr="001D07DC">
        <w:t xml:space="preserve">response criteria to continue treatment. </w:t>
      </w:r>
      <w:r w:rsidR="675F9F4A" w:rsidRPr="001D07DC">
        <w:t xml:space="preserve">The ESC </w:t>
      </w:r>
      <w:r w:rsidR="00683F8F">
        <w:t xml:space="preserve">and DUSC </w:t>
      </w:r>
      <w:r w:rsidR="347DEB4F" w:rsidRPr="001D07DC">
        <w:t>considered that</w:t>
      </w:r>
      <w:r w:rsidR="052E1E9C" w:rsidRPr="001D07DC">
        <w:t xml:space="preserve"> the</w:t>
      </w:r>
      <w:r w:rsidR="177F8395" w:rsidRPr="001D07DC">
        <w:t xml:space="preserve"> defining factors confirming an adequate response to treatment </w:t>
      </w:r>
      <w:r w:rsidR="052E1E9C" w:rsidRPr="001D07DC">
        <w:t xml:space="preserve">in the </w:t>
      </w:r>
      <w:r w:rsidR="347DEB4F" w:rsidRPr="001D07DC">
        <w:t xml:space="preserve">first </w:t>
      </w:r>
      <w:r w:rsidR="052E1E9C" w:rsidRPr="001D07DC">
        <w:t xml:space="preserve">continuing treatment </w:t>
      </w:r>
      <w:r w:rsidR="347DEB4F" w:rsidRPr="001D07DC">
        <w:t>were</w:t>
      </w:r>
      <w:r w:rsidR="052E1E9C" w:rsidRPr="001D07DC">
        <w:t xml:space="preserve"> reasonable and aligned with the clinical trial. The ESC</w:t>
      </w:r>
      <w:r w:rsidR="00683F8F">
        <w:t xml:space="preserve"> and DUSC</w:t>
      </w:r>
      <w:r w:rsidR="052E1E9C" w:rsidRPr="001D07DC">
        <w:t xml:space="preserve"> considered </w:t>
      </w:r>
      <w:r w:rsidR="347DEB4F" w:rsidRPr="001D07DC">
        <w:t xml:space="preserve">that </w:t>
      </w:r>
      <w:r w:rsidR="5A01AB88" w:rsidRPr="001D07DC">
        <w:t xml:space="preserve">the subsequent continuing restriction </w:t>
      </w:r>
      <w:r w:rsidR="617A1F09" w:rsidRPr="001D07DC">
        <w:t>should also require patients to have demonstrated an adequate response to treatment (defined as per the first continuing restriction</w:t>
      </w:r>
      <w:r w:rsidR="09D8CF66" w:rsidRPr="001D07DC">
        <w:t>)</w:t>
      </w:r>
      <w:r w:rsidR="4C4E581F" w:rsidRPr="001D07DC">
        <w:t xml:space="preserve">. </w:t>
      </w:r>
    </w:p>
    <w:p w14:paraId="575C9CF6" w14:textId="2217782C" w:rsidR="00556F51" w:rsidRPr="00C160EB" w:rsidRDefault="00556F51" w:rsidP="00556F51">
      <w:pPr>
        <w:pStyle w:val="3-BodyText"/>
        <w:numPr>
          <w:ilvl w:val="0"/>
          <w:numId w:val="0"/>
        </w:numPr>
        <w:ind w:left="720"/>
        <w:rPr>
          <w:i/>
          <w:iCs/>
          <w:color w:val="000000" w:themeColor="text1"/>
        </w:rPr>
      </w:pPr>
      <w:r w:rsidRPr="00C33D30">
        <w:rPr>
          <w:i/>
        </w:rPr>
        <w:t>For more detail on PBAC’s view, see section 7 PBAC outcome.</w:t>
      </w:r>
    </w:p>
    <w:p w14:paraId="7075B85C" w14:textId="62A47B7B" w:rsidR="00B50DB8" w:rsidRPr="0098262F" w:rsidDel="00195452" w:rsidRDefault="00203181" w:rsidP="004E18E9">
      <w:pPr>
        <w:pStyle w:val="2-SectionHeading"/>
      </w:pPr>
      <w:bookmarkStart w:id="12" w:name="_Toc187766410"/>
      <w:r w:rsidRPr="0098262F" w:rsidDel="00195452">
        <w:t xml:space="preserve">Population and </w:t>
      </w:r>
      <w:r w:rsidR="008E0D3C" w:rsidRPr="0098262F" w:rsidDel="00195452">
        <w:t>d</w:t>
      </w:r>
      <w:r w:rsidRPr="0098262F" w:rsidDel="00195452">
        <w:t>isease</w:t>
      </w:r>
      <w:bookmarkEnd w:id="12"/>
    </w:p>
    <w:p w14:paraId="7B7AEE74" w14:textId="08813193" w:rsidR="00A62AD7" w:rsidRDefault="621D9789" w:rsidP="00A62AD7">
      <w:pPr>
        <w:pStyle w:val="3-BodyText"/>
      </w:pPr>
      <w:r w:rsidRPr="383E5602">
        <w:t>HPT is characterised by impaired or inadequate levels of PTH. PTH is responsible for calcium and phosphate homeostasis via bone resorption, kidney transport of calcium and phosphorus and intestinal calcium absorption. As a result, people with HPT experience low serum calcium, high urinary calcium and increased serum phosphate.</w:t>
      </w:r>
    </w:p>
    <w:p w14:paraId="24DAFBC6" w14:textId="43CA77F5" w:rsidR="00FD484D" w:rsidRDefault="00FD484D" w:rsidP="00A62AD7">
      <w:pPr>
        <w:pStyle w:val="3-BodyText"/>
      </w:pPr>
      <w:r>
        <w:t>HPT is</w:t>
      </w:r>
      <w:r w:rsidRPr="009D238D">
        <w:t xml:space="preserve"> associated with a spectrum of clinical manifestations, ranging from few, if any, symptoms when hypocalcaemia is mild, to life-threatening seizures, refractory heart failure, or laryngospasm if it is severe.</w:t>
      </w:r>
      <w:r>
        <w:t xml:space="preserve"> Chronic manifestations of the disease </w:t>
      </w:r>
      <w:r w:rsidRPr="00187D6E">
        <w:t>(and potentially</w:t>
      </w:r>
      <w:r w:rsidR="00FF29B4" w:rsidRPr="00187D6E">
        <w:t xml:space="preserve"> from</w:t>
      </w:r>
      <w:r w:rsidRPr="00187D6E">
        <w:t xml:space="preserve"> treatment with calcium and vitamin D</w:t>
      </w:r>
      <w:r w:rsidR="006E557C" w:rsidRPr="00187D6E">
        <w:t>)</w:t>
      </w:r>
      <w:r w:rsidRPr="00187D6E">
        <w:t xml:space="preserve"> may include chronic kidney disease (CKD), </w:t>
      </w:r>
      <w:r w:rsidR="000068D1" w:rsidRPr="00187D6E">
        <w:t>soft tissue calcification (e</w:t>
      </w:r>
      <w:r w:rsidR="00096E5C" w:rsidRPr="00187D6E">
        <w:t>.</w:t>
      </w:r>
      <w:r w:rsidR="000068D1" w:rsidRPr="00187D6E">
        <w:t>g</w:t>
      </w:r>
      <w:r w:rsidR="00096E5C" w:rsidRPr="00187D6E">
        <w:t>.</w:t>
      </w:r>
      <w:r w:rsidR="000068D1" w:rsidRPr="00187D6E">
        <w:t xml:space="preserve"> </w:t>
      </w:r>
      <w:r w:rsidRPr="00187D6E">
        <w:t>basal ganglia</w:t>
      </w:r>
      <w:r w:rsidR="000068D1" w:rsidRPr="00A509B8">
        <w:t>)</w:t>
      </w:r>
      <w:r w:rsidRPr="00187D6E">
        <w:t>,</w:t>
      </w:r>
      <w:r>
        <w:t xml:space="preserve"> neuromuscular symptoms such as seizures, tetany and muscle stiffness, above average bone mineral density (BMD), cataracts and cardiovascular symptoms such as cardiomyopathy, congestive heart failure and ischaemic heart disease. A large </w:t>
      </w:r>
      <w:r w:rsidR="0025497B">
        <w:t xml:space="preserve">Danish </w:t>
      </w:r>
      <w:r>
        <w:t>study</w:t>
      </w:r>
      <w:r w:rsidRPr="168826E2">
        <w:rPr>
          <w:i/>
          <w:iCs/>
          <w:vertAlign w:val="superscript"/>
        </w:rPr>
        <w:footnoteReference w:id="3"/>
      </w:r>
      <w:r>
        <w:t xml:space="preserve"> found </w:t>
      </w:r>
      <w:r w:rsidRPr="00890EEB">
        <w:t xml:space="preserve">no difference in survival </w:t>
      </w:r>
      <w:r>
        <w:t xml:space="preserve">compared to the general population </w:t>
      </w:r>
      <w:r w:rsidRPr="00890EEB">
        <w:t xml:space="preserve">after 22 years of follow-up of </w:t>
      </w:r>
      <w:r w:rsidR="0025497B">
        <w:t>Danish</w:t>
      </w:r>
      <w:r w:rsidR="000068D1" w:rsidRPr="00890EEB">
        <w:t xml:space="preserve"> </w:t>
      </w:r>
      <w:r w:rsidRPr="00890EEB">
        <w:t xml:space="preserve">patients with postsurgical HPT due to surgery for non-malignant diseases treated between 1988 and 2012 (688 </w:t>
      </w:r>
      <w:r>
        <w:t>HPT</w:t>
      </w:r>
      <w:r w:rsidRPr="00890EEB">
        <w:t xml:space="preserve"> cases compared to 2</w:t>
      </w:r>
      <w:r>
        <w:t>,</w:t>
      </w:r>
      <w:r w:rsidRPr="00890EEB">
        <w:t>064 control patients)</w:t>
      </w:r>
      <w:r>
        <w:t>.</w:t>
      </w:r>
    </w:p>
    <w:p w14:paraId="39884A98" w14:textId="6C0DCBA7" w:rsidR="00FD5D08" w:rsidRDefault="62C2E3AB" w:rsidP="00FD5D08">
      <w:pPr>
        <w:pStyle w:val="3-BodyText"/>
      </w:pPr>
      <w:r w:rsidRPr="383E5602">
        <w:t>Current first line management of HPT is calcium and active vitamin D. Patients who achieve normal serum calcium levels with conventional therapy may still experience symptoms of the condition itself, such as renal insufficiency, hypercalciuria and have impaired quality of life. Patients who are inadequately controlled on conventional therapy experience significant burden of illness because of the symptoms of HPT such as physical fatigue, muscle cramps, heaviness in limbs, tingling which affects the ability to exercise, sleep and work. Prolonged use of high dose calcium and active vitamin D may increase the risk of hypercalciuria, renal stones, renal calcinosis, impaired renal function and ectopic soft tissue calcification.</w:t>
      </w:r>
    </w:p>
    <w:p w14:paraId="7AB6AA31" w14:textId="013225C1" w:rsidR="00D42D87" w:rsidRDefault="247B9E3B" w:rsidP="00DF3913">
      <w:pPr>
        <w:pStyle w:val="3-BodyText"/>
      </w:pPr>
      <w:r w:rsidRPr="383E5602">
        <w:t>HPT can develop as a result of surgery (75% of all cases) or non-surgical (e.g. autoimmune, idiopathic or genetic). In post-surgical HPT, incidence may be acute/transient or chronic.</w:t>
      </w:r>
    </w:p>
    <w:p w14:paraId="1201A1E2" w14:textId="44DE5DB1" w:rsidR="00611291" w:rsidRDefault="00611291" w:rsidP="00611291">
      <w:pPr>
        <w:pStyle w:val="3-BodyText"/>
      </w:pPr>
      <w:r w:rsidRPr="4D2BAA30">
        <w:t xml:space="preserve">Palopegteriparatide is a PTH replacement therapy. It is a prodrug of PTH, </w:t>
      </w:r>
      <w:r w:rsidR="00531D82" w:rsidRPr="4D2BAA30">
        <w:t>PTH (</w:t>
      </w:r>
      <w:r w:rsidRPr="4D2BAA30">
        <w:t>1-34), thereby returning PTH levels within the normal range across a 24-hour dosing period and returning calcium homeostasis.</w:t>
      </w:r>
    </w:p>
    <w:p w14:paraId="63AC267B" w14:textId="6D938A6A" w:rsidR="00611291" w:rsidRPr="00D2741D" w:rsidRDefault="621D9789" w:rsidP="00611291">
      <w:pPr>
        <w:pStyle w:val="3-BodyText"/>
      </w:pPr>
      <w:r w:rsidRPr="383E5602">
        <w:t>Palopegteriparatide is administered once daily via subcutaneous injection with sustained release of PTH</w:t>
      </w:r>
      <w:r w:rsidR="008A5F2F">
        <w:t xml:space="preserve">. </w:t>
      </w:r>
      <w:r w:rsidRPr="383E5602">
        <w:t xml:space="preserve">The starting dose of palopegteriparatide is 18 mcg once daily, increasing by 3 mcg every 7 days to the maintenance dose. The maintenance dose is </w:t>
      </w:r>
      <w:r w:rsidR="3D9EA6D5" w:rsidRPr="004B1089">
        <w:t xml:space="preserve">defined as </w:t>
      </w:r>
      <w:r w:rsidR="73BE30CC" w:rsidRPr="004B1089">
        <w:t>the dose</w:t>
      </w:r>
      <w:r w:rsidR="73BE30CC" w:rsidRPr="383E5602">
        <w:rPr>
          <w:i/>
          <w:iCs/>
        </w:rPr>
        <w:t xml:space="preserve"> </w:t>
      </w:r>
      <w:r w:rsidRPr="383E5602">
        <w:t xml:space="preserve">which achieves serum calcium </w:t>
      </w:r>
      <w:r w:rsidR="2DAC65F4" w:rsidRPr="383E5602">
        <w:t xml:space="preserve">in </w:t>
      </w:r>
      <w:r w:rsidRPr="383E5602">
        <w:t>the normal range without the need for active vitamin D or therapeutic doses of calcium (&gt; 600 mcg daily).</w:t>
      </w:r>
    </w:p>
    <w:p w14:paraId="3DC37EA7" w14:textId="3EBB1DD2" w:rsidR="009662FE" w:rsidRDefault="009662FE" w:rsidP="00611291">
      <w:pPr>
        <w:pStyle w:val="3-BodyText"/>
      </w:pPr>
      <w:r w:rsidRPr="00B22EDA">
        <w:t>This is the first time the PBAC has considered a drug for the treatment of chronic HPT.</w:t>
      </w:r>
      <w:r w:rsidR="00FB229D" w:rsidRPr="00B22EDA">
        <w:t xml:space="preserve"> </w:t>
      </w:r>
    </w:p>
    <w:p w14:paraId="663FED0E" w14:textId="61F03A20" w:rsidR="00556F51" w:rsidRPr="00B22EDA" w:rsidRDefault="00556F51" w:rsidP="00556F51">
      <w:pPr>
        <w:pStyle w:val="3-BodyText"/>
        <w:numPr>
          <w:ilvl w:val="0"/>
          <w:numId w:val="0"/>
        </w:numPr>
        <w:ind w:left="720"/>
      </w:pPr>
      <w:r w:rsidRPr="00C33D30">
        <w:rPr>
          <w:i/>
        </w:rPr>
        <w:t>For more detail on PBAC’s view, see section 7 PBAC outcome.</w:t>
      </w:r>
    </w:p>
    <w:p w14:paraId="51E5AE96" w14:textId="136A63B1" w:rsidR="00B50DB8" w:rsidRPr="0098262F" w:rsidRDefault="00B50DB8" w:rsidP="004E18E9">
      <w:pPr>
        <w:pStyle w:val="2-SectionHeading"/>
      </w:pPr>
      <w:bookmarkStart w:id="13" w:name="_Toc187766411"/>
      <w:r w:rsidRPr="0098262F">
        <w:t>Comparator</w:t>
      </w:r>
      <w:bookmarkEnd w:id="13"/>
    </w:p>
    <w:p w14:paraId="08A621F0" w14:textId="573719E5" w:rsidR="00F67D90" w:rsidRPr="00B22EDA" w:rsidRDefault="621E6BDF" w:rsidP="00A32830">
      <w:pPr>
        <w:pStyle w:val="3-BodyText"/>
      </w:pPr>
      <w:bookmarkStart w:id="14" w:name="_Toc22897640"/>
      <w:r w:rsidRPr="383E5602">
        <w:t>The submission nominated conventional therapy</w:t>
      </w:r>
      <w:r w:rsidR="336D0F64" w:rsidRPr="383E5602">
        <w:t xml:space="preserve"> as the comparator. Conventional therapy consists of large doses of calcium and active vitamin D taken several times a day. The submission stated that the average patient takes approximately 6.7 pills per day. The recommended dose of calcium is in the range of 500-3000 mg three times a day. </w:t>
      </w:r>
      <w:r w:rsidR="06DFA839" w:rsidRPr="383E5602">
        <w:t xml:space="preserve">The submission defined therapeutic doses of calcium as &gt; 600 mg/day and supplemental doses of calcium as ≤ 600 mg/day. </w:t>
      </w:r>
      <w:r w:rsidR="336D0F64" w:rsidRPr="383E5602">
        <w:t xml:space="preserve">The recommended dose of </w:t>
      </w:r>
      <w:r w:rsidR="61BF6EDE" w:rsidRPr="383E5602">
        <w:t>vitamin</w:t>
      </w:r>
      <w:r w:rsidR="3CB113E5" w:rsidRPr="383E5602">
        <w:t> </w:t>
      </w:r>
      <w:r w:rsidR="61BF6EDE" w:rsidRPr="383E5602">
        <w:t xml:space="preserve">D </w:t>
      </w:r>
      <w:r w:rsidR="336D0F64" w:rsidRPr="383E5602">
        <w:t>is 0.25-3</w:t>
      </w:r>
      <w:r w:rsidR="00B629AB">
        <w:t>.0</w:t>
      </w:r>
      <w:r w:rsidR="336D0F64" w:rsidRPr="383E5602">
        <w:t xml:space="preserve"> mcg per day. </w:t>
      </w:r>
      <w:r w:rsidRPr="383E5602">
        <w:t xml:space="preserve">Some patients also </w:t>
      </w:r>
      <w:r w:rsidR="4F20AA01" w:rsidRPr="383E5602">
        <w:t xml:space="preserve">receive </w:t>
      </w:r>
      <w:r w:rsidRPr="383E5602">
        <w:t>thiazide diuretics if they develop hypercalciuria.</w:t>
      </w:r>
    </w:p>
    <w:p w14:paraId="58CAA11F" w14:textId="77777777" w:rsidR="000B39D9" w:rsidRPr="00B22EDA" w:rsidRDefault="000B39D9" w:rsidP="000B39D9">
      <w:pPr>
        <w:pStyle w:val="3-BodyText"/>
      </w:pPr>
      <w:r w:rsidRPr="00B22EDA">
        <w:t>The main arguments provided in support of this nomination were:</w:t>
      </w:r>
    </w:p>
    <w:p w14:paraId="70940E4E" w14:textId="4D7BD53D" w:rsidR="000B39D9" w:rsidRPr="00B22EDA" w:rsidRDefault="000B39D9" w:rsidP="00995674">
      <w:pPr>
        <w:pStyle w:val="3-BodyText"/>
        <w:numPr>
          <w:ilvl w:val="1"/>
          <w:numId w:val="11"/>
        </w:numPr>
        <w:ind w:left="1080"/>
      </w:pPr>
      <w:r w:rsidRPr="00B22EDA">
        <w:t>There are no PTH replacement therapies listed on the PBS or registered for use in HPT in Australia.</w:t>
      </w:r>
    </w:p>
    <w:p w14:paraId="7AF5C3B0" w14:textId="77777777" w:rsidR="000B39D9" w:rsidRPr="00B22EDA" w:rsidRDefault="000B39D9" w:rsidP="00995674">
      <w:pPr>
        <w:pStyle w:val="3-BodyText"/>
        <w:numPr>
          <w:ilvl w:val="1"/>
          <w:numId w:val="11"/>
        </w:numPr>
        <w:ind w:left="1080"/>
      </w:pPr>
      <w:r w:rsidRPr="00B22EDA">
        <w:t>The choice of conventional therapy as the comparator was confirmed by Australian endocrinologists.</w:t>
      </w:r>
    </w:p>
    <w:p w14:paraId="4749A206" w14:textId="58259105" w:rsidR="000B39D9" w:rsidRDefault="1C2657A0" w:rsidP="000B39D9">
      <w:pPr>
        <w:pStyle w:val="3-BodyText"/>
      </w:pPr>
      <w:r w:rsidRPr="001D07DC">
        <w:t xml:space="preserve">The </w:t>
      </w:r>
      <w:r w:rsidR="53A14113" w:rsidRPr="001D07DC">
        <w:t xml:space="preserve">ESC considered that the </w:t>
      </w:r>
      <w:r w:rsidRPr="001D07DC">
        <w:t>choice of conventional</w:t>
      </w:r>
      <w:r w:rsidRPr="383E5602">
        <w:t xml:space="preserve"> therapy as the comparator for palopegteriparatide was appropriate</w:t>
      </w:r>
      <w:r w:rsidR="5047A176" w:rsidRPr="383E5602">
        <w:t>.</w:t>
      </w:r>
    </w:p>
    <w:p w14:paraId="5E0B2B86" w14:textId="20715E31" w:rsidR="00556F51" w:rsidRPr="00B22EDA" w:rsidRDefault="00556F51" w:rsidP="00556F51">
      <w:pPr>
        <w:pStyle w:val="3-BodyText"/>
        <w:numPr>
          <w:ilvl w:val="0"/>
          <w:numId w:val="0"/>
        </w:numPr>
        <w:ind w:left="720"/>
      </w:pPr>
      <w:r w:rsidRPr="00C33D30">
        <w:rPr>
          <w:i/>
        </w:rPr>
        <w:t>For more detail on PBAC’s view, see section 7 PBAC outcome.</w:t>
      </w:r>
    </w:p>
    <w:p w14:paraId="2DD4A80B" w14:textId="77777777" w:rsidR="00CC3D51" w:rsidRPr="0098262F" w:rsidRDefault="00CC3D51" w:rsidP="00CC3D51">
      <w:pPr>
        <w:pStyle w:val="2-SectionHeading"/>
        <w:numPr>
          <w:ilvl w:val="0"/>
          <w:numId w:val="1"/>
        </w:numPr>
      </w:pPr>
      <w:bookmarkStart w:id="15" w:name="_Toc187766412"/>
      <w:bookmarkStart w:id="16" w:name="_Toc22897645"/>
      <w:bookmarkEnd w:id="1"/>
      <w:bookmarkEnd w:id="14"/>
      <w:r w:rsidRPr="0098262F">
        <w:t>Consideration of the evidence</w:t>
      </w:r>
      <w:bookmarkEnd w:id="15"/>
    </w:p>
    <w:p w14:paraId="100856B3" w14:textId="77777777" w:rsidR="0032139C" w:rsidRPr="006E1229" w:rsidRDefault="0032139C" w:rsidP="0032139C">
      <w:pPr>
        <w:pStyle w:val="4-SubsectionHeading"/>
      </w:pPr>
      <w:bookmarkStart w:id="17" w:name="_Hlk76375935"/>
      <w:bookmarkStart w:id="18" w:name="_Toc187766413"/>
      <w:r w:rsidRPr="006E1229">
        <w:t>Sponsor hearing</w:t>
      </w:r>
    </w:p>
    <w:p w14:paraId="7DC88F0E" w14:textId="2E3F31F9" w:rsidR="00D7609E" w:rsidRDefault="0032139C" w:rsidP="0032139C">
      <w:pPr>
        <w:widowControl w:val="0"/>
        <w:numPr>
          <w:ilvl w:val="1"/>
          <w:numId w:val="1"/>
        </w:numPr>
        <w:spacing w:after="120"/>
        <w:rPr>
          <w:rFonts w:asciiTheme="minorHAnsi" w:hAnsiTheme="minorHAnsi"/>
          <w:bCs/>
          <w:snapToGrid w:val="0"/>
        </w:rPr>
      </w:pPr>
      <w:bookmarkStart w:id="19" w:name="_Hlk76382586"/>
      <w:r w:rsidRPr="00836F75">
        <w:rPr>
          <w:rFonts w:asciiTheme="minorHAnsi" w:hAnsiTheme="minorHAnsi"/>
          <w:bCs/>
          <w:snapToGrid w:val="0"/>
        </w:rPr>
        <w:t xml:space="preserve">The sponsor requested a hearing for this item.  The clinician </w:t>
      </w:r>
      <w:r w:rsidR="00674464">
        <w:rPr>
          <w:rFonts w:asciiTheme="minorHAnsi" w:hAnsiTheme="minorHAnsi"/>
          <w:bCs/>
          <w:snapToGrid w:val="0"/>
        </w:rPr>
        <w:t xml:space="preserve">noted the high clinical need for </w:t>
      </w:r>
      <w:r w:rsidR="00005E94">
        <w:rPr>
          <w:rFonts w:asciiTheme="minorHAnsi" w:hAnsiTheme="minorHAnsi"/>
          <w:bCs/>
          <w:snapToGrid w:val="0"/>
        </w:rPr>
        <w:t xml:space="preserve">additional treatments </w:t>
      </w:r>
      <w:r w:rsidR="00FD168A">
        <w:rPr>
          <w:rFonts w:asciiTheme="minorHAnsi" w:hAnsiTheme="minorHAnsi"/>
          <w:bCs/>
          <w:snapToGrid w:val="0"/>
        </w:rPr>
        <w:t>for</w:t>
      </w:r>
      <w:r w:rsidR="00005E94">
        <w:rPr>
          <w:rFonts w:asciiTheme="minorHAnsi" w:hAnsiTheme="minorHAnsi"/>
          <w:bCs/>
          <w:snapToGrid w:val="0"/>
        </w:rPr>
        <w:t xml:space="preserve"> patients who were inadequately controlled </w:t>
      </w:r>
      <w:r w:rsidR="00D56E73">
        <w:rPr>
          <w:rFonts w:asciiTheme="minorHAnsi" w:hAnsiTheme="minorHAnsi"/>
          <w:bCs/>
          <w:snapToGrid w:val="0"/>
        </w:rPr>
        <w:t>with conventional</w:t>
      </w:r>
      <w:r w:rsidR="00BE2668">
        <w:rPr>
          <w:rFonts w:asciiTheme="minorHAnsi" w:hAnsiTheme="minorHAnsi"/>
          <w:bCs/>
          <w:snapToGrid w:val="0"/>
        </w:rPr>
        <w:t xml:space="preserve"> therapies</w:t>
      </w:r>
      <w:r w:rsidR="00D56E73">
        <w:rPr>
          <w:rFonts w:asciiTheme="minorHAnsi" w:hAnsiTheme="minorHAnsi"/>
          <w:bCs/>
          <w:snapToGrid w:val="0"/>
        </w:rPr>
        <w:t xml:space="preserve">. The clinician </w:t>
      </w:r>
      <w:r w:rsidR="00BE2668">
        <w:rPr>
          <w:rFonts w:asciiTheme="minorHAnsi" w:hAnsiTheme="minorHAnsi"/>
          <w:bCs/>
          <w:snapToGrid w:val="0"/>
        </w:rPr>
        <w:t>noted that for some patients</w:t>
      </w:r>
      <w:r w:rsidR="00D56E73">
        <w:rPr>
          <w:rFonts w:asciiTheme="minorHAnsi" w:hAnsiTheme="minorHAnsi"/>
          <w:bCs/>
          <w:snapToGrid w:val="0"/>
        </w:rPr>
        <w:t xml:space="preserve">, </w:t>
      </w:r>
      <w:r w:rsidR="00E117A8">
        <w:rPr>
          <w:rFonts w:asciiTheme="minorHAnsi" w:hAnsiTheme="minorHAnsi"/>
          <w:bCs/>
          <w:snapToGrid w:val="0"/>
        </w:rPr>
        <w:t>HPT was difficult to treat</w:t>
      </w:r>
      <w:r w:rsidR="00A1082D">
        <w:rPr>
          <w:rFonts w:asciiTheme="minorHAnsi" w:hAnsiTheme="minorHAnsi"/>
          <w:bCs/>
          <w:snapToGrid w:val="0"/>
        </w:rPr>
        <w:t xml:space="preserve"> </w:t>
      </w:r>
      <w:r w:rsidR="004E1EA2">
        <w:rPr>
          <w:rFonts w:asciiTheme="minorHAnsi" w:hAnsiTheme="minorHAnsi"/>
          <w:bCs/>
          <w:snapToGrid w:val="0"/>
        </w:rPr>
        <w:t xml:space="preserve">and that the balance between acceptable calcium levels and symptom control whist avoiding complications such as hypercalciuria </w:t>
      </w:r>
      <w:r w:rsidR="00D7609E">
        <w:rPr>
          <w:rFonts w:asciiTheme="minorHAnsi" w:hAnsiTheme="minorHAnsi"/>
          <w:bCs/>
          <w:snapToGrid w:val="0"/>
        </w:rPr>
        <w:t>was difficult to maintain, affecting patients</w:t>
      </w:r>
      <w:r w:rsidR="00DD23CD">
        <w:rPr>
          <w:rFonts w:asciiTheme="minorHAnsi" w:hAnsiTheme="minorHAnsi"/>
          <w:bCs/>
          <w:snapToGrid w:val="0"/>
        </w:rPr>
        <w:t>’</w:t>
      </w:r>
      <w:r w:rsidR="00D7609E">
        <w:rPr>
          <w:rFonts w:asciiTheme="minorHAnsi" w:hAnsiTheme="minorHAnsi"/>
          <w:bCs/>
          <w:snapToGrid w:val="0"/>
        </w:rPr>
        <w:t xml:space="preserve"> quality of life.</w:t>
      </w:r>
    </w:p>
    <w:p w14:paraId="5737F0FC" w14:textId="00E00A6E" w:rsidR="00FD168A" w:rsidRDefault="00FD168A" w:rsidP="0032139C">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clinician noted the clinical effectiveness of palopegteriparatide, stating that the PaTHway trial demonstrated that palopegteriparatide was associated with improvements in serum calcium levels, reduced doses of conventional therapy and improved 24-hour urine calcium excretion. Further, it was noted that palopegteriparatide was associated with improvements in downstream symptoms of HPT including eGFR and quality of life outcomes. </w:t>
      </w:r>
    </w:p>
    <w:p w14:paraId="01D5D4A1" w14:textId="27F634BD" w:rsidR="00DD23CD" w:rsidRDefault="00D7609E" w:rsidP="0032139C">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clinician also </w:t>
      </w:r>
      <w:r w:rsidR="00E54E9E">
        <w:rPr>
          <w:rFonts w:asciiTheme="minorHAnsi" w:hAnsiTheme="minorHAnsi"/>
          <w:bCs/>
          <w:snapToGrid w:val="0"/>
        </w:rPr>
        <w:t xml:space="preserve">described </w:t>
      </w:r>
      <w:r w:rsidR="00EA470E">
        <w:rPr>
          <w:rFonts w:asciiTheme="minorHAnsi" w:hAnsiTheme="minorHAnsi"/>
          <w:bCs/>
          <w:snapToGrid w:val="0"/>
        </w:rPr>
        <w:t>that,</w:t>
      </w:r>
      <w:r w:rsidR="00E54E9E">
        <w:rPr>
          <w:rFonts w:asciiTheme="minorHAnsi" w:hAnsiTheme="minorHAnsi"/>
          <w:bCs/>
          <w:snapToGrid w:val="0"/>
        </w:rPr>
        <w:t xml:space="preserve"> </w:t>
      </w:r>
      <w:r w:rsidR="009106D1">
        <w:rPr>
          <w:rFonts w:asciiTheme="minorHAnsi" w:hAnsiTheme="minorHAnsi"/>
          <w:bCs/>
          <w:snapToGrid w:val="0"/>
        </w:rPr>
        <w:t xml:space="preserve">for patients in the conventional therapy arm of the </w:t>
      </w:r>
      <w:r w:rsidR="007C7564">
        <w:rPr>
          <w:rFonts w:asciiTheme="minorHAnsi" w:hAnsiTheme="minorHAnsi"/>
          <w:bCs/>
          <w:snapToGrid w:val="0"/>
        </w:rPr>
        <w:t>PaTHway trial</w:t>
      </w:r>
      <w:r w:rsidR="00EA470E">
        <w:rPr>
          <w:rFonts w:asciiTheme="minorHAnsi" w:hAnsiTheme="minorHAnsi"/>
          <w:bCs/>
          <w:snapToGrid w:val="0"/>
        </w:rPr>
        <w:t xml:space="preserve"> with normal serum calcium levels</w:t>
      </w:r>
      <w:r w:rsidR="00E54E9E">
        <w:rPr>
          <w:rFonts w:asciiTheme="minorHAnsi" w:hAnsiTheme="minorHAnsi"/>
          <w:bCs/>
          <w:snapToGrid w:val="0"/>
        </w:rPr>
        <w:t xml:space="preserve">, placebo was </w:t>
      </w:r>
      <w:r w:rsidR="00EA470E">
        <w:rPr>
          <w:rFonts w:asciiTheme="minorHAnsi" w:hAnsiTheme="minorHAnsi"/>
          <w:bCs/>
          <w:snapToGrid w:val="0"/>
        </w:rPr>
        <w:t xml:space="preserve">required to be </w:t>
      </w:r>
      <w:r w:rsidR="005A7752">
        <w:rPr>
          <w:rFonts w:asciiTheme="minorHAnsi" w:hAnsiTheme="minorHAnsi"/>
          <w:bCs/>
          <w:snapToGrid w:val="0"/>
        </w:rPr>
        <w:t>maintained</w:t>
      </w:r>
      <w:r w:rsidR="00E54E9E">
        <w:rPr>
          <w:rFonts w:asciiTheme="minorHAnsi" w:hAnsiTheme="minorHAnsi"/>
          <w:bCs/>
          <w:snapToGrid w:val="0"/>
        </w:rPr>
        <w:t xml:space="preserve"> </w:t>
      </w:r>
      <w:r w:rsidR="00C97660">
        <w:rPr>
          <w:rFonts w:asciiTheme="minorHAnsi" w:hAnsiTheme="minorHAnsi"/>
          <w:bCs/>
          <w:snapToGrid w:val="0"/>
        </w:rPr>
        <w:t>whilst</w:t>
      </w:r>
      <w:r w:rsidR="001C51B7">
        <w:rPr>
          <w:rFonts w:asciiTheme="minorHAnsi" w:hAnsiTheme="minorHAnsi"/>
          <w:bCs/>
          <w:snapToGrid w:val="0"/>
        </w:rPr>
        <w:t xml:space="preserve"> calcium and vitamin D levels </w:t>
      </w:r>
      <w:r w:rsidR="00C97660">
        <w:rPr>
          <w:rFonts w:asciiTheme="minorHAnsi" w:hAnsiTheme="minorHAnsi"/>
          <w:bCs/>
          <w:snapToGrid w:val="0"/>
        </w:rPr>
        <w:t xml:space="preserve">were </w:t>
      </w:r>
      <w:r w:rsidR="001C51B7">
        <w:rPr>
          <w:rFonts w:asciiTheme="minorHAnsi" w:hAnsiTheme="minorHAnsi"/>
          <w:bCs/>
          <w:snapToGrid w:val="0"/>
        </w:rPr>
        <w:t xml:space="preserve">titrated downwards. The clinician stated that </w:t>
      </w:r>
      <w:r w:rsidR="00C97660">
        <w:rPr>
          <w:rFonts w:asciiTheme="minorHAnsi" w:hAnsiTheme="minorHAnsi"/>
          <w:bCs/>
          <w:snapToGrid w:val="0"/>
        </w:rPr>
        <w:t xml:space="preserve">the </w:t>
      </w:r>
      <w:r w:rsidR="003A0633">
        <w:rPr>
          <w:rFonts w:asciiTheme="minorHAnsi" w:hAnsiTheme="minorHAnsi"/>
          <w:bCs/>
          <w:snapToGrid w:val="0"/>
        </w:rPr>
        <w:t>titration protocol was designed</w:t>
      </w:r>
      <w:r w:rsidR="00C97660">
        <w:rPr>
          <w:rFonts w:asciiTheme="minorHAnsi" w:hAnsiTheme="minorHAnsi"/>
          <w:bCs/>
          <w:snapToGrid w:val="0"/>
        </w:rPr>
        <w:t xml:space="preserve"> </w:t>
      </w:r>
      <w:r w:rsidR="003A0633">
        <w:rPr>
          <w:rFonts w:asciiTheme="minorHAnsi" w:hAnsiTheme="minorHAnsi"/>
          <w:bCs/>
          <w:snapToGrid w:val="0"/>
        </w:rPr>
        <w:t xml:space="preserve">to </w:t>
      </w:r>
      <w:r w:rsidR="00E845D4">
        <w:rPr>
          <w:rFonts w:asciiTheme="minorHAnsi" w:hAnsiTheme="minorHAnsi"/>
          <w:bCs/>
          <w:snapToGrid w:val="0"/>
        </w:rPr>
        <w:t xml:space="preserve">maintain the double-blind aspect of the trial and to minimise the risk of treatment bias. The clinician stated that </w:t>
      </w:r>
      <w:r w:rsidR="005512C8">
        <w:rPr>
          <w:rFonts w:asciiTheme="minorHAnsi" w:hAnsiTheme="minorHAnsi"/>
          <w:bCs/>
          <w:snapToGrid w:val="0"/>
        </w:rPr>
        <w:t xml:space="preserve">although this lacked real world </w:t>
      </w:r>
      <w:r w:rsidR="00333A95">
        <w:rPr>
          <w:rFonts w:asciiTheme="minorHAnsi" w:hAnsiTheme="minorHAnsi"/>
          <w:bCs/>
          <w:snapToGrid w:val="0"/>
        </w:rPr>
        <w:t>representativeness</w:t>
      </w:r>
      <w:r w:rsidR="005512C8">
        <w:rPr>
          <w:rFonts w:asciiTheme="minorHAnsi" w:hAnsiTheme="minorHAnsi"/>
          <w:bCs/>
          <w:snapToGrid w:val="0"/>
        </w:rPr>
        <w:t>, there was a high level of clinical supervision (weekly visits</w:t>
      </w:r>
      <w:r w:rsidR="00333A95">
        <w:rPr>
          <w:rFonts w:asciiTheme="minorHAnsi" w:hAnsiTheme="minorHAnsi"/>
          <w:bCs/>
          <w:snapToGrid w:val="0"/>
        </w:rPr>
        <w:t xml:space="preserve">) and that </w:t>
      </w:r>
      <w:r w:rsidR="007C5319">
        <w:rPr>
          <w:rFonts w:asciiTheme="minorHAnsi" w:hAnsiTheme="minorHAnsi"/>
          <w:bCs/>
          <w:snapToGrid w:val="0"/>
        </w:rPr>
        <w:t xml:space="preserve">it </w:t>
      </w:r>
      <w:r w:rsidR="001F399C">
        <w:rPr>
          <w:rFonts w:asciiTheme="minorHAnsi" w:hAnsiTheme="minorHAnsi"/>
          <w:bCs/>
          <w:snapToGrid w:val="0"/>
        </w:rPr>
        <w:t xml:space="preserve">reflected the difficulties in managing HPT in </w:t>
      </w:r>
      <w:r w:rsidR="00F51A6C">
        <w:rPr>
          <w:rFonts w:asciiTheme="minorHAnsi" w:hAnsiTheme="minorHAnsi"/>
          <w:bCs/>
          <w:snapToGrid w:val="0"/>
        </w:rPr>
        <w:t>clinical practic</w:t>
      </w:r>
      <w:r w:rsidR="001F399C">
        <w:rPr>
          <w:rFonts w:asciiTheme="minorHAnsi" w:hAnsiTheme="minorHAnsi"/>
          <w:bCs/>
          <w:snapToGrid w:val="0"/>
        </w:rPr>
        <w:t>e</w:t>
      </w:r>
      <w:r w:rsidR="00DD23CD">
        <w:rPr>
          <w:rFonts w:asciiTheme="minorHAnsi" w:hAnsiTheme="minorHAnsi"/>
          <w:bCs/>
          <w:snapToGrid w:val="0"/>
        </w:rPr>
        <w:t xml:space="preserve">, which </w:t>
      </w:r>
      <w:r w:rsidR="00333A95">
        <w:rPr>
          <w:rFonts w:asciiTheme="minorHAnsi" w:hAnsiTheme="minorHAnsi"/>
          <w:bCs/>
          <w:snapToGrid w:val="0"/>
        </w:rPr>
        <w:t xml:space="preserve">is to maintain serum calcium </w:t>
      </w:r>
      <w:r w:rsidR="001666C4">
        <w:rPr>
          <w:rFonts w:asciiTheme="minorHAnsi" w:hAnsiTheme="minorHAnsi"/>
          <w:bCs/>
          <w:snapToGrid w:val="0"/>
        </w:rPr>
        <w:t>in the lower range of normal using the lowest possible dose to avoid long-term complications.</w:t>
      </w:r>
      <w:r w:rsidR="00BE2668">
        <w:rPr>
          <w:rFonts w:asciiTheme="minorHAnsi" w:hAnsiTheme="minorHAnsi"/>
          <w:bCs/>
          <w:snapToGrid w:val="0"/>
        </w:rPr>
        <w:t xml:space="preserve"> </w:t>
      </w:r>
      <w:r w:rsidR="004E1D53">
        <w:rPr>
          <w:rFonts w:asciiTheme="minorHAnsi" w:hAnsiTheme="minorHAnsi"/>
          <w:bCs/>
          <w:snapToGrid w:val="0"/>
        </w:rPr>
        <w:t>The clinician noted that adjusted serum calcium levels were maintained in the clinically targeted lower range of normal throughout the double-blind period</w:t>
      </w:r>
      <w:r w:rsidR="002100F2">
        <w:rPr>
          <w:rFonts w:asciiTheme="minorHAnsi" w:hAnsiTheme="minorHAnsi"/>
          <w:bCs/>
          <w:snapToGrid w:val="0"/>
        </w:rPr>
        <w:t>.</w:t>
      </w:r>
    </w:p>
    <w:bookmarkEnd w:id="19"/>
    <w:p w14:paraId="572BF8FA" w14:textId="77777777" w:rsidR="0032139C" w:rsidRPr="006E1229" w:rsidRDefault="0032139C" w:rsidP="0032139C">
      <w:pPr>
        <w:pStyle w:val="4-SubsectionHeading"/>
      </w:pPr>
      <w:r w:rsidRPr="006E1229">
        <w:t>Consumer comments</w:t>
      </w:r>
    </w:p>
    <w:p w14:paraId="16CC1317" w14:textId="77777777" w:rsidR="0083266C" w:rsidRDefault="0032139C" w:rsidP="0083266C">
      <w:pPr>
        <w:widowControl w:val="0"/>
        <w:numPr>
          <w:ilvl w:val="1"/>
          <w:numId w:val="1"/>
        </w:numPr>
        <w:spacing w:after="120"/>
        <w:rPr>
          <w:rFonts w:asciiTheme="minorHAnsi" w:hAnsiTheme="minorHAnsi"/>
          <w:bCs/>
          <w:snapToGrid w:val="0"/>
        </w:rPr>
      </w:pPr>
      <w:bookmarkStart w:id="20" w:name="_Hlk76382618"/>
      <w:r w:rsidRPr="00836F75">
        <w:rPr>
          <w:rFonts w:asciiTheme="minorHAnsi" w:hAnsiTheme="minorHAnsi"/>
          <w:bCs/>
          <w:snapToGrid w:val="0"/>
        </w:rPr>
        <w:t>The PBAC noted and welcomed the input from individuals (</w:t>
      </w:r>
      <w:r w:rsidR="00216FE1">
        <w:rPr>
          <w:rFonts w:asciiTheme="minorHAnsi" w:hAnsiTheme="minorHAnsi"/>
          <w:bCs/>
          <w:snapToGrid w:val="0"/>
        </w:rPr>
        <w:t>14</w:t>
      </w:r>
      <w:r w:rsidRPr="00836F75">
        <w:rPr>
          <w:rFonts w:asciiTheme="minorHAnsi" w:hAnsiTheme="minorHAnsi"/>
          <w:bCs/>
          <w:snapToGrid w:val="0"/>
        </w:rPr>
        <w:t>), health care professionals (</w:t>
      </w:r>
      <w:r w:rsidR="00216FE1">
        <w:rPr>
          <w:rFonts w:asciiTheme="minorHAnsi" w:hAnsiTheme="minorHAnsi"/>
          <w:bCs/>
          <w:snapToGrid w:val="0"/>
        </w:rPr>
        <w:t>46</w:t>
      </w:r>
      <w:r w:rsidRPr="00836F75">
        <w:rPr>
          <w:rFonts w:asciiTheme="minorHAnsi" w:hAnsiTheme="minorHAnsi"/>
          <w:bCs/>
          <w:snapToGrid w:val="0"/>
        </w:rPr>
        <w:t>) and organisations (</w:t>
      </w:r>
      <w:r w:rsidR="00216FE1">
        <w:rPr>
          <w:rFonts w:asciiTheme="minorHAnsi" w:hAnsiTheme="minorHAnsi"/>
          <w:bCs/>
          <w:snapToGrid w:val="0"/>
        </w:rPr>
        <w:t>5</w:t>
      </w:r>
      <w:r w:rsidRPr="00836F75">
        <w:rPr>
          <w:rFonts w:asciiTheme="minorHAnsi" w:hAnsiTheme="minorHAnsi"/>
          <w:bCs/>
          <w:snapToGrid w:val="0"/>
        </w:rPr>
        <w:t xml:space="preserve">) via the Consumer Comments facility on the PBS website.  The comments </w:t>
      </w:r>
      <w:r w:rsidR="007D1888">
        <w:rPr>
          <w:rFonts w:asciiTheme="minorHAnsi" w:hAnsiTheme="minorHAnsi"/>
          <w:bCs/>
          <w:snapToGrid w:val="0"/>
        </w:rPr>
        <w:t xml:space="preserve">from individuals </w:t>
      </w:r>
      <w:r w:rsidRPr="00836F75">
        <w:rPr>
          <w:rFonts w:asciiTheme="minorHAnsi" w:hAnsiTheme="minorHAnsi"/>
          <w:bCs/>
          <w:snapToGrid w:val="0"/>
        </w:rPr>
        <w:t xml:space="preserve">described </w:t>
      </w:r>
      <w:r w:rsidR="00255161">
        <w:rPr>
          <w:rFonts w:asciiTheme="minorHAnsi" w:hAnsiTheme="minorHAnsi"/>
          <w:bCs/>
          <w:snapToGrid w:val="0"/>
        </w:rPr>
        <w:t>the debilitating symptoms of HPT including</w:t>
      </w:r>
      <w:r w:rsidR="00DD7B9B">
        <w:rPr>
          <w:rFonts w:asciiTheme="minorHAnsi" w:hAnsiTheme="minorHAnsi"/>
          <w:bCs/>
          <w:snapToGrid w:val="0"/>
        </w:rPr>
        <w:t>, but not limited to,</w:t>
      </w:r>
      <w:r w:rsidR="00255161">
        <w:rPr>
          <w:rFonts w:asciiTheme="minorHAnsi" w:hAnsiTheme="minorHAnsi"/>
          <w:bCs/>
          <w:snapToGrid w:val="0"/>
        </w:rPr>
        <w:t xml:space="preserve"> </w:t>
      </w:r>
      <w:r w:rsidR="00F96C95">
        <w:rPr>
          <w:rFonts w:asciiTheme="minorHAnsi" w:hAnsiTheme="minorHAnsi"/>
          <w:bCs/>
          <w:snapToGrid w:val="0"/>
        </w:rPr>
        <w:t xml:space="preserve">daily fatigue, parathesis, tetany, muscle and joint pain, </w:t>
      </w:r>
      <w:r w:rsidR="00DD7B9B">
        <w:rPr>
          <w:rFonts w:asciiTheme="minorHAnsi" w:hAnsiTheme="minorHAnsi"/>
          <w:bCs/>
          <w:snapToGrid w:val="0"/>
        </w:rPr>
        <w:t xml:space="preserve">brain fog, ectopic heart beats, unsteady gait and kidney stones. </w:t>
      </w:r>
      <w:r w:rsidR="00BB3400">
        <w:rPr>
          <w:rFonts w:asciiTheme="minorHAnsi" w:hAnsiTheme="minorHAnsi"/>
          <w:bCs/>
          <w:snapToGrid w:val="0"/>
        </w:rPr>
        <w:t>The individuals also described the burden of constant conventional therapy</w:t>
      </w:r>
      <w:r w:rsidR="003D285E">
        <w:rPr>
          <w:rFonts w:asciiTheme="minorHAnsi" w:hAnsiTheme="minorHAnsi"/>
          <w:bCs/>
          <w:snapToGrid w:val="0"/>
        </w:rPr>
        <w:t xml:space="preserve"> and hospitalisations due to high or low calcium levels. Individuals state</w:t>
      </w:r>
      <w:r w:rsidR="00D73327">
        <w:rPr>
          <w:rFonts w:asciiTheme="minorHAnsi" w:hAnsiTheme="minorHAnsi"/>
          <w:bCs/>
          <w:snapToGrid w:val="0"/>
        </w:rPr>
        <w:t>d</w:t>
      </w:r>
      <w:r w:rsidR="003D285E">
        <w:rPr>
          <w:rFonts w:asciiTheme="minorHAnsi" w:hAnsiTheme="minorHAnsi"/>
          <w:bCs/>
          <w:snapToGrid w:val="0"/>
        </w:rPr>
        <w:t xml:space="preserve"> that </w:t>
      </w:r>
      <w:r w:rsidR="00D73327">
        <w:rPr>
          <w:rFonts w:asciiTheme="minorHAnsi" w:hAnsiTheme="minorHAnsi"/>
          <w:bCs/>
          <w:snapToGrid w:val="0"/>
        </w:rPr>
        <w:t xml:space="preserve">the availability of </w:t>
      </w:r>
      <w:r w:rsidR="003D285E">
        <w:rPr>
          <w:rFonts w:asciiTheme="minorHAnsi" w:hAnsiTheme="minorHAnsi"/>
          <w:bCs/>
          <w:snapToGrid w:val="0"/>
        </w:rPr>
        <w:t xml:space="preserve">palopegteriparatide </w:t>
      </w:r>
      <w:r w:rsidR="00D73327">
        <w:rPr>
          <w:rFonts w:asciiTheme="minorHAnsi" w:hAnsiTheme="minorHAnsi"/>
          <w:bCs/>
          <w:snapToGrid w:val="0"/>
        </w:rPr>
        <w:t xml:space="preserve">on the PBS </w:t>
      </w:r>
      <w:r w:rsidR="00744678">
        <w:rPr>
          <w:rFonts w:asciiTheme="minorHAnsi" w:hAnsiTheme="minorHAnsi"/>
          <w:bCs/>
          <w:snapToGrid w:val="0"/>
        </w:rPr>
        <w:t xml:space="preserve">would be life changing, </w:t>
      </w:r>
      <w:r w:rsidR="00D73327">
        <w:rPr>
          <w:rFonts w:asciiTheme="minorHAnsi" w:hAnsiTheme="minorHAnsi"/>
          <w:bCs/>
          <w:snapToGrid w:val="0"/>
        </w:rPr>
        <w:t xml:space="preserve">as it would </w:t>
      </w:r>
      <w:r w:rsidR="00744678">
        <w:rPr>
          <w:rFonts w:asciiTheme="minorHAnsi" w:hAnsiTheme="minorHAnsi"/>
          <w:bCs/>
          <w:snapToGrid w:val="0"/>
        </w:rPr>
        <w:t>reduc</w:t>
      </w:r>
      <w:r w:rsidR="00D73327">
        <w:rPr>
          <w:rFonts w:asciiTheme="minorHAnsi" w:hAnsiTheme="minorHAnsi"/>
          <w:bCs/>
          <w:snapToGrid w:val="0"/>
        </w:rPr>
        <w:t>e</w:t>
      </w:r>
      <w:r w:rsidR="00744678">
        <w:rPr>
          <w:rFonts w:asciiTheme="minorHAnsi" w:hAnsiTheme="minorHAnsi"/>
          <w:bCs/>
          <w:snapToGrid w:val="0"/>
        </w:rPr>
        <w:t xml:space="preserve"> calcium level</w:t>
      </w:r>
      <w:r w:rsidR="00D96849">
        <w:rPr>
          <w:rFonts w:asciiTheme="minorHAnsi" w:hAnsiTheme="minorHAnsi"/>
          <w:bCs/>
          <w:snapToGrid w:val="0"/>
        </w:rPr>
        <w:t xml:space="preserve"> fluctuation</w:t>
      </w:r>
      <w:r w:rsidR="00744678">
        <w:rPr>
          <w:rFonts w:asciiTheme="minorHAnsi" w:hAnsiTheme="minorHAnsi"/>
          <w:bCs/>
          <w:snapToGrid w:val="0"/>
        </w:rPr>
        <w:t>s, reduc</w:t>
      </w:r>
      <w:r w:rsidR="00D73327">
        <w:rPr>
          <w:rFonts w:asciiTheme="minorHAnsi" w:hAnsiTheme="minorHAnsi"/>
          <w:bCs/>
          <w:snapToGrid w:val="0"/>
        </w:rPr>
        <w:t>e</w:t>
      </w:r>
      <w:r w:rsidR="00744678">
        <w:rPr>
          <w:rFonts w:asciiTheme="minorHAnsi" w:hAnsiTheme="minorHAnsi"/>
          <w:bCs/>
          <w:snapToGrid w:val="0"/>
        </w:rPr>
        <w:t xml:space="preserve"> symptoms</w:t>
      </w:r>
      <w:r w:rsidR="00D96849">
        <w:rPr>
          <w:rFonts w:asciiTheme="minorHAnsi" w:hAnsiTheme="minorHAnsi"/>
          <w:bCs/>
          <w:snapToGrid w:val="0"/>
        </w:rPr>
        <w:t>, prevent the decline of renal function and improv</w:t>
      </w:r>
      <w:r w:rsidR="00D73327">
        <w:rPr>
          <w:rFonts w:asciiTheme="minorHAnsi" w:hAnsiTheme="minorHAnsi"/>
          <w:bCs/>
          <w:snapToGrid w:val="0"/>
        </w:rPr>
        <w:t>e</w:t>
      </w:r>
      <w:r w:rsidR="00D96849">
        <w:rPr>
          <w:rFonts w:asciiTheme="minorHAnsi" w:hAnsiTheme="minorHAnsi"/>
          <w:bCs/>
          <w:snapToGrid w:val="0"/>
        </w:rPr>
        <w:t xml:space="preserve"> quality of life.</w:t>
      </w:r>
    </w:p>
    <w:p w14:paraId="2E7E2E54" w14:textId="77777777" w:rsidR="0083266C" w:rsidRDefault="00D96849" w:rsidP="0083266C">
      <w:pPr>
        <w:widowControl w:val="0"/>
        <w:numPr>
          <w:ilvl w:val="1"/>
          <w:numId w:val="1"/>
        </w:numPr>
        <w:spacing w:after="120"/>
        <w:rPr>
          <w:rFonts w:asciiTheme="minorHAnsi" w:hAnsiTheme="minorHAnsi"/>
          <w:bCs/>
          <w:snapToGrid w:val="0"/>
        </w:rPr>
      </w:pPr>
      <w:r w:rsidRPr="0083266C">
        <w:rPr>
          <w:rFonts w:asciiTheme="minorHAnsi" w:hAnsiTheme="minorHAnsi"/>
          <w:bCs/>
          <w:snapToGrid w:val="0"/>
        </w:rPr>
        <w:t xml:space="preserve">The clinicians </w:t>
      </w:r>
      <w:r w:rsidR="007A777F" w:rsidRPr="0083266C">
        <w:rPr>
          <w:rFonts w:asciiTheme="minorHAnsi" w:hAnsiTheme="minorHAnsi"/>
          <w:bCs/>
          <w:snapToGrid w:val="0"/>
        </w:rPr>
        <w:t>stated that HPT is a chronic condition that requires re</w:t>
      </w:r>
      <w:r w:rsidR="00CA6736" w:rsidRPr="0083266C">
        <w:rPr>
          <w:rFonts w:asciiTheme="minorHAnsi" w:hAnsiTheme="minorHAnsi"/>
          <w:bCs/>
          <w:snapToGrid w:val="0"/>
        </w:rPr>
        <w:t>g</w:t>
      </w:r>
      <w:r w:rsidR="007A777F" w:rsidRPr="0083266C">
        <w:rPr>
          <w:rFonts w:asciiTheme="minorHAnsi" w:hAnsiTheme="minorHAnsi"/>
          <w:bCs/>
          <w:snapToGrid w:val="0"/>
        </w:rPr>
        <w:t>ular pathology monitoring</w:t>
      </w:r>
      <w:r w:rsidR="00CA6736" w:rsidRPr="0083266C">
        <w:rPr>
          <w:rFonts w:asciiTheme="minorHAnsi" w:hAnsiTheme="minorHAnsi"/>
          <w:bCs/>
          <w:snapToGrid w:val="0"/>
        </w:rPr>
        <w:t>, intermittent 24-hour urinary calcium monitoring</w:t>
      </w:r>
      <w:r w:rsidR="00A20B77" w:rsidRPr="0083266C">
        <w:rPr>
          <w:rFonts w:asciiTheme="minorHAnsi" w:hAnsiTheme="minorHAnsi"/>
          <w:bCs/>
          <w:snapToGrid w:val="0"/>
        </w:rPr>
        <w:t>, large doses of conventional therapy</w:t>
      </w:r>
      <w:r w:rsidR="00CA6736" w:rsidRPr="0083266C">
        <w:rPr>
          <w:rFonts w:asciiTheme="minorHAnsi" w:hAnsiTheme="minorHAnsi"/>
          <w:bCs/>
          <w:snapToGrid w:val="0"/>
        </w:rPr>
        <w:t xml:space="preserve"> and strict dietary changes to m</w:t>
      </w:r>
      <w:r w:rsidR="00E1692F" w:rsidRPr="0083266C">
        <w:rPr>
          <w:rFonts w:asciiTheme="minorHAnsi" w:hAnsiTheme="minorHAnsi"/>
          <w:bCs/>
          <w:snapToGrid w:val="0"/>
        </w:rPr>
        <w:t>anage the condition</w:t>
      </w:r>
      <w:r w:rsidR="00A20B77" w:rsidRPr="0083266C">
        <w:rPr>
          <w:rFonts w:asciiTheme="minorHAnsi" w:hAnsiTheme="minorHAnsi"/>
          <w:bCs/>
          <w:snapToGrid w:val="0"/>
        </w:rPr>
        <w:t xml:space="preserve">. The clinicians stated that </w:t>
      </w:r>
      <w:r w:rsidR="00920433" w:rsidRPr="0083266C">
        <w:rPr>
          <w:rFonts w:asciiTheme="minorHAnsi" w:hAnsiTheme="minorHAnsi"/>
          <w:bCs/>
          <w:snapToGrid w:val="0"/>
        </w:rPr>
        <w:t>unstable patients require very frequent monitoring and adjustment of medications to avoid symptomatic hypocalcaemia</w:t>
      </w:r>
      <w:r w:rsidR="00536588" w:rsidRPr="0083266C">
        <w:rPr>
          <w:rFonts w:asciiTheme="minorHAnsi" w:hAnsiTheme="minorHAnsi"/>
          <w:bCs/>
          <w:snapToGrid w:val="0"/>
        </w:rPr>
        <w:t>, hypercalciuria, hypercalcaemia and nephrocalcinosis, all of which cause complications and recurrent hospital admissions</w:t>
      </w:r>
      <w:r w:rsidR="00D73327" w:rsidRPr="0083266C">
        <w:rPr>
          <w:rFonts w:asciiTheme="minorHAnsi" w:hAnsiTheme="minorHAnsi"/>
          <w:bCs/>
          <w:snapToGrid w:val="0"/>
        </w:rPr>
        <w:t xml:space="preserve">. Clinicians noted </w:t>
      </w:r>
      <w:r w:rsidR="00457E86" w:rsidRPr="0083266C">
        <w:rPr>
          <w:rFonts w:asciiTheme="minorHAnsi" w:hAnsiTheme="minorHAnsi"/>
          <w:bCs/>
          <w:snapToGrid w:val="0"/>
        </w:rPr>
        <w:t xml:space="preserve">that as </w:t>
      </w:r>
      <w:r w:rsidR="00D73327" w:rsidRPr="0083266C">
        <w:rPr>
          <w:rFonts w:asciiTheme="minorHAnsi" w:hAnsiTheme="minorHAnsi"/>
          <w:bCs/>
          <w:snapToGrid w:val="0"/>
        </w:rPr>
        <w:t xml:space="preserve">palopegteriparatide </w:t>
      </w:r>
      <w:r w:rsidR="00377095" w:rsidRPr="0083266C">
        <w:rPr>
          <w:rFonts w:asciiTheme="minorHAnsi" w:hAnsiTheme="minorHAnsi"/>
          <w:bCs/>
          <w:snapToGrid w:val="0"/>
        </w:rPr>
        <w:t>treats the hormone deficiency</w:t>
      </w:r>
      <w:r w:rsidR="003C0E33" w:rsidRPr="0083266C">
        <w:rPr>
          <w:rFonts w:asciiTheme="minorHAnsi" w:hAnsiTheme="minorHAnsi"/>
          <w:bCs/>
          <w:snapToGrid w:val="0"/>
        </w:rPr>
        <w:t>, rather than treating the downstream effects of low calcium</w:t>
      </w:r>
      <w:r w:rsidR="00202D5A" w:rsidRPr="0083266C">
        <w:rPr>
          <w:rFonts w:asciiTheme="minorHAnsi" w:hAnsiTheme="minorHAnsi"/>
          <w:bCs/>
          <w:snapToGrid w:val="0"/>
        </w:rPr>
        <w:t>, it has the potential to improve the health of those affected</w:t>
      </w:r>
      <w:r w:rsidR="00C9353E" w:rsidRPr="0083266C">
        <w:rPr>
          <w:rFonts w:asciiTheme="minorHAnsi" w:hAnsiTheme="minorHAnsi"/>
          <w:bCs/>
          <w:snapToGrid w:val="0"/>
        </w:rPr>
        <w:t xml:space="preserve"> </w:t>
      </w:r>
      <w:r w:rsidR="009B105D" w:rsidRPr="0083266C">
        <w:rPr>
          <w:rFonts w:asciiTheme="minorHAnsi" w:hAnsiTheme="minorHAnsi"/>
          <w:bCs/>
          <w:snapToGrid w:val="0"/>
        </w:rPr>
        <w:t xml:space="preserve">by treating the cause of the condition and allowing a </w:t>
      </w:r>
      <w:r w:rsidR="006C01B0" w:rsidRPr="0083266C">
        <w:rPr>
          <w:rFonts w:asciiTheme="minorHAnsi" w:hAnsiTheme="minorHAnsi"/>
          <w:bCs/>
          <w:snapToGrid w:val="0"/>
        </w:rPr>
        <w:t xml:space="preserve">more comprehensive management of the </w:t>
      </w:r>
      <w:r w:rsidR="001F1EDF" w:rsidRPr="0083266C">
        <w:rPr>
          <w:rFonts w:asciiTheme="minorHAnsi" w:hAnsiTheme="minorHAnsi"/>
          <w:bCs/>
          <w:snapToGrid w:val="0"/>
        </w:rPr>
        <w:t>complications of HPT</w:t>
      </w:r>
      <w:r w:rsidR="00202D5A" w:rsidRPr="0083266C">
        <w:rPr>
          <w:rFonts w:asciiTheme="minorHAnsi" w:hAnsiTheme="minorHAnsi"/>
          <w:bCs/>
          <w:snapToGrid w:val="0"/>
        </w:rPr>
        <w:t xml:space="preserve">. </w:t>
      </w:r>
      <w:bookmarkEnd w:id="17"/>
      <w:bookmarkEnd w:id="20"/>
    </w:p>
    <w:p w14:paraId="5A97E3BB" w14:textId="5DD8AD2E" w:rsidR="0032139C" w:rsidRDefault="00D125F0" w:rsidP="0083266C">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noted </w:t>
      </w:r>
      <w:r w:rsidR="00D746FC">
        <w:rPr>
          <w:rFonts w:asciiTheme="minorHAnsi" w:hAnsiTheme="minorHAnsi"/>
          <w:bCs/>
          <w:snapToGrid w:val="0"/>
        </w:rPr>
        <w:t xml:space="preserve">the </w:t>
      </w:r>
      <w:r w:rsidR="00EF1F84">
        <w:rPr>
          <w:rFonts w:asciiTheme="minorHAnsi" w:hAnsiTheme="minorHAnsi"/>
          <w:bCs/>
          <w:snapToGrid w:val="0"/>
        </w:rPr>
        <w:t xml:space="preserve">input from the </w:t>
      </w:r>
      <w:r w:rsidR="00D746FC">
        <w:rPr>
          <w:rFonts w:asciiTheme="minorHAnsi" w:hAnsiTheme="minorHAnsi"/>
          <w:bCs/>
          <w:snapToGrid w:val="0"/>
        </w:rPr>
        <w:t>Endocrine Society of Australia</w:t>
      </w:r>
      <w:r w:rsidR="00EF1F84">
        <w:rPr>
          <w:rFonts w:asciiTheme="minorHAnsi" w:hAnsiTheme="minorHAnsi"/>
          <w:bCs/>
          <w:snapToGrid w:val="0"/>
        </w:rPr>
        <w:t>, which</w:t>
      </w:r>
      <w:r w:rsidR="00D746FC">
        <w:rPr>
          <w:rFonts w:asciiTheme="minorHAnsi" w:hAnsiTheme="minorHAnsi"/>
          <w:bCs/>
          <w:snapToGrid w:val="0"/>
        </w:rPr>
        <w:t xml:space="preserve"> </w:t>
      </w:r>
      <w:r w:rsidR="004F5C07">
        <w:rPr>
          <w:rFonts w:asciiTheme="minorHAnsi" w:hAnsiTheme="minorHAnsi"/>
          <w:bCs/>
          <w:snapToGrid w:val="0"/>
        </w:rPr>
        <w:t>supported the submission</w:t>
      </w:r>
      <w:r w:rsidR="00A20A95">
        <w:rPr>
          <w:rFonts w:asciiTheme="minorHAnsi" w:hAnsiTheme="minorHAnsi"/>
          <w:bCs/>
          <w:snapToGrid w:val="0"/>
        </w:rPr>
        <w:t xml:space="preserve">. </w:t>
      </w:r>
      <w:r w:rsidR="004F5C07">
        <w:rPr>
          <w:rFonts w:asciiTheme="minorHAnsi" w:hAnsiTheme="minorHAnsi"/>
          <w:bCs/>
          <w:snapToGrid w:val="0"/>
        </w:rPr>
        <w:t xml:space="preserve">The Endocrine Society </w:t>
      </w:r>
      <w:r w:rsidR="00FC23B2">
        <w:rPr>
          <w:rFonts w:asciiTheme="minorHAnsi" w:hAnsiTheme="minorHAnsi"/>
          <w:bCs/>
          <w:snapToGrid w:val="0"/>
        </w:rPr>
        <w:t>stated that palopegteriparatide would potentially provide adequate control of HPT in patients who are not currently controlled with conventional therapy</w:t>
      </w:r>
      <w:r w:rsidR="00B92307">
        <w:rPr>
          <w:rFonts w:asciiTheme="minorHAnsi" w:hAnsiTheme="minorHAnsi"/>
          <w:bCs/>
          <w:snapToGrid w:val="0"/>
        </w:rPr>
        <w:t xml:space="preserve"> and would potentially reduce the serious consequences of treatment including nephrolithiasis, nephrocalcinosis and brain calcification</w:t>
      </w:r>
      <w:r w:rsidR="00F510CC">
        <w:rPr>
          <w:rFonts w:asciiTheme="minorHAnsi" w:hAnsiTheme="minorHAnsi"/>
          <w:bCs/>
          <w:snapToGrid w:val="0"/>
        </w:rPr>
        <w:t xml:space="preserve">. </w:t>
      </w:r>
    </w:p>
    <w:p w14:paraId="145E8E8B" w14:textId="60EC8BC0" w:rsidR="00523EDC" w:rsidRPr="0083266C" w:rsidRDefault="00523EDC" w:rsidP="0083266C">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Input was also received from the </w:t>
      </w:r>
      <w:r w:rsidR="00E15B22">
        <w:rPr>
          <w:rFonts w:asciiTheme="minorHAnsi" w:hAnsiTheme="minorHAnsi"/>
          <w:bCs/>
          <w:snapToGrid w:val="0"/>
        </w:rPr>
        <w:t xml:space="preserve">Australian and New Zealand Bone and Mineral Society, the </w:t>
      </w:r>
      <w:r>
        <w:rPr>
          <w:rFonts w:asciiTheme="minorHAnsi" w:hAnsiTheme="minorHAnsi"/>
          <w:bCs/>
          <w:snapToGrid w:val="0"/>
        </w:rPr>
        <w:t xml:space="preserve">Australian Thyroid Foundation and </w:t>
      </w:r>
      <w:r w:rsidR="00C1669D">
        <w:rPr>
          <w:rFonts w:asciiTheme="minorHAnsi" w:hAnsiTheme="minorHAnsi"/>
          <w:bCs/>
          <w:snapToGrid w:val="0"/>
        </w:rPr>
        <w:t xml:space="preserve">Healthy Bones Australia. </w:t>
      </w:r>
      <w:r w:rsidR="00E15B22">
        <w:rPr>
          <w:rFonts w:asciiTheme="minorHAnsi" w:hAnsiTheme="minorHAnsi"/>
          <w:bCs/>
          <w:snapToGrid w:val="0"/>
        </w:rPr>
        <w:t xml:space="preserve">The Australian and New Zealand Bone and Mineral Society stated that palopegteriparatide was more likely to maintain normal mineral homeostasis and reduce complications compared to conventional therapy. The Society noted that this would result in improved quality of life and kidney function. </w:t>
      </w:r>
      <w:r w:rsidR="007707EF">
        <w:rPr>
          <w:rFonts w:asciiTheme="minorHAnsi" w:hAnsiTheme="minorHAnsi"/>
          <w:bCs/>
          <w:snapToGrid w:val="0"/>
        </w:rPr>
        <w:t xml:space="preserve">The Australian Thyroid Foundation </w:t>
      </w:r>
      <w:r w:rsidR="00765E2F">
        <w:rPr>
          <w:rFonts w:asciiTheme="minorHAnsi" w:hAnsiTheme="minorHAnsi"/>
          <w:bCs/>
          <w:snapToGrid w:val="0"/>
        </w:rPr>
        <w:t xml:space="preserve">noted the </w:t>
      </w:r>
      <w:r w:rsidR="007707EF">
        <w:rPr>
          <w:rFonts w:asciiTheme="minorHAnsi" w:hAnsiTheme="minorHAnsi"/>
          <w:bCs/>
          <w:snapToGrid w:val="0"/>
        </w:rPr>
        <w:t xml:space="preserve">current equity issues due to the </w:t>
      </w:r>
      <w:r w:rsidR="00765E2F">
        <w:rPr>
          <w:rFonts w:asciiTheme="minorHAnsi" w:hAnsiTheme="minorHAnsi"/>
          <w:bCs/>
          <w:snapToGrid w:val="0"/>
        </w:rPr>
        <w:t>cost of palopegteriparatide</w:t>
      </w:r>
      <w:r w:rsidR="007707EF">
        <w:rPr>
          <w:rFonts w:asciiTheme="minorHAnsi" w:hAnsiTheme="minorHAnsi"/>
          <w:bCs/>
          <w:snapToGrid w:val="0"/>
        </w:rPr>
        <w:t xml:space="preserve">. Health Bones Australia </w:t>
      </w:r>
      <w:r w:rsidR="00F47406">
        <w:rPr>
          <w:rFonts w:asciiTheme="minorHAnsi" w:hAnsiTheme="minorHAnsi"/>
          <w:bCs/>
          <w:snapToGrid w:val="0"/>
        </w:rPr>
        <w:t>supported the submission, noting the significant burden of disease associated with HPT</w:t>
      </w:r>
      <w:r w:rsidR="009351B4">
        <w:rPr>
          <w:rFonts w:asciiTheme="minorHAnsi" w:hAnsiTheme="minorHAnsi"/>
          <w:bCs/>
          <w:snapToGrid w:val="0"/>
        </w:rPr>
        <w:t xml:space="preserve"> and</w:t>
      </w:r>
      <w:r w:rsidR="00D64DE5">
        <w:rPr>
          <w:rFonts w:asciiTheme="minorHAnsi" w:hAnsiTheme="minorHAnsi"/>
          <w:bCs/>
          <w:snapToGrid w:val="0"/>
        </w:rPr>
        <w:t xml:space="preserve"> the benefits of palopegteriparatide </w:t>
      </w:r>
      <w:r w:rsidR="009351B4">
        <w:rPr>
          <w:rFonts w:asciiTheme="minorHAnsi" w:hAnsiTheme="minorHAnsi"/>
          <w:bCs/>
          <w:snapToGrid w:val="0"/>
        </w:rPr>
        <w:t xml:space="preserve">in terms of </w:t>
      </w:r>
      <w:r w:rsidR="00071B5A">
        <w:rPr>
          <w:rFonts w:asciiTheme="minorHAnsi" w:hAnsiTheme="minorHAnsi"/>
          <w:bCs/>
          <w:snapToGrid w:val="0"/>
        </w:rPr>
        <w:t>quality of life, physical functioning and wellbeing.</w:t>
      </w:r>
    </w:p>
    <w:p w14:paraId="523F78A0" w14:textId="4AAFF006" w:rsidR="00CC3D51" w:rsidRPr="0098262F" w:rsidRDefault="00CC3D51" w:rsidP="00CC3D51">
      <w:pPr>
        <w:pStyle w:val="4-SubsectionHeading"/>
      </w:pPr>
      <w:r w:rsidRPr="0098262F">
        <w:t xml:space="preserve">Clinical </w:t>
      </w:r>
      <w:r>
        <w:t>trials</w:t>
      </w:r>
      <w:bookmarkEnd w:id="18"/>
    </w:p>
    <w:p w14:paraId="0299C966" w14:textId="4D2C7670" w:rsidR="005D3C49" w:rsidRPr="00B22EDA" w:rsidRDefault="00CC3D51" w:rsidP="00CC3D51">
      <w:pPr>
        <w:pStyle w:val="3-BodyText"/>
      </w:pPr>
      <w:r w:rsidRPr="4D2BAA30">
        <w:t>The submission was based on 2 head-to-head randomised controlled trials (RCTs) comparing palopegteriparatide to conventional therapy</w:t>
      </w:r>
      <w:r w:rsidR="00345605">
        <w:t xml:space="preserve"> </w:t>
      </w:r>
      <w:r w:rsidR="009B1011" w:rsidRPr="00345605">
        <w:t>(+placebo</w:t>
      </w:r>
      <w:r w:rsidR="00345605" w:rsidRPr="00345605">
        <w:t>)</w:t>
      </w:r>
      <w:r w:rsidR="0025223F" w:rsidRPr="4D2BAA30">
        <w:t>,</w:t>
      </w:r>
      <w:r w:rsidR="009221B2" w:rsidRPr="4D2BAA30">
        <w:t xml:space="preserve"> </w:t>
      </w:r>
      <w:r w:rsidRPr="4D2BAA30">
        <w:t xml:space="preserve">PaTHway and PaTH Forward. </w:t>
      </w:r>
      <w:r w:rsidR="00AD09AB" w:rsidRPr="4D2BAA30">
        <w:t xml:space="preserve">PaTHway was the primary evidence presented in the submission and used to support the efficacy and safety claim. PaTH Forward was presented to support the long-term safety </w:t>
      </w:r>
      <w:r w:rsidR="00603E44" w:rsidRPr="4D2BAA30">
        <w:t>of palopegteriparatide.</w:t>
      </w:r>
    </w:p>
    <w:p w14:paraId="2B7FBE0E" w14:textId="001A3592" w:rsidR="00730CE5" w:rsidRPr="00B22EDA" w:rsidRDefault="00CC3D51" w:rsidP="00CC3D51">
      <w:pPr>
        <w:pStyle w:val="3-BodyText"/>
      </w:pPr>
      <w:r w:rsidRPr="4D2BAA30">
        <w:t>The submission claimed that</w:t>
      </w:r>
      <w:r w:rsidR="005D3C49" w:rsidRPr="4D2BAA30">
        <w:t>,</w:t>
      </w:r>
      <w:r w:rsidRPr="4D2BAA30">
        <w:t xml:space="preserve"> </w:t>
      </w:r>
      <w:r w:rsidR="00EC5F8A" w:rsidRPr="4D2BAA30">
        <w:t>compared to</w:t>
      </w:r>
      <w:r w:rsidR="006C7F02" w:rsidRPr="4D2BAA30">
        <w:t xml:space="preserve"> conventional therapy</w:t>
      </w:r>
      <w:r w:rsidR="005D3C49" w:rsidRPr="4D2BAA30">
        <w:t>,</w:t>
      </w:r>
      <w:r w:rsidR="00EC5F8A" w:rsidRPr="4D2BAA30">
        <w:t xml:space="preserve"> </w:t>
      </w:r>
      <w:r w:rsidRPr="4D2BAA30">
        <w:t>palopegteriparatide was superior in terms of efficacy based on response</w:t>
      </w:r>
      <w:r w:rsidR="005078F9" w:rsidRPr="4D2BAA30">
        <w:t>,</w:t>
      </w:r>
      <w:r w:rsidR="004A010A" w:rsidRPr="4D2BAA30">
        <w:t xml:space="preserve"> </w:t>
      </w:r>
      <w:r w:rsidRPr="4D2BAA30">
        <w:t xml:space="preserve">health-related quality of life (HRQoL), and kidney function (as measured by the eGFR), and non-inferior in terms of safety in the short term and expected to be superior </w:t>
      </w:r>
      <w:r w:rsidR="0056543B" w:rsidRPr="4D2BAA30">
        <w:t xml:space="preserve">with respect to safety </w:t>
      </w:r>
      <w:r w:rsidRPr="4D2BAA30">
        <w:t>in the longer term owing to the independence from conventional therapy.</w:t>
      </w:r>
      <w:r w:rsidR="004A010A" w:rsidRPr="4D2BAA30">
        <w:t xml:space="preserve"> The submission used a multi-component outcome to represent response which was defined as albumin-adjusted serum calcium in the normal range (2.07–2.64 mmol/L [8.3–10.6 mg/dL]), independence from active vitamin D, independence from therapeutic doses of elemental calcium (&gt; 600 mg/day) and no increase in study drug</w:t>
      </w:r>
      <w:r w:rsidR="0099088F">
        <w:t xml:space="preserve"> </w:t>
      </w:r>
      <w:r w:rsidR="0099088F" w:rsidRPr="0099088F">
        <w:t>within 4 weeks prior to Week 26 visit</w:t>
      </w:r>
      <w:r w:rsidR="004A010A" w:rsidRPr="4D2BAA30">
        <w:t xml:space="preserve">. </w:t>
      </w:r>
    </w:p>
    <w:p w14:paraId="65D33A17" w14:textId="4B952393" w:rsidR="00CC3D51" w:rsidRPr="00B22EDA" w:rsidRDefault="4D72FECA" w:rsidP="00CC3D51">
      <w:pPr>
        <w:pStyle w:val="3-BodyText"/>
      </w:pPr>
      <w:r w:rsidRPr="383E5602">
        <w:t>PaTHway was a phase 3, double</w:t>
      </w:r>
      <w:r w:rsidR="22B77720" w:rsidRPr="383E5602">
        <w:t>-</w:t>
      </w:r>
      <w:r w:rsidRPr="383E5602">
        <w:t xml:space="preserve">blind, </w:t>
      </w:r>
      <w:r w:rsidR="4B2F6B08" w:rsidRPr="383E5602">
        <w:t>randomised controlled trial (</w:t>
      </w:r>
      <w:r w:rsidRPr="383E5602">
        <w:t>RCT</w:t>
      </w:r>
      <w:r w:rsidR="4B2F6B08" w:rsidRPr="383E5602">
        <w:t>)</w:t>
      </w:r>
      <w:r w:rsidRPr="383E5602">
        <w:t xml:space="preserve"> </w:t>
      </w:r>
      <w:r w:rsidR="1AE9F0C5" w:rsidRPr="383E5602">
        <w:t xml:space="preserve">in which patients commenced treatment </w:t>
      </w:r>
      <w:r w:rsidR="3CA3648F" w:rsidRPr="383E5602">
        <w:t xml:space="preserve">at </w:t>
      </w:r>
      <w:r w:rsidRPr="383E5602">
        <w:t xml:space="preserve">18 mcg/day, which is aligned with the </w:t>
      </w:r>
      <w:r w:rsidR="004B1089">
        <w:t>Product Information</w:t>
      </w:r>
      <w:r w:rsidRPr="383E5602">
        <w:t xml:space="preserve"> and proposed PBS restriction. </w:t>
      </w:r>
      <w:r w:rsidR="2313EC8A" w:rsidRPr="383E5602">
        <w:t>Patients in PaTHway had their dose of study drug</w:t>
      </w:r>
      <w:r w:rsidR="68C5F9AF" w:rsidRPr="383E5602">
        <w:t xml:space="preserve"> (placebo or palopegteriparatide)</w:t>
      </w:r>
      <w:r w:rsidR="2313EC8A" w:rsidRPr="383E5602">
        <w:t>, calcium and active vitamin D titrated based on the PaTHway treatment algorithm</w:t>
      </w:r>
      <w:r w:rsidR="30999B9C" w:rsidRPr="383E5602">
        <w:t>, as described in the Clinical Study Report</w:t>
      </w:r>
      <w:r w:rsidR="3BB8FBFD" w:rsidRPr="383E5602">
        <w:t xml:space="preserve"> (see </w:t>
      </w:r>
      <w:r w:rsidR="0BDCE15B" w:rsidRPr="383E5602">
        <w:t>p</w:t>
      </w:r>
      <w:r w:rsidR="3BB8FBFD" w:rsidRPr="383E5602">
        <w:t xml:space="preserve">aragraph </w:t>
      </w:r>
      <w:r w:rsidR="00356672">
        <w:fldChar w:fldCharType="begin"/>
      </w:r>
      <w:r w:rsidR="00356672">
        <w:instrText xml:space="preserve"> REF _Ref191468533 \r \h </w:instrText>
      </w:r>
      <w:r w:rsidR="00356672">
        <w:fldChar w:fldCharType="separate"/>
      </w:r>
      <w:r w:rsidR="00DA35E4">
        <w:t>6.15</w:t>
      </w:r>
      <w:r w:rsidR="00356672">
        <w:fldChar w:fldCharType="end"/>
      </w:r>
      <w:r w:rsidR="3BB8FBFD" w:rsidRPr="383E5602">
        <w:t>)</w:t>
      </w:r>
      <w:r w:rsidR="30999B9C" w:rsidRPr="383E5602">
        <w:t xml:space="preserve">. </w:t>
      </w:r>
      <w:r w:rsidRPr="383E5602">
        <w:t>After 26 weeks patients were assigned to open-label treatment</w:t>
      </w:r>
      <w:r w:rsidR="106A9A2D" w:rsidRPr="383E5602">
        <w:t xml:space="preserve">. Patients in the treatment arm during the 26-week blinded period remained on treatment and patients in the placebo arm during the double-blind period were </w:t>
      </w:r>
      <w:r w:rsidR="00AC7840">
        <w:t xml:space="preserve">then </w:t>
      </w:r>
      <w:r w:rsidR="106A9A2D" w:rsidRPr="383E5602">
        <w:t>switched to palopegteriparatide</w:t>
      </w:r>
      <w:r w:rsidRPr="383E5602">
        <w:t xml:space="preserve">. </w:t>
      </w:r>
      <w:r w:rsidR="3992215E" w:rsidRPr="383E5602">
        <w:t xml:space="preserve">The submission presented the results of the 52-week and 104-week follow-up to support the long-term efficacy and safety of the drug. </w:t>
      </w:r>
      <w:r w:rsidRPr="383E5602">
        <w:t>The open-label extension (OLE) period of the study is planned for 156 weeks</w:t>
      </w:r>
      <w:r w:rsidR="3992215E" w:rsidRPr="383E5602">
        <w:t>; t</w:t>
      </w:r>
      <w:r w:rsidRPr="383E5602">
        <w:t xml:space="preserve">he study </w:t>
      </w:r>
      <w:r w:rsidR="37370C7F" w:rsidRPr="383E5602">
        <w:t>wa</w:t>
      </w:r>
      <w:r w:rsidRPr="383E5602">
        <w:t>s expected to be completed in December 2025.</w:t>
      </w:r>
    </w:p>
    <w:p w14:paraId="7368799E" w14:textId="5099F74A" w:rsidR="00CC3D51" w:rsidRPr="00B22EDA" w:rsidRDefault="4D72FECA" w:rsidP="00CC3D51">
      <w:pPr>
        <w:pStyle w:val="3-BodyText"/>
      </w:pPr>
      <w:r w:rsidRPr="383E5602">
        <w:t>PaTH Forward was a phase 2 trial designed to assess the safety, tolerability and efficacy of palopegteriparatide in adult patients with chronic HPT. The PaTH Forward trial investigated 3 different starting doses, 15 mcg/day (n=14), 18 mcg/day (n=15) and 21 mcg/day (n=15), compared with placebo (n=15). The trial was double-blinded for 4 weeks</w:t>
      </w:r>
      <w:r w:rsidR="3D6EFC11" w:rsidRPr="383E5602">
        <w:t>,</w:t>
      </w:r>
      <w:r w:rsidRPr="383E5602">
        <w:t xml:space="preserve"> after which patients were assigned to open-label treatment</w:t>
      </w:r>
      <w:r w:rsidR="106A9A2D" w:rsidRPr="383E5602">
        <w:t xml:space="preserve"> during which time all patients received palopegteriparatide</w:t>
      </w:r>
      <w:r w:rsidRPr="383E5602">
        <w:t>. The submission presented the results of the 110-week follow-up to support the long-term safety of the drug.</w:t>
      </w:r>
    </w:p>
    <w:p w14:paraId="0A0E8682" w14:textId="208E74EB" w:rsidR="00CC3D51" w:rsidRPr="00B22EDA" w:rsidRDefault="00CC3D51" w:rsidP="00CC3D51">
      <w:pPr>
        <w:pStyle w:val="3-BodyText"/>
      </w:pPr>
      <w:r w:rsidRPr="00B22EDA">
        <w:t xml:space="preserve">Details of the trials presented in the submission are provided in </w:t>
      </w:r>
      <w:r w:rsidRPr="00B22EDA">
        <w:fldChar w:fldCharType="begin"/>
      </w:r>
      <w:r w:rsidRPr="00B22EDA">
        <w:instrText xml:space="preserve"> REF _Ref104803956 \h </w:instrText>
      </w:r>
      <w:r w:rsidR="00B22EDA" w:rsidRPr="00B22EDA">
        <w:instrText xml:space="preserve"> \* MERGEFORMAT </w:instrText>
      </w:r>
      <w:r w:rsidRPr="00B22EDA">
        <w:fldChar w:fldCharType="separate"/>
      </w:r>
      <w:r w:rsidR="00DA35E4" w:rsidRPr="00B22EDA">
        <w:t xml:space="preserve">Table </w:t>
      </w:r>
      <w:r w:rsidR="00DA35E4">
        <w:rPr>
          <w:noProof/>
        </w:rPr>
        <w:t>2</w:t>
      </w:r>
      <w:r w:rsidRPr="00B22EDA">
        <w:fldChar w:fldCharType="end"/>
      </w:r>
      <w:r w:rsidRPr="00B22EDA">
        <w:t>.</w:t>
      </w:r>
    </w:p>
    <w:p w14:paraId="531ECCCA" w14:textId="0D74A0D1" w:rsidR="00CC3D51" w:rsidRPr="00B22EDA" w:rsidRDefault="00CC3D51" w:rsidP="00372AB5">
      <w:pPr>
        <w:pStyle w:val="TableFigureHeading"/>
        <w:keepLines/>
      </w:pPr>
      <w:bookmarkStart w:id="21" w:name="_Ref104803956"/>
      <w:r w:rsidRPr="00B22EDA">
        <w:t xml:space="preserve">Table </w:t>
      </w:r>
      <w:r w:rsidR="0065405D">
        <w:fldChar w:fldCharType="begin"/>
      </w:r>
      <w:r w:rsidR="0065405D">
        <w:instrText xml:space="preserve"> SEQ Table \* ARABIC </w:instrText>
      </w:r>
      <w:r w:rsidR="0065405D">
        <w:fldChar w:fldCharType="separate"/>
      </w:r>
      <w:r w:rsidR="00DA35E4">
        <w:rPr>
          <w:noProof/>
        </w:rPr>
        <w:t>2</w:t>
      </w:r>
      <w:r w:rsidR="0065405D">
        <w:rPr>
          <w:noProof/>
        </w:rPr>
        <w:fldChar w:fldCharType="end"/>
      </w:r>
      <w:bookmarkEnd w:id="21"/>
      <w:r w:rsidRPr="00B22EDA">
        <w:t>:</w:t>
      </w:r>
      <w:r w:rsidRPr="00B22EDA">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786"/>
        <w:gridCol w:w="4683"/>
        <w:gridCol w:w="3548"/>
      </w:tblGrid>
      <w:tr w:rsidR="00CC3D51" w:rsidRPr="00B22EDA" w14:paraId="71FA8F5C" w14:textId="77777777" w:rsidTr="00372AB5">
        <w:trPr>
          <w:tblHeader/>
        </w:trPr>
        <w:tc>
          <w:tcPr>
            <w:tcW w:w="436" w:type="pct"/>
            <w:vAlign w:val="center"/>
          </w:tcPr>
          <w:p w14:paraId="5FA33C92" w14:textId="77777777" w:rsidR="00CC3D51" w:rsidRPr="00B22EDA" w:rsidRDefault="00CC3D51" w:rsidP="00372AB5">
            <w:pPr>
              <w:keepNext/>
              <w:keepLines/>
              <w:jc w:val="center"/>
              <w:rPr>
                <w:rFonts w:ascii="Arial Narrow" w:eastAsiaTheme="majorEastAsia" w:hAnsi="Arial Narrow" w:cs="Times New Roman"/>
                <w:b/>
                <w:sz w:val="20"/>
              </w:rPr>
            </w:pPr>
            <w:r w:rsidRPr="00B22EDA">
              <w:rPr>
                <w:rFonts w:ascii="Arial Narrow" w:eastAsiaTheme="majorEastAsia" w:hAnsi="Arial Narrow" w:cs="Times New Roman"/>
                <w:b/>
                <w:sz w:val="20"/>
              </w:rPr>
              <w:t>Trial ID</w:t>
            </w:r>
          </w:p>
        </w:tc>
        <w:tc>
          <w:tcPr>
            <w:tcW w:w="3354" w:type="pct"/>
            <w:tcBorders>
              <w:bottom w:val="single" w:sz="4" w:space="0" w:color="auto"/>
            </w:tcBorders>
            <w:vAlign w:val="center"/>
          </w:tcPr>
          <w:p w14:paraId="1457890E" w14:textId="77777777" w:rsidR="00CC3D51" w:rsidRPr="00B22EDA" w:rsidRDefault="00CC3D51" w:rsidP="00372AB5">
            <w:pPr>
              <w:keepNext/>
              <w:keepLines/>
              <w:jc w:val="center"/>
              <w:rPr>
                <w:rFonts w:ascii="Arial Narrow" w:eastAsiaTheme="majorEastAsia" w:hAnsi="Arial Narrow" w:cs="Times New Roman"/>
                <w:b/>
                <w:sz w:val="20"/>
              </w:rPr>
            </w:pPr>
            <w:r w:rsidRPr="00B22EDA">
              <w:rPr>
                <w:rFonts w:ascii="Arial Narrow" w:eastAsiaTheme="majorEastAsia" w:hAnsi="Arial Narrow" w:cs="Times New Roman"/>
                <w:b/>
                <w:sz w:val="20"/>
              </w:rPr>
              <w:t>Protocol title/ Publication title</w:t>
            </w:r>
          </w:p>
        </w:tc>
        <w:tc>
          <w:tcPr>
            <w:tcW w:w="1210" w:type="pct"/>
            <w:tcBorders>
              <w:bottom w:val="single" w:sz="4" w:space="0" w:color="auto"/>
            </w:tcBorders>
            <w:vAlign w:val="center"/>
          </w:tcPr>
          <w:p w14:paraId="7D3193A8" w14:textId="77777777" w:rsidR="00CC3D51" w:rsidRPr="00B22EDA" w:rsidRDefault="00CC3D51" w:rsidP="00372AB5">
            <w:pPr>
              <w:keepNext/>
              <w:keepLines/>
              <w:jc w:val="center"/>
              <w:rPr>
                <w:rFonts w:ascii="Arial Narrow" w:eastAsiaTheme="majorEastAsia" w:hAnsi="Arial Narrow" w:cs="Times New Roman"/>
                <w:b/>
                <w:sz w:val="20"/>
              </w:rPr>
            </w:pPr>
            <w:r w:rsidRPr="00B22EDA">
              <w:rPr>
                <w:rFonts w:ascii="Arial Narrow" w:eastAsiaTheme="majorEastAsia" w:hAnsi="Arial Narrow" w:cs="Times New Roman"/>
                <w:b/>
                <w:sz w:val="20"/>
              </w:rPr>
              <w:t>Publication citation</w:t>
            </w:r>
          </w:p>
        </w:tc>
      </w:tr>
      <w:tr w:rsidR="00CC3D51" w:rsidRPr="00B22EDA" w14:paraId="0B13D2FF" w14:textId="77777777" w:rsidTr="00372AB5">
        <w:tc>
          <w:tcPr>
            <w:tcW w:w="436" w:type="pct"/>
            <w:tcBorders>
              <w:bottom w:val="nil"/>
            </w:tcBorders>
            <w:vAlign w:val="center"/>
          </w:tcPr>
          <w:p w14:paraId="345ABC07" w14:textId="77777777" w:rsidR="00CC3D51" w:rsidRPr="00B22EDA" w:rsidRDefault="00CC3D51" w:rsidP="00372AB5">
            <w:pPr>
              <w:keepNext/>
              <w:keepLines/>
              <w:jc w:val="left"/>
              <w:rPr>
                <w:rFonts w:ascii="Arial Narrow" w:eastAsiaTheme="majorEastAsia" w:hAnsi="Arial Narrow" w:cstheme="majorBidi"/>
                <w:b/>
                <w:sz w:val="20"/>
              </w:rPr>
            </w:pPr>
          </w:p>
        </w:tc>
        <w:tc>
          <w:tcPr>
            <w:tcW w:w="3354" w:type="pct"/>
            <w:tcBorders>
              <w:bottom w:val="single" w:sz="4" w:space="0" w:color="auto"/>
            </w:tcBorders>
            <w:vAlign w:val="center"/>
          </w:tcPr>
          <w:p w14:paraId="17EC18E9" w14:textId="47C249A7" w:rsidR="00CC3D51" w:rsidRPr="00B22EDA" w:rsidRDefault="4D72FECA" w:rsidP="00372AB5">
            <w:pPr>
              <w:keepNext/>
              <w:keepLines/>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PaTHway TRIAL: A Phase 3, Multicenter, Randomized, Double-Blind, Placebo-Controlled, Parallel Group Trial, with an Open-Label Extension, Investigating the Safety, Tolerability and Efficacy of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Administered Subcutaneously Daily in Adults with Hypoparathyroidism</w:t>
            </w:r>
          </w:p>
        </w:tc>
        <w:tc>
          <w:tcPr>
            <w:tcW w:w="1210" w:type="pct"/>
            <w:tcBorders>
              <w:bottom w:val="single" w:sz="4" w:space="0" w:color="auto"/>
            </w:tcBorders>
            <w:vAlign w:val="center"/>
          </w:tcPr>
          <w:p w14:paraId="5784573E" w14:textId="77777777" w:rsidR="00CC3D51" w:rsidRPr="00B22EDA" w:rsidRDefault="00CC3D51" w:rsidP="00372AB5">
            <w:pPr>
              <w:keepNext/>
              <w:keepLines/>
              <w:jc w:val="left"/>
              <w:rPr>
                <w:rFonts w:ascii="Arial Narrow" w:eastAsiaTheme="majorEastAsia" w:hAnsi="Arial Narrow" w:cstheme="majorBidi"/>
                <w:bCs/>
                <w:sz w:val="20"/>
              </w:rPr>
            </w:pPr>
            <w:r w:rsidRPr="00B22EDA">
              <w:rPr>
                <w:rFonts w:ascii="Arial Narrow" w:eastAsiaTheme="majorEastAsia" w:hAnsi="Arial Narrow" w:cstheme="majorBidi"/>
                <w:bCs/>
                <w:sz w:val="20"/>
              </w:rPr>
              <w:t>Clinical Study Report</w:t>
            </w:r>
          </w:p>
        </w:tc>
      </w:tr>
      <w:tr w:rsidR="00CC3D51" w:rsidRPr="00B22EDA" w14:paraId="382E5F4D" w14:textId="77777777" w:rsidTr="00372AB5">
        <w:trPr>
          <w:trHeight w:val="30"/>
        </w:trPr>
        <w:tc>
          <w:tcPr>
            <w:tcW w:w="436" w:type="pct"/>
            <w:vMerge w:val="restart"/>
            <w:tcBorders>
              <w:top w:val="nil"/>
            </w:tcBorders>
            <w:vAlign w:val="center"/>
          </w:tcPr>
          <w:p w14:paraId="12924294" w14:textId="77777777" w:rsidR="00CC3D51" w:rsidRPr="00B22EDA" w:rsidRDefault="00CC3D51" w:rsidP="00372AB5">
            <w:pPr>
              <w:keepNext/>
              <w:keepLines/>
              <w:jc w:val="left"/>
              <w:rPr>
                <w:rFonts w:ascii="Arial Narrow" w:eastAsiaTheme="majorEastAsia" w:hAnsi="Arial Narrow" w:cstheme="majorBidi"/>
                <w:b/>
                <w:bCs/>
                <w:sz w:val="20"/>
                <w:szCs w:val="20"/>
              </w:rPr>
            </w:pPr>
            <w:r w:rsidRPr="4D2BAA30">
              <w:rPr>
                <w:rFonts w:ascii="Arial Narrow" w:eastAsiaTheme="majorEastAsia" w:hAnsi="Arial Narrow" w:cstheme="majorBidi"/>
                <w:b/>
                <w:bCs/>
                <w:sz w:val="20"/>
                <w:szCs w:val="20"/>
              </w:rPr>
              <w:t>PaTHway</w:t>
            </w:r>
          </w:p>
        </w:tc>
        <w:tc>
          <w:tcPr>
            <w:tcW w:w="3354" w:type="pct"/>
            <w:tcBorders>
              <w:top w:val="single" w:sz="4" w:space="0" w:color="auto"/>
              <w:bottom w:val="single" w:sz="4" w:space="0" w:color="auto"/>
            </w:tcBorders>
            <w:vAlign w:val="center"/>
          </w:tcPr>
          <w:p w14:paraId="1010D540" w14:textId="6ECB3F54" w:rsidR="00CC3D51" w:rsidRPr="00B22EDA" w:rsidRDefault="4D72FECA" w:rsidP="00372AB5">
            <w:pPr>
              <w:keepNext/>
              <w:keepLines/>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Khan et al. (2023). Efficacy and Safety of Parathyroid Hormone Replacement </w:t>
            </w:r>
            <w:r w:rsidR="094AC8D7" w:rsidRPr="383E5602">
              <w:rPr>
                <w:rFonts w:ascii="Arial Narrow" w:eastAsiaTheme="majorEastAsia" w:hAnsi="Arial Narrow" w:cstheme="majorBidi"/>
                <w:sz w:val="20"/>
                <w:szCs w:val="20"/>
              </w:rPr>
              <w:t>with</w:t>
            </w:r>
            <w:r w:rsidRPr="383E5602">
              <w:rPr>
                <w:rFonts w:ascii="Arial Narrow" w:eastAsiaTheme="majorEastAsia" w:hAnsi="Arial Narrow" w:cstheme="majorBidi"/>
                <w:sz w:val="20"/>
                <w:szCs w:val="20"/>
              </w:rPr>
              <w:t xml:space="preserve">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in Hypoparathyroidism: 26-Week Results </w:t>
            </w:r>
            <w:r w:rsidR="68D45F38" w:rsidRPr="383E5602">
              <w:rPr>
                <w:rFonts w:ascii="Arial Narrow" w:eastAsiaTheme="majorEastAsia" w:hAnsi="Arial Narrow" w:cstheme="majorBidi"/>
                <w:sz w:val="20"/>
                <w:szCs w:val="20"/>
              </w:rPr>
              <w:t>from</w:t>
            </w:r>
            <w:r w:rsidRPr="383E5602">
              <w:rPr>
                <w:rFonts w:ascii="Arial Narrow" w:eastAsiaTheme="majorEastAsia" w:hAnsi="Arial Narrow" w:cstheme="majorBidi"/>
                <w:sz w:val="20"/>
                <w:szCs w:val="20"/>
              </w:rPr>
              <w:t xml:space="preserve"> the Phase 3 PaTHway Trial</w:t>
            </w:r>
          </w:p>
        </w:tc>
        <w:tc>
          <w:tcPr>
            <w:tcW w:w="1210" w:type="pct"/>
            <w:tcBorders>
              <w:top w:val="single" w:sz="4" w:space="0" w:color="auto"/>
            </w:tcBorders>
            <w:vAlign w:val="center"/>
          </w:tcPr>
          <w:p w14:paraId="70D1B58A" w14:textId="77777777" w:rsidR="00CC3D51" w:rsidRPr="00B22EDA" w:rsidRDefault="00CC3D51" w:rsidP="00372AB5">
            <w:pPr>
              <w:keepNext/>
              <w:keepLines/>
              <w:jc w:val="left"/>
              <w:rPr>
                <w:rFonts w:ascii="Arial Narrow" w:eastAsiaTheme="majorEastAsia" w:hAnsi="Arial Narrow" w:cstheme="majorBidi"/>
                <w:bCs/>
                <w:sz w:val="20"/>
              </w:rPr>
            </w:pPr>
            <w:r w:rsidRPr="00B22EDA">
              <w:rPr>
                <w:rFonts w:ascii="Arial Narrow" w:eastAsiaTheme="majorEastAsia" w:hAnsi="Arial Narrow" w:cstheme="majorBidi"/>
                <w:bCs/>
                <w:sz w:val="20"/>
              </w:rPr>
              <w:t>Journal of bone and mineral research 38(1): 14-25</w:t>
            </w:r>
          </w:p>
        </w:tc>
      </w:tr>
      <w:tr w:rsidR="00CC3D51" w:rsidRPr="00B22EDA" w14:paraId="4BA11525" w14:textId="77777777" w:rsidTr="00372AB5">
        <w:trPr>
          <w:trHeight w:val="25"/>
        </w:trPr>
        <w:tc>
          <w:tcPr>
            <w:tcW w:w="436" w:type="pct"/>
            <w:vMerge/>
            <w:vAlign w:val="center"/>
          </w:tcPr>
          <w:p w14:paraId="660AE3AA" w14:textId="77777777" w:rsidR="00CC3D51" w:rsidRPr="00B22EDA" w:rsidRDefault="00CC3D51" w:rsidP="00372AB5">
            <w:pPr>
              <w:keepNext/>
              <w:keepLines/>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4ACCD0AA" w14:textId="2B3A1439" w:rsidR="00CC3D51" w:rsidRPr="00B22EDA" w:rsidRDefault="4D72FECA" w:rsidP="00372AB5">
            <w:pPr>
              <w:keepNext/>
              <w:keepLines/>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Khan, A. (2022). Phase 3 PaTHway Trial: participants Treated </w:t>
            </w:r>
            <w:r w:rsidR="094AC8D7" w:rsidRPr="383E5602">
              <w:rPr>
                <w:rFonts w:ascii="Arial Narrow" w:eastAsiaTheme="majorEastAsia" w:hAnsi="Arial Narrow" w:cstheme="majorBidi"/>
                <w:sz w:val="20"/>
                <w:szCs w:val="20"/>
              </w:rPr>
              <w:t>with</w:t>
            </w:r>
            <w:r w:rsidRPr="383E5602">
              <w:rPr>
                <w:rFonts w:ascii="Arial Narrow" w:eastAsiaTheme="majorEastAsia" w:hAnsi="Arial Narrow" w:cstheme="majorBidi"/>
                <w:sz w:val="20"/>
                <w:szCs w:val="20"/>
              </w:rPr>
              <w:t xml:space="preserve">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Achieved Independence </w:t>
            </w:r>
            <w:r w:rsidR="68D45F38" w:rsidRPr="383E5602">
              <w:rPr>
                <w:rFonts w:ascii="Arial Narrow" w:eastAsiaTheme="majorEastAsia" w:hAnsi="Arial Narrow" w:cstheme="majorBidi"/>
                <w:sz w:val="20"/>
                <w:szCs w:val="20"/>
              </w:rPr>
              <w:t>from</w:t>
            </w:r>
            <w:r w:rsidRPr="383E5602">
              <w:rPr>
                <w:rFonts w:ascii="Arial Narrow" w:eastAsiaTheme="majorEastAsia" w:hAnsi="Arial Narrow" w:cstheme="majorBidi"/>
                <w:sz w:val="20"/>
                <w:szCs w:val="20"/>
              </w:rPr>
              <w:t xml:space="preserve"> Conventional Therapy While Maintaining Normal Serum Calcium</w:t>
            </w:r>
          </w:p>
        </w:tc>
        <w:tc>
          <w:tcPr>
            <w:tcW w:w="1210" w:type="pct"/>
            <w:vAlign w:val="center"/>
          </w:tcPr>
          <w:p w14:paraId="2E6DF6C8" w14:textId="77777777" w:rsidR="00CC3D51" w:rsidRPr="00B22EDA" w:rsidRDefault="00CC3D51" w:rsidP="00372AB5">
            <w:pPr>
              <w:keepNext/>
              <w:keepLines/>
              <w:jc w:val="left"/>
              <w:rPr>
                <w:rFonts w:ascii="Arial Narrow" w:eastAsiaTheme="majorEastAsia" w:hAnsi="Arial Narrow" w:cstheme="majorBidi"/>
                <w:bCs/>
                <w:sz w:val="20"/>
              </w:rPr>
            </w:pPr>
            <w:r w:rsidRPr="00B22EDA">
              <w:rPr>
                <w:rFonts w:ascii="Arial Narrow" w:eastAsiaTheme="majorEastAsia" w:hAnsi="Arial Narrow" w:cstheme="majorBidi"/>
                <w:bCs/>
                <w:sz w:val="20"/>
              </w:rPr>
              <w:t>Journal of the Endocrine Society 6: A802</w:t>
            </w:r>
            <w:r w:rsidRPr="00B22EDA">
              <w:rPr>
                <w:rFonts w:ascii="Cambria Math" w:eastAsiaTheme="majorEastAsia" w:hAnsi="Cambria Math" w:cs="Cambria Math"/>
                <w:bCs/>
                <w:sz w:val="20"/>
              </w:rPr>
              <w:t>‐</w:t>
            </w:r>
            <w:r w:rsidRPr="00B22EDA">
              <w:rPr>
                <w:rFonts w:ascii="Arial Narrow" w:eastAsiaTheme="majorEastAsia" w:hAnsi="Arial Narrow" w:cstheme="majorBidi"/>
                <w:bCs/>
                <w:sz w:val="20"/>
              </w:rPr>
              <w:t>A803 (conference abstract)</w:t>
            </w:r>
          </w:p>
        </w:tc>
      </w:tr>
      <w:tr w:rsidR="00CC3D51" w:rsidRPr="00B22EDA" w14:paraId="7D7CEDB2" w14:textId="77777777" w:rsidTr="00372AB5">
        <w:trPr>
          <w:trHeight w:val="25"/>
        </w:trPr>
        <w:tc>
          <w:tcPr>
            <w:tcW w:w="436" w:type="pct"/>
            <w:vMerge/>
            <w:vAlign w:val="center"/>
          </w:tcPr>
          <w:p w14:paraId="7DB51902" w14:textId="77777777" w:rsidR="00CC3D51" w:rsidRPr="00B22EDA" w:rsidRDefault="00CC3D51" w:rsidP="00372AB5">
            <w:pPr>
              <w:keepNext/>
              <w:keepLines/>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278D6980" w14:textId="70A05CCA" w:rsidR="00CC3D51" w:rsidRPr="00B22EDA" w:rsidRDefault="4D72FECA" w:rsidP="00372AB5">
            <w:pPr>
              <w:keepNext/>
              <w:keepLines/>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Schneider, M., et al. (2023).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enables independence from conventional therapy while maintaining normal serum calcium in adults with chronic postsurgical hypoparathyroidism: results from a sub-analysis of the pathway phase 3 trial.</w:t>
            </w:r>
          </w:p>
        </w:tc>
        <w:tc>
          <w:tcPr>
            <w:tcW w:w="1210" w:type="pct"/>
            <w:vAlign w:val="center"/>
          </w:tcPr>
          <w:p w14:paraId="77150C11" w14:textId="77777777" w:rsidR="00CC3D51" w:rsidRPr="00B22EDA" w:rsidRDefault="00CC3D51" w:rsidP="00372AB5">
            <w:pPr>
              <w:keepNext/>
              <w:keepLines/>
              <w:jc w:val="left"/>
              <w:rPr>
                <w:rFonts w:ascii="Arial Narrow" w:eastAsiaTheme="majorEastAsia" w:hAnsi="Arial Narrow" w:cstheme="majorBidi"/>
                <w:bCs/>
                <w:sz w:val="20"/>
              </w:rPr>
            </w:pPr>
            <w:r w:rsidRPr="00B22EDA">
              <w:rPr>
                <w:rFonts w:ascii="Arial Narrow" w:eastAsiaTheme="majorEastAsia" w:hAnsi="Arial Narrow" w:cstheme="majorBidi"/>
                <w:bCs/>
                <w:sz w:val="20"/>
              </w:rPr>
              <w:t>Thyroid 33: A15 (conference abstract)</w:t>
            </w:r>
          </w:p>
        </w:tc>
      </w:tr>
      <w:tr w:rsidR="00CC3D51" w:rsidRPr="00B22EDA" w14:paraId="74E7D288" w14:textId="77777777" w:rsidTr="00372AB5">
        <w:trPr>
          <w:trHeight w:val="25"/>
        </w:trPr>
        <w:tc>
          <w:tcPr>
            <w:tcW w:w="436" w:type="pct"/>
            <w:vMerge/>
            <w:vAlign w:val="center"/>
          </w:tcPr>
          <w:p w14:paraId="3CB7B9E1" w14:textId="77777777" w:rsidR="00CC3D51" w:rsidRPr="00B22EDA" w:rsidRDefault="00CC3D51" w:rsidP="00372AB5">
            <w:pPr>
              <w:keepNext/>
              <w:keepLines/>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6F62BC16" w14:textId="715138E3" w:rsidR="00CC3D51" w:rsidRPr="00B22EDA" w:rsidRDefault="4D72FECA" w:rsidP="00372AB5">
            <w:pPr>
              <w:keepNext/>
              <w:keepLines/>
              <w:jc w:val="left"/>
              <w:rPr>
                <w:rFonts w:ascii="Arial Narrow" w:eastAsiaTheme="majorEastAsia" w:hAnsi="Arial Narrow" w:cstheme="majorBidi"/>
                <w:sz w:val="20"/>
                <w:szCs w:val="20"/>
              </w:rPr>
            </w:pPr>
            <w:proofErr w:type="spellStart"/>
            <w:r w:rsidRPr="383E5602">
              <w:rPr>
                <w:rFonts w:ascii="Arial Narrow" w:eastAsiaTheme="majorEastAsia" w:hAnsi="Arial Narrow" w:cstheme="majorBidi"/>
                <w:sz w:val="20"/>
                <w:szCs w:val="20"/>
              </w:rPr>
              <w:t>Nct</w:t>
            </w:r>
            <w:proofErr w:type="spellEnd"/>
            <w:r w:rsidRPr="383E5602">
              <w:rPr>
                <w:rFonts w:ascii="Arial Narrow" w:eastAsiaTheme="majorEastAsia" w:hAnsi="Arial Narrow" w:cstheme="majorBidi"/>
                <w:sz w:val="20"/>
                <w:szCs w:val="20"/>
              </w:rPr>
              <w:t xml:space="preserve"> (2021). A Trial Investigating the Safety, Tolerability and Efficacy of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Administered Daily in Adults with Hypoparathyroidism. </w:t>
            </w:r>
          </w:p>
        </w:tc>
        <w:tc>
          <w:tcPr>
            <w:tcW w:w="1210" w:type="pct"/>
            <w:vAlign w:val="center"/>
          </w:tcPr>
          <w:p w14:paraId="39D67F8B" w14:textId="77777777" w:rsidR="00CC3D51" w:rsidRPr="00B22EDA" w:rsidRDefault="00CC3D51" w:rsidP="00372AB5">
            <w:pPr>
              <w:keepNext/>
              <w:keepLines/>
              <w:jc w:val="left"/>
              <w:rPr>
                <w:rFonts w:ascii="Arial Narrow" w:eastAsiaTheme="majorEastAsia" w:hAnsi="Arial Narrow" w:cstheme="majorBidi"/>
                <w:bCs/>
                <w:sz w:val="20"/>
              </w:rPr>
            </w:pPr>
            <w:r w:rsidRPr="00B22EDA">
              <w:rPr>
                <w:rFonts w:ascii="Arial Narrow" w:eastAsiaTheme="majorEastAsia" w:hAnsi="Arial Narrow" w:cstheme="majorBidi"/>
                <w:bCs/>
                <w:sz w:val="20"/>
              </w:rPr>
              <w:t>https://clinicaltrials.gov/ct2/show/NCT04701203.</w:t>
            </w:r>
          </w:p>
        </w:tc>
      </w:tr>
      <w:tr w:rsidR="00CC3D51" w:rsidRPr="00B22EDA" w14:paraId="6F6B226B" w14:textId="77777777" w:rsidTr="00372AB5">
        <w:trPr>
          <w:trHeight w:val="25"/>
        </w:trPr>
        <w:tc>
          <w:tcPr>
            <w:tcW w:w="436" w:type="pct"/>
            <w:vMerge/>
            <w:vAlign w:val="center"/>
          </w:tcPr>
          <w:p w14:paraId="7C849FD7" w14:textId="77777777" w:rsidR="00CC3D51" w:rsidRPr="00B22EDA" w:rsidRDefault="00CC3D51"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06F505CD" w14:textId="39518435" w:rsidR="00CC3D51" w:rsidRPr="00B22EDA" w:rsidRDefault="4D72FECA" w:rsidP="00372AB5">
            <w:pPr>
              <w:jc w:val="left"/>
              <w:rPr>
                <w:rFonts w:ascii="Arial Narrow" w:eastAsiaTheme="majorEastAsia" w:hAnsi="Arial Narrow" w:cstheme="majorBidi"/>
                <w:sz w:val="20"/>
                <w:szCs w:val="20"/>
              </w:rPr>
            </w:pPr>
            <w:proofErr w:type="spellStart"/>
            <w:r w:rsidRPr="383E5602">
              <w:rPr>
                <w:rFonts w:ascii="Arial Narrow" w:eastAsiaTheme="majorEastAsia" w:hAnsi="Arial Narrow" w:cstheme="majorBidi"/>
                <w:sz w:val="20"/>
                <w:szCs w:val="20"/>
              </w:rPr>
              <w:t>Euctr</w:t>
            </w:r>
            <w:proofErr w:type="spellEnd"/>
            <w:r w:rsidRPr="383E5602">
              <w:rPr>
                <w:rFonts w:ascii="Arial Narrow" w:eastAsiaTheme="majorEastAsia" w:hAnsi="Arial Narrow" w:cstheme="majorBidi"/>
                <w:sz w:val="20"/>
                <w:szCs w:val="20"/>
              </w:rPr>
              <w:t xml:space="preserve">, H. U. (2020). PaTHway TRIAL: a Clinical Trial to Investigate the Safety and Effectiveness of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Administered as an Injection Under the Skin in Adults with</w:t>
            </w:r>
          </w:p>
          <w:p w14:paraId="00EC4558" w14:textId="77777777" w:rsidR="00CC3D51" w:rsidRPr="00B22EDA" w:rsidRDefault="00CC3D51"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Hypoparathyroidism.</w:t>
            </w:r>
          </w:p>
        </w:tc>
        <w:tc>
          <w:tcPr>
            <w:tcW w:w="1210" w:type="pct"/>
            <w:vAlign w:val="center"/>
          </w:tcPr>
          <w:p w14:paraId="032CF978" w14:textId="77777777" w:rsidR="00CC3D51" w:rsidRPr="00B22EDA" w:rsidRDefault="00CC3D51"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Clinical trial record</w:t>
            </w:r>
          </w:p>
        </w:tc>
      </w:tr>
      <w:tr w:rsidR="00CC3D51" w:rsidRPr="00B22EDA" w14:paraId="7CFB16AB" w14:textId="77777777" w:rsidTr="00372AB5">
        <w:trPr>
          <w:trHeight w:val="25"/>
        </w:trPr>
        <w:tc>
          <w:tcPr>
            <w:tcW w:w="436" w:type="pct"/>
            <w:vMerge/>
            <w:vAlign w:val="center"/>
          </w:tcPr>
          <w:p w14:paraId="7C14668D" w14:textId="77777777" w:rsidR="00CC3D51" w:rsidRPr="00B22EDA" w:rsidRDefault="00CC3D51"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35AF34AC" w14:textId="6A670952" w:rsidR="00CC3D51" w:rsidRPr="00B22EDA" w:rsidRDefault="4D72FECA" w:rsidP="00372AB5">
            <w:pPr>
              <w:jc w:val="left"/>
              <w:rPr>
                <w:rFonts w:ascii="Arial Narrow" w:eastAsiaTheme="majorEastAsia" w:hAnsi="Arial Narrow" w:cstheme="majorBidi"/>
                <w:sz w:val="20"/>
                <w:szCs w:val="20"/>
              </w:rPr>
            </w:pPr>
            <w:proofErr w:type="spellStart"/>
            <w:r w:rsidRPr="383E5602">
              <w:rPr>
                <w:rFonts w:ascii="Arial Narrow" w:eastAsiaTheme="majorEastAsia" w:hAnsi="Arial Narrow" w:cstheme="majorBidi"/>
                <w:sz w:val="20"/>
                <w:szCs w:val="20"/>
              </w:rPr>
              <w:t>Tsourdi</w:t>
            </w:r>
            <w:proofErr w:type="spellEnd"/>
            <w:r w:rsidRPr="383E5602">
              <w:rPr>
                <w:rFonts w:ascii="Arial Narrow" w:eastAsiaTheme="majorEastAsia" w:hAnsi="Arial Narrow" w:cstheme="majorBidi"/>
                <w:sz w:val="20"/>
                <w:szCs w:val="20"/>
              </w:rPr>
              <w:t xml:space="preserve"> et al (2024) Improved Skeletal Dynamics in Adults Treated </w:t>
            </w:r>
            <w:r w:rsidR="094AC8D7" w:rsidRPr="383E5602">
              <w:rPr>
                <w:rFonts w:ascii="Arial Narrow" w:eastAsiaTheme="majorEastAsia" w:hAnsi="Arial Narrow" w:cstheme="majorBidi"/>
                <w:sz w:val="20"/>
                <w:szCs w:val="20"/>
              </w:rPr>
              <w:t>with</w:t>
            </w:r>
            <w:r w:rsidRPr="383E5602">
              <w:rPr>
                <w:rFonts w:ascii="Arial Narrow" w:eastAsiaTheme="majorEastAsia" w:hAnsi="Arial Narrow" w:cstheme="majorBidi"/>
                <w:sz w:val="20"/>
                <w:szCs w:val="20"/>
              </w:rPr>
              <w:t xml:space="preserve"> Palopegteriparatide for Hypoparathyroidism: 52-Week Analysis of Phase 3 PaTHway Trial. </w:t>
            </w:r>
            <w:proofErr w:type="spellStart"/>
            <w:r w:rsidRPr="383E5602">
              <w:rPr>
                <w:rFonts w:ascii="Arial Narrow" w:eastAsiaTheme="majorEastAsia" w:hAnsi="Arial Narrow" w:cstheme="majorBidi"/>
                <w:sz w:val="20"/>
                <w:szCs w:val="20"/>
              </w:rPr>
              <w:t>Osteologie</w:t>
            </w:r>
            <w:proofErr w:type="spellEnd"/>
            <w:r w:rsidRPr="383E5602">
              <w:rPr>
                <w:rFonts w:ascii="Arial Narrow" w:eastAsiaTheme="majorEastAsia" w:hAnsi="Arial Narrow" w:cstheme="majorBidi"/>
                <w:sz w:val="20"/>
                <w:szCs w:val="20"/>
              </w:rPr>
              <w:t xml:space="preserve"> 33,2:113.</w:t>
            </w:r>
          </w:p>
        </w:tc>
        <w:tc>
          <w:tcPr>
            <w:tcW w:w="1210" w:type="pct"/>
            <w:vAlign w:val="center"/>
          </w:tcPr>
          <w:p w14:paraId="1D84714B" w14:textId="2D89E897" w:rsidR="00CC3D51" w:rsidRPr="00B22EDA" w:rsidRDefault="4D72FECA" w:rsidP="00372AB5">
            <w:pPr>
              <w:jc w:val="left"/>
              <w:rPr>
                <w:rFonts w:ascii="Arial Narrow" w:eastAsiaTheme="majorEastAsia" w:hAnsi="Arial Narrow" w:cstheme="majorBidi"/>
                <w:sz w:val="20"/>
                <w:szCs w:val="20"/>
              </w:rPr>
            </w:pPr>
            <w:proofErr w:type="spellStart"/>
            <w:r w:rsidRPr="383E5602">
              <w:rPr>
                <w:rFonts w:ascii="Arial Narrow" w:eastAsiaTheme="majorEastAsia" w:hAnsi="Arial Narrow" w:cstheme="majorBidi"/>
                <w:sz w:val="20"/>
                <w:szCs w:val="20"/>
              </w:rPr>
              <w:t>Osteologie</w:t>
            </w:r>
            <w:proofErr w:type="spellEnd"/>
            <w:r w:rsidRPr="383E5602">
              <w:rPr>
                <w:rFonts w:ascii="Arial Narrow" w:eastAsiaTheme="majorEastAsia" w:hAnsi="Arial Narrow" w:cstheme="majorBidi"/>
                <w:sz w:val="20"/>
                <w:szCs w:val="20"/>
              </w:rPr>
              <w:t xml:space="preserve"> 33,2:113 (conference abstract)</w:t>
            </w:r>
          </w:p>
        </w:tc>
      </w:tr>
      <w:tr w:rsidR="00CC3D51" w:rsidRPr="00B22EDA" w14:paraId="1E717180" w14:textId="77777777" w:rsidTr="00372AB5">
        <w:trPr>
          <w:trHeight w:val="25"/>
        </w:trPr>
        <w:tc>
          <w:tcPr>
            <w:tcW w:w="436" w:type="pct"/>
            <w:vMerge/>
            <w:vAlign w:val="center"/>
          </w:tcPr>
          <w:p w14:paraId="47A1A8D0" w14:textId="77777777" w:rsidR="00CC3D51" w:rsidRPr="00B22EDA" w:rsidRDefault="00CC3D51"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1FD615CC" w14:textId="76F63FF1" w:rsidR="00CC3D51" w:rsidRPr="00B22EDA" w:rsidRDefault="00CC3D51" w:rsidP="00372AB5">
            <w:pPr>
              <w:jc w:val="left"/>
              <w:rPr>
                <w:rFonts w:ascii="Arial Narrow" w:eastAsiaTheme="majorEastAsia" w:hAnsi="Arial Narrow" w:cstheme="majorBidi"/>
                <w:sz w:val="20"/>
                <w:szCs w:val="20"/>
              </w:rPr>
            </w:pPr>
            <w:r w:rsidRPr="4D2BAA30">
              <w:rPr>
                <w:rFonts w:ascii="Arial Narrow" w:eastAsiaTheme="majorEastAsia" w:hAnsi="Arial Narrow" w:cstheme="majorBidi"/>
                <w:sz w:val="20"/>
                <w:szCs w:val="20"/>
              </w:rPr>
              <w:t xml:space="preserve">Rejnmark et al (2024) Palopegteriparatide Treatment Improves Renal Function in Adults </w:t>
            </w:r>
            <w:r w:rsidR="00531D82" w:rsidRPr="4D2BAA30">
              <w:rPr>
                <w:rFonts w:ascii="Arial Narrow" w:eastAsiaTheme="majorEastAsia" w:hAnsi="Arial Narrow" w:cstheme="majorBidi"/>
                <w:sz w:val="20"/>
                <w:szCs w:val="20"/>
              </w:rPr>
              <w:t>with</w:t>
            </w:r>
            <w:r w:rsidRPr="4D2BAA30">
              <w:rPr>
                <w:rFonts w:ascii="Arial Narrow" w:eastAsiaTheme="majorEastAsia" w:hAnsi="Arial Narrow" w:cstheme="majorBidi"/>
                <w:sz w:val="20"/>
                <w:szCs w:val="20"/>
              </w:rPr>
              <w:t xml:space="preserve"> Chronic 1 Hypoparathyroidism: 1-Year Results </w:t>
            </w:r>
            <w:r w:rsidR="00814905" w:rsidRPr="4D2BAA30">
              <w:rPr>
                <w:rFonts w:ascii="Arial Narrow" w:eastAsiaTheme="majorEastAsia" w:hAnsi="Arial Narrow" w:cstheme="majorBidi"/>
                <w:sz w:val="20"/>
                <w:szCs w:val="20"/>
              </w:rPr>
              <w:t>from</w:t>
            </w:r>
            <w:r w:rsidRPr="4D2BAA30">
              <w:rPr>
                <w:rFonts w:ascii="Arial Narrow" w:eastAsiaTheme="majorEastAsia" w:hAnsi="Arial Narrow" w:cstheme="majorBidi"/>
                <w:sz w:val="20"/>
                <w:szCs w:val="20"/>
              </w:rPr>
              <w:t xml:space="preserve"> the Phase 3 PaTHway Trial </w:t>
            </w:r>
          </w:p>
        </w:tc>
        <w:tc>
          <w:tcPr>
            <w:tcW w:w="1210" w:type="pct"/>
            <w:vAlign w:val="center"/>
          </w:tcPr>
          <w:p w14:paraId="730EEB9A" w14:textId="77777777" w:rsidR="00CC3D51" w:rsidRPr="00B22EDA" w:rsidRDefault="00CC3D51"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Adv Ther (2024) 41:2500–2518</w:t>
            </w:r>
          </w:p>
        </w:tc>
      </w:tr>
      <w:tr w:rsidR="00CC3D51" w:rsidRPr="00B22EDA" w14:paraId="1981744F" w14:textId="77777777" w:rsidTr="00372AB5">
        <w:trPr>
          <w:trHeight w:val="25"/>
        </w:trPr>
        <w:tc>
          <w:tcPr>
            <w:tcW w:w="436" w:type="pct"/>
            <w:vMerge/>
            <w:vAlign w:val="center"/>
          </w:tcPr>
          <w:p w14:paraId="011C0D67" w14:textId="77777777" w:rsidR="00CC3D51" w:rsidRPr="00B22EDA" w:rsidRDefault="00CC3D51"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2C3AC9FD" w14:textId="384A0435" w:rsidR="00CC3D51" w:rsidRPr="00B22EDA" w:rsidRDefault="4D72FECA" w:rsidP="00372AB5">
            <w:pPr>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Clarke, B., et al. (2023). Long-term Efficacy </w:t>
            </w:r>
            <w:r w:rsidR="094AC8D7" w:rsidRPr="383E5602">
              <w:rPr>
                <w:rFonts w:ascii="Arial Narrow" w:eastAsiaTheme="majorEastAsia" w:hAnsi="Arial Narrow" w:cstheme="majorBidi"/>
                <w:sz w:val="20"/>
                <w:szCs w:val="20"/>
              </w:rPr>
              <w:t>and</w:t>
            </w:r>
            <w:r w:rsidRPr="383E5602">
              <w:rPr>
                <w:rFonts w:ascii="Arial Narrow" w:eastAsiaTheme="majorEastAsia" w:hAnsi="Arial Narrow" w:cstheme="majorBidi"/>
                <w:sz w:val="20"/>
                <w:szCs w:val="20"/>
              </w:rPr>
              <w:t xml:space="preserve"> Safety </w:t>
            </w:r>
            <w:r w:rsidR="68D45F38" w:rsidRPr="383E5602">
              <w:rPr>
                <w:rFonts w:ascii="Arial Narrow" w:eastAsiaTheme="majorEastAsia" w:hAnsi="Arial Narrow" w:cstheme="majorBidi"/>
                <w:sz w:val="20"/>
                <w:szCs w:val="20"/>
              </w:rPr>
              <w:t>of</w:t>
            </w:r>
            <w:r w:rsidRPr="383E5602">
              <w:rPr>
                <w:rFonts w:ascii="Arial Narrow" w:eastAsiaTheme="majorEastAsia" w:hAnsi="Arial Narrow" w:cstheme="majorBidi"/>
                <w:sz w:val="20"/>
                <w:szCs w:val="20"/>
              </w:rPr>
              <w:t xml:space="preserve"> Transcon PTH </w:t>
            </w:r>
            <w:r w:rsidR="5C305051" w:rsidRPr="383E5602">
              <w:rPr>
                <w:rFonts w:ascii="Arial Narrow" w:eastAsiaTheme="majorEastAsia" w:hAnsi="Arial Narrow" w:cstheme="majorBidi"/>
                <w:sz w:val="20"/>
                <w:szCs w:val="20"/>
              </w:rPr>
              <w:t>in</w:t>
            </w:r>
            <w:r w:rsidRPr="383E5602">
              <w:rPr>
                <w:rFonts w:ascii="Arial Narrow" w:eastAsiaTheme="majorEastAsia" w:hAnsi="Arial Narrow" w:cstheme="majorBidi"/>
                <w:sz w:val="20"/>
                <w:szCs w:val="20"/>
              </w:rPr>
              <w:t xml:space="preserve"> Adults With Hypoparathyroidism: 52-week Results From The Open-label Extension Of The Phase 3 Pathway Trial.</w:t>
            </w:r>
          </w:p>
        </w:tc>
        <w:tc>
          <w:tcPr>
            <w:tcW w:w="1210" w:type="pct"/>
            <w:vAlign w:val="center"/>
          </w:tcPr>
          <w:p w14:paraId="6663B0C5" w14:textId="77777777" w:rsidR="00CC3D51" w:rsidRPr="00B22EDA" w:rsidRDefault="00CC3D51"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Journal of the Endocrine Society 7: A303-A304 (conference abstract)</w:t>
            </w:r>
          </w:p>
        </w:tc>
      </w:tr>
      <w:tr w:rsidR="00CC3D51" w:rsidRPr="00B22EDA" w14:paraId="59A127BB" w14:textId="77777777" w:rsidTr="00372AB5">
        <w:trPr>
          <w:trHeight w:val="25"/>
        </w:trPr>
        <w:tc>
          <w:tcPr>
            <w:tcW w:w="436" w:type="pct"/>
            <w:vMerge/>
            <w:vAlign w:val="center"/>
          </w:tcPr>
          <w:p w14:paraId="1657CABA" w14:textId="77777777" w:rsidR="00CC3D51" w:rsidRPr="00B22EDA" w:rsidRDefault="00CC3D51"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4108F4BF" w14:textId="0742E645" w:rsidR="00CC3D51" w:rsidRPr="00B22EDA" w:rsidRDefault="00CC3D51" w:rsidP="00372AB5">
            <w:pPr>
              <w:jc w:val="left"/>
              <w:rPr>
                <w:rFonts w:ascii="Arial Narrow" w:eastAsiaTheme="majorEastAsia" w:hAnsi="Arial Narrow" w:cstheme="majorBidi"/>
                <w:sz w:val="20"/>
                <w:szCs w:val="20"/>
              </w:rPr>
            </w:pPr>
            <w:r w:rsidRPr="4D2BAA30">
              <w:rPr>
                <w:rFonts w:ascii="Arial Narrow" w:eastAsiaTheme="majorEastAsia" w:hAnsi="Arial Narrow" w:cstheme="majorBidi"/>
                <w:sz w:val="20"/>
                <w:szCs w:val="20"/>
              </w:rPr>
              <w:t xml:space="preserve">Schwarz et al (2024). Sustained Improvement in Renal Function </w:t>
            </w:r>
            <w:r w:rsidR="00531D82" w:rsidRPr="4D2BAA30">
              <w:rPr>
                <w:rFonts w:ascii="Arial Narrow" w:eastAsiaTheme="majorEastAsia" w:hAnsi="Arial Narrow" w:cstheme="majorBidi"/>
                <w:sz w:val="20"/>
                <w:szCs w:val="20"/>
              </w:rPr>
              <w:t>with</w:t>
            </w:r>
            <w:r w:rsidRPr="4D2BAA30">
              <w:rPr>
                <w:rFonts w:ascii="Arial Narrow" w:eastAsiaTheme="majorEastAsia" w:hAnsi="Arial Narrow" w:cstheme="majorBidi"/>
                <w:sz w:val="20"/>
                <w:szCs w:val="20"/>
              </w:rPr>
              <w:t xml:space="preserve"> Palopegteriparatide in Adults </w:t>
            </w:r>
            <w:r w:rsidR="00814905" w:rsidRPr="4D2BAA30">
              <w:rPr>
                <w:rFonts w:ascii="Arial Narrow" w:eastAsiaTheme="majorEastAsia" w:hAnsi="Arial Narrow" w:cstheme="majorBidi"/>
                <w:sz w:val="20"/>
                <w:szCs w:val="20"/>
              </w:rPr>
              <w:t>with</w:t>
            </w:r>
            <w:r w:rsidRPr="4D2BAA30">
              <w:rPr>
                <w:rFonts w:ascii="Arial Narrow" w:eastAsiaTheme="majorEastAsia" w:hAnsi="Arial Narrow" w:cstheme="majorBidi"/>
                <w:sz w:val="20"/>
                <w:szCs w:val="20"/>
              </w:rPr>
              <w:t xml:space="preserve"> Chronic Hypoparathyroidism: 2-Year Results </w:t>
            </w:r>
            <w:r w:rsidR="00590B7D" w:rsidRPr="4D2BAA30">
              <w:rPr>
                <w:rFonts w:ascii="Arial Narrow" w:eastAsiaTheme="majorEastAsia" w:hAnsi="Arial Narrow" w:cstheme="majorBidi"/>
                <w:sz w:val="20"/>
                <w:szCs w:val="20"/>
              </w:rPr>
              <w:t>from</w:t>
            </w:r>
            <w:r w:rsidRPr="4D2BAA30">
              <w:rPr>
                <w:rFonts w:ascii="Arial Narrow" w:eastAsiaTheme="majorEastAsia" w:hAnsi="Arial Narrow" w:cstheme="majorBidi"/>
                <w:sz w:val="20"/>
                <w:szCs w:val="20"/>
              </w:rPr>
              <w:t xml:space="preserve"> the Phase 3 PaTHway Trial. </w:t>
            </w:r>
          </w:p>
        </w:tc>
        <w:tc>
          <w:tcPr>
            <w:tcW w:w="1210" w:type="pct"/>
            <w:tcBorders>
              <w:bottom w:val="single" w:sz="4" w:space="0" w:color="auto"/>
            </w:tcBorders>
            <w:vAlign w:val="center"/>
          </w:tcPr>
          <w:p w14:paraId="0FA21F8D" w14:textId="77777777" w:rsidR="00CC3D51" w:rsidRPr="00B22EDA" w:rsidRDefault="00CC3D51"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ECE 2024, Stockholm Sweden (conference abstract draft)</w:t>
            </w:r>
          </w:p>
        </w:tc>
      </w:tr>
      <w:tr w:rsidR="00D54FFE" w:rsidRPr="00B22EDA" w14:paraId="390C5616" w14:textId="77777777" w:rsidTr="00372AB5">
        <w:trPr>
          <w:trHeight w:val="80"/>
        </w:trPr>
        <w:tc>
          <w:tcPr>
            <w:tcW w:w="436" w:type="pct"/>
            <w:vMerge w:val="restart"/>
            <w:vAlign w:val="center"/>
          </w:tcPr>
          <w:p w14:paraId="167E2407" w14:textId="69D7D777" w:rsidR="00D54FFE" w:rsidRPr="00B22EDA" w:rsidRDefault="00D54FFE" w:rsidP="00372AB5">
            <w:pPr>
              <w:jc w:val="left"/>
              <w:rPr>
                <w:rFonts w:ascii="Arial Narrow" w:eastAsiaTheme="majorEastAsia" w:hAnsi="Arial Narrow" w:cstheme="majorBidi"/>
                <w:b/>
                <w:bCs/>
                <w:sz w:val="20"/>
                <w:szCs w:val="20"/>
              </w:rPr>
            </w:pPr>
            <w:r w:rsidRPr="4D2BAA30">
              <w:rPr>
                <w:rFonts w:ascii="Arial Narrow" w:eastAsiaTheme="majorEastAsia" w:hAnsi="Arial Narrow" w:cstheme="majorBidi"/>
                <w:b/>
                <w:bCs/>
                <w:sz w:val="20"/>
                <w:szCs w:val="20"/>
              </w:rPr>
              <w:t>PaTH Forward</w:t>
            </w:r>
          </w:p>
        </w:tc>
        <w:tc>
          <w:tcPr>
            <w:tcW w:w="3354" w:type="pct"/>
            <w:tcBorders>
              <w:top w:val="single" w:sz="4" w:space="0" w:color="auto"/>
              <w:bottom w:val="nil"/>
            </w:tcBorders>
            <w:vAlign w:val="center"/>
          </w:tcPr>
          <w:p w14:paraId="0038D406" w14:textId="7AD9CA2F" w:rsidR="00D54FFE" w:rsidRPr="00B22EDA" w:rsidRDefault="0AB4EAA5" w:rsidP="00372AB5">
            <w:pPr>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PaTH Forward: A Phase 2, Multicenter, Randomized, Double-Blind, Placebo-Controlled, Parallel Group Trial with an Open-Label Extension, Investigating the Safety, Tolerability</w:t>
            </w:r>
          </w:p>
          <w:p w14:paraId="1F2A957E" w14:textId="42FE522F" w:rsidR="00D54FFE" w:rsidRPr="00B22EDA" w:rsidRDefault="0AB4EAA5" w:rsidP="00372AB5">
            <w:pPr>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and Efficacy of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Administered Subcutaneously Daily in Adults with Hypoparathyroidism</w:t>
            </w:r>
          </w:p>
        </w:tc>
        <w:tc>
          <w:tcPr>
            <w:tcW w:w="1210" w:type="pct"/>
            <w:tcBorders>
              <w:top w:val="single" w:sz="4" w:space="0" w:color="auto"/>
            </w:tcBorders>
            <w:vAlign w:val="center"/>
          </w:tcPr>
          <w:p w14:paraId="3FB5B5CD"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Clinical Study Report</w:t>
            </w:r>
          </w:p>
        </w:tc>
      </w:tr>
      <w:tr w:rsidR="00D54FFE" w:rsidRPr="00B22EDA" w14:paraId="3028A3AA" w14:textId="77777777" w:rsidTr="00372AB5">
        <w:trPr>
          <w:trHeight w:val="76"/>
        </w:trPr>
        <w:tc>
          <w:tcPr>
            <w:tcW w:w="436" w:type="pct"/>
            <w:vMerge/>
            <w:vAlign w:val="center"/>
          </w:tcPr>
          <w:p w14:paraId="294F50F3" w14:textId="77777777" w:rsidR="00D54FFE" w:rsidRPr="00B22EDA" w:rsidRDefault="00D54FFE" w:rsidP="00372AB5">
            <w:pPr>
              <w:jc w:val="left"/>
              <w:rPr>
                <w:rFonts w:ascii="Arial Narrow" w:eastAsiaTheme="majorEastAsia" w:hAnsi="Arial Narrow" w:cstheme="majorBidi"/>
                <w:b/>
                <w:sz w:val="20"/>
              </w:rPr>
            </w:pPr>
          </w:p>
        </w:tc>
        <w:tc>
          <w:tcPr>
            <w:tcW w:w="3354" w:type="pct"/>
            <w:tcBorders>
              <w:top w:val="single" w:sz="4" w:space="0" w:color="auto"/>
              <w:bottom w:val="nil"/>
            </w:tcBorders>
            <w:vAlign w:val="center"/>
          </w:tcPr>
          <w:p w14:paraId="62E154A4" w14:textId="664AE805" w:rsidR="00D54FFE" w:rsidRPr="00B22EDA" w:rsidRDefault="0AB4EAA5" w:rsidP="00372AB5">
            <w:pPr>
              <w:jc w:val="left"/>
              <w:rPr>
                <w:rFonts w:ascii="Arial Narrow" w:eastAsiaTheme="majorEastAsia" w:hAnsi="Arial Narrow" w:cstheme="majorBidi"/>
                <w:sz w:val="20"/>
                <w:szCs w:val="20"/>
              </w:rPr>
            </w:pPr>
            <w:r w:rsidRPr="006A07E9">
              <w:rPr>
                <w:rFonts w:ascii="Arial Narrow" w:eastAsiaTheme="majorEastAsia" w:hAnsi="Arial Narrow" w:cstheme="majorBidi"/>
                <w:sz w:val="20"/>
                <w:szCs w:val="20"/>
                <w:lang w:val="sv-SE"/>
              </w:rPr>
              <w:t xml:space="preserve">Khan, A. A., et al. </w:t>
            </w:r>
            <w:r w:rsidRPr="383E5602">
              <w:rPr>
                <w:rFonts w:ascii="Arial Narrow" w:eastAsiaTheme="majorEastAsia" w:hAnsi="Arial Narrow" w:cstheme="majorBidi"/>
                <w:sz w:val="20"/>
                <w:szCs w:val="20"/>
              </w:rPr>
              <w:t xml:space="preserve">(2022). PaTH Forward: A Randomized, Double-Blind, Placebo- Controlled Phase 2 Trial of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in Adult Hypoparathyroidism.</w:t>
            </w:r>
          </w:p>
        </w:tc>
        <w:tc>
          <w:tcPr>
            <w:tcW w:w="1210" w:type="pct"/>
            <w:vAlign w:val="center"/>
          </w:tcPr>
          <w:p w14:paraId="7978F3A9"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Journal of clinical endocrinology and metabolism 107(1): E372-E385.</w:t>
            </w:r>
          </w:p>
        </w:tc>
      </w:tr>
      <w:tr w:rsidR="00D54FFE" w:rsidRPr="00B22EDA" w14:paraId="47B243E0" w14:textId="77777777" w:rsidTr="00372AB5">
        <w:trPr>
          <w:trHeight w:val="76"/>
        </w:trPr>
        <w:tc>
          <w:tcPr>
            <w:tcW w:w="436" w:type="pct"/>
            <w:vMerge/>
            <w:vAlign w:val="center"/>
          </w:tcPr>
          <w:p w14:paraId="221B819C" w14:textId="77777777" w:rsidR="00D54FFE" w:rsidRPr="00B22EDA" w:rsidRDefault="00D54FFE" w:rsidP="00372AB5">
            <w:pPr>
              <w:jc w:val="left"/>
              <w:rPr>
                <w:rFonts w:ascii="Arial Narrow" w:eastAsiaTheme="majorEastAsia" w:hAnsi="Arial Narrow" w:cstheme="majorBidi"/>
                <w:b/>
                <w:sz w:val="20"/>
              </w:rPr>
            </w:pPr>
          </w:p>
        </w:tc>
        <w:tc>
          <w:tcPr>
            <w:tcW w:w="3354" w:type="pct"/>
            <w:tcBorders>
              <w:top w:val="single" w:sz="4" w:space="0" w:color="auto"/>
              <w:bottom w:val="nil"/>
            </w:tcBorders>
            <w:vAlign w:val="center"/>
          </w:tcPr>
          <w:p w14:paraId="26ECB120" w14:textId="1931E5A3" w:rsidR="00D54FFE" w:rsidRPr="00B22EDA" w:rsidRDefault="0AB4EAA5" w:rsidP="00372AB5">
            <w:pPr>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Ahmed, I., et al. (2022). The PaTH Forward Trial: efficacy and Safety of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Through Week 84 for Adults with Hypoparathyroidism.</w:t>
            </w:r>
          </w:p>
        </w:tc>
        <w:tc>
          <w:tcPr>
            <w:tcW w:w="1210" w:type="pct"/>
            <w:vAlign w:val="center"/>
          </w:tcPr>
          <w:p w14:paraId="6153E041"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Journal of the Endocrine Society</w:t>
            </w:r>
          </w:p>
          <w:p w14:paraId="69CF1054"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6: A193. (conference abstract)</w:t>
            </w:r>
          </w:p>
        </w:tc>
      </w:tr>
      <w:tr w:rsidR="00D54FFE" w:rsidRPr="00B22EDA" w14:paraId="59270055" w14:textId="77777777" w:rsidTr="00372AB5">
        <w:trPr>
          <w:trHeight w:val="76"/>
        </w:trPr>
        <w:tc>
          <w:tcPr>
            <w:tcW w:w="436" w:type="pct"/>
            <w:vMerge/>
            <w:vAlign w:val="center"/>
          </w:tcPr>
          <w:p w14:paraId="1CE2CEA8" w14:textId="77777777" w:rsidR="00D54FFE" w:rsidRPr="00B22EDA" w:rsidRDefault="00D54FFE" w:rsidP="00372AB5">
            <w:pPr>
              <w:jc w:val="left"/>
              <w:rPr>
                <w:rFonts w:ascii="Arial Narrow" w:eastAsiaTheme="majorEastAsia" w:hAnsi="Arial Narrow" w:cstheme="majorBidi"/>
                <w:b/>
                <w:sz w:val="20"/>
              </w:rPr>
            </w:pPr>
          </w:p>
        </w:tc>
        <w:tc>
          <w:tcPr>
            <w:tcW w:w="3354" w:type="pct"/>
            <w:tcBorders>
              <w:top w:val="single" w:sz="4" w:space="0" w:color="auto"/>
              <w:bottom w:val="nil"/>
            </w:tcBorders>
            <w:vAlign w:val="center"/>
          </w:tcPr>
          <w:p w14:paraId="441EB42F" w14:textId="3EF9D3B7" w:rsidR="00D54FFE" w:rsidRPr="00B22EDA" w:rsidRDefault="0AB4EAA5" w:rsidP="00372AB5">
            <w:pPr>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Clarke, B., et al. (2023). Abstract #1408044: Long-term Efficacy and Safety of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from Phase 2 PaTH Forward Trial in Adults with Chronic Hypoparathyroidism.</w:t>
            </w:r>
          </w:p>
        </w:tc>
        <w:tc>
          <w:tcPr>
            <w:tcW w:w="1210" w:type="pct"/>
            <w:vAlign w:val="center"/>
          </w:tcPr>
          <w:p w14:paraId="68F34EE8"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 xml:space="preserve">Endocrine practice 29(5): S58. </w:t>
            </w:r>
            <w:r w:rsidRPr="00B22EDA">
              <w:rPr>
                <w:rFonts w:ascii="Arial Narrow" w:eastAsiaTheme="majorEastAsia" w:hAnsi="Arial Narrow" w:cstheme="majorBidi"/>
                <w:bCs/>
                <w:sz w:val="20"/>
                <w:szCs w:val="18"/>
              </w:rPr>
              <w:t>(conference abstract)</w:t>
            </w:r>
          </w:p>
        </w:tc>
      </w:tr>
      <w:tr w:rsidR="00D54FFE" w:rsidRPr="00B22EDA" w14:paraId="49233627" w14:textId="77777777" w:rsidTr="00372AB5">
        <w:trPr>
          <w:trHeight w:val="76"/>
        </w:trPr>
        <w:tc>
          <w:tcPr>
            <w:tcW w:w="436" w:type="pct"/>
            <w:vMerge/>
            <w:vAlign w:val="center"/>
          </w:tcPr>
          <w:p w14:paraId="4844A5DA" w14:textId="77777777" w:rsidR="00D54FFE" w:rsidRPr="00B22EDA" w:rsidRDefault="00D54FFE"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0C9B8865" w14:textId="3ADBC250" w:rsidR="00D54FFE" w:rsidRPr="00B22EDA" w:rsidRDefault="0AB4EAA5" w:rsidP="00372AB5">
            <w:pPr>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Rubin et al (2023) Indices of Skeletal Remode</w:t>
            </w:r>
            <w:r w:rsidR="006E11EF">
              <w:rPr>
                <w:rFonts w:ascii="Arial Narrow" w:eastAsiaTheme="majorEastAsia" w:hAnsi="Arial Narrow" w:cstheme="majorBidi"/>
                <w:sz w:val="20"/>
                <w:szCs w:val="20"/>
              </w:rPr>
              <w:t>l</w:t>
            </w:r>
            <w:r w:rsidRPr="383E5602">
              <w:rPr>
                <w:rFonts w:ascii="Arial Narrow" w:eastAsiaTheme="majorEastAsia" w:hAnsi="Arial Narrow" w:cstheme="majorBidi"/>
                <w:sz w:val="20"/>
                <w:szCs w:val="20"/>
              </w:rPr>
              <w:t xml:space="preserve">ling in 2-Year Analysis of Phase 2 PaTH Forward Trial with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in Adults with Hypoparathyroidism </w:t>
            </w:r>
          </w:p>
        </w:tc>
        <w:tc>
          <w:tcPr>
            <w:tcW w:w="1210" w:type="pct"/>
            <w:tcBorders>
              <w:bottom w:val="single" w:sz="4" w:space="0" w:color="auto"/>
            </w:tcBorders>
            <w:vAlign w:val="center"/>
          </w:tcPr>
          <w:p w14:paraId="45CC4942"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JBMR Plus Vol 7 (conference abstract)</w:t>
            </w:r>
          </w:p>
        </w:tc>
      </w:tr>
      <w:tr w:rsidR="00D54FFE" w:rsidRPr="00B22EDA" w14:paraId="0071C50C" w14:textId="77777777" w:rsidTr="00372AB5">
        <w:trPr>
          <w:trHeight w:val="76"/>
        </w:trPr>
        <w:tc>
          <w:tcPr>
            <w:tcW w:w="436" w:type="pct"/>
            <w:vMerge/>
            <w:vAlign w:val="center"/>
          </w:tcPr>
          <w:p w14:paraId="66E15374" w14:textId="77777777" w:rsidR="00D54FFE" w:rsidRPr="00B22EDA" w:rsidRDefault="00D54FFE"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6D4B6872" w14:textId="440AEB72" w:rsidR="00D54FFE" w:rsidRPr="00B22EDA" w:rsidRDefault="0AB4EAA5" w:rsidP="00372AB5">
            <w:pPr>
              <w:jc w:val="left"/>
              <w:rPr>
                <w:rFonts w:ascii="Arial Narrow" w:eastAsiaTheme="majorEastAsia" w:hAnsi="Arial Narrow" w:cstheme="majorBidi"/>
                <w:sz w:val="20"/>
                <w:szCs w:val="20"/>
              </w:rPr>
            </w:pPr>
            <w:proofErr w:type="spellStart"/>
            <w:r w:rsidRPr="383E5602">
              <w:rPr>
                <w:rFonts w:ascii="Arial Narrow" w:eastAsiaTheme="majorEastAsia" w:hAnsi="Arial Narrow" w:cstheme="majorBidi"/>
                <w:sz w:val="20"/>
                <w:szCs w:val="20"/>
              </w:rPr>
              <w:t>Euctr</w:t>
            </w:r>
            <w:proofErr w:type="spellEnd"/>
            <w:r w:rsidRPr="383E5602">
              <w:rPr>
                <w:rFonts w:ascii="Arial Narrow" w:eastAsiaTheme="majorEastAsia" w:hAnsi="Arial Narrow" w:cstheme="majorBidi"/>
                <w:sz w:val="20"/>
                <w:szCs w:val="20"/>
              </w:rPr>
              <w:t xml:space="preserve">, D. K. (2019). PaTH Forward: a study to investigate the safety and efficacy of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administered as an injection under the skin daily in adults with hypoparathyroidism.</w:t>
            </w:r>
          </w:p>
        </w:tc>
        <w:tc>
          <w:tcPr>
            <w:tcW w:w="1210" w:type="pct"/>
            <w:tcBorders>
              <w:bottom w:val="single" w:sz="4" w:space="0" w:color="auto"/>
            </w:tcBorders>
            <w:vAlign w:val="center"/>
          </w:tcPr>
          <w:p w14:paraId="00F2DF6B"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Clinical trial record</w:t>
            </w:r>
          </w:p>
        </w:tc>
      </w:tr>
      <w:tr w:rsidR="00D54FFE" w:rsidRPr="00B22EDA" w14:paraId="44544B5C" w14:textId="77777777" w:rsidTr="00372AB5">
        <w:tc>
          <w:tcPr>
            <w:tcW w:w="436" w:type="pct"/>
            <w:vMerge/>
            <w:vAlign w:val="center"/>
          </w:tcPr>
          <w:p w14:paraId="27A1012E" w14:textId="77777777" w:rsidR="00D54FFE" w:rsidRPr="00B22EDA" w:rsidRDefault="00D54FFE"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66B6F9F1" w14:textId="6CB0CCF3" w:rsidR="00D54FFE" w:rsidRPr="00B22EDA" w:rsidRDefault="0AB4EAA5" w:rsidP="00372AB5">
            <w:pPr>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Hofbauer, L., et al. (2022). Efficacy and safety with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for adults with hypoparathyroidism through week 84 in the PaTH Forward trial.</w:t>
            </w:r>
          </w:p>
        </w:tc>
        <w:tc>
          <w:tcPr>
            <w:tcW w:w="1210" w:type="pct"/>
            <w:tcBorders>
              <w:top w:val="single" w:sz="4" w:space="0" w:color="auto"/>
              <w:bottom w:val="single" w:sz="4" w:space="0" w:color="auto"/>
            </w:tcBorders>
            <w:vAlign w:val="center"/>
          </w:tcPr>
          <w:p w14:paraId="149F74E6"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Bone reports 16 (conference abstract)</w:t>
            </w:r>
          </w:p>
        </w:tc>
      </w:tr>
      <w:tr w:rsidR="00D54FFE" w:rsidRPr="00B22EDA" w14:paraId="352BD326" w14:textId="77777777" w:rsidTr="00372AB5">
        <w:tc>
          <w:tcPr>
            <w:tcW w:w="436" w:type="pct"/>
            <w:vMerge/>
            <w:vAlign w:val="center"/>
          </w:tcPr>
          <w:p w14:paraId="70DBDDEA" w14:textId="77777777" w:rsidR="00D54FFE" w:rsidRPr="00B22EDA" w:rsidRDefault="00D54FFE"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3DDD3D83" w14:textId="325B61D7" w:rsidR="00D54FFE" w:rsidRPr="00B22EDA" w:rsidRDefault="0AB4EAA5" w:rsidP="00372AB5">
            <w:pPr>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Khan, A., et al. (2020). Results of the PaTH Forward Phase 2 Trial Demonstrating Potential of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as a Replacement Therapy for Hypoparathyroidism.</w:t>
            </w:r>
          </w:p>
        </w:tc>
        <w:tc>
          <w:tcPr>
            <w:tcW w:w="1210" w:type="pct"/>
            <w:tcBorders>
              <w:top w:val="single" w:sz="4" w:space="0" w:color="auto"/>
              <w:bottom w:val="single" w:sz="4" w:space="0" w:color="auto"/>
            </w:tcBorders>
            <w:vAlign w:val="center"/>
          </w:tcPr>
          <w:p w14:paraId="6B8DACD2"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Journal of bone and mineral research 35(SUPPL 1): 46 (conference abstract)</w:t>
            </w:r>
          </w:p>
        </w:tc>
      </w:tr>
      <w:tr w:rsidR="00D54FFE" w:rsidRPr="00B22EDA" w14:paraId="585D9C82" w14:textId="77777777" w:rsidTr="00372AB5">
        <w:tc>
          <w:tcPr>
            <w:tcW w:w="436" w:type="pct"/>
            <w:vMerge/>
            <w:vAlign w:val="center"/>
          </w:tcPr>
          <w:p w14:paraId="6D503125" w14:textId="77777777" w:rsidR="00D54FFE" w:rsidRPr="00B22EDA" w:rsidRDefault="00D54FFE"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387A3833" w14:textId="78EB054D" w:rsidR="00D54FFE" w:rsidRPr="00B22EDA" w:rsidRDefault="0AB4EAA5" w:rsidP="00372AB5">
            <w:pPr>
              <w:jc w:val="left"/>
              <w:rPr>
                <w:rFonts w:ascii="Arial Narrow" w:eastAsiaTheme="majorEastAsia" w:hAnsi="Arial Narrow" w:cstheme="majorBidi"/>
                <w:sz w:val="20"/>
                <w:szCs w:val="20"/>
              </w:rPr>
            </w:pPr>
            <w:proofErr w:type="spellStart"/>
            <w:r w:rsidRPr="383E5602">
              <w:rPr>
                <w:rFonts w:ascii="Arial Narrow" w:eastAsiaTheme="majorEastAsia" w:hAnsi="Arial Narrow" w:cstheme="majorBidi"/>
                <w:sz w:val="20"/>
                <w:szCs w:val="20"/>
              </w:rPr>
              <w:t>Nct</w:t>
            </w:r>
            <w:proofErr w:type="spellEnd"/>
            <w:r w:rsidRPr="383E5602">
              <w:rPr>
                <w:rFonts w:ascii="Arial Narrow" w:eastAsiaTheme="majorEastAsia" w:hAnsi="Arial Narrow" w:cstheme="majorBidi"/>
                <w:sz w:val="20"/>
                <w:szCs w:val="20"/>
              </w:rPr>
              <w:t xml:space="preserve"> (2019). A Trial Investigating the Safety, Tolerability and Efficacy of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in Adults with Hypoparathyroidism.</w:t>
            </w:r>
          </w:p>
        </w:tc>
        <w:tc>
          <w:tcPr>
            <w:tcW w:w="1210" w:type="pct"/>
            <w:tcBorders>
              <w:top w:val="single" w:sz="4" w:space="0" w:color="auto"/>
              <w:bottom w:val="single" w:sz="4" w:space="0" w:color="auto"/>
            </w:tcBorders>
            <w:vAlign w:val="center"/>
          </w:tcPr>
          <w:p w14:paraId="43CADBC3"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https://clinicaltrials.gov/show/NCT04009291.</w:t>
            </w:r>
          </w:p>
        </w:tc>
      </w:tr>
      <w:tr w:rsidR="00D54FFE" w:rsidRPr="00B22EDA" w14:paraId="0438434C" w14:textId="77777777" w:rsidTr="00372AB5">
        <w:trPr>
          <w:trHeight w:val="744"/>
        </w:trPr>
        <w:tc>
          <w:tcPr>
            <w:tcW w:w="436" w:type="pct"/>
            <w:vMerge/>
            <w:vAlign w:val="center"/>
          </w:tcPr>
          <w:p w14:paraId="1A4A0ACF" w14:textId="77777777" w:rsidR="00D54FFE" w:rsidRPr="00B22EDA" w:rsidRDefault="00D54FFE"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258D6A0A" w14:textId="1DAFCA8A" w:rsidR="00D54FFE" w:rsidRPr="00B22EDA" w:rsidRDefault="0AB4EAA5" w:rsidP="00372AB5">
            <w:pPr>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Rejnmark, L., et al. (2021). Week 26 results from the PaTH Forward Open-Label Extension Trial Support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as a potential hormone replacement therapy for patients with hypoparathyroidism.</w:t>
            </w:r>
          </w:p>
        </w:tc>
        <w:tc>
          <w:tcPr>
            <w:tcW w:w="1210" w:type="pct"/>
            <w:tcBorders>
              <w:top w:val="single" w:sz="4" w:space="0" w:color="auto"/>
              <w:bottom w:val="single" w:sz="4" w:space="0" w:color="auto"/>
            </w:tcBorders>
            <w:vAlign w:val="center"/>
          </w:tcPr>
          <w:p w14:paraId="3D29B602"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Bone reports 14 (conference abstract)</w:t>
            </w:r>
          </w:p>
        </w:tc>
      </w:tr>
      <w:tr w:rsidR="00D54FFE" w:rsidRPr="00B22EDA" w14:paraId="37CC52CE" w14:textId="77777777" w:rsidTr="00372AB5">
        <w:trPr>
          <w:trHeight w:val="744"/>
        </w:trPr>
        <w:tc>
          <w:tcPr>
            <w:tcW w:w="436" w:type="pct"/>
            <w:vMerge/>
            <w:vAlign w:val="center"/>
          </w:tcPr>
          <w:p w14:paraId="7D7A628B" w14:textId="77777777" w:rsidR="00D54FFE" w:rsidRPr="00B22EDA" w:rsidRDefault="00D54FFE" w:rsidP="00372AB5">
            <w:pPr>
              <w:jc w:val="left"/>
              <w:rPr>
                <w:rFonts w:ascii="Arial Narrow" w:eastAsiaTheme="majorEastAsia" w:hAnsi="Arial Narrow" w:cstheme="majorBidi"/>
                <w:b/>
                <w:sz w:val="20"/>
              </w:rPr>
            </w:pPr>
          </w:p>
        </w:tc>
        <w:tc>
          <w:tcPr>
            <w:tcW w:w="3354" w:type="pct"/>
            <w:tcBorders>
              <w:top w:val="single" w:sz="4" w:space="0" w:color="auto"/>
              <w:bottom w:val="single" w:sz="4" w:space="0" w:color="auto"/>
            </w:tcBorders>
            <w:vAlign w:val="center"/>
          </w:tcPr>
          <w:p w14:paraId="5B236794" w14:textId="71B05CFB" w:rsidR="00D54FFE" w:rsidRPr="00B22EDA" w:rsidRDefault="0AB4EAA5" w:rsidP="00372AB5">
            <w:pPr>
              <w:jc w:val="left"/>
              <w:rPr>
                <w:rFonts w:ascii="Arial Narrow" w:eastAsiaTheme="majorEastAsia" w:hAnsi="Arial Narrow" w:cstheme="majorBidi"/>
                <w:sz w:val="20"/>
                <w:szCs w:val="20"/>
              </w:rPr>
            </w:pPr>
            <w:r w:rsidRPr="006A07E9">
              <w:rPr>
                <w:rFonts w:ascii="Arial Narrow" w:eastAsiaTheme="majorEastAsia" w:hAnsi="Arial Narrow" w:cstheme="majorBidi"/>
                <w:sz w:val="20"/>
                <w:szCs w:val="20"/>
                <w:lang w:val="sv-SE"/>
              </w:rPr>
              <w:t xml:space="preserve">Rubin, M. R., et al. </w:t>
            </w:r>
            <w:r w:rsidRPr="383E5602">
              <w:rPr>
                <w:rFonts w:ascii="Arial Narrow" w:eastAsiaTheme="majorEastAsia" w:hAnsi="Arial Narrow" w:cstheme="majorBidi"/>
                <w:sz w:val="20"/>
                <w:szCs w:val="20"/>
              </w:rPr>
              <w:t xml:space="preserve">(2021). </w:t>
            </w:r>
            <w:proofErr w:type="spellStart"/>
            <w:r w:rsidRPr="383E5602">
              <w:rPr>
                <w:rFonts w:ascii="Arial Narrow" w:eastAsiaTheme="majorEastAsia" w:hAnsi="Arial Narrow" w:cstheme="majorBidi"/>
                <w:sz w:val="20"/>
                <w:szCs w:val="20"/>
              </w:rPr>
              <w:t>TransCon</w:t>
            </w:r>
            <w:proofErr w:type="spellEnd"/>
            <w:r w:rsidRPr="383E5602">
              <w:rPr>
                <w:rFonts w:ascii="Arial Narrow" w:eastAsiaTheme="majorEastAsia" w:hAnsi="Arial Narrow" w:cstheme="majorBidi"/>
                <w:sz w:val="20"/>
                <w:szCs w:val="20"/>
              </w:rPr>
              <w:t xml:space="preserve"> PTH as a Hormone Replacement Therapy for Patients with Hypoparathyroidism: 6-Month Update from the PaTH Forward Open-Label Extension.</w:t>
            </w:r>
          </w:p>
        </w:tc>
        <w:tc>
          <w:tcPr>
            <w:tcW w:w="1210" w:type="pct"/>
            <w:tcBorders>
              <w:top w:val="single" w:sz="4" w:space="0" w:color="auto"/>
              <w:bottom w:val="single" w:sz="4" w:space="0" w:color="auto"/>
            </w:tcBorders>
            <w:vAlign w:val="center"/>
          </w:tcPr>
          <w:p w14:paraId="784986FB" w14:textId="77777777" w:rsidR="00D54FFE" w:rsidRPr="00B22EDA" w:rsidRDefault="00D54FFE" w:rsidP="00372AB5">
            <w:pPr>
              <w:jc w:val="left"/>
              <w:rPr>
                <w:rFonts w:ascii="Arial Narrow" w:eastAsiaTheme="majorEastAsia" w:hAnsi="Arial Narrow" w:cstheme="majorBidi"/>
                <w:bCs/>
                <w:sz w:val="20"/>
              </w:rPr>
            </w:pPr>
            <w:r w:rsidRPr="00B22EDA">
              <w:rPr>
                <w:rFonts w:ascii="Arial Narrow" w:eastAsiaTheme="majorEastAsia" w:hAnsi="Arial Narrow" w:cstheme="majorBidi"/>
                <w:bCs/>
                <w:sz w:val="20"/>
              </w:rPr>
              <w:t>Journal of the Endocrine Society 5: A253 (conference abstract)</w:t>
            </w:r>
          </w:p>
        </w:tc>
      </w:tr>
    </w:tbl>
    <w:p w14:paraId="349179FC" w14:textId="19465AB2" w:rsidR="00CC3D51" w:rsidRPr="00B22EDA" w:rsidRDefault="00CC3D51" w:rsidP="00CC3D51">
      <w:pPr>
        <w:keepNext/>
        <w:spacing w:after="120"/>
        <w:contextualSpacing/>
        <w:rPr>
          <w:rFonts w:ascii="Arial Narrow" w:hAnsi="Arial Narrow"/>
          <w:snapToGrid w:val="0"/>
          <w:sz w:val="18"/>
          <w:szCs w:val="22"/>
        </w:rPr>
      </w:pPr>
      <w:r w:rsidRPr="00B22EDA">
        <w:rPr>
          <w:rFonts w:ascii="Arial Narrow" w:hAnsi="Arial Narrow"/>
          <w:snapToGrid w:val="0"/>
          <w:sz w:val="18"/>
          <w:szCs w:val="22"/>
        </w:rPr>
        <w:t xml:space="preserve">Source: Table 13 </w:t>
      </w:r>
      <w:r w:rsidR="00590144" w:rsidRPr="00B22EDA">
        <w:rPr>
          <w:rFonts w:ascii="Arial Narrow" w:hAnsi="Arial Narrow"/>
          <w:snapToGrid w:val="0"/>
          <w:sz w:val="18"/>
          <w:szCs w:val="22"/>
        </w:rPr>
        <w:t xml:space="preserve">p34 </w:t>
      </w:r>
      <w:r w:rsidRPr="00B22EDA">
        <w:rPr>
          <w:rFonts w:ascii="Arial Narrow" w:hAnsi="Arial Narrow"/>
          <w:snapToGrid w:val="0"/>
          <w:sz w:val="18"/>
          <w:szCs w:val="22"/>
        </w:rPr>
        <w:t>of the submission.</w:t>
      </w:r>
    </w:p>
    <w:p w14:paraId="4C018785" w14:textId="77777777" w:rsidR="00CC3D51" w:rsidRPr="00B22EDA" w:rsidRDefault="00CC3D51" w:rsidP="00CC3D51">
      <w:pPr>
        <w:keepNext/>
        <w:spacing w:after="120"/>
        <w:contextualSpacing/>
        <w:rPr>
          <w:rFonts w:ascii="Arial Narrow" w:hAnsi="Arial Narrow"/>
          <w:snapToGrid w:val="0"/>
          <w:sz w:val="20"/>
          <w:szCs w:val="22"/>
        </w:rPr>
      </w:pPr>
      <w:r w:rsidRPr="00B22EDA">
        <w:rPr>
          <w:rFonts w:ascii="Arial Narrow" w:hAnsi="Arial Narrow"/>
          <w:snapToGrid w:val="0"/>
          <w:sz w:val="18"/>
          <w:szCs w:val="22"/>
        </w:rPr>
        <w:t xml:space="preserve">PTH = parathyroid hormone. </w:t>
      </w:r>
    </w:p>
    <w:p w14:paraId="71B8E463" w14:textId="7577966B" w:rsidR="00CC3D51" w:rsidRPr="00B22EDA" w:rsidRDefault="00CC3D51" w:rsidP="00CC3D51">
      <w:pPr>
        <w:pStyle w:val="3-BodyText"/>
        <w:rPr>
          <w:color w:val="0066FF"/>
        </w:rPr>
      </w:pPr>
      <w:r w:rsidRPr="00B22EDA">
        <w:t xml:space="preserve">The key features of the RCTs are summarised in </w:t>
      </w:r>
      <w:r w:rsidRPr="00B22EDA">
        <w:fldChar w:fldCharType="begin"/>
      </w:r>
      <w:r w:rsidRPr="00B22EDA">
        <w:instrText xml:space="preserve"> REF _Ref104804098 \h  \* MERGEFORMAT </w:instrText>
      </w:r>
      <w:r w:rsidRPr="00B22EDA">
        <w:fldChar w:fldCharType="separate"/>
      </w:r>
      <w:r w:rsidR="00DA35E4" w:rsidRPr="00DA35E4">
        <w:t>Table 3</w:t>
      </w:r>
      <w:r w:rsidRPr="00B22EDA">
        <w:fldChar w:fldCharType="end"/>
      </w:r>
      <w:r w:rsidRPr="00B22EDA">
        <w:t>.</w:t>
      </w:r>
    </w:p>
    <w:p w14:paraId="5D1E9975" w14:textId="4F0F23B8" w:rsidR="00CC3D51" w:rsidRPr="00B22EDA" w:rsidRDefault="00CC3D51" w:rsidP="00FF58A4">
      <w:pPr>
        <w:pStyle w:val="TableFigureHeading"/>
        <w:keepLines/>
        <w:rPr>
          <w:rStyle w:val="CommentReference"/>
          <w:b/>
          <w:szCs w:val="24"/>
        </w:rPr>
      </w:pPr>
      <w:bookmarkStart w:id="22" w:name="_Ref104804098"/>
      <w:r w:rsidRPr="00B22EDA">
        <w:rPr>
          <w:rStyle w:val="CommentReference"/>
          <w:b/>
          <w:szCs w:val="24"/>
        </w:rPr>
        <w:t xml:space="preserve">Table </w:t>
      </w:r>
      <w:r w:rsidRPr="00B22EDA">
        <w:rPr>
          <w:rStyle w:val="CommentReference"/>
          <w:b/>
          <w:szCs w:val="24"/>
        </w:rPr>
        <w:fldChar w:fldCharType="begin"/>
      </w:r>
      <w:r w:rsidRPr="00B22EDA">
        <w:rPr>
          <w:rStyle w:val="CommentReference"/>
          <w:b/>
          <w:szCs w:val="24"/>
        </w:rPr>
        <w:instrText xml:space="preserve"> SEQ Table \* ARABIC </w:instrText>
      </w:r>
      <w:r w:rsidRPr="00B22EDA">
        <w:rPr>
          <w:rStyle w:val="CommentReference"/>
          <w:b/>
          <w:szCs w:val="24"/>
        </w:rPr>
        <w:fldChar w:fldCharType="separate"/>
      </w:r>
      <w:r w:rsidR="00DA35E4">
        <w:rPr>
          <w:rStyle w:val="CommentReference"/>
          <w:b/>
          <w:noProof/>
          <w:szCs w:val="24"/>
        </w:rPr>
        <w:t>3</w:t>
      </w:r>
      <w:r w:rsidRPr="00B22EDA">
        <w:rPr>
          <w:rStyle w:val="CommentReference"/>
          <w:b/>
          <w:szCs w:val="24"/>
        </w:rPr>
        <w:fldChar w:fldCharType="end"/>
      </w:r>
      <w:bookmarkEnd w:id="22"/>
      <w:r w:rsidRPr="00B22EDA">
        <w:rPr>
          <w:rStyle w:val="CommentReference"/>
          <w:b/>
          <w:szCs w:val="24"/>
        </w:rPr>
        <w:t>: Key features of the included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trials"/>
      </w:tblPr>
      <w:tblGrid>
        <w:gridCol w:w="956"/>
        <w:gridCol w:w="480"/>
        <w:gridCol w:w="1318"/>
        <w:gridCol w:w="721"/>
        <w:gridCol w:w="1562"/>
        <w:gridCol w:w="2640"/>
        <w:gridCol w:w="1340"/>
      </w:tblGrid>
      <w:tr w:rsidR="003F6745" w:rsidRPr="00B22EDA" w14:paraId="522F46AB" w14:textId="77777777" w:rsidTr="383E5602">
        <w:trPr>
          <w:cantSplit/>
          <w:tblHeader/>
        </w:trPr>
        <w:tc>
          <w:tcPr>
            <w:tcW w:w="530" w:type="pct"/>
            <w:shd w:val="clear" w:color="auto" w:fill="auto"/>
            <w:vAlign w:val="center"/>
          </w:tcPr>
          <w:p w14:paraId="79F20221" w14:textId="77777777" w:rsidR="00CC3D51" w:rsidRPr="00B22EDA" w:rsidRDefault="00CC3D51" w:rsidP="00FF58A4">
            <w:pPr>
              <w:pStyle w:val="In-tableHeading"/>
              <w:keepNext/>
              <w:framePr w:hSpace="0" w:wrap="auto" w:vAnchor="margin" w:yAlign="inline"/>
              <w:suppressOverlap w:val="0"/>
            </w:pPr>
            <w:r w:rsidRPr="00B22EDA">
              <w:t>Trial</w:t>
            </w:r>
          </w:p>
        </w:tc>
        <w:tc>
          <w:tcPr>
            <w:tcW w:w="266" w:type="pct"/>
            <w:shd w:val="clear" w:color="auto" w:fill="auto"/>
            <w:vAlign w:val="center"/>
          </w:tcPr>
          <w:p w14:paraId="5448AA04" w14:textId="77777777" w:rsidR="00CC3D51" w:rsidRPr="00B22EDA" w:rsidRDefault="00CC3D51" w:rsidP="00FF58A4">
            <w:pPr>
              <w:pStyle w:val="In-tableHeading"/>
              <w:keepNext/>
              <w:framePr w:hSpace="0" w:wrap="auto" w:vAnchor="margin" w:yAlign="inline"/>
              <w:suppressOverlap w:val="0"/>
              <w:jc w:val="center"/>
            </w:pPr>
            <w:r w:rsidRPr="00B22EDA">
              <w:t>N</w:t>
            </w:r>
          </w:p>
        </w:tc>
        <w:tc>
          <w:tcPr>
            <w:tcW w:w="731" w:type="pct"/>
            <w:shd w:val="clear" w:color="auto" w:fill="auto"/>
            <w:vAlign w:val="center"/>
          </w:tcPr>
          <w:p w14:paraId="02AF4961" w14:textId="686D9898" w:rsidR="00CC3D51" w:rsidRPr="00B22EDA" w:rsidRDefault="00CC3D51" w:rsidP="00FF58A4">
            <w:pPr>
              <w:pStyle w:val="In-tableHeading"/>
              <w:keepNext/>
              <w:framePr w:hSpace="0" w:wrap="auto" w:vAnchor="margin" w:yAlign="inline"/>
              <w:suppressOverlap w:val="0"/>
              <w:jc w:val="center"/>
            </w:pPr>
            <w:r w:rsidRPr="00B22EDA">
              <w:t xml:space="preserve">Design/ </w:t>
            </w:r>
            <w:r w:rsidR="0025223F" w:rsidRPr="00B22EDA">
              <w:br/>
            </w:r>
            <w:r w:rsidRPr="00B22EDA">
              <w:t>duration</w:t>
            </w:r>
          </w:p>
        </w:tc>
        <w:tc>
          <w:tcPr>
            <w:tcW w:w="400" w:type="pct"/>
            <w:shd w:val="clear" w:color="auto" w:fill="auto"/>
            <w:vAlign w:val="center"/>
          </w:tcPr>
          <w:p w14:paraId="199EAD43" w14:textId="77777777" w:rsidR="00CC3D51" w:rsidRPr="00B22EDA" w:rsidRDefault="00CC3D51" w:rsidP="00FF58A4">
            <w:pPr>
              <w:pStyle w:val="In-tableHeading"/>
              <w:keepNext/>
              <w:framePr w:hSpace="0" w:wrap="auto" w:vAnchor="margin" w:yAlign="inline"/>
              <w:suppressOverlap w:val="0"/>
              <w:jc w:val="center"/>
            </w:pPr>
            <w:r w:rsidRPr="00B22EDA">
              <w:t>Risk of bias</w:t>
            </w:r>
          </w:p>
        </w:tc>
        <w:tc>
          <w:tcPr>
            <w:tcW w:w="866" w:type="pct"/>
            <w:shd w:val="clear" w:color="auto" w:fill="auto"/>
            <w:vAlign w:val="center"/>
          </w:tcPr>
          <w:p w14:paraId="77699E75" w14:textId="77777777" w:rsidR="00CC3D51" w:rsidRPr="00B22EDA" w:rsidRDefault="00CC3D51" w:rsidP="00FF58A4">
            <w:pPr>
              <w:pStyle w:val="In-tableHeading"/>
              <w:keepNext/>
              <w:framePr w:hSpace="0" w:wrap="auto" w:vAnchor="margin" w:yAlign="inline"/>
              <w:suppressOverlap w:val="0"/>
            </w:pPr>
            <w:r w:rsidRPr="00B22EDA">
              <w:t>Patient population</w:t>
            </w:r>
          </w:p>
        </w:tc>
        <w:tc>
          <w:tcPr>
            <w:tcW w:w="1464" w:type="pct"/>
            <w:shd w:val="clear" w:color="auto" w:fill="auto"/>
            <w:vAlign w:val="center"/>
          </w:tcPr>
          <w:p w14:paraId="29F0EB69" w14:textId="65BA5A71" w:rsidR="00CC3D51" w:rsidRPr="00B22EDA" w:rsidRDefault="00CC3D51" w:rsidP="00FF58A4">
            <w:pPr>
              <w:pStyle w:val="In-tableHeading"/>
              <w:keepNext/>
              <w:framePr w:hSpace="0" w:wrap="auto" w:vAnchor="margin" w:yAlign="inline"/>
              <w:suppressOverlap w:val="0"/>
            </w:pPr>
            <w:r w:rsidRPr="00B22EDA">
              <w:t>Outcomes</w:t>
            </w:r>
          </w:p>
        </w:tc>
        <w:tc>
          <w:tcPr>
            <w:tcW w:w="744" w:type="pct"/>
            <w:shd w:val="clear" w:color="auto" w:fill="auto"/>
            <w:vAlign w:val="center"/>
          </w:tcPr>
          <w:p w14:paraId="1A83ED32" w14:textId="77777777" w:rsidR="00CC3D51" w:rsidRPr="00B22EDA" w:rsidRDefault="00CC3D51" w:rsidP="00FF58A4">
            <w:pPr>
              <w:pStyle w:val="In-tableHeading"/>
              <w:keepNext/>
              <w:framePr w:hSpace="0" w:wrap="auto" w:vAnchor="margin" w:yAlign="inline"/>
              <w:suppressOverlap w:val="0"/>
            </w:pPr>
            <w:r w:rsidRPr="00B22EDA">
              <w:t>Use in modelled evaluation</w:t>
            </w:r>
          </w:p>
        </w:tc>
      </w:tr>
      <w:tr w:rsidR="00CC3D51" w:rsidRPr="00B22EDA" w14:paraId="56D94F6F" w14:textId="77777777" w:rsidTr="383E5602">
        <w:trPr>
          <w:cantSplit/>
        </w:trPr>
        <w:tc>
          <w:tcPr>
            <w:tcW w:w="5000" w:type="pct"/>
            <w:gridSpan w:val="7"/>
            <w:shd w:val="clear" w:color="auto" w:fill="auto"/>
            <w:vAlign w:val="center"/>
          </w:tcPr>
          <w:p w14:paraId="7AB6EE1A" w14:textId="77777777" w:rsidR="00CC3D51" w:rsidRPr="00B22EDA" w:rsidRDefault="00CC3D51" w:rsidP="00FF58A4">
            <w:pPr>
              <w:pStyle w:val="In-tableHeading"/>
              <w:keepNext/>
              <w:framePr w:hSpace="0" w:wrap="auto" w:vAnchor="margin" w:yAlign="inline"/>
              <w:suppressOverlap w:val="0"/>
            </w:pPr>
            <w:proofErr w:type="spellStart"/>
            <w:r w:rsidRPr="00B22EDA">
              <w:t>Palopegteriparatide</w:t>
            </w:r>
            <w:proofErr w:type="spellEnd"/>
            <w:r w:rsidRPr="00B22EDA">
              <w:t xml:space="preserve"> versus placebo</w:t>
            </w:r>
          </w:p>
        </w:tc>
      </w:tr>
      <w:tr w:rsidR="003F6745" w:rsidRPr="00B22EDA" w14:paraId="6CA6C7EB" w14:textId="77777777" w:rsidTr="383E5602">
        <w:trPr>
          <w:cantSplit/>
        </w:trPr>
        <w:tc>
          <w:tcPr>
            <w:tcW w:w="530" w:type="pct"/>
            <w:shd w:val="clear" w:color="auto" w:fill="auto"/>
            <w:vAlign w:val="center"/>
          </w:tcPr>
          <w:p w14:paraId="69C9360E" w14:textId="77777777" w:rsidR="00CC3D51" w:rsidRPr="00B22EDA" w:rsidRDefault="00CC3D51" w:rsidP="4D2BAA30">
            <w:pPr>
              <w:pStyle w:val="TableText0"/>
              <w:framePr w:hSpace="0" w:wrap="auto" w:vAnchor="margin" w:yAlign="inline"/>
              <w:suppressOverlap w:val="0"/>
              <w:rPr>
                <w:b/>
              </w:rPr>
            </w:pPr>
            <w:r w:rsidRPr="4D2BAA30">
              <w:t>PaTHway</w:t>
            </w:r>
          </w:p>
        </w:tc>
        <w:tc>
          <w:tcPr>
            <w:tcW w:w="266" w:type="pct"/>
            <w:shd w:val="clear" w:color="auto" w:fill="auto"/>
            <w:vAlign w:val="center"/>
          </w:tcPr>
          <w:p w14:paraId="672BA408" w14:textId="77777777" w:rsidR="00CC3D51" w:rsidRPr="00B22EDA" w:rsidRDefault="00CC3D51" w:rsidP="00FF58A4">
            <w:pPr>
              <w:pStyle w:val="TableText0"/>
              <w:framePr w:hSpace="0" w:wrap="auto" w:vAnchor="margin" w:yAlign="inline"/>
              <w:suppressOverlap w:val="0"/>
              <w:jc w:val="center"/>
              <w:rPr>
                <w:b/>
              </w:rPr>
            </w:pPr>
            <w:r w:rsidRPr="00B22EDA">
              <w:t>84</w:t>
            </w:r>
          </w:p>
        </w:tc>
        <w:tc>
          <w:tcPr>
            <w:tcW w:w="731" w:type="pct"/>
            <w:shd w:val="clear" w:color="auto" w:fill="auto"/>
            <w:vAlign w:val="center"/>
          </w:tcPr>
          <w:p w14:paraId="1040A4CB" w14:textId="3BB5676A" w:rsidR="00CC3D51" w:rsidRPr="00B22EDA" w:rsidRDefault="00CC3D51" w:rsidP="00FF58A4">
            <w:pPr>
              <w:pStyle w:val="TableText0"/>
              <w:framePr w:hSpace="0" w:wrap="auto" w:vAnchor="margin" w:yAlign="inline"/>
              <w:suppressOverlap w:val="0"/>
              <w:jc w:val="center"/>
              <w:rPr>
                <w:b/>
              </w:rPr>
            </w:pPr>
            <w:r w:rsidRPr="00B22EDA">
              <w:t xml:space="preserve">Phase 3, </w:t>
            </w:r>
            <w:r w:rsidR="0025223F" w:rsidRPr="00B22EDA">
              <w:br/>
            </w:r>
            <w:r w:rsidRPr="00B22EDA">
              <w:t>R, DB, PC, PG with OLE</w:t>
            </w:r>
          </w:p>
        </w:tc>
        <w:tc>
          <w:tcPr>
            <w:tcW w:w="400" w:type="pct"/>
            <w:shd w:val="clear" w:color="auto" w:fill="auto"/>
            <w:vAlign w:val="center"/>
          </w:tcPr>
          <w:p w14:paraId="1AFECA14" w14:textId="77777777" w:rsidR="00CC3D51" w:rsidRPr="00B22EDA" w:rsidRDefault="00CC3D51" w:rsidP="00FF58A4">
            <w:pPr>
              <w:pStyle w:val="TableText0"/>
              <w:framePr w:hSpace="0" w:wrap="auto" w:vAnchor="margin" w:yAlign="inline"/>
              <w:suppressOverlap w:val="0"/>
              <w:jc w:val="center"/>
              <w:rPr>
                <w:b/>
              </w:rPr>
            </w:pPr>
            <w:r w:rsidRPr="00B22EDA">
              <w:t>Low</w:t>
            </w:r>
          </w:p>
        </w:tc>
        <w:tc>
          <w:tcPr>
            <w:tcW w:w="866" w:type="pct"/>
            <w:shd w:val="clear" w:color="auto" w:fill="auto"/>
            <w:vAlign w:val="center"/>
          </w:tcPr>
          <w:p w14:paraId="3B9B1BEF" w14:textId="62638A6F" w:rsidR="00CC3D51" w:rsidRPr="00B22EDA" w:rsidRDefault="4D72FECA" w:rsidP="383E5602">
            <w:pPr>
              <w:pStyle w:val="TableText0"/>
              <w:framePr w:hSpace="0" w:wrap="auto" w:vAnchor="margin" w:yAlign="inline"/>
              <w:suppressOverlap w:val="0"/>
              <w:rPr>
                <w:b/>
              </w:rPr>
            </w:pPr>
            <w:r w:rsidRPr="383E5602">
              <w:t xml:space="preserve">Adults with chronic HPT for ≥ 26 </w:t>
            </w:r>
            <w:proofErr w:type="spellStart"/>
            <w:r w:rsidRPr="383E5602">
              <w:t>wks</w:t>
            </w:r>
            <w:proofErr w:type="spellEnd"/>
            <w:r w:rsidRPr="383E5602">
              <w:t xml:space="preserve"> and have been treated with calcitriol ≥</w:t>
            </w:r>
            <w:r w:rsidR="04E246F6" w:rsidRPr="383E5602">
              <w:t xml:space="preserve"> </w:t>
            </w:r>
            <w:r w:rsidRPr="383E5602">
              <w:t xml:space="preserve">0.5 mcg/d or </w:t>
            </w:r>
            <w:proofErr w:type="spellStart"/>
            <w:r w:rsidRPr="383E5602">
              <w:t>alfacalcidol</w:t>
            </w:r>
            <w:proofErr w:type="spellEnd"/>
            <w:r w:rsidRPr="383E5602">
              <w:t xml:space="preserve"> ≥</w:t>
            </w:r>
            <w:r w:rsidR="3F21E1AC" w:rsidRPr="383E5602">
              <w:t xml:space="preserve"> </w:t>
            </w:r>
            <w:r w:rsidRPr="383E5602">
              <w:t>1.0 mcg/d in addition to calcium ≥</w:t>
            </w:r>
            <w:r w:rsidR="3F21E1AC" w:rsidRPr="383E5602">
              <w:t xml:space="preserve"> </w:t>
            </w:r>
            <w:r w:rsidRPr="383E5602">
              <w:t xml:space="preserve">800 mg/d for at least 12 </w:t>
            </w:r>
            <w:proofErr w:type="spellStart"/>
            <w:r w:rsidRPr="383E5602">
              <w:t>wks</w:t>
            </w:r>
            <w:proofErr w:type="spellEnd"/>
            <w:r w:rsidRPr="383E5602">
              <w:t xml:space="preserve"> prior</w:t>
            </w:r>
            <w:r w:rsidR="3F21E1AC" w:rsidRPr="383E5602">
              <w:t>.</w:t>
            </w:r>
          </w:p>
        </w:tc>
        <w:tc>
          <w:tcPr>
            <w:tcW w:w="1464" w:type="pct"/>
            <w:shd w:val="clear" w:color="auto" w:fill="auto"/>
            <w:vAlign w:val="center"/>
          </w:tcPr>
          <w:p w14:paraId="488B8248" w14:textId="28AD98CF" w:rsidR="00CC3D51" w:rsidRPr="00B22EDA" w:rsidRDefault="00CC3D51" w:rsidP="00FF58A4">
            <w:pPr>
              <w:pStyle w:val="TableText0"/>
              <w:framePr w:hSpace="0" w:wrap="auto" w:vAnchor="margin" w:yAlign="inline"/>
              <w:suppressOverlap w:val="0"/>
              <w:rPr>
                <w:b/>
              </w:rPr>
            </w:pPr>
            <w:r w:rsidRPr="00B22EDA">
              <w:t>Primary: response based on albumin-adjusted serum calcium in the normal range, independence from active vitamin D and independence from therapeutic doses of calcium (&gt;</w:t>
            </w:r>
            <w:r w:rsidR="007F5E4D" w:rsidRPr="00B22EDA">
              <w:t xml:space="preserve"> </w:t>
            </w:r>
            <w:r w:rsidRPr="00B22EDA">
              <w:t>600 mg/d) with no increase in study drug over the 4 weeks prior.</w:t>
            </w:r>
          </w:p>
          <w:p w14:paraId="2B11D18F" w14:textId="77777777" w:rsidR="00CC3D51" w:rsidRPr="00B22EDA" w:rsidRDefault="00CC3D51" w:rsidP="00FF58A4">
            <w:pPr>
              <w:pStyle w:val="TableText0"/>
              <w:framePr w:hSpace="0" w:wrap="auto" w:vAnchor="margin" w:yAlign="inline"/>
              <w:suppressOverlap w:val="0"/>
            </w:pPr>
          </w:p>
          <w:p w14:paraId="65A126C6" w14:textId="2890C374" w:rsidR="00CC3D51" w:rsidRPr="00B22EDA" w:rsidRDefault="00CC3D51" w:rsidP="4D2BAA30">
            <w:pPr>
              <w:pStyle w:val="TableText0"/>
              <w:framePr w:hSpace="0" w:wrap="auto" w:vAnchor="margin" w:yAlign="inline"/>
              <w:suppressOverlap w:val="0"/>
              <w:rPr>
                <w:b/>
              </w:rPr>
            </w:pPr>
            <w:r w:rsidRPr="4D2BAA30">
              <w:t>Secondary: HRQoL, active vitamin D dose, calcium dose, daily pill burden, serum calcium, serum phosphate, serum calcium/</w:t>
            </w:r>
            <w:r w:rsidR="00642F00" w:rsidRPr="4D2BAA30">
              <w:t xml:space="preserve"> </w:t>
            </w:r>
            <w:r w:rsidRPr="4D2BAA30">
              <w:t>phosphate product, BMD, 24-hour urine calcium.</w:t>
            </w:r>
          </w:p>
        </w:tc>
        <w:tc>
          <w:tcPr>
            <w:tcW w:w="744" w:type="pct"/>
            <w:shd w:val="clear" w:color="auto" w:fill="auto"/>
            <w:vAlign w:val="center"/>
          </w:tcPr>
          <w:p w14:paraId="6F927637" w14:textId="1FAA26FD" w:rsidR="00CC3D51" w:rsidRPr="00B22EDA" w:rsidRDefault="00C55203" w:rsidP="00FF58A4">
            <w:pPr>
              <w:pStyle w:val="TableText0"/>
              <w:framePr w:hSpace="0" w:wrap="auto" w:vAnchor="margin" w:yAlign="inline"/>
              <w:suppressOverlap w:val="0"/>
            </w:pPr>
            <w:r w:rsidRPr="00B22EDA">
              <w:t>Primary outcome applied at the end of Cycle 1.</w:t>
            </w:r>
          </w:p>
          <w:p w14:paraId="6546B2BF" w14:textId="77777777" w:rsidR="00C55203" w:rsidRPr="00B22EDA" w:rsidRDefault="00C55203" w:rsidP="00FF58A4">
            <w:pPr>
              <w:pStyle w:val="TableText0"/>
              <w:framePr w:hSpace="0" w:wrap="auto" w:vAnchor="margin" w:yAlign="inline"/>
              <w:suppressOverlap w:val="0"/>
            </w:pPr>
            <w:r w:rsidRPr="00B22EDA">
              <w:t xml:space="preserve">Proportion of patients </w:t>
            </w:r>
            <w:r w:rsidR="006262F8" w:rsidRPr="00B22EDA">
              <w:t>in CKD stages applied at baseline and the end of Cycle 1.</w:t>
            </w:r>
          </w:p>
          <w:p w14:paraId="7259733C" w14:textId="03889E8A" w:rsidR="006262F8" w:rsidRPr="00B22EDA" w:rsidRDefault="006262F8" w:rsidP="00FF58A4">
            <w:pPr>
              <w:pStyle w:val="TableText0"/>
              <w:framePr w:hSpace="0" w:wrap="auto" w:vAnchor="margin" w:yAlign="inline"/>
              <w:suppressOverlap w:val="0"/>
            </w:pPr>
            <w:r w:rsidRPr="00B22EDA">
              <w:t xml:space="preserve">Baseline EQ-5D-5L and change from </w:t>
            </w:r>
            <w:r w:rsidR="003F6745" w:rsidRPr="00B22EDA">
              <w:t xml:space="preserve">baseline applied for the duration of the model. </w:t>
            </w:r>
          </w:p>
        </w:tc>
      </w:tr>
      <w:tr w:rsidR="003F6745" w:rsidRPr="00B22EDA" w14:paraId="635DD475" w14:textId="77777777" w:rsidTr="383E5602">
        <w:trPr>
          <w:cantSplit/>
        </w:trPr>
        <w:tc>
          <w:tcPr>
            <w:tcW w:w="530" w:type="pct"/>
            <w:shd w:val="clear" w:color="auto" w:fill="auto"/>
            <w:vAlign w:val="center"/>
          </w:tcPr>
          <w:p w14:paraId="55507DC7" w14:textId="77777777" w:rsidR="00CC3D51" w:rsidRPr="00B22EDA" w:rsidRDefault="00CC3D51" w:rsidP="4D2BAA30">
            <w:pPr>
              <w:pStyle w:val="TableText0"/>
              <w:framePr w:hSpace="0" w:wrap="auto" w:vAnchor="margin" w:yAlign="inline"/>
              <w:suppressOverlap w:val="0"/>
              <w:rPr>
                <w:b/>
              </w:rPr>
            </w:pPr>
            <w:r w:rsidRPr="4D2BAA30">
              <w:t>PaTH Forward</w:t>
            </w:r>
          </w:p>
        </w:tc>
        <w:tc>
          <w:tcPr>
            <w:tcW w:w="266" w:type="pct"/>
            <w:shd w:val="clear" w:color="auto" w:fill="auto"/>
            <w:vAlign w:val="center"/>
          </w:tcPr>
          <w:p w14:paraId="0BF61B6E" w14:textId="77777777" w:rsidR="00CC3D51" w:rsidRPr="00B22EDA" w:rsidRDefault="00CC3D51" w:rsidP="00FF58A4">
            <w:pPr>
              <w:pStyle w:val="TableText0"/>
              <w:framePr w:hSpace="0" w:wrap="auto" w:vAnchor="margin" w:yAlign="inline"/>
              <w:suppressOverlap w:val="0"/>
              <w:jc w:val="center"/>
              <w:rPr>
                <w:b/>
              </w:rPr>
            </w:pPr>
            <w:r w:rsidRPr="00B22EDA">
              <w:t>59</w:t>
            </w:r>
          </w:p>
        </w:tc>
        <w:tc>
          <w:tcPr>
            <w:tcW w:w="731" w:type="pct"/>
            <w:shd w:val="clear" w:color="auto" w:fill="auto"/>
            <w:vAlign w:val="center"/>
          </w:tcPr>
          <w:p w14:paraId="7B870028" w14:textId="394D136B" w:rsidR="00CC3D51" w:rsidRPr="00B22EDA" w:rsidRDefault="00CC3D51" w:rsidP="00FF58A4">
            <w:pPr>
              <w:pStyle w:val="TableText0"/>
              <w:framePr w:hSpace="0" w:wrap="auto" w:vAnchor="margin" w:yAlign="inline"/>
              <w:suppressOverlap w:val="0"/>
              <w:jc w:val="center"/>
              <w:rPr>
                <w:b/>
              </w:rPr>
            </w:pPr>
            <w:r w:rsidRPr="00B22EDA">
              <w:t xml:space="preserve">Phase 2, </w:t>
            </w:r>
            <w:r w:rsidR="0025223F" w:rsidRPr="00B22EDA">
              <w:br/>
            </w:r>
            <w:r w:rsidRPr="00B22EDA">
              <w:t>MC, R, DB, PC, PG, with OLE</w:t>
            </w:r>
          </w:p>
        </w:tc>
        <w:tc>
          <w:tcPr>
            <w:tcW w:w="400" w:type="pct"/>
            <w:shd w:val="clear" w:color="auto" w:fill="auto"/>
            <w:vAlign w:val="center"/>
          </w:tcPr>
          <w:p w14:paraId="051DFD64" w14:textId="77777777" w:rsidR="00CC3D51" w:rsidRPr="00B22EDA" w:rsidRDefault="00CC3D51" w:rsidP="00FF58A4">
            <w:pPr>
              <w:pStyle w:val="TableText0"/>
              <w:framePr w:hSpace="0" w:wrap="auto" w:vAnchor="margin" w:yAlign="inline"/>
              <w:suppressOverlap w:val="0"/>
              <w:jc w:val="center"/>
              <w:rPr>
                <w:b/>
              </w:rPr>
            </w:pPr>
            <w:r w:rsidRPr="00B22EDA">
              <w:t>Low</w:t>
            </w:r>
          </w:p>
        </w:tc>
        <w:tc>
          <w:tcPr>
            <w:tcW w:w="866" w:type="pct"/>
            <w:shd w:val="clear" w:color="auto" w:fill="auto"/>
            <w:vAlign w:val="center"/>
          </w:tcPr>
          <w:p w14:paraId="6A8E865F" w14:textId="43B8E02E" w:rsidR="00CC3D51" w:rsidRPr="00B22EDA" w:rsidRDefault="4D72FECA" w:rsidP="383E5602">
            <w:pPr>
              <w:pStyle w:val="TableText0"/>
              <w:framePr w:hSpace="0" w:wrap="auto" w:vAnchor="margin" w:yAlign="inline"/>
              <w:suppressOverlap w:val="0"/>
              <w:rPr>
                <w:b/>
              </w:rPr>
            </w:pPr>
            <w:r w:rsidRPr="383E5602">
              <w:t xml:space="preserve">Adults with chronic HPT for ≥ 26 </w:t>
            </w:r>
            <w:proofErr w:type="spellStart"/>
            <w:r w:rsidRPr="383E5602">
              <w:t>wks</w:t>
            </w:r>
            <w:proofErr w:type="spellEnd"/>
            <w:r w:rsidRPr="383E5602">
              <w:t xml:space="preserve"> and have been treated with calcitriol ≥</w:t>
            </w:r>
            <w:r w:rsidR="3F21E1AC" w:rsidRPr="383E5602">
              <w:t xml:space="preserve"> </w:t>
            </w:r>
            <w:r w:rsidRPr="383E5602">
              <w:t xml:space="preserve">0.5 mcg/d or </w:t>
            </w:r>
            <w:proofErr w:type="spellStart"/>
            <w:r w:rsidRPr="383E5602">
              <w:t>alfacalcidol</w:t>
            </w:r>
            <w:proofErr w:type="spellEnd"/>
            <w:r w:rsidRPr="383E5602">
              <w:t xml:space="preserve"> ≥</w:t>
            </w:r>
            <w:r w:rsidR="3F21E1AC" w:rsidRPr="383E5602">
              <w:t xml:space="preserve"> </w:t>
            </w:r>
            <w:r w:rsidRPr="383E5602">
              <w:t>1.0 mcg/d in addition to calcium ≥</w:t>
            </w:r>
            <w:r w:rsidR="3F21E1AC" w:rsidRPr="383E5602">
              <w:t xml:space="preserve"> </w:t>
            </w:r>
            <w:r w:rsidRPr="383E5602">
              <w:t xml:space="preserve">800 mg/d for at least 12 </w:t>
            </w:r>
            <w:proofErr w:type="spellStart"/>
            <w:r w:rsidRPr="383E5602">
              <w:t>wks</w:t>
            </w:r>
            <w:proofErr w:type="spellEnd"/>
            <w:r w:rsidRPr="383E5602">
              <w:t xml:space="preserve"> prior</w:t>
            </w:r>
            <w:r w:rsidR="3F21E1AC" w:rsidRPr="383E5602">
              <w:t>.</w:t>
            </w:r>
          </w:p>
        </w:tc>
        <w:tc>
          <w:tcPr>
            <w:tcW w:w="1464" w:type="pct"/>
            <w:shd w:val="clear" w:color="auto" w:fill="auto"/>
            <w:vAlign w:val="center"/>
          </w:tcPr>
          <w:p w14:paraId="78C5C852" w14:textId="77777777" w:rsidR="00CC3D51" w:rsidRPr="00B22EDA" w:rsidRDefault="00CC3D51" w:rsidP="00FF58A4">
            <w:pPr>
              <w:pStyle w:val="TableText0"/>
              <w:framePr w:hSpace="0" w:wrap="auto" w:vAnchor="margin" w:yAlign="inline"/>
              <w:suppressOverlap w:val="0"/>
              <w:rPr>
                <w:b/>
              </w:rPr>
            </w:pPr>
            <w:r w:rsidRPr="00B22EDA">
              <w:t>Primary:</w:t>
            </w:r>
          </w:p>
          <w:p w14:paraId="56A2DB83" w14:textId="4F3B8E59" w:rsidR="00CC3D51" w:rsidRPr="00B22EDA" w:rsidRDefault="4D72FECA" w:rsidP="383E5602">
            <w:pPr>
              <w:pStyle w:val="TableText0"/>
              <w:framePr w:hSpace="0" w:wrap="auto" w:vAnchor="margin" w:yAlign="inline"/>
              <w:suppressOverlap w:val="0"/>
              <w:rPr>
                <w:b/>
              </w:rPr>
            </w:pPr>
            <w:r w:rsidRPr="383E5602">
              <w:t xml:space="preserve">The proportion of patients who achieved albumin-adjusted serum calcium in the normal range, SPOT AM FEC within normal range, independence from active vitamin D, independence from therapeutic doses of calcium (≤ 1000 mg/day) with no increase in study drug over 4 </w:t>
            </w:r>
            <w:proofErr w:type="spellStart"/>
            <w:r w:rsidRPr="383E5602">
              <w:t>wks</w:t>
            </w:r>
            <w:proofErr w:type="spellEnd"/>
            <w:r w:rsidRPr="383E5602">
              <w:t xml:space="preserve"> prior.</w:t>
            </w:r>
          </w:p>
          <w:p w14:paraId="40CC15D1" w14:textId="77777777" w:rsidR="00CC3D51" w:rsidRPr="00B22EDA" w:rsidRDefault="00CC3D51" w:rsidP="00FF58A4">
            <w:pPr>
              <w:pStyle w:val="TableText0"/>
              <w:framePr w:hSpace="0" w:wrap="auto" w:vAnchor="margin" w:yAlign="inline"/>
              <w:suppressOverlap w:val="0"/>
            </w:pPr>
          </w:p>
          <w:p w14:paraId="706DDBF9" w14:textId="77777777" w:rsidR="00CC3D51" w:rsidRPr="00B22EDA" w:rsidRDefault="00CC3D51" w:rsidP="00FF58A4">
            <w:pPr>
              <w:pStyle w:val="TableText0"/>
              <w:framePr w:hSpace="0" w:wrap="auto" w:vAnchor="margin" w:yAlign="inline"/>
              <w:suppressOverlap w:val="0"/>
              <w:rPr>
                <w:b/>
              </w:rPr>
            </w:pPr>
            <w:r w:rsidRPr="00B22EDA">
              <w:t>Secondary:</w:t>
            </w:r>
          </w:p>
          <w:p w14:paraId="419CD29F" w14:textId="77777777" w:rsidR="00CC3D51" w:rsidRPr="00B22EDA" w:rsidRDefault="00CC3D51" w:rsidP="00FF58A4">
            <w:pPr>
              <w:pStyle w:val="TableText0"/>
              <w:framePr w:hSpace="0" w:wrap="auto" w:vAnchor="margin" w:yAlign="inline"/>
              <w:suppressOverlap w:val="0"/>
              <w:rPr>
                <w:b/>
              </w:rPr>
            </w:pPr>
            <w:r w:rsidRPr="00B22EDA">
              <w:t>Active vitamin D doses, calcium doses, daily pill burden, serum calcium</w:t>
            </w:r>
          </w:p>
        </w:tc>
        <w:tc>
          <w:tcPr>
            <w:tcW w:w="744" w:type="pct"/>
            <w:shd w:val="clear" w:color="auto" w:fill="auto"/>
            <w:vAlign w:val="center"/>
          </w:tcPr>
          <w:p w14:paraId="3848FEA5" w14:textId="77777777" w:rsidR="00CC3D51" w:rsidRPr="00B22EDA" w:rsidRDefault="00CC3D51" w:rsidP="00FF58A4">
            <w:pPr>
              <w:pStyle w:val="TableText0"/>
              <w:framePr w:hSpace="0" w:wrap="auto" w:vAnchor="margin" w:yAlign="inline"/>
              <w:suppressOverlap w:val="0"/>
              <w:rPr>
                <w:b/>
              </w:rPr>
            </w:pPr>
            <w:r w:rsidRPr="00B22EDA">
              <w:t>Not used</w:t>
            </w:r>
          </w:p>
        </w:tc>
      </w:tr>
    </w:tbl>
    <w:p w14:paraId="21AC8883" w14:textId="3367428E" w:rsidR="00CC3D51" w:rsidRPr="00B22EDA" w:rsidRDefault="00CC3D51" w:rsidP="00265947">
      <w:pPr>
        <w:pStyle w:val="TableFigureFooter"/>
      </w:pPr>
      <w:r w:rsidRPr="00B22EDA">
        <w:t xml:space="preserve">Source: Table 14 </w:t>
      </w:r>
      <w:r w:rsidR="008B6FE5" w:rsidRPr="00B22EDA">
        <w:t xml:space="preserve">p36 </w:t>
      </w:r>
      <w:r w:rsidRPr="00B22EDA">
        <w:t>of the submission.</w:t>
      </w:r>
    </w:p>
    <w:p w14:paraId="72FDD4AA" w14:textId="52DF9356" w:rsidR="00CC3D51" w:rsidRPr="00B22EDA" w:rsidRDefault="4D72FECA" w:rsidP="00265947">
      <w:pPr>
        <w:pStyle w:val="TableFigureFooter"/>
      </w:pPr>
      <w:r w:rsidRPr="383E5602">
        <w:t>BMD = bone mineral density</w:t>
      </w:r>
      <w:r w:rsidR="3BB7600B" w:rsidRPr="383E5602">
        <w:t>,</w:t>
      </w:r>
      <w:r w:rsidRPr="383E5602">
        <w:t xml:space="preserve"> </w:t>
      </w:r>
      <w:r w:rsidR="73E08066" w:rsidRPr="383E5602">
        <w:t>CKD = chr</w:t>
      </w:r>
      <w:r w:rsidR="022AD88F" w:rsidRPr="383E5602">
        <w:t xml:space="preserve">onic kidney disease, </w:t>
      </w:r>
      <w:r w:rsidRPr="383E5602">
        <w:t>d = day, DB = double</w:t>
      </w:r>
      <w:r w:rsidR="091CF08F" w:rsidRPr="383E5602">
        <w:t>-</w:t>
      </w:r>
      <w:r w:rsidRPr="383E5602">
        <w:t xml:space="preserve">blind, </w:t>
      </w:r>
      <w:r w:rsidR="3A7F9020" w:rsidRPr="383E5602">
        <w:t>EQ-5D-5L</w:t>
      </w:r>
      <w:r w:rsidR="355EC0E6" w:rsidRPr="383E5602">
        <w:t xml:space="preserve"> = EuroQol-5D-5L</w:t>
      </w:r>
      <w:r w:rsidR="3A7F9020" w:rsidRPr="383E5602">
        <w:t xml:space="preserve">, </w:t>
      </w:r>
      <w:r w:rsidRPr="383E5602">
        <w:t>HPT = hypoparathyroidism</w:t>
      </w:r>
      <w:r w:rsidR="3BB7600B" w:rsidRPr="383E5602">
        <w:t>,</w:t>
      </w:r>
      <w:r w:rsidRPr="383E5602">
        <w:t xml:space="preserve"> HRQoL = health-related quality of life</w:t>
      </w:r>
      <w:r w:rsidR="3BB7600B" w:rsidRPr="383E5602">
        <w:t>,</w:t>
      </w:r>
      <w:r w:rsidRPr="383E5602">
        <w:t xml:space="preserve"> MC = multicentre, OLE = open label extension, PC = placebo controlled</w:t>
      </w:r>
      <w:r w:rsidR="3BB7600B" w:rsidRPr="383E5602">
        <w:t>,</w:t>
      </w:r>
      <w:r w:rsidRPr="383E5602">
        <w:t xml:space="preserve"> PG = parallel group, R = randomised, SPOT AM FEC = spot morning fractional excretion of calcium</w:t>
      </w:r>
      <w:r w:rsidR="32A1F9B3" w:rsidRPr="383E5602">
        <w:t xml:space="preserve">, </w:t>
      </w:r>
      <w:proofErr w:type="spellStart"/>
      <w:r w:rsidR="32A1F9B3" w:rsidRPr="383E5602">
        <w:t>wks</w:t>
      </w:r>
      <w:proofErr w:type="spellEnd"/>
      <w:r w:rsidR="32A1F9B3" w:rsidRPr="383E5602">
        <w:t xml:space="preserve"> = weeks</w:t>
      </w:r>
      <w:r w:rsidRPr="383E5602">
        <w:t>.</w:t>
      </w:r>
    </w:p>
    <w:p w14:paraId="36FA043E" w14:textId="77777777" w:rsidR="00356672" w:rsidRDefault="00CC3D51" w:rsidP="00356672">
      <w:pPr>
        <w:pStyle w:val="3-BodyText"/>
      </w:pPr>
      <w:r w:rsidRPr="4D2BAA30">
        <w:t xml:space="preserve">Key differences between the PaTHway trial and the proposed PBS criteria include: </w:t>
      </w:r>
    </w:p>
    <w:p w14:paraId="73A59D26" w14:textId="77777777" w:rsidR="00356672" w:rsidRPr="00151020" w:rsidRDefault="5D9A3D2B" w:rsidP="00995674">
      <w:pPr>
        <w:pStyle w:val="3-BodyText"/>
        <w:numPr>
          <w:ilvl w:val="1"/>
          <w:numId w:val="34"/>
        </w:numPr>
        <w:ind w:left="1080"/>
      </w:pPr>
      <w:r w:rsidRPr="00237C3D">
        <w:rPr>
          <w:rFonts w:eastAsiaTheme="minorEastAsia"/>
        </w:rPr>
        <w:t>During the screening period (prior to randomisation), adjustments to doses of active vitamin D, calcium and magnesium were made so that patients achieved serum calcium in the normal range prior to treatment</w:t>
      </w:r>
      <w:r w:rsidRPr="00237C3D" w:rsidDel="00F61DD4">
        <w:rPr>
          <w:rFonts w:eastAsiaTheme="minorEastAsia"/>
        </w:rPr>
        <w:t>. This was not consistent with the intended PBS use</w:t>
      </w:r>
      <w:r w:rsidRPr="00237C3D">
        <w:rPr>
          <w:rFonts w:eastAsiaTheme="minorEastAsia"/>
        </w:rPr>
        <w:t xml:space="preserve">. </w:t>
      </w:r>
      <w:r w:rsidRPr="383E5602">
        <w:t xml:space="preserve">The </w:t>
      </w:r>
      <w:r w:rsidR="77690765" w:rsidRPr="383E5602">
        <w:t xml:space="preserve">proposed </w:t>
      </w:r>
      <w:r w:rsidRPr="383E5602">
        <w:t xml:space="preserve">PBS restriction includes patients who have a serum calcium &lt; 2.0 mmol/L. The evidence regarding the use of palopegteriparatide in patients who have serum calcium &lt; 2.0 mmol/L was absent. </w:t>
      </w:r>
      <w:r w:rsidRPr="00151020">
        <w:t xml:space="preserve">However, this was not a mandatory requirement of the </w:t>
      </w:r>
      <w:r w:rsidR="575EA3F8" w:rsidRPr="00151020">
        <w:t>proposed</w:t>
      </w:r>
      <w:r w:rsidR="2FE88920" w:rsidRPr="00151020">
        <w:t xml:space="preserve"> </w:t>
      </w:r>
      <w:r w:rsidRPr="00151020">
        <w:t xml:space="preserve">PBS </w:t>
      </w:r>
      <w:r w:rsidR="005D3E10" w:rsidRPr="00151020">
        <w:t>eligibility,</w:t>
      </w:r>
      <w:r w:rsidRPr="00151020">
        <w:t xml:space="preserve"> and the ESC considered that it was highly likely that clinicians would correct metabolic disturbances, particularly hypocalcaemia, prior to commencement on </w:t>
      </w:r>
      <w:r w:rsidR="25D763A3" w:rsidRPr="00151020">
        <w:t>palopegteriparatide</w:t>
      </w:r>
      <w:r w:rsidRPr="00151020">
        <w:t xml:space="preserve">. It is also possible that some patients with a serum calcium </w:t>
      </w:r>
      <w:r w:rsidR="00635082" w:rsidRPr="00151020">
        <w:br/>
      </w:r>
      <w:r w:rsidRPr="00151020">
        <w:t>&lt; 2.0 mmol/L may meet one or more of the other PBS criteria such as hyperca</w:t>
      </w:r>
      <w:r w:rsidR="486A1935" w:rsidRPr="00151020">
        <w:t>l</w:t>
      </w:r>
      <w:r w:rsidRPr="00151020">
        <w:t>ciuria.</w:t>
      </w:r>
    </w:p>
    <w:p w14:paraId="315A3C2D" w14:textId="338AAD12" w:rsidR="00356672" w:rsidRPr="00151020" w:rsidRDefault="00635082" w:rsidP="00995674">
      <w:pPr>
        <w:pStyle w:val="3-BodyText"/>
        <w:numPr>
          <w:ilvl w:val="1"/>
          <w:numId w:val="34"/>
        </w:numPr>
        <w:ind w:left="1080"/>
      </w:pPr>
      <w:r w:rsidRPr="00151020">
        <w:t xml:space="preserve">PaTHway required patients to have magnesium, vitamin D and thyroid stimulating hormone (TSH) within the normal range, and thyroid replacement therapy normalised before starting palopegteriparatide. This has not been specified in the </w:t>
      </w:r>
      <w:r w:rsidR="009F6572" w:rsidRPr="00151020">
        <w:t xml:space="preserve">proposed </w:t>
      </w:r>
      <w:r w:rsidRPr="00151020">
        <w:t>PBS restriction. The implications of this were not discussed in the submission.</w:t>
      </w:r>
      <w:r w:rsidR="001E6F85" w:rsidRPr="00151020">
        <w:t xml:space="preserve"> </w:t>
      </w:r>
      <w:bookmarkStart w:id="23" w:name="_Ref187738286"/>
    </w:p>
    <w:p w14:paraId="1F3E368C" w14:textId="77777777" w:rsidR="00356672" w:rsidRPr="00151020" w:rsidRDefault="5D9A3D2B" w:rsidP="00356672">
      <w:pPr>
        <w:pStyle w:val="3-BodyText"/>
      </w:pPr>
      <w:bookmarkStart w:id="24" w:name="_Ref191468533"/>
      <w:r w:rsidRPr="00151020">
        <w:t xml:space="preserve">All patients in PaTHway received conventional therapy and study drug (either palopegteriparatide or placebo). The trial used a dose titration algorithm as described in the Clinical Study Report to titrate the doses of conventional therapy and study drug based on serum calcium levels. This meant that patients in the comparator arm who had normal serum calcium levels received dose reductions to their conventional therapy, while their dose of placebo was unchanged. </w:t>
      </w:r>
      <w:r w:rsidR="7FCC1750" w:rsidRPr="00151020">
        <w:t>The ESC agreed with the evaluation that t</w:t>
      </w:r>
      <w:r w:rsidRPr="00151020">
        <w:t xml:space="preserve">his approach is not representative of standard management of these patients, and therefore the comparator arm in the trial was an inaccurate representation of standard of care for patients with normal serum calcium levels. Patients who had low serum calcium after 7 days of treatment had the dose of the study drug increased, which for placebo patients meant an increase in placebo rather than the dose of conventional therapy. Again, </w:t>
      </w:r>
      <w:r w:rsidR="7FCC1750" w:rsidRPr="00151020">
        <w:t xml:space="preserve">the ESC considered </w:t>
      </w:r>
      <w:r w:rsidRPr="00151020">
        <w:t>this is not representative of standard management. The implications of changes to conventional therapy in the comparator group on the outcomes observed in the trial were not discussed in the submission.</w:t>
      </w:r>
      <w:bookmarkEnd w:id="23"/>
      <w:bookmarkEnd w:id="24"/>
      <w:r w:rsidRPr="00151020">
        <w:t xml:space="preserve"> </w:t>
      </w:r>
    </w:p>
    <w:p w14:paraId="7E03A491" w14:textId="2F6CFA11" w:rsidR="00CC3D51" w:rsidRPr="00151020" w:rsidRDefault="00635082" w:rsidP="00356672">
      <w:pPr>
        <w:pStyle w:val="3-BodyText"/>
      </w:pPr>
      <w:r w:rsidRPr="00151020">
        <w:t xml:space="preserve">PaTHway was not restricted to patients who were inadequately controlled on conventional therapy. Given that the eligibility criteria of PaTHway were not aligned with the proposed PBS restriction, the submission conducted a </w:t>
      </w:r>
      <w:r w:rsidRPr="00A152F0">
        <w:rPr>
          <w:i/>
          <w:iCs/>
        </w:rPr>
        <w:t>post-hoc</w:t>
      </w:r>
      <w:r w:rsidRPr="00151020">
        <w:t xml:space="preserve"> subgroup analysis in patients who mostly aligned with the PBS criteria (see paragraph </w:t>
      </w:r>
      <w:r w:rsidRPr="00151020">
        <w:fldChar w:fldCharType="begin"/>
      </w:r>
      <w:r w:rsidRPr="00151020">
        <w:instrText xml:space="preserve"> REF _Ref187931583 \r \h  \* MERGEFORMAT </w:instrText>
      </w:r>
      <w:r w:rsidRPr="00151020">
        <w:fldChar w:fldCharType="separate"/>
      </w:r>
      <w:r w:rsidR="00DA35E4">
        <w:t>3.6</w:t>
      </w:r>
      <w:r w:rsidRPr="00151020">
        <w:fldChar w:fldCharType="end"/>
      </w:r>
      <w:r w:rsidRPr="00151020">
        <w:t>). The results of the subgroup analysis were aligned with the results of the wider trial population. The subgroup analysis did not include patients with serum calcium &lt; 2.0 mmol/L. However, it is possible that patients with serum calcium &lt; 2.0mmol/L are likely to meet the other criteria for inadequate control.</w:t>
      </w:r>
    </w:p>
    <w:p w14:paraId="2B96A693" w14:textId="77777777" w:rsidR="00CC3D51" w:rsidRPr="0098262F" w:rsidRDefault="00CC3D51" w:rsidP="00CC3D51">
      <w:pPr>
        <w:pStyle w:val="4-SubsectionHeading"/>
      </w:pPr>
      <w:bookmarkStart w:id="25" w:name="_Toc22897641"/>
      <w:bookmarkStart w:id="26" w:name="_Toc187766414"/>
      <w:r w:rsidRPr="0098262F">
        <w:t>Comparative effectiveness</w:t>
      </w:r>
      <w:bookmarkEnd w:id="25"/>
      <w:bookmarkEnd w:id="26"/>
    </w:p>
    <w:p w14:paraId="4D811C82" w14:textId="171EA046" w:rsidR="00CC3D51" w:rsidRPr="00006FCB" w:rsidRDefault="4D72FECA" w:rsidP="383E5602">
      <w:pPr>
        <w:pStyle w:val="3-BodyText"/>
        <w:rPr>
          <w:color w:val="0066FF"/>
        </w:rPr>
      </w:pPr>
      <w:r w:rsidRPr="383E5602">
        <w:t xml:space="preserve">The results of the multi-component primary efficacy outcome are shown in </w:t>
      </w:r>
      <w:r w:rsidR="00CC3D51">
        <w:fldChar w:fldCharType="begin"/>
      </w:r>
      <w:r w:rsidR="00CC3D51">
        <w:instrText xml:space="preserve"> REF _Ref184726557 \h  \* MERGEFORMAT </w:instrText>
      </w:r>
      <w:r w:rsidR="00CC3D51">
        <w:fldChar w:fldCharType="separate"/>
      </w:r>
      <w:r w:rsidR="00DA35E4" w:rsidRPr="4D2BAA30">
        <w:t xml:space="preserve">Table </w:t>
      </w:r>
      <w:r w:rsidR="00DA35E4">
        <w:rPr>
          <w:noProof/>
        </w:rPr>
        <w:t>4</w:t>
      </w:r>
      <w:r w:rsidR="00CC3D51">
        <w:fldChar w:fldCharType="end"/>
      </w:r>
      <w:r w:rsidRPr="383E5602">
        <w:t>. For this endpoint the submission presented the results of the 26-week blinded period and the 52-week and 104-week OLE periods. At Week 104, 76 (93%) patients remained in the trial.</w:t>
      </w:r>
    </w:p>
    <w:p w14:paraId="3E7E5FF0" w14:textId="6D614AB3" w:rsidR="00CC3D51" w:rsidRPr="00006FCB" w:rsidRDefault="00CC3D51" w:rsidP="00CC3D51">
      <w:pPr>
        <w:pStyle w:val="Caption"/>
      </w:pPr>
      <w:bookmarkStart w:id="27" w:name="_Ref184726557"/>
      <w:r w:rsidRPr="4D2BAA30">
        <w:t xml:space="preserve">Table </w:t>
      </w:r>
      <w:r w:rsidRPr="4D2BAA30">
        <w:fldChar w:fldCharType="begin"/>
      </w:r>
      <w:r>
        <w:instrText xml:space="preserve"> SEQ Table \* ARABIC </w:instrText>
      </w:r>
      <w:r w:rsidRPr="4D2BAA30">
        <w:fldChar w:fldCharType="separate"/>
      </w:r>
      <w:r w:rsidR="00DA35E4">
        <w:rPr>
          <w:noProof/>
        </w:rPr>
        <w:t>4</w:t>
      </w:r>
      <w:r w:rsidRPr="4D2BAA30">
        <w:rPr>
          <w:noProof/>
        </w:rPr>
        <w:fldChar w:fldCharType="end"/>
      </w:r>
      <w:bookmarkEnd w:id="27"/>
      <w:r w:rsidRPr="4D2BAA30">
        <w:t>: Results of response in PaTHway at Week 26 (blinded period), Week 52 (OLE) and Week 104 (OLE),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Results of response in PaTHway at Week 26 (blinded period), Week 52 (OLE) and Week 104 (OLE), ITT population"/>
      </w:tblPr>
      <w:tblGrid>
        <w:gridCol w:w="2155"/>
        <w:gridCol w:w="1320"/>
        <w:gridCol w:w="1201"/>
        <w:gridCol w:w="1322"/>
        <w:gridCol w:w="1322"/>
        <w:gridCol w:w="1697"/>
      </w:tblGrid>
      <w:tr w:rsidR="00FF58A4" w:rsidRPr="00006FCB" w14:paraId="74DB271E" w14:textId="77777777" w:rsidTr="003A5A53">
        <w:trPr>
          <w:tblHeader/>
        </w:trPr>
        <w:tc>
          <w:tcPr>
            <w:tcW w:w="1195" w:type="pct"/>
            <w:vMerge w:val="restart"/>
            <w:vAlign w:val="center"/>
          </w:tcPr>
          <w:p w14:paraId="11334CB0" w14:textId="59B8B5F1" w:rsidR="00FF58A4" w:rsidRPr="00006FCB" w:rsidRDefault="00FF58A4">
            <w:pPr>
              <w:pStyle w:val="TableText0"/>
              <w:framePr w:wrap="around"/>
              <w:jc w:val="center"/>
            </w:pPr>
          </w:p>
        </w:tc>
        <w:tc>
          <w:tcPr>
            <w:tcW w:w="1398" w:type="pct"/>
            <w:gridSpan w:val="2"/>
            <w:vAlign w:val="center"/>
          </w:tcPr>
          <w:p w14:paraId="7811AEE3" w14:textId="77777777" w:rsidR="00FF58A4" w:rsidRPr="00006FCB" w:rsidRDefault="00FF58A4" w:rsidP="008707A7">
            <w:pPr>
              <w:pStyle w:val="TableText0"/>
              <w:framePr w:wrap="around"/>
              <w:jc w:val="center"/>
              <w:rPr>
                <w:b/>
                <w:bCs w:val="0"/>
              </w:rPr>
            </w:pPr>
            <w:r w:rsidRPr="00006FCB">
              <w:rPr>
                <w:b/>
                <w:bCs w:val="0"/>
              </w:rPr>
              <w:t>Week 26 (blinded)</w:t>
            </w:r>
          </w:p>
        </w:tc>
        <w:tc>
          <w:tcPr>
            <w:tcW w:w="1466" w:type="pct"/>
            <w:gridSpan w:val="2"/>
          </w:tcPr>
          <w:p w14:paraId="596F2815" w14:textId="77777777" w:rsidR="00FF58A4" w:rsidRPr="00006FCB" w:rsidRDefault="00FF58A4" w:rsidP="008707A7">
            <w:pPr>
              <w:pStyle w:val="TableText0"/>
              <w:framePr w:wrap="around"/>
              <w:jc w:val="center"/>
              <w:rPr>
                <w:b/>
                <w:bCs w:val="0"/>
              </w:rPr>
            </w:pPr>
            <w:r w:rsidRPr="00006FCB">
              <w:rPr>
                <w:b/>
                <w:bCs w:val="0"/>
              </w:rPr>
              <w:t>Week 52 (OLE)</w:t>
            </w:r>
          </w:p>
        </w:tc>
        <w:tc>
          <w:tcPr>
            <w:tcW w:w="941" w:type="pct"/>
            <w:vAlign w:val="center"/>
          </w:tcPr>
          <w:p w14:paraId="1861A3F2" w14:textId="77777777" w:rsidR="00FF58A4" w:rsidRPr="00006FCB" w:rsidRDefault="00FF58A4" w:rsidP="008707A7">
            <w:pPr>
              <w:pStyle w:val="TableText0"/>
              <w:framePr w:wrap="around"/>
              <w:jc w:val="center"/>
              <w:rPr>
                <w:b/>
                <w:bCs w:val="0"/>
              </w:rPr>
            </w:pPr>
            <w:r w:rsidRPr="00006FCB">
              <w:rPr>
                <w:b/>
                <w:bCs w:val="0"/>
              </w:rPr>
              <w:t>Week 104 (OLE)</w:t>
            </w:r>
          </w:p>
        </w:tc>
      </w:tr>
      <w:tr w:rsidR="00FF58A4" w:rsidRPr="00006FCB" w14:paraId="4FCEB9B1" w14:textId="77777777" w:rsidTr="003A5A53">
        <w:trPr>
          <w:tblHeader/>
        </w:trPr>
        <w:tc>
          <w:tcPr>
            <w:tcW w:w="1195" w:type="pct"/>
            <w:vMerge/>
            <w:vAlign w:val="center"/>
          </w:tcPr>
          <w:p w14:paraId="1678B08C" w14:textId="680A62E9" w:rsidR="00FF58A4" w:rsidRPr="00006FCB" w:rsidRDefault="00FF58A4" w:rsidP="008707A7">
            <w:pPr>
              <w:pStyle w:val="TableText0"/>
              <w:framePr w:wrap="around"/>
              <w:jc w:val="center"/>
              <w:rPr>
                <w:b/>
                <w:bCs w:val="0"/>
              </w:rPr>
            </w:pPr>
          </w:p>
        </w:tc>
        <w:tc>
          <w:tcPr>
            <w:tcW w:w="732" w:type="pct"/>
            <w:vAlign w:val="center"/>
          </w:tcPr>
          <w:p w14:paraId="2F19AE12" w14:textId="3287AE16" w:rsidR="00FF58A4" w:rsidRPr="00006FCB" w:rsidRDefault="00FF58A4" w:rsidP="008707A7">
            <w:pPr>
              <w:pStyle w:val="TableText0"/>
              <w:framePr w:wrap="around"/>
              <w:jc w:val="center"/>
              <w:rPr>
                <w:b/>
                <w:bCs w:val="0"/>
              </w:rPr>
            </w:pPr>
            <w:r w:rsidRPr="00006FCB">
              <w:rPr>
                <w:b/>
                <w:bCs w:val="0"/>
              </w:rPr>
              <w:t>PPT</w:t>
            </w:r>
          </w:p>
          <w:p w14:paraId="0737BFC2" w14:textId="77777777" w:rsidR="00FF58A4" w:rsidRPr="00006FCB" w:rsidRDefault="00FF58A4" w:rsidP="008707A7">
            <w:pPr>
              <w:pStyle w:val="TableText0"/>
              <w:framePr w:wrap="around"/>
              <w:jc w:val="center"/>
              <w:rPr>
                <w:b/>
                <w:bCs w:val="0"/>
              </w:rPr>
            </w:pPr>
            <w:r w:rsidRPr="00006FCB">
              <w:rPr>
                <w:b/>
                <w:bCs w:val="0"/>
              </w:rPr>
              <w:t>(N=61)</w:t>
            </w:r>
          </w:p>
        </w:tc>
        <w:tc>
          <w:tcPr>
            <w:tcW w:w="666" w:type="pct"/>
            <w:vAlign w:val="center"/>
          </w:tcPr>
          <w:p w14:paraId="00C43971" w14:textId="77777777" w:rsidR="00FF58A4" w:rsidRPr="00006FCB" w:rsidRDefault="00FF58A4" w:rsidP="008707A7">
            <w:pPr>
              <w:pStyle w:val="TableText0"/>
              <w:framePr w:wrap="around"/>
              <w:jc w:val="center"/>
              <w:rPr>
                <w:b/>
                <w:bCs w:val="0"/>
              </w:rPr>
            </w:pPr>
            <w:r w:rsidRPr="00006FCB">
              <w:rPr>
                <w:b/>
                <w:bCs w:val="0"/>
              </w:rPr>
              <w:t>Placebo (N=21)</w:t>
            </w:r>
          </w:p>
        </w:tc>
        <w:tc>
          <w:tcPr>
            <w:tcW w:w="733" w:type="pct"/>
            <w:vAlign w:val="center"/>
          </w:tcPr>
          <w:p w14:paraId="02DC4DDD" w14:textId="1A2E6054" w:rsidR="00FF58A4" w:rsidRPr="00006FCB" w:rsidRDefault="00FF58A4" w:rsidP="008707A7">
            <w:pPr>
              <w:pStyle w:val="TableText0"/>
              <w:framePr w:wrap="around"/>
              <w:jc w:val="center"/>
              <w:rPr>
                <w:b/>
                <w:bCs w:val="0"/>
              </w:rPr>
            </w:pPr>
            <w:r w:rsidRPr="00006FCB">
              <w:rPr>
                <w:b/>
                <w:bCs w:val="0"/>
              </w:rPr>
              <w:t>PPT</w:t>
            </w:r>
          </w:p>
          <w:p w14:paraId="58A3D866" w14:textId="77777777" w:rsidR="00FF58A4" w:rsidRPr="00006FCB" w:rsidRDefault="00FF58A4" w:rsidP="008707A7">
            <w:pPr>
              <w:pStyle w:val="TableText0"/>
              <w:framePr w:wrap="around"/>
              <w:jc w:val="center"/>
              <w:rPr>
                <w:b/>
                <w:bCs w:val="0"/>
              </w:rPr>
            </w:pPr>
            <w:r w:rsidRPr="00006FCB">
              <w:rPr>
                <w:b/>
                <w:bCs w:val="0"/>
              </w:rPr>
              <w:t>(N=59)</w:t>
            </w:r>
          </w:p>
        </w:tc>
        <w:tc>
          <w:tcPr>
            <w:tcW w:w="733" w:type="pct"/>
            <w:vAlign w:val="center"/>
          </w:tcPr>
          <w:p w14:paraId="20B1A07A" w14:textId="0032444C" w:rsidR="00FF58A4" w:rsidRPr="00006FCB" w:rsidRDefault="00FF58A4" w:rsidP="008707A7">
            <w:pPr>
              <w:pStyle w:val="TableText0"/>
              <w:framePr w:wrap="around"/>
              <w:jc w:val="center"/>
              <w:rPr>
                <w:b/>
                <w:bCs w:val="0"/>
              </w:rPr>
            </w:pPr>
            <w:r w:rsidRPr="00006FCB">
              <w:rPr>
                <w:b/>
                <w:bCs w:val="0"/>
              </w:rPr>
              <w:t>Placebo / PPT (N=19)</w:t>
            </w:r>
          </w:p>
        </w:tc>
        <w:tc>
          <w:tcPr>
            <w:tcW w:w="941" w:type="pct"/>
            <w:vAlign w:val="center"/>
          </w:tcPr>
          <w:p w14:paraId="59662443" w14:textId="2372B98E" w:rsidR="00FF58A4" w:rsidRPr="00006FCB" w:rsidRDefault="00FF58A4" w:rsidP="008707A7">
            <w:pPr>
              <w:pStyle w:val="TableText0"/>
              <w:framePr w:wrap="around"/>
              <w:jc w:val="center"/>
              <w:rPr>
                <w:b/>
                <w:bCs w:val="0"/>
              </w:rPr>
            </w:pPr>
            <w:r w:rsidRPr="00006FCB">
              <w:rPr>
                <w:b/>
                <w:bCs w:val="0"/>
              </w:rPr>
              <w:t>Placebo / PPT</w:t>
            </w:r>
          </w:p>
          <w:p w14:paraId="3E8A042B" w14:textId="77777777" w:rsidR="00FF58A4" w:rsidRPr="00006FCB" w:rsidRDefault="00FF58A4" w:rsidP="008707A7">
            <w:pPr>
              <w:pStyle w:val="TableText0"/>
              <w:framePr w:wrap="around"/>
              <w:jc w:val="center"/>
              <w:rPr>
                <w:b/>
                <w:bCs w:val="0"/>
              </w:rPr>
            </w:pPr>
            <w:r w:rsidRPr="00006FCB">
              <w:rPr>
                <w:b/>
                <w:bCs w:val="0"/>
              </w:rPr>
              <w:t>(N=76)</w:t>
            </w:r>
          </w:p>
        </w:tc>
      </w:tr>
      <w:tr w:rsidR="00CC3D51" w:rsidRPr="00006FCB" w14:paraId="40444902" w14:textId="77777777" w:rsidTr="003A5A53">
        <w:tc>
          <w:tcPr>
            <w:tcW w:w="1195" w:type="pct"/>
          </w:tcPr>
          <w:p w14:paraId="48B68D7F" w14:textId="0DE2728E" w:rsidR="00CC3D51" w:rsidRPr="00006FCB" w:rsidRDefault="00CC3D51" w:rsidP="003A5A53">
            <w:pPr>
              <w:pStyle w:val="TableText0"/>
              <w:framePr w:wrap="around"/>
              <w:rPr>
                <w:b/>
              </w:rPr>
            </w:pPr>
            <w:r w:rsidRPr="00006FCB">
              <w:t>Primary endpoint</w:t>
            </w:r>
            <w:r w:rsidR="003A5A53" w:rsidRPr="00006FCB">
              <w:t xml:space="preserve">, </w:t>
            </w:r>
            <w:r w:rsidR="004A2C65" w:rsidRPr="00006FCB">
              <w:t>n (%)</w:t>
            </w:r>
          </w:p>
        </w:tc>
        <w:tc>
          <w:tcPr>
            <w:tcW w:w="732" w:type="pct"/>
            <w:vAlign w:val="center"/>
          </w:tcPr>
          <w:p w14:paraId="1E5F24F2" w14:textId="77777777" w:rsidR="00CC3D51" w:rsidRPr="00006FCB" w:rsidRDefault="00CC3D51" w:rsidP="008707A7">
            <w:pPr>
              <w:pStyle w:val="TableText0"/>
              <w:framePr w:wrap="around"/>
              <w:jc w:val="center"/>
            </w:pPr>
            <w:r w:rsidRPr="00006FCB">
              <w:t>48 (78.7%)</w:t>
            </w:r>
          </w:p>
        </w:tc>
        <w:tc>
          <w:tcPr>
            <w:tcW w:w="666" w:type="pct"/>
            <w:vAlign w:val="center"/>
          </w:tcPr>
          <w:p w14:paraId="4319094B" w14:textId="77777777" w:rsidR="00CC3D51" w:rsidRPr="00006FCB" w:rsidRDefault="00CC3D51" w:rsidP="008707A7">
            <w:pPr>
              <w:pStyle w:val="TableText0"/>
              <w:framePr w:wrap="around"/>
              <w:jc w:val="center"/>
            </w:pPr>
            <w:r w:rsidRPr="00006FCB">
              <w:t>1 (4.8%)</w:t>
            </w:r>
          </w:p>
        </w:tc>
        <w:tc>
          <w:tcPr>
            <w:tcW w:w="733" w:type="pct"/>
            <w:vAlign w:val="center"/>
          </w:tcPr>
          <w:p w14:paraId="3286509F" w14:textId="77777777" w:rsidR="00CC3D51" w:rsidRPr="00006FCB" w:rsidRDefault="00CC3D51" w:rsidP="008707A7">
            <w:pPr>
              <w:pStyle w:val="TableText0"/>
              <w:framePr w:wrap="around"/>
              <w:jc w:val="center"/>
            </w:pPr>
            <w:r w:rsidRPr="00006FCB">
              <w:t>48 (81.3%)</w:t>
            </w:r>
          </w:p>
        </w:tc>
        <w:tc>
          <w:tcPr>
            <w:tcW w:w="733" w:type="pct"/>
            <w:vAlign w:val="center"/>
          </w:tcPr>
          <w:p w14:paraId="65CFBD73" w14:textId="77777777" w:rsidR="00CC3D51" w:rsidRPr="00006FCB" w:rsidRDefault="00CC3D51" w:rsidP="008707A7">
            <w:pPr>
              <w:pStyle w:val="TableText0"/>
              <w:framePr w:wrap="around"/>
              <w:jc w:val="center"/>
            </w:pPr>
            <w:r w:rsidRPr="00006FCB">
              <w:t>15 (78.9%)</w:t>
            </w:r>
          </w:p>
        </w:tc>
        <w:tc>
          <w:tcPr>
            <w:tcW w:w="941" w:type="pct"/>
            <w:vAlign w:val="center"/>
          </w:tcPr>
          <w:p w14:paraId="6DA3CEE0" w14:textId="77777777" w:rsidR="00CC3D51" w:rsidRPr="00006FCB" w:rsidRDefault="00CC3D51" w:rsidP="008707A7">
            <w:pPr>
              <w:pStyle w:val="TableText0"/>
              <w:framePr w:wrap="around"/>
              <w:jc w:val="center"/>
            </w:pPr>
            <w:r w:rsidRPr="00006FCB">
              <w:t>NR</w:t>
            </w:r>
          </w:p>
        </w:tc>
      </w:tr>
      <w:tr w:rsidR="00CC3D51" w:rsidRPr="00006FCB" w14:paraId="75EA37E9" w14:textId="77777777" w:rsidTr="003A5A53">
        <w:tc>
          <w:tcPr>
            <w:tcW w:w="1195" w:type="pct"/>
          </w:tcPr>
          <w:p w14:paraId="16B19F48" w14:textId="77777777" w:rsidR="00CC3D51" w:rsidRPr="00006FCB" w:rsidRDefault="00CC3D51" w:rsidP="006C0FF8">
            <w:pPr>
              <w:pStyle w:val="TableText0"/>
              <w:framePr w:wrap="around"/>
              <w:rPr>
                <w:b/>
              </w:rPr>
            </w:pPr>
            <w:r w:rsidRPr="00006FCB">
              <w:t>95% CI</w:t>
            </w:r>
          </w:p>
        </w:tc>
        <w:tc>
          <w:tcPr>
            <w:tcW w:w="732" w:type="pct"/>
            <w:vAlign w:val="center"/>
          </w:tcPr>
          <w:p w14:paraId="041178A8" w14:textId="041A1BF8" w:rsidR="00CC3D51" w:rsidRPr="00006FCB" w:rsidRDefault="00CC3D51" w:rsidP="008707A7">
            <w:pPr>
              <w:pStyle w:val="TableText0"/>
              <w:framePr w:wrap="around"/>
              <w:jc w:val="center"/>
            </w:pPr>
            <w:r w:rsidRPr="00006FCB">
              <w:t>66.3, 88.1</w:t>
            </w:r>
          </w:p>
        </w:tc>
        <w:tc>
          <w:tcPr>
            <w:tcW w:w="666" w:type="pct"/>
            <w:vAlign w:val="center"/>
          </w:tcPr>
          <w:p w14:paraId="2D4E7C2E" w14:textId="77777777" w:rsidR="00CC3D51" w:rsidRPr="00006FCB" w:rsidRDefault="00CC3D51" w:rsidP="008707A7">
            <w:pPr>
              <w:pStyle w:val="TableText0"/>
              <w:framePr w:wrap="around"/>
              <w:jc w:val="center"/>
            </w:pPr>
            <w:r w:rsidRPr="00006FCB">
              <w:t>0.1, 23.8</w:t>
            </w:r>
          </w:p>
        </w:tc>
        <w:tc>
          <w:tcPr>
            <w:tcW w:w="733" w:type="pct"/>
            <w:vAlign w:val="center"/>
          </w:tcPr>
          <w:p w14:paraId="36FEBE90" w14:textId="77777777" w:rsidR="00CC3D51" w:rsidRPr="00006FCB" w:rsidRDefault="00CC3D51" w:rsidP="008707A7">
            <w:pPr>
              <w:pStyle w:val="TableParagraph"/>
              <w:spacing w:line="227" w:lineRule="exact"/>
              <w:ind w:left="0"/>
              <w:jc w:val="center"/>
              <w:rPr>
                <w:bCs/>
                <w:sz w:val="20"/>
              </w:rPr>
            </w:pPr>
            <w:r w:rsidRPr="00006FCB">
              <w:rPr>
                <w:bCs/>
                <w:spacing w:val="-2"/>
                <w:sz w:val="20"/>
              </w:rPr>
              <w:t>69.1, 90.3</w:t>
            </w:r>
          </w:p>
        </w:tc>
        <w:tc>
          <w:tcPr>
            <w:tcW w:w="733" w:type="pct"/>
            <w:vAlign w:val="center"/>
          </w:tcPr>
          <w:p w14:paraId="65E16996" w14:textId="77777777" w:rsidR="00CC3D51" w:rsidRPr="00006FCB" w:rsidRDefault="00CC3D51" w:rsidP="008707A7">
            <w:pPr>
              <w:pStyle w:val="TableParagraph"/>
              <w:spacing w:line="227" w:lineRule="exact"/>
              <w:ind w:left="0"/>
              <w:jc w:val="center"/>
              <w:rPr>
                <w:bCs/>
                <w:sz w:val="20"/>
              </w:rPr>
            </w:pPr>
            <w:r w:rsidRPr="00006FCB">
              <w:rPr>
                <w:bCs/>
                <w:spacing w:val="-2"/>
                <w:sz w:val="20"/>
              </w:rPr>
              <w:t>54.4, 93.9</w:t>
            </w:r>
          </w:p>
        </w:tc>
        <w:tc>
          <w:tcPr>
            <w:tcW w:w="941" w:type="pct"/>
            <w:vAlign w:val="center"/>
          </w:tcPr>
          <w:p w14:paraId="139C8014" w14:textId="77777777" w:rsidR="00CC3D51" w:rsidRPr="00006FCB" w:rsidRDefault="00CC3D51" w:rsidP="008707A7">
            <w:pPr>
              <w:pStyle w:val="TableText0"/>
              <w:framePr w:wrap="around"/>
              <w:jc w:val="center"/>
            </w:pPr>
            <w:r w:rsidRPr="00006FCB">
              <w:t>NR</w:t>
            </w:r>
          </w:p>
        </w:tc>
      </w:tr>
      <w:tr w:rsidR="00CC3D51" w:rsidRPr="00006FCB" w14:paraId="4670CFA6" w14:textId="77777777" w:rsidTr="003A5A53">
        <w:tc>
          <w:tcPr>
            <w:tcW w:w="1195" w:type="pct"/>
          </w:tcPr>
          <w:p w14:paraId="356FCBC6" w14:textId="77777777" w:rsidR="00CC3D51" w:rsidRPr="00006FCB" w:rsidRDefault="00CC3D51" w:rsidP="006C0FF8">
            <w:pPr>
              <w:pStyle w:val="TableText0"/>
              <w:framePr w:wrap="around"/>
              <w:rPr>
                <w:b/>
              </w:rPr>
            </w:pPr>
            <w:r w:rsidRPr="00006FCB">
              <w:t>P-value (PPT vs PBO)</w:t>
            </w:r>
          </w:p>
        </w:tc>
        <w:tc>
          <w:tcPr>
            <w:tcW w:w="1398" w:type="pct"/>
            <w:gridSpan w:val="2"/>
            <w:vAlign w:val="center"/>
          </w:tcPr>
          <w:p w14:paraId="1CE93496" w14:textId="77777777" w:rsidR="00CC3D51" w:rsidRPr="00006FCB" w:rsidRDefault="00CC3D51" w:rsidP="008707A7">
            <w:pPr>
              <w:pStyle w:val="TableText0"/>
              <w:framePr w:wrap="around"/>
              <w:jc w:val="center"/>
              <w:rPr>
                <w:b/>
                <w:bCs w:val="0"/>
              </w:rPr>
            </w:pPr>
            <w:r w:rsidRPr="00006FCB">
              <w:rPr>
                <w:b/>
                <w:bCs w:val="0"/>
              </w:rPr>
              <w:t>&lt;0.0001</w:t>
            </w:r>
          </w:p>
        </w:tc>
        <w:tc>
          <w:tcPr>
            <w:tcW w:w="1466" w:type="pct"/>
            <w:gridSpan w:val="2"/>
            <w:vAlign w:val="center"/>
          </w:tcPr>
          <w:p w14:paraId="3993272C" w14:textId="77777777" w:rsidR="00CC3D51" w:rsidRPr="00006FCB" w:rsidRDefault="00CC3D51" w:rsidP="008707A7">
            <w:pPr>
              <w:pStyle w:val="TableText0"/>
              <w:framePr w:wrap="around"/>
              <w:jc w:val="center"/>
            </w:pPr>
            <w:r w:rsidRPr="00006FCB">
              <w:t>NR</w:t>
            </w:r>
          </w:p>
        </w:tc>
        <w:tc>
          <w:tcPr>
            <w:tcW w:w="941" w:type="pct"/>
            <w:vAlign w:val="center"/>
          </w:tcPr>
          <w:p w14:paraId="5D52A42A" w14:textId="77777777" w:rsidR="00CC3D51" w:rsidRPr="00006FCB" w:rsidRDefault="00CC3D51" w:rsidP="008707A7">
            <w:pPr>
              <w:pStyle w:val="TableText0"/>
              <w:framePr w:wrap="around"/>
              <w:jc w:val="center"/>
            </w:pPr>
            <w:r w:rsidRPr="00006FCB">
              <w:t>NR</w:t>
            </w:r>
          </w:p>
        </w:tc>
      </w:tr>
      <w:tr w:rsidR="00CC3D51" w:rsidRPr="00006FCB" w14:paraId="467E140D" w14:textId="77777777" w:rsidTr="003A5A53">
        <w:tc>
          <w:tcPr>
            <w:tcW w:w="1195" w:type="pct"/>
          </w:tcPr>
          <w:p w14:paraId="70DAFED3" w14:textId="1797C3DE" w:rsidR="004A2C65" w:rsidRPr="00006FCB" w:rsidRDefault="00CC3D51" w:rsidP="003A5A53">
            <w:pPr>
              <w:pStyle w:val="TableText0"/>
              <w:framePr w:wrap="around"/>
              <w:rPr>
                <w:b/>
              </w:rPr>
            </w:pPr>
            <w:r w:rsidRPr="00006FCB">
              <w:t>Albumin-adjusted serum calcium within the normal range</w:t>
            </w:r>
            <w:r w:rsidR="003A5A53" w:rsidRPr="00006FCB">
              <w:t xml:space="preserve">, </w:t>
            </w:r>
            <w:r w:rsidR="004A2C65" w:rsidRPr="00006FCB">
              <w:t>n (%)</w:t>
            </w:r>
          </w:p>
        </w:tc>
        <w:tc>
          <w:tcPr>
            <w:tcW w:w="732" w:type="pct"/>
            <w:vAlign w:val="center"/>
          </w:tcPr>
          <w:p w14:paraId="1C6ED798" w14:textId="77777777" w:rsidR="00CC3D51" w:rsidRPr="00006FCB" w:rsidRDefault="00CC3D51" w:rsidP="008707A7">
            <w:pPr>
              <w:pStyle w:val="TableText0"/>
              <w:framePr w:wrap="around"/>
              <w:jc w:val="center"/>
            </w:pPr>
            <w:r w:rsidRPr="00006FCB">
              <w:t>49 (80.3%)</w:t>
            </w:r>
          </w:p>
        </w:tc>
        <w:tc>
          <w:tcPr>
            <w:tcW w:w="666" w:type="pct"/>
            <w:vAlign w:val="center"/>
          </w:tcPr>
          <w:p w14:paraId="6351AE45" w14:textId="77777777" w:rsidR="00CC3D51" w:rsidRPr="00006FCB" w:rsidRDefault="00CC3D51" w:rsidP="008707A7">
            <w:pPr>
              <w:pStyle w:val="TableText0"/>
              <w:framePr w:wrap="around"/>
              <w:jc w:val="center"/>
            </w:pPr>
            <w:r w:rsidRPr="00006FCB">
              <w:t>10 (47.6%)</w:t>
            </w:r>
          </w:p>
        </w:tc>
        <w:tc>
          <w:tcPr>
            <w:tcW w:w="733" w:type="pct"/>
            <w:vAlign w:val="center"/>
          </w:tcPr>
          <w:p w14:paraId="4F9774EB" w14:textId="77777777" w:rsidR="00CC3D51" w:rsidRPr="00006FCB" w:rsidRDefault="00CC3D51" w:rsidP="008707A7">
            <w:pPr>
              <w:pStyle w:val="TableText0"/>
              <w:framePr w:wrap="around"/>
              <w:jc w:val="center"/>
            </w:pPr>
            <w:r w:rsidRPr="00006FCB">
              <w:t>50 (84.7%)</w:t>
            </w:r>
          </w:p>
        </w:tc>
        <w:tc>
          <w:tcPr>
            <w:tcW w:w="733" w:type="pct"/>
            <w:vAlign w:val="center"/>
          </w:tcPr>
          <w:p w14:paraId="006D2BC6" w14:textId="77777777" w:rsidR="00CC3D51" w:rsidRPr="00006FCB" w:rsidRDefault="00CC3D51" w:rsidP="008707A7">
            <w:pPr>
              <w:pStyle w:val="TableText0"/>
              <w:framePr w:wrap="around"/>
              <w:jc w:val="center"/>
            </w:pPr>
            <w:r w:rsidRPr="00006FCB">
              <w:t>17 (89.5%)</w:t>
            </w:r>
          </w:p>
        </w:tc>
        <w:tc>
          <w:tcPr>
            <w:tcW w:w="941" w:type="pct"/>
            <w:vAlign w:val="center"/>
          </w:tcPr>
          <w:p w14:paraId="7734FA95" w14:textId="77777777" w:rsidR="00CC3D51" w:rsidRPr="00006FCB" w:rsidRDefault="00CC3D51" w:rsidP="008707A7">
            <w:pPr>
              <w:pStyle w:val="TableText0"/>
              <w:framePr w:wrap="around"/>
              <w:jc w:val="center"/>
            </w:pPr>
            <w:r w:rsidRPr="00006FCB">
              <w:t>62 (81.6%)</w:t>
            </w:r>
          </w:p>
        </w:tc>
      </w:tr>
      <w:tr w:rsidR="00CC3D51" w:rsidRPr="00006FCB" w14:paraId="43CFCE2D" w14:textId="77777777" w:rsidTr="003A5A53">
        <w:tc>
          <w:tcPr>
            <w:tcW w:w="1195" w:type="pct"/>
          </w:tcPr>
          <w:p w14:paraId="6DD407B8" w14:textId="75CF07D3" w:rsidR="004A2C65" w:rsidRPr="00006FCB" w:rsidRDefault="00CC3D51" w:rsidP="003A5A53">
            <w:pPr>
              <w:pStyle w:val="TableText0"/>
              <w:framePr w:wrap="around"/>
              <w:rPr>
                <w:b/>
              </w:rPr>
            </w:pPr>
            <w:r w:rsidRPr="00006FCB">
              <w:t>Independence from active vitamin D</w:t>
            </w:r>
            <w:r w:rsidR="003A5A53" w:rsidRPr="00006FCB">
              <w:t xml:space="preserve">, </w:t>
            </w:r>
            <w:r w:rsidR="004A2C65" w:rsidRPr="00006FCB">
              <w:t>n (%)</w:t>
            </w:r>
          </w:p>
        </w:tc>
        <w:tc>
          <w:tcPr>
            <w:tcW w:w="732" w:type="pct"/>
            <w:vAlign w:val="center"/>
          </w:tcPr>
          <w:p w14:paraId="7A39053E" w14:textId="77777777" w:rsidR="00CC3D51" w:rsidRPr="00006FCB" w:rsidRDefault="00CC3D51" w:rsidP="008707A7">
            <w:pPr>
              <w:pStyle w:val="TableText0"/>
              <w:framePr w:wrap="around"/>
              <w:jc w:val="center"/>
            </w:pPr>
            <w:r w:rsidRPr="00006FCB">
              <w:t xml:space="preserve">60 (98.3%) </w:t>
            </w:r>
            <w:r w:rsidRPr="00006FCB">
              <w:rPr>
                <w:vertAlign w:val="superscript"/>
              </w:rPr>
              <w:t>a</w:t>
            </w:r>
          </w:p>
        </w:tc>
        <w:tc>
          <w:tcPr>
            <w:tcW w:w="666" w:type="pct"/>
            <w:vAlign w:val="center"/>
          </w:tcPr>
          <w:p w14:paraId="788B0ED6" w14:textId="77777777" w:rsidR="00CC3D51" w:rsidRPr="00006FCB" w:rsidRDefault="00CC3D51" w:rsidP="008707A7">
            <w:pPr>
              <w:pStyle w:val="TableText0"/>
              <w:framePr w:wrap="around"/>
              <w:jc w:val="center"/>
            </w:pPr>
            <w:r w:rsidRPr="00006FCB">
              <w:t>5 (23.8%)</w:t>
            </w:r>
          </w:p>
        </w:tc>
        <w:tc>
          <w:tcPr>
            <w:tcW w:w="733" w:type="pct"/>
            <w:vAlign w:val="center"/>
          </w:tcPr>
          <w:p w14:paraId="09C51691" w14:textId="77777777" w:rsidR="00CC3D51" w:rsidRPr="00006FCB" w:rsidRDefault="00CC3D51" w:rsidP="008707A7">
            <w:pPr>
              <w:pStyle w:val="TableText0"/>
              <w:framePr w:wrap="around"/>
              <w:jc w:val="center"/>
            </w:pPr>
            <w:r w:rsidRPr="00006FCB">
              <w:t>59 (100%)</w:t>
            </w:r>
          </w:p>
        </w:tc>
        <w:tc>
          <w:tcPr>
            <w:tcW w:w="733" w:type="pct"/>
            <w:vAlign w:val="center"/>
          </w:tcPr>
          <w:p w14:paraId="68FF5EAA" w14:textId="77777777" w:rsidR="00CC3D51" w:rsidRPr="00006FCB" w:rsidRDefault="00CC3D51" w:rsidP="008707A7">
            <w:pPr>
              <w:pStyle w:val="TableText0"/>
              <w:framePr w:wrap="around"/>
              <w:jc w:val="center"/>
            </w:pPr>
            <w:r w:rsidRPr="00006FCB">
              <w:t>19 (100%)</w:t>
            </w:r>
          </w:p>
        </w:tc>
        <w:tc>
          <w:tcPr>
            <w:tcW w:w="941" w:type="pct"/>
            <w:vAlign w:val="center"/>
          </w:tcPr>
          <w:p w14:paraId="27DF7D1F" w14:textId="77777777" w:rsidR="00CC3D51" w:rsidRPr="00006FCB" w:rsidRDefault="00CC3D51" w:rsidP="008707A7">
            <w:pPr>
              <w:pStyle w:val="TableText0"/>
              <w:framePr w:wrap="around"/>
              <w:jc w:val="center"/>
            </w:pPr>
            <w:r w:rsidRPr="00006FCB">
              <w:t>76 (100%)</w:t>
            </w:r>
          </w:p>
        </w:tc>
      </w:tr>
      <w:tr w:rsidR="00CC3D51" w:rsidRPr="00006FCB" w14:paraId="566E8625" w14:textId="77777777" w:rsidTr="003A5A53">
        <w:tc>
          <w:tcPr>
            <w:tcW w:w="1195" w:type="pct"/>
          </w:tcPr>
          <w:p w14:paraId="16256BDE" w14:textId="2DED38C8" w:rsidR="004A2C65" w:rsidRPr="00006FCB" w:rsidRDefault="00CC3D51" w:rsidP="003A5A53">
            <w:pPr>
              <w:pStyle w:val="TableText0"/>
              <w:framePr w:wrap="around"/>
              <w:rPr>
                <w:b/>
              </w:rPr>
            </w:pPr>
            <w:r w:rsidRPr="00006FCB">
              <w:t>Independence from therapeutic doses of calcium</w:t>
            </w:r>
            <w:r w:rsidR="003A5A53" w:rsidRPr="00006FCB">
              <w:t xml:space="preserve">, </w:t>
            </w:r>
            <w:r w:rsidR="004A2C65" w:rsidRPr="00006FCB">
              <w:t>n (%)</w:t>
            </w:r>
          </w:p>
        </w:tc>
        <w:tc>
          <w:tcPr>
            <w:tcW w:w="732" w:type="pct"/>
            <w:vAlign w:val="center"/>
          </w:tcPr>
          <w:p w14:paraId="34A7DD1F" w14:textId="77777777" w:rsidR="00CC3D51" w:rsidRPr="00006FCB" w:rsidRDefault="00CC3D51" w:rsidP="008707A7">
            <w:pPr>
              <w:pStyle w:val="TableText0"/>
              <w:framePr w:wrap="around"/>
              <w:jc w:val="center"/>
            </w:pPr>
            <w:r w:rsidRPr="00006FCB">
              <w:t>57 (93.4%)</w:t>
            </w:r>
          </w:p>
        </w:tc>
        <w:tc>
          <w:tcPr>
            <w:tcW w:w="666" w:type="pct"/>
            <w:vAlign w:val="center"/>
          </w:tcPr>
          <w:p w14:paraId="26DAADF4" w14:textId="77777777" w:rsidR="00CC3D51" w:rsidRPr="00006FCB" w:rsidRDefault="00CC3D51" w:rsidP="008707A7">
            <w:pPr>
              <w:pStyle w:val="TableText0"/>
              <w:framePr w:wrap="around"/>
              <w:jc w:val="center"/>
            </w:pPr>
            <w:r w:rsidRPr="00006FCB">
              <w:t>1 (4.8%)</w:t>
            </w:r>
          </w:p>
        </w:tc>
        <w:tc>
          <w:tcPr>
            <w:tcW w:w="733" w:type="pct"/>
            <w:vAlign w:val="center"/>
          </w:tcPr>
          <w:p w14:paraId="2E502C41" w14:textId="77777777" w:rsidR="00CC3D51" w:rsidRPr="00006FCB" w:rsidRDefault="00CC3D51" w:rsidP="008707A7">
            <w:pPr>
              <w:pStyle w:val="TableText0"/>
              <w:framePr w:wrap="around"/>
              <w:jc w:val="center"/>
            </w:pPr>
            <w:r w:rsidRPr="00006FCB">
              <w:t>57 (96.6%)</w:t>
            </w:r>
          </w:p>
        </w:tc>
        <w:tc>
          <w:tcPr>
            <w:tcW w:w="733" w:type="pct"/>
            <w:vAlign w:val="center"/>
          </w:tcPr>
          <w:p w14:paraId="54BE7F72" w14:textId="77777777" w:rsidR="00CC3D51" w:rsidRPr="00006FCB" w:rsidRDefault="00CC3D51" w:rsidP="008707A7">
            <w:pPr>
              <w:pStyle w:val="TableText0"/>
              <w:framePr w:wrap="around"/>
              <w:jc w:val="center"/>
            </w:pPr>
            <w:r w:rsidRPr="00006FCB">
              <w:t>17 (89.5%)</w:t>
            </w:r>
          </w:p>
        </w:tc>
        <w:tc>
          <w:tcPr>
            <w:tcW w:w="941" w:type="pct"/>
            <w:vAlign w:val="center"/>
          </w:tcPr>
          <w:p w14:paraId="2B2C1D58" w14:textId="77777777" w:rsidR="00CC3D51" w:rsidRPr="00006FCB" w:rsidRDefault="00CC3D51" w:rsidP="008707A7">
            <w:pPr>
              <w:pStyle w:val="TableText0"/>
              <w:framePr w:wrap="around"/>
              <w:jc w:val="center"/>
            </w:pPr>
            <w:r w:rsidRPr="00006FCB">
              <w:t>74 (97.4%)</w:t>
            </w:r>
          </w:p>
        </w:tc>
      </w:tr>
      <w:tr w:rsidR="00345E5F" w:rsidRPr="00006FCB" w14:paraId="0FF61739" w14:textId="77777777" w:rsidTr="00345E5F">
        <w:tc>
          <w:tcPr>
            <w:tcW w:w="1195" w:type="pct"/>
          </w:tcPr>
          <w:p w14:paraId="691D16BA" w14:textId="7C45CD2A" w:rsidR="00345E5F" w:rsidRPr="00006FCB" w:rsidRDefault="00345E5F" w:rsidP="003A5A53">
            <w:pPr>
              <w:pStyle w:val="TableText0"/>
              <w:framePr w:wrap="around"/>
              <w:rPr>
                <w:b/>
              </w:rPr>
            </w:pPr>
            <w:r w:rsidRPr="00006FCB">
              <w:t>No increase in prescribed study drug, n (%)</w:t>
            </w:r>
          </w:p>
        </w:tc>
        <w:tc>
          <w:tcPr>
            <w:tcW w:w="732" w:type="pct"/>
            <w:vAlign w:val="center"/>
          </w:tcPr>
          <w:p w14:paraId="1BFDBCE2" w14:textId="77777777" w:rsidR="00345E5F" w:rsidRPr="00006FCB" w:rsidRDefault="00345E5F" w:rsidP="008707A7">
            <w:pPr>
              <w:pStyle w:val="TableText0"/>
              <w:framePr w:wrap="around"/>
              <w:jc w:val="center"/>
            </w:pPr>
            <w:r w:rsidRPr="00006FCB">
              <w:t>57 (93.4%)</w:t>
            </w:r>
          </w:p>
        </w:tc>
        <w:tc>
          <w:tcPr>
            <w:tcW w:w="666" w:type="pct"/>
            <w:vAlign w:val="center"/>
          </w:tcPr>
          <w:p w14:paraId="7043DF5F" w14:textId="77777777" w:rsidR="00345E5F" w:rsidRPr="00006FCB" w:rsidRDefault="00345E5F" w:rsidP="008707A7">
            <w:pPr>
              <w:pStyle w:val="TableText0"/>
              <w:framePr w:wrap="around"/>
              <w:jc w:val="center"/>
            </w:pPr>
            <w:r w:rsidRPr="00006FCB">
              <w:t>12 (57.1%)</w:t>
            </w:r>
          </w:p>
        </w:tc>
        <w:tc>
          <w:tcPr>
            <w:tcW w:w="733" w:type="pct"/>
            <w:vAlign w:val="center"/>
          </w:tcPr>
          <w:p w14:paraId="76DD4555" w14:textId="45D64AA3" w:rsidR="00345E5F" w:rsidRPr="00006FCB" w:rsidRDefault="00345E5F" w:rsidP="008707A7">
            <w:pPr>
              <w:pStyle w:val="TableText0"/>
              <w:framePr w:wrap="around"/>
              <w:jc w:val="center"/>
            </w:pPr>
            <w:r w:rsidRPr="00006FCB">
              <w:t>NR</w:t>
            </w:r>
          </w:p>
        </w:tc>
        <w:tc>
          <w:tcPr>
            <w:tcW w:w="733" w:type="pct"/>
            <w:vAlign w:val="center"/>
          </w:tcPr>
          <w:p w14:paraId="21B9B79B" w14:textId="419BAF1F" w:rsidR="00345E5F" w:rsidRPr="00006FCB" w:rsidRDefault="00345E5F" w:rsidP="008707A7">
            <w:pPr>
              <w:pStyle w:val="TableText0"/>
              <w:framePr w:wrap="around"/>
              <w:jc w:val="center"/>
            </w:pPr>
            <w:r w:rsidRPr="00006FCB">
              <w:t>NR</w:t>
            </w:r>
          </w:p>
        </w:tc>
        <w:tc>
          <w:tcPr>
            <w:tcW w:w="941" w:type="pct"/>
            <w:vAlign w:val="center"/>
          </w:tcPr>
          <w:p w14:paraId="6E06A508" w14:textId="7AFE6995" w:rsidR="00345E5F" w:rsidRPr="00006FCB" w:rsidRDefault="00345E5F" w:rsidP="00345E5F">
            <w:pPr>
              <w:pStyle w:val="TableText0"/>
              <w:framePr w:wrap="around"/>
              <w:jc w:val="center"/>
            </w:pPr>
            <w:r w:rsidRPr="00006FCB">
              <w:t>NR</w:t>
            </w:r>
          </w:p>
        </w:tc>
      </w:tr>
    </w:tbl>
    <w:p w14:paraId="6EE5AE29" w14:textId="1603597A" w:rsidR="00CC3D51" w:rsidRPr="00006FCB" w:rsidRDefault="00CC3D51" w:rsidP="00CC3D51">
      <w:pPr>
        <w:pStyle w:val="FooterTableFigure"/>
        <w:rPr>
          <w:sz w:val="20"/>
        </w:rPr>
      </w:pPr>
      <w:r w:rsidRPr="00006FCB">
        <w:t>Source: Table 25</w:t>
      </w:r>
      <w:r w:rsidR="00862444" w:rsidRPr="00006FCB">
        <w:t>,</w:t>
      </w:r>
      <w:r w:rsidRPr="00006FCB">
        <w:t xml:space="preserve"> p61 of the submission.</w:t>
      </w:r>
    </w:p>
    <w:p w14:paraId="7C574D88" w14:textId="3D52BC55" w:rsidR="00CC3D51" w:rsidRPr="00006FCB" w:rsidRDefault="00CC3D51" w:rsidP="4D2BAA30">
      <w:pPr>
        <w:pStyle w:val="FooterTableFigure"/>
        <w:rPr>
          <w:rFonts w:eastAsia="Calibri"/>
        </w:rPr>
      </w:pPr>
      <w:r w:rsidRPr="4D2BAA30">
        <w:rPr>
          <w:rFonts w:eastAsia="Calibri"/>
        </w:rPr>
        <w:t>CI = confidence interval</w:t>
      </w:r>
      <w:r w:rsidR="005D7AE0" w:rsidRPr="4D2BAA30">
        <w:rPr>
          <w:rFonts w:eastAsia="Calibri"/>
        </w:rPr>
        <w:t>,</w:t>
      </w:r>
      <w:r w:rsidRPr="4D2BAA30">
        <w:rPr>
          <w:rFonts w:eastAsia="Calibri"/>
        </w:rPr>
        <w:t xml:space="preserve"> </w:t>
      </w:r>
      <w:r w:rsidR="00D64984" w:rsidRPr="4D2BAA30">
        <w:rPr>
          <w:rFonts w:eastAsia="Calibri"/>
        </w:rPr>
        <w:t>ITT = intention to treat,</w:t>
      </w:r>
      <w:r w:rsidR="001A536E" w:rsidRPr="4D2BAA30">
        <w:rPr>
          <w:rFonts w:eastAsia="Calibri"/>
        </w:rPr>
        <w:t xml:space="preserve"> n = number of participants with event, </w:t>
      </w:r>
      <w:r w:rsidRPr="4D2BAA30">
        <w:rPr>
          <w:rFonts w:eastAsia="Calibri"/>
        </w:rPr>
        <w:t xml:space="preserve">N = total participants in group, </w:t>
      </w:r>
      <w:r w:rsidR="00D64984" w:rsidRPr="4D2BAA30">
        <w:rPr>
          <w:rFonts w:eastAsia="Calibri"/>
        </w:rPr>
        <w:t xml:space="preserve">NR = not reported, </w:t>
      </w:r>
      <w:r w:rsidRPr="4D2BAA30">
        <w:rPr>
          <w:rFonts w:eastAsia="Calibri"/>
        </w:rPr>
        <w:t>OLE = open-label extension</w:t>
      </w:r>
      <w:r w:rsidR="005D7AE0" w:rsidRPr="4D2BAA30">
        <w:rPr>
          <w:rFonts w:eastAsia="Calibri"/>
        </w:rPr>
        <w:t>,</w:t>
      </w:r>
      <w:r w:rsidRPr="4D2BAA30">
        <w:rPr>
          <w:rFonts w:eastAsia="Calibri"/>
        </w:rPr>
        <w:t xml:space="preserve"> PBO = placebo, PPT = palopegteriparatide.</w:t>
      </w:r>
    </w:p>
    <w:p w14:paraId="3C465750" w14:textId="690BDB05" w:rsidR="00CC3D51" w:rsidRPr="00006FCB" w:rsidRDefault="094AC8D7" w:rsidP="383E5602">
      <w:pPr>
        <w:pStyle w:val="FooterTableFigure"/>
        <w:rPr>
          <w:rFonts w:eastAsia="Calibri"/>
        </w:rPr>
      </w:pPr>
      <w:proofErr w:type="spellStart"/>
      <w:proofErr w:type="gramStart"/>
      <w:r w:rsidRPr="383E5602">
        <w:rPr>
          <w:rFonts w:eastAsia="Calibri"/>
          <w:vertAlign w:val="superscript"/>
        </w:rPr>
        <w:t>a</w:t>
      </w:r>
      <w:proofErr w:type="spellEnd"/>
      <w:r w:rsidR="4D72FECA" w:rsidRPr="383E5602">
        <w:t xml:space="preserve"> </w:t>
      </w:r>
      <w:r w:rsidR="284F3E4D" w:rsidRPr="383E5602">
        <w:t>t</w:t>
      </w:r>
      <w:r w:rsidR="4D72FECA" w:rsidRPr="383E5602">
        <w:rPr>
          <w:rFonts w:eastAsia="Calibri"/>
        </w:rPr>
        <w:t>he</w:t>
      </w:r>
      <w:proofErr w:type="gramEnd"/>
      <w:r w:rsidR="4D72FECA" w:rsidRPr="383E5602">
        <w:rPr>
          <w:rFonts w:eastAsia="Calibri"/>
        </w:rPr>
        <w:t xml:space="preserve"> remaining 1 patient achieved independence from vitamin D at Week 8 but died thereafter from a cardiac arrest that was deemed unrelated to study drug by the investigator.</w:t>
      </w:r>
    </w:p>
    <w:p w14:paraId="32227D1B" w14:textId="6A8825B5" w:rsidR="00E332D3" w:rsidRPr="00006FCB" w:rsidRDefault="31217C72" w:rsidP="383E5602">
      <w:pPr>
        <w:pStyle w:val="FooterTableFigure"/>
        <w:rPr>
          <w:rFonts w:eastAsia="Calibri"/>
          <w:vertAlign w:val="superscript"/>
        </w:rPr>
      </w:pPr>
      <w:r w:rsidRPr="383E5602">
        <w:rPr>
          <w:rFonts w:eastAsia="Calibri"/>
          <w:b/>
          <w:bCs/>
        </w:rPr>
        <w:t>Bold</w:t>
      </w:r>
      <w:r w:rsidRPr="383E5602">
        <w:rPr>
          <w:rFonts w:eastAsia="Calibri"/>
        </w:rPr>
        <w:t xml:space="preserve"> represents a significant result.</w:t>
      </w:r>
    </w:p>
    <w:p w14:paraId="2447A2E6" w14:textId="609DA172" w:rsidR="00AE152F" w:rsidRPr="00006FCB" w:rsidRDefault="7CD715DF" w:rsidP="00AE152F">
      <w:pPr>
        <w:pStyle w:val="3-BodyText"/>
      </w:pPr>
      <w:r w:rsidRPr="383E5602">
        <w:t xml:space="preserve">At the end of the 26-week blinded period, more patients in the palopegteriparatide arm met the multicomponent primary outcome, as well as each individual criteria within it, when compared to the comparator arm. As patients in the placebo arm switched to palopegteriparatide in the OLE, at 52 weeks the proportion of patients who achieved the primary outcome, and each individual criterion within it, increased. Results for the primary outcome were not presented at the 104-week OLE </w:t>
      </w:r>
      <w:r w:rsidR="7B5E1B6F" w:rsidRPr="383E5602">
        <w:t>time point</w:t>
      </w:r>
      <w:r w:rsidRPr="383E5602">
        <w:t>. However, all patients achieved independence from vitamin D and the majority of patients reported albumin-adjusted serum calcium within normal range and independence from therapeutic doses of calcium.</w:t>
      </w:r>
    </w:p>
    <w:p w14:paraId="2AC66587" w14:textId="0D256E2C" w:rsidR="00D60B3E" w:rsidRPr="00151020" w:rsidRDefault="1E5F0261" w:rsidP="00D60B3E">
      <w:pPr>
        <w:pStyle w:val="3-BodyText"/>
      </w:pPr>
      <w:r w:rsidRPr="383E5602">
        <w:t xml:space="preserve">While the primary outcome in PaTHway demonstrates that patients can have their conventional therapy reduced when using palopegteriparatide, it </w:t>
      </w:r>
      <w:r w:rsidR="00AF53ED">
        <w:t>may</w:t>
      </w:r>
      <w:r w:rsidR="00AF53ED" w:rsidRPr="383E5602">
        <w:t xml:space="preserve"> </w:t>
      </w:r>
      <w:r w:rsidRPr="383E5602">
        <w:t xml:space="preserve">not inform a comparison of palopegteriparatide with standard of care. The primary outcome required patients to achieve independence from active vitamin D and therapeutic doses of calcium whilst maintaining a normal serum calcium; </w:t>
      </w:r>
      <w:r w:rsidR="62A48E0E" w:rsidRPr="003F6E84">
        <w:t xml:space="preserve">the ESC considered </w:t>
      </w:r>
      <w:r w:rsidRPr="003F6E84">
        <w:t>this was less likely t</w:t>
      </w:r>
      <w:r w:rsidRPr="383E5602">
        <w:t xml:space="preserve">o be accomplished in patients in the placebo arm, given they had their doses of calcium and vitamin D reduced (and dose of placebo increased) even in the presence of normal serum calcium, to maintain the double-blinded nature of the trial. While all patients in the placebo arm had normal serum calcium in a steady state at the start of the trial, over half (52.4%) had developed abnormally low serum calcium </w:t>
      </w:r>
      <w:r w:rsidRPr="00151020">
        <w:t>levels by Week 26</w:t>
      </w:r>
      <w:r w:rsidR="6359CDA4" w:rsidRPr="00151020">
        <w:t xml:space="preserve"> and the mean serum calcium level in the placebo population was 2.05 mmol/L, which was below the lower limit of normal</w:t>
      </w:r>
      <w:r w:rsidRPr="00151020">
        <w:t>. The primary outcome therefore favours the palopegteriparatide arm.</w:t>
      </w:r>
    </w:p>
    <w:p w14:paraId="6D1457F0" w14:textId="3BE9BD41" w:rsidR="004A2C65" w:rsidRPr="00006FCB" w:rsidRDefault="1E5F0261" w:rsidP="00D60B3E">
      <w:pPr>
        <w:pStyle w:val="3-BodyText"/>
      </w:pPr>
      <w:r w:rsidRPr="00151020">
        <w:t xml:space="preserve">The submission did not provide any longer-term evidence to suggest that achievement of this primary (surrogate) outcome would lead to improvements in long term complications of HPT such as renal function, </w:t>
      </w:r>
      <w:r w:rsidR="549D9B1D" w:rsidRPr="00151020">
        <w:t>although</w:t>
      </w:r>
      <w:r w:rsidRPr="00151020">
        <w:t xml:space="preserve"> the ESC </w:t>
      </w:r>
      <w:r w:rsidR="7594DFF3" w:rsidRPr="00151020">
        <w:t xml:space="preserve">did </w:t>
      </w:r>
      <w:r w:rsidRPr="00151020">
        <w:t xml:space="preserve">note that renal function (eGFR) improved at 26 weeks in the </w:t>
      </w:r>
      <w:r w:rsidR="2C3E9A98" w:rsidRPr="00151020">
        <w:t>palopegteriparatide</w:t>
      </w:r>
      <w:r w:rsidRPr="00151020">
        <w:t xml:space="preserve"> arm compared to the placebo arm. The submission referenced the RELAY trial which investigated the use of recombinant human parathyroid hormone (rh-PTH). In the RELAY trial the primary efficacy endpoint was reductions in calcium </w:t>
      </w:r>
      <w:r w:rsidR="6359CDA4" w:rsidRPr="00151020">
        <w:t xml:space="preserve">supplementation </w:t>
      </w:r>
      <w:r w:rsidRPr="00151020">
        <w:t>to ≤ 500 mg/day and in calcitriol to ≤ 0.25 mcg/day</w:t>
      </w:r>
      <w:r w:rsidR="007978D3">
        <w:t>,</w:t>
      </w:r>
      <w:r w:rsidRPr="00151020">
        <w:t xml:space="preserve"> while maintaining serum calcium levels between 1.875 mmol/L and the upper limit of normal. No further analysis or discussion regarding the surrogate endpoint was supplied. While there is a known link between HPT and CKD, the exact mechanism is not </w:t>
      </w:r>
      <w:r w:rsidR="005900B1" w:rsidRPr="00151020">
        <w:t>clear but</w:t>
      </w:r>
      <w:r w:rsidRPr="00151020">
        <w:t xml:space="preserve"> likely related to the formation of calcium crystals in the nephrons (nephrolithiasis and nephrocalcinosis). The submission stated that prolonged use of calcium and active vitamin D may additionally increase the risk of hypercalciuria, renal stones, renal calcinosis, impaired renal function and ectopic soft tissue calcification</w:t>
      </w:r>
      <w:r w:rsidR="00D60B3E" w:rsidRPr="00151020">
        <w:rPr>
          <w:rStyle w:val="FootnoteReference"/>
        </w:rPr>
        <w:footnoteReference w:id="4"/>
      </w:r>
      <w:r w:rsidRPr="00151020">
        <w:t xml:space="preserve">. However, the submission did not describe the biological relationship between the primary outcome and any long-term clinical outcome, as per Appendix 5 of the PBAC Guidelines. </w:t>
      </w:r>
      <w:r w:rsidR="4A32AFFD" w:rsidRPr="00151020">
        <w:t>The ESC considered that w</w:t>
      </w:r>
      <w:r w:rsidRPr="00151020">
        <w:t>hile there exists a biological rationale for lowering urinary calcium in patients with kidney damage due to hypercalciuria to mitigate further kidney damage, whether that outcome can be achieved as a result of treatment with palopegteriparatide or conventional therapy was not made clear, noting thiazide diuretics are currently used in clinical practice to reduce urine calcium levels and protect kidney function in patients</w:t>
      </w:r>
      <w:r w:rsidRPr="383E5602">
        <w:t xml:space="preserve"> with HPT on conventional therapy.</w:t>
      </w:r>
    </w:p>
    <w:p w14:paraId="5BA7E6D2" w14:textId="6F711208" w:rsidR="00AE1FC8" w:rsidRPr="00006FCB" w:rsidRDefault="00CC3D51" w:rsidP="00AE1FC8">
      <w:pPr>
        <w:pStyle w:val="3-BodyText"/>
      </w:pPr>
      <w:r w:rsidRPr="00006FCB">
        <w:t xml:space="preserve">The results for </w:t>
      </w:r>
      <w:r w:rsidR="00E659EA" w:rsidRPr="00006FCB">
        <w:t xml:space="preserve">secondary </w:t>
      </w:r>
      <w:r w:rsidRPr="00006FCB">
        <w:t>endpoints are presented in</w:t>
      </w:r>
      <w:r w:rsidR="00AA2F7B" w:rsidRPr="00006FCB">
        <w:t xml:space="preserve"> </w:t>
      </w:r>
      <w:r w:rsidR="00AA2F7B" w:rsidRPr="00006FCB">
        <w:fldChar w:fldCharType="begin"/>
      </w:r>
      <w:r w:rsidR="00AA2F7B" w:rsidRPr="00006FCB">
        <w:instrText xml:space="preserve"> REF _Ref187753143 \h  \* MERGEFORMAT </w:instrText>
      </w:r>
      <w:r w:rsidR="00AA2F7B" w:rsidRPr="00006FCB">
        <w:fldChar w:fldCharType="separate"/>
      </w:r>
      <w:r w:rsidR="00DA35E4" w:rsidRPr="4D2BAA30">
        <w:t xml:space="preserve">Table </w:t>
      </w:r>
      <w:r w:rsidR="00DA35E4">
        <w:rPr>
          <w:noProof/>
        </w:rPr>
        <w:t>5</w:t>
      </w:r>
      <w:r w:rsidR="00AA2F7B" w:rsidRPr="00006FCB">
        <w:fldChar w:fldCharType="end"/>
      </w:r>
      <w:r w:rsidR="00AA2F7B" w:rsidRPr="00006FCB">
        <w:t>.</w:t>
      </w:r>
    </w:p>
    <w:p w14:paraId="5FFA53B7" w14:textId="40607637" w:rsidR="00CC3D51" w:rsidRPr="00006FCB" w:rsidRDefault="00CC3D51" w:rsidP="00AA2F7B">
      <w:pPr>
        <w:pStyle w:val="Caption"/>
      </w:pPr>
      <w:bookmarkStart w:id="28" w:name="_Ref184727072"/>
      <w:bookmarkStart w:id="29" w:name="_Ref187753143"/>
      <w:r w:rsidRPr="4D2BAA30">
        <w:t xml:space="preserve">Table </w:t>
      </w:r>
      <w:r w:rsidRPr="4D2BAA30">
        <w:fldChar w:fldCharType="begin"/>
      </w:r>
      <w:r>
        <w:instrText xml:space="preserve"> SEQ Table \* ARABIC </w:instrText>
      </w:r>
      <w:r w:rsidRPr="4D2BAA30">
        <w:fldChar w:fldCharType="separate"/>
      </w:r>
      <w:r w:rsidR="00DA35E4">
        <w:rPr>
          <w:noProof/>
        </w:rPr>
        <w:t>5</w:t>
      </w:r>
      <w:r w:rsidRPr="4D2BAA30">
        <w:rPr>
          <w:noProof/>
        </w:rPr>
        <w:fldChar w:fldCharType="end"/>
      </w:r>
      <w:bookmarkEnd w:id="28"/>
      <w:bookmarkEnd w:id="29"/>
      <w:r w:rsidRPr="4D2BAA30">
        <w:t>: Results of other secondary endpoints in PaTHway at Week 26 (ITT population)</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Results of other secondary endpoints in PaTHway at Week 26 (ITT population)"/>
      </w:tblPr>
      <w:tblGrid>
        <w:gridCol w:w="1511"/>
        <w:gridCol w:w="910"/>
        <w:gridCol w:w="910"/>
        <w:gridCol w:w="983"/>
        <w:gridCol w:w="961"/>
        <w:gridCol w:w="961"/>
        <w:gridCol w:w="961"/>
        <w:gridCol w:w="1086"/>
        <w:gridCol w:w="748"/>
      </w:tblGrid>
      <w:tr w:rsidR="009813C0" w:rsidRPr="00006FCB" w14:paraId="756BE262" w14:textId="77777777" w:rsidTr="4D2BAA30">
        <w:trPr>
          <w:tblHeader/>
        </w:trPr>
        <w:tc>
          <w:tcPr>
            <w:tcW w:w="837" w:type="pct"/>
            <w:vMerge w:val="restart"/>
            <w:tcMar>
              <w:left w:w="20" w:type="dxa"/>
              <w:right w:w="20" w:type="dxa"/>
            </w:tcMar>
            <w:vAlign w:val="center"/>
          </w:tcPr>
          <w:p w14:paraId="216A7530" w14:textId="46128239" w:rsidR="009813C0" w:rsidRPr="00006FCB" w:rsidRDefault="009813C0" w:rsidP="00AA2F7B">
            <w:pPr>
              <w:pStyle w:val="TableText0"/>
              <w:framePr w:hSpace="0" w:wrap="auto" w:vAnchor="margin" w:yAlign="inline"/>
              <w:suppressOverlap w:val="0"/>
            </w:pPr>
          </w:p>
        </w:tc>
        <w:tc>
          <w:tcPr>
            <w:tcW w:w="1552" w:type="pct"/>
            <w:gridSpan w:val="3"/>
            <w:tcMar>
              <w:left w:w="20" w:type="dxa"/>
              <w:right w:w="20" w:type="dxa"/>
            </w:tcMar>
            <w:vAlign w:val="center"/>
          </w:tcPr>
          <w:p w14:paraId="0C1E86E3" w14:textId="4D4C4B40" w:rsidR="009813C0" w:rsidRPr="00006FCB" w:rsidRDefault="009813C0" w:rsidP="4D2BAA30">
            <w:pPr>
              <w:pStyle w:val="TableText0"/>
              <w:framePr w:hSpace="0" w:wrap="auto" w:vAnchor="margin" w:yAlign="inline"/>
              <w:suppressOverlap w:val="0"/>
              <w:jc w:val="center"/>
              <w:rPr>
                <w:b/>
              </w:rPr>
            </w:pPr>
            <w:r w:rsidRPr="4D2BAA30">
              <w:rPr>
                <w:b/>
              </w:rPr>
              <w:t>Palopegteriparatide (N=61)</w:t>
            </w:r>
          </w:p>
        </w:tc>
        <w:tc>
          <w:tcPr>
            <w:tcW w:w="1596" w:type="pct"/>
            <w:gridSpan w:val="3"/>
            <w:tcMar>
              <w:left w:w="20" w:type="dxa"/>
              <w:right w:w="20" w:type="dxa"/>
            </w:tcMar>
            <w:vAlign w:val="center"/>
          </w:tcPr>
          <w:p w14:paraId="0A295AC8"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Placebo (N=21)</w:t>
            </w:r>
          </w:p>
        </w:tc>
        <w:tc>
          <w:tcPr>
            <w:tcW w:w="1015" w:type="pct"/>
            <w:gridSpan w:val="2"/>
            <w:vMerge w:val="restart"/>
            <w:tcMar>
              <w:left w:w="20" w:type="dxa"/>
              <w:right w:w="20" w:type="dxa"/>
            </w:tcMar>
            <w:vAlign w:val="center"/>
          </w:tcPr>
          <w:p w14:paraId="6F8C537D" w14:textId="77777777" w:rsidR="009813C0" w:rsidRPr="00006FCB" w:rsidRDefault="009813C0" w:rsidP="00AA2F7B">
            <w:pPr>
              <w:pStyle w:val="TableText0"/>
              <w:framePr w:hSpace="0" w:wrap="auto" w:vAnchor="margin" w:yAlign="inline"/>
              <w:suppressOverlap w:val="0"/>
              <w:jc w:val="center"/>
              <w:rPr>
                <w:b/>
                <w:bCs w:val="0"/>
              </w:rPr>
            </w:pPr>
          </w:p>
        </w:tc>
      </w:tr>
      <w:tr w:rsidR="009813C0" w:rsidRPr="00006FCB" w14:paraId="58F91F02" w14:textId="77777777" w:rsidTr="4D2BAA30">
        <w:tc>
          <w:tcPr>
            <w:tcW w:w="837" w:type="pct"/>
            <w:vMerge/>
            <w:tcMar>
              <w:left w:w="20" w:type="dxa"/>
              <w:right w:w="20" w:type="dxa"/>
            </w:tcMar>
            <w:vAlign w:val="center"/>
          </w:tcPr>
          <w:p w14:paraId="46D8D318" w14:textId="77777777" w:rsidR="009813C0" w:rsidRPr="00006FCB" w:rsidRDefault="009813C0" w:rsidP="00AA2F7B">
            <w:pPr>
              <w:pStyle w:val="TableText0"/>
              <w:framePr w:hSpace="0" w:wrap="auto" w:vAnchor="margin" w:yAlign="inline"/>
              <w:suppressOverlap w:val="0"/>
            </w:pPr>
          </w:p>
        </w:tc>
        <w:tc>
          <w:tcPr>
            <w:tcW w:w="504" w:type="pct"/>
            <w:tcMar>
              <w:left w:w="20" w:type="dxa"/>
              <w:right w:w="20" w:type="dxa"/>
            </w:tcMar>
            <w:vAlign w:val="center"/>
          </w:tcPr>
          <w:p w14:paraId="0727258D"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Baseline</w:t>
            </w:r>
          </w:p>
        </w:tc>
        <w:tc>
          <w:tcPr>
            <w:tcW w:w="504" w:type="pct"/>
            <w:tcMar>
              <w:left w:w="20" w:type="dxa"/>
              <w:right w:w="20" w:type="dxa"/>
            </w:tcMar>
            <w:vAlign w:val="center"/>
          </w:tcPr>
          <w:p w14:paraId="03D83FEF"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Week 26</w:t>
            </w:r>
          </w:p>
        </w:tc>
        <w:tc>
          <w:tcPr>
            <w:tcW w:w="544" w:type="pct"/>
            <w:tcMar>
              <w:left w:w="20" w:type="dxa"/>
              <w:right w:w="20" w:type="dxa"/>
            </w:tcMar>
            <w:vAlign w:val="center"/>
          </w:tcPr>
          <w:p w14:paraId="1A195FA9"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 xml:space="preserve">Change from baseline </w:t>
            </w:r>
            <w:r w:rsidRPr="00006FCB">
              <w:rPr>
                <w:b/>
                <w:bCs w:val="0"/>
                <w:vertAlign w:val="superscript"/>
              </w:rPr>
              <w:t>a</w:t>
            </w:r>
          </w:p>
        </w:tc>
        <w:tc>
          <w:tcPr>
            <w:tcW w:w="532" w:type="pct"/>
            <w:tcMar>
              <w:left w:w="20" w:type="dxa"/>
              <w:right w:w="20" w:type="dxa"/>
            </w:tcMar>
            <w:vAlign w:val="center"/>
          </w:tcPr>
          <w:p w14:paraId="5A7793D6"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Baseline</w:t>
            </w:r>
          </w:p>
        </w:tc>
        <w:tc>
          <w:tcPr>
            <w:tcW w:w="532" w:type="pct"/>
            <w:tcMar>
              <w:left w:w="20" w:type="dxa"/>
              <w:right w:w="20" w:type="dxa"/>
            </w:tcMar>
            <w:vAlign w:val="center"/>
          </w:tcPr>
          <w:p w14:paraId="386F507C"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Week 26</w:t>
            </w:r>
          </w:p>
        </w:tc>
        <w:tc>
          <w:tcPr>
            <w:tcW w:w="532" w:type="pct"/>
            <w:tcMar>
              <w:left w:w="20" w:type="dxa"/>
              <w:right w:w="20" w:type="dxa"/>
            </w:tcMar>
            <w:vAlign w:val="center"/>
          </w:tcPr>
          <w:p w14:paraId="216F736D"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 xml:space="preserve">Change from baseline </w:t>
            </w:r>
            <w:r w:rsidRPr="00006FCB">
              <w:rPr>
                <w:b/>
                <w:bCs w:val="0"/>
                <w:vertAlign w:val="superscript"/>
              </w:rPr>
              <w:t>a</w:t>
            </w:r>
          </w:p>
        </w:tc>
        <w:tc>
          <w:tcPr>
            <w:tcW w:w="1015" w:type="pct"/>
            <w:gridSpan w:val="2"/>
            <w:vMerge/>
            <w:tcMar>
              <w:left w:w="20" w:type="dxa"/>
              <w:right w:w="20" w:type="dxa"/>
            </w:tcMar>
            <w:vAlign w:val="center"/>
          </w:tcPr>
          <w:p w14:paraId="19547AD6" w14:textId="77777777" w:rsidR="009813C0" w:rsidRPr="00006FCB" w:rsidRDefault="009813C0" w:rsidP="00AA2F7B">
            <w:pPr>
              <w:pStyle w:val="TableText0"/>
              <w:framePr w:hSpace="0" w:wrap="auto" w:vAnchor="margin" w:yAlign="inline"/>
              <w:suppressOverlap w:val="0"/>
              <w:jc w:val="center"/>
              <w:rPr>
                <w:b/>
                <w:bCs w:val="0"/>
              </w:rPr>
            </w:pPr>
          </w:p>
        </w:tc>
      </w:tr>
      <w:tr w:rsidR="00F13150" w:rsidRPr="00006FCB" w14:paraId="0B307708" w14:textId="77777777" w:rsidTr="4D2BAA30">
        <w:tc>
          <w:tcPr>
            <w:tcW w:w="837" w:type="pct"/>
            <w:vMerge/>
            <w:tcMar>
              <w:left w:w="20" w:type="dxa"/>
              <w:right w:w="20" w:type="dxa"/>
            </w:tcMar>
            <w:vAlign w:val="center"/>
          </w:tcPr>
          <w:p w14:paraId="68278390" w14:textId="77777777" w:rsidR="009813C0" w:rsidRPr="00006FCB" w:rsidRDefault="009813C0" w:rsidP="00AA2F7B">
            <w:pPr>
              <w:pStyle w:val="TableText0"/>
              <w:framePr w:hSpace="0" w:wrap="auto" w:vAnchor="margin" w:yAlign="inline"/>
              <w:suppressOverlap w:val="0"/>
            </w:pPr>
          </w:p>
        </w:tc>
        <w:tc>
          <w:tcPr>
            <w:tcW w:w="504" w:type="pct"/>
            <w:tcMar>
              <w:left w:w="20" w:type="dxa"/>
              <w:right w:w="20" w:type="dxa"/>
            </w:tcMar>
            <w:vAlign w:val="center"/>
          </w:tcPr>
          <w:p w14:paraId="4EEF2479"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Mean (SD)</w:t>
            </w:r>
          </w:p>
        </w:tc>
        <w:tc>
          <w:tcPr>
            <w:tcW w:w="504" w:type="pct"/>
            <w:tcMar>
              <w:left w:w="20" w:type="dxa"/>
              <w:right w:w="20" w:type="dxa"/>
            </w:tcMar>
            <w:vAlign w:val="center"/>
          </w:tcPr>
          <w:p w14:paraId="475704C8"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Mean (SD)</w:t>
            </w:r>
          </w:p>
        </w:tc>
        <w:tc>
          <w:tcPr>
            <w:tcW w:w="544" w:type="pct"/>
            <w:tcMar>
              <w:left w:w="20" w:type="dxa"/>
              <w:right w:w="20" w:type="dxa"/>
            </w:tcMar>
            <w:vAlign w:val="center"/>
          </w:tcPr>
          <w:p w14:paraId="129EC21F" w14:textId="1B36AB79" w:rsidR="009813C0" w:rsidRPr="00006FCB" w:rsidRDefault="009813C0" w:rsidP="00AA2F7B">
            <w:pPr>
              <w:pStyle w:val="TableText0"/>
              <w:framePr w:hSpace="0" w:wrap="auto" w:vAnchor="margin" w:yAlign="inline"/>
              <w:suppressOverlap w:val="0"/>
              <w:jc w:val="center"/>
              <w:rPr>
                <w:b/>
                <w:bCs w:val="0"/>
              </w:rPr>
            </w:pPr>
            <w:r w:rsidRPr="00006FCB">
              <w:rPr>
                <w:b/>
                <w:bCs w:val="0"/>
              </w:rPr>
              <w:t>LS mean (SE)</w:t>
            </w:r>
          </w:p>
        </w:tc>
        <w:tc>
          <w:tcPr>
            <w:tcW w:w="532" w:type="pct"/>
            <w:tcMar>
              <w:left w:w="20" w:type="dxa"/>
              <w:right w:w="20" w:type="dxa"/>
            </w:tcMar>
            <w:vAlign w:val="center"/>
          </w:tcPr>
          <w:p w14:paraId="6F89DCED"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Mean (SD)</w:t>
            </w:r>
          </w:p>
        </w:tc>
        <w:tc>
          <w:tcPr>
            <w:tcW w:w="532" w:type="pct"/>
            <w:tcMar>
              <w:left w:w="20" w:type="dxa"/>
              <w:right w:w="20" w:type="dxa"/>
            </w:tcMar>
            <w:vAlign w:val="center"/>
          </w:tcPr>
          <w:p w14:paraId="16ED5CBF"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Mean (SD)</w:t>
            </w:r>
          </w:p>
        </w:tc>
        <w:tc>
          <w:tcPr>
            <w:tcW w:w="532" w:type="pct"/>
            <w:tcMar>
              <w:left w:w="20" w:type="dxa"/>
              <w:right w:w="20" w:type="dxa"/>
            </w:tcMar>
            <w:vAlign w:val="center"/>
          </w:tcPr>
          <w:p w14:paraId="7ED95C9B" w14:textId="67FA7C6C" w:rsidR="009813C0" w:rsidRPr="00006FCB" w:rsidRDefault="009813C0" w:rsidP="00AA2F7B">
            <w:pPr>
              <w:pStyle w:val="TableText0"/>
              <w:framePr w:hSpace="0" w:wrap="auto" w:vAnchor="margin" w:yAlign="inline"/>
              <w:suppressOverlap w:val="0"/>
              <w:jc w:val="center"/>
              <w:rPr>
                <w:b/>
                <w:bCs w:val="0"/>
              </w:rPr>
            </w:pPr>
            <w:r w:rsidRPr="00006FCB">
              <w:rPr>
                <w:b/>
                <w:bCs w:val="0"/>
              </w:rPr>
              <w:t>LS mean (SE)</w:t>
            </w:r>
          </w:p>
        </w:tc>
        <w:tc>
          <w:tcPr>
            <w:tcW w:w="601" w:type="pct"/>
            <w:tcMar>
              <w:left w:w="20" w:type="dxa"/>
              <w:right w:w="20" w:type="dxa"/>
            </w:tcMar>
            <w:vAlign w:val="center"/>
          </w:tcPr>
          <w:p w14:paraId="73C2A3F6" w14:textId="308C019C" w:rsidR="009813C0" w:rsidRPr="00006FCB" w:rsidRDefault="009813C0" w:rsidP="00AA2F7B">
            <w:pPr>
              <w:pStyle w:val="TableText0"/>
              <w:framePr w:hSpace="0" w:wrap="auto" w:vAnchor="margin" w:yAlign="inline"/>
              <w:suppressOverlap w:val="0"/>
              <w:jc w:val="center"/>
              <w:rPr>
                <w:b/>
                <w:bCs w:val="0"/>
              </w:rPr>
            </w:pPr>
            <w:r w:rsidRPr="00006FCB">
              <w:rPr>
                <w:b/>
                <w:bCs w:val="0"/>
              </w:rPr>
              <w:t xml:space="preserve">Difference in LS means </w:t>
            </w:r>
          </w:p>
          <w:p w14:paraId="0D1905BD"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(95% CI)</w:t>
            </w:r>
          </w:p>
        </w:tc>
        <w:tc>
          <w:tcPr>
            <w:tcW w:w="414" w:type="pct"/>
            <w:tcMar>
              <w:left w:w="20" w:type="dxa"/>
              <w:right w:w="20" w:type="dxa"/>
            </w:tcMar>
            <w:vAlign w:val="center"/>
          </w:tcPr>
          <w:p w14:paraId="13FDD065" w14:textId="77777777" w:rsidR="009813C0" w:rsidRPr="00006FCB" w:rsidRDefault="009813C0" w:rsidP="00AA2F7B">
            <w:pPr>
              <w:pStyle w:val="TableText0"/>
              <w:framePr w:hSpace="0" w:wrap="auto" w:vAnchor="margin" w:yAlign="inline"/>
              <w:suppressOverlap w:val="0"/>
              <w:jc w:val="center"/>
              <w:rPr>
                <w:b/>
                <w:bCs w:val="0"/>
              </w:rPr>
            </w:pPr>
            <w:r w:rsidRPr="00006FCB">
              <w:rPr>
                <w:b/>
                <w:bCs w:val="0"/>
              </w:rPr>
              <w:t>P-value (PPT vs PBO)</w:t>
            </w:r>
          </w:p>
        </w:tc>
      </w:tr>
      <w:tr w:rsidR="00F13150" w:rsidRPr="00006FCB" w14:paraId="2A7AB0D8" w14:textId="77777777" w:rsidTr="4D2BAA30">
        <w:tc>
          <w:tcPr>
            <w:tcW w:w="837" w:type="pct"/>
            <w:tcMar>
              <w:left w:w="20" w:type="dxa"/>
              <w:right w:w="20" w:type="dxa"/>
            </w:tcMar>
            <w:vAlign w:val="center"/>
          </w:tcPr>
          <w:p w14:paraId="5D531431" w14:textId="77777777" w:rsidR="00CC3D51" w:rsidRPr="00006FCB" w:rsidRDefault="00CC3D51" w:rsidP="00AA2F7B">
            <w:pPr>
              <w:pStyle w:val="TableText0"/>
              <w:framePr w:hSpace="0" w:wrap="auto" w:vAnchor="margin" w:yAlign="inline"/>
              <w:suppressOverlap w:val="0"/>
              <w:rPr>
                <w:b/>
              </w:rPr>
            </w:pPr>
            <w:r w:rsidRPr="00006FCB">
              <w:t>Calcium (mg) dose</w:t>
            </w:r>
          </w:p>
        </w:tc>
        <w:tc>
          <w:tcPr>
            <w:tcW w:w="504" w:type="pct"/>
            <w:tcMar>
              <w:left w:w="20" w:type="dxa"/>
              <w:right w:w="20" w:type="dxa"/>
            </w:tcMar>
            <w:vAlign w:val="center"/>
          </w:tcPr>
          <w:p w14:paraId="7F71749F" w14:textId="77777777" w:rsidR="00F13150" w:rsidRPr="00006FCB" w:rsidRDefault="00CC3D51" w:rsidP="00AA2F7B">
            <w:pPr>
              <w:pStyle w:val="TableText0"/>
              <w:framePr w:hSpace="0" w:wrap="auto" w:vAnchor="margin" w:yAlign="inline"/>
              <w:suppressOverlap w:val="0"/>
              <w:jc w:val="center"/>
            </w:pPr>
            <w:r w:rsidRPr="00006FCB">
              <w:t xml:space="preserve">1,748 </w:t>
            </w:r>
          </w:p>
          <w:p w14:paraId="573A9509" w14:textId="1F50F270" w:rsidR="00CC3D51" w:rsidRPr="00006FCB" w:rsidRDefault="00CC3D51" w:rsidP="00AA2F7B">
            <w:pPr>
              <w:pStyle w:val="TableText0"/>
              <w:framePr w:hSpace="0" w:wrap="auto" w:vAnchor="margin" w:yAlign="inline"/>
              <w:suppressOverlap w:val="0"/>
              <w:jc w:val="center"/>
              <w:rPr>
                <w:b/>
              </w:rPr>
            </w:pPr>
            <w:r w:rsidRPr="00006FCB">
              <w:t>(90</w:t>
            </w:r>
            <w:r w:rsidR="00A2644B" w:rsidRPr="00006FCB">
              <w:t>4</w:t>
            </w:r>
            <w:r w:rsidRPr="00006FCB">
              <w:t>)</w:t>
            </w:r>
          </w:p>
        </w:tc>
        <w:tc>
          <w:tcPr>
            <w:tcW w:w="504" w:type="pct"/>
            <w:tcMar>
              <w:left w:w="20" w:type="dxa"/>
              <w:right w:w="20" w:type="dxa"/>
            </w:tcMar>
            <w:vAlign w:val="center"/>
          </w:tcPr>
          <w:p w14:paraId="1EE912F4" w14:textId="77777777" w:rsidR="00F13150" w:rsidRPr="00006FCB" w:rsidRDefault="00CC3D51" w:rsidP="00AA2F7B">
            <w:pPr>
              <w:pStyle w:val="TableText0"/>
              <w:framePr w:hSpace="0" w:wrap="auto" w:vAnchor="margin" w:yAlign="inline"/>
              <w:suppressOverlap w:val="0"/>
              <w:jc w:val="center"/>
              <w:rPr>
                <w:spacing w:val="-2"/>
              </w:rPr>
            </w:pPr>
            <w:r w:rsidRPr="00006FCB">
              <w:rPr>
                <w:spacing w:val="-2"/>
              </w:rPr>
              <w:t xml:space="preserve">274 </w:t>
            </w:r>
          </w:p>
          <w:p w14:paraId="7D74500F" w14:textId="3D591E38" w:rsidR="00CC3D51" w:rsidRPr="00006FCB" w:rsidRDefault="00CC3D51" w:rsidP="00AA2F7B">
            <w:pPr>
              <w:pStyle w:val="TableText0"/>
              <w:framePr w:hSpace="0" w:wrap="auto" w:vAnchor="margin" w:yAlign="inline"/>
              <w:suppressOverlap w:val="0"/>
              <w:jc w:val="center"/>
              <w:rPr>
                <w:b/>
              </w:rPr>
            </w:pPr>
            <w:r w:rsidRPr="00006FCB">
              <w:rPr>
                <w:spacing w:val="-2"/>
              </w:rPr>
              <w:t>(</w:t>
            </w:r>
            <w:r w:rsidRPr="00006FCB">
              <w:t>137</w:t>
            </w:r>
            <w:r w:rsidR="00A2644B" w:rsidRPr="00006FCB">
              <w:t>2</w:t>
            </w:r>
            <w:r w:rsidRPr="00006FCB">
              <w:t>)</w:t>
            </w:r>
          </w:p>
        </w:tc>
        <w:tc>
          <w:tcPr>
            <w:tcW w:w="544" w:type="pct"/>
            <w:tcMar>
              <w:left w:w="20" w:type="dxa"/>
              <w:right w:w="20" w:type="dxa"/>
            </w:tcMar>
            <w:vAlign w:val="center"/>
          </w:tcPr>
          <w:p w14:paraId="72304ED3" w14:textId="754B37EF" w:rsidR="00CC3D51" w:rsidRPr="00006FCB" w:rsidRDefault="006A33BA" w:rsidP="00AA2F7B">
            <w:pPr>
              <w:pStyle w:val="TableParagraph"/>
              <w:keepNext/>
              <w:widowControl/>
              <w:spacing w:line="227" w:lineRule="exact"/>
              <w:ind w:left="0"/>
              <w:jc w:val="center"/>
              <w:rPr>
                <w:bCs/>
                <w:sz w:val="20"/>
              </w:rPr>
            </w:pPr>
            <w:r w:rsidRPr="00006FCB">
              <w:rPr>
                <w:bCs/>
                <w:spacing w:val="-2"/>
                <w:sz w:val="20"/>
              </w:rPr>
              <w:t>-</w:t>
            </w:r>
            <w:r w:rsidR="00CC3D51" w:rsidRPr="00006FCB">
              <w:rPr>
                <w:bCs/>
                <w:spacing w:val="-2"/>
                <w:sz w:val="20"/>
              </w:rPr>
              <w:t>1,17</w:t>
            </w:r>
            <w:r w:rsidRPr="00006FCB">
              <w:rPr>
                <w:bCs/>
                <w:spacing w:val="-2"/>
                <w:sz w:val="20"/>
              </w:rPr>
              <w:t>7</w:t>
            </w:r>
          </w:p>
          <w:p w14:paraId="1C23D546" w14:textId="7DA97A6E" w:rsidR="00CC3D51" w:rsidRPr="00006FCB" w:rsidRDefault="00CC3D51" w:rsidP="00AA2F7B">
            <w:pPr>
              <w:pStyle w:val="TableText0"/>
              <w:framePr w:hSpace="0" w:wrap="auto" w:vAnchor="margin" w:yAlign="inline"/>
              <w:suppressOverlap w:val="0"/>
              <w:jc w:val="center"/>
              <w:rPr>
                <w:b/>
              </w:rPr>
            </w:pPr>
            <w:r w:rsidRPr="00006FCB">
              <w:t>(218)</w:t>
            </w:r>
          </w:p>
        </w:tc>
        <w:tc>
          <w:tcPr>
            <w:tcW w:w="532" w:type="pct"/>
            <w:tcMar>
              <w:left w:w="20" w:type="dxa"/>
              <w:right w:w="20" w:type="dxa"/>
            </w:tcMar>
            <w:vAlign w:val="center"/>
          </w:tcPr>
          <w:p w14:paraId="787D7870" w14:textId="77777777" w:rsidR="006D1465" w:rsidRPr="00006FCB" w:rsidRDefault="00CC3D51" w:rsidP="00AA2F7B">
            <w:pPr>
              <w:pStyle w:val="TableText0"/>
              <w:framePr w:hSpace="0" w:wrap="auto" w:vAnchor="margin" w:yAlign="inline"/>
              <w:suppressOverlap w:val="0"/>
              <w:jc w:val="center"/>
            </w:pPr>
            <w:r w:rsidRPr="00006FCB">
              <w:t>2,10</w:t>
            </w:r>
            <w:r w:rsidR="006A33BA" w:rsidRPr="00006FCB">
              <w:t>5</w:t>
            </w:r>
            <w:r w:rsidRPr="00006FCB">
              <w:t xml:space="preserve"> </w:t>
            </w:r>
          </w:p>
          <w:p w14:paraId="25B9AF81" w14:textId="6DBFF741" w:rsidR="00CC3D51" w:rsidRPr="00006FCB" w:rsidRDefault="00CC3D51" w:rsidP="00AA2F7B">
            <w:pPr>
              <w:pStyle w:val="TableText0"/>
              <w:framePr w:hSpace="0" w:wrap="auto" w:vAnchor="margin" w:yAlign="inline"/>
              <w:suppressOverlap w:val="0"/>
              <w:jc w:val="center"/>
              <w:rPr>
                <w:b/>
              </w:rPr>
            </w:pPr>
            <w:r w:rsidRPr="00006FCB">
              <w:t>(1382)</w:t>
            </w:r>
          </w:p>
        </w:tc>
        <w:tc>
          <w:tcPr>
            <w:tcW w:w="532" w:type="pct"/>
            <w:tcMar>
              <w:left w:w="20" w:type="dxa"/>
              <w:right w:w="20" w:type="dxa"/>
            </w:tcMar>
            <w:vAlign w:val="center"/>
          </w:tcPr>
          <w:p w14:paraId="5F8EAFDE" w14:textId="37AC39B0" w:rsidR="00CC3D51" w:rsidRPr="00006FCB" w:rsidRDefault="00CC3D51" w:rsidP="00AA2F7B">
            <w:pPr>
              <w:pStyle w:val="TableText0"/>
              <w:framePr w:hSpace="0" w:wrap="auto" w:vAnchor="margin" w:yAlign="inline"/>
              <w:suppressOverlap w:val="0"/>
              <w:jc w:val="center"/>
              <w:rPr>
                <w:b/>
              </w:rPr>
            </w:pPr>
            <w:r w:rsidRPr="00006FCB">
              <w:t>1,847 (132</w:t>
            </w:r>
            <w:r w:rsidR="006A33BA" w:rsidRPr="00006FCB">
              <w:t>6</w:t>
            </w:r>
            <w:r w:rsidRPr="00006FCB">
              <w:t>)</w:t>
            </w:r>
          </w:p>
        </w:tc>
        <w:tc>
          <w:tcPr>
            <w:tcW w:w="532" w:type="pct"/>
            <w:tcMar>
              <w:left w:w="20" w:type="dxa"/>
              <w:right w:w="20" w:type="dxa"/>
            </w:tcMar>
            <w:vAlign w:val="center"/>
          </w:tcPr>
          <w:p w14:paraId="7FFDC6D7" w14:textId="0847F7EC" w:rsidR="00CC3D51" w:rsidRPr="00006FCB" w:rsidRDefault="00CC3D51" w:rsidP="00AA2F7B">
            <w:pPr>
              <w:pStyle w:val="TableParagraph"/>
              <w:keepNext/>
              <w:widowControl/>
              <w:spacing w:line="227" w:lineRule="exact"/>
              <w:ind w:left="0"/>
              <w:jc w:val="center"/>
              <w:rPr>
                <w:bCs/>
                <w:sz w:val="20"/>
              </w:rPr>
            </w:pPr>
            <w:r w:rsidRPr="00006FCB">
              <w:rPr>
                <w:bCs/>
                <w:spacing w:val="-2"/>
                <w:sz w:val="20"/>
              </w:rPr>
              <w:t>324</w:t>
            </w:r>
          </w:p>
          <w:p w14:paraId="41B513EF" w14:textId="4C73C138" w:rsidR="00CC3D51" w:rsidRPr="00006FCB" w:rsidRDefault="00CC3D51" w:rsidP="00AA2F7B">
            <w:pPr>
              <w:pStyle w:val="TableText0"/>
              <w:framePr w:hSpace="0" w:wrap="auto" w:vAnchor="margin" w:yAlign="inline"/>
              <w:suppressOverlap w:val="0"/>
              <w:jc w:val="center"/>
              <w:rPr>
                <w:b/>
              </w:rPr>
            </w:pPr>
            <w:r w:rsidRPr="00006FCB">
              <w:t>(359)</w:t>
            </w:r>
          </w:p>
        </w:tc>
        <w:tc>
          <w:tcPr>
            <w:tcW w:w="601" w:type="pct"/>
            <w:tcMar>
              <w:left w:w="20" w:type="dxa"/>
              <w:right w:w="20" w:type="dxa"/>
            </w:tcMar>
            <w:vAlign w:val="center"/>
          </w:tcPr>
          <w:p w14:paraId="5ACA84B3" w14:textId="62ACE365" w:rsidR="00CC3D51" w:rsidRPr="00006FCB" w:rsidRDefault="006A33BA" w:rsidP="00AA2F7B">
            <w:pPr>
              <w:pStyle w:val="TableText0"/>
              <w:framePr w:hSpace="0" w:wrap="auto" w:vAnchor="margin" w:yAlign="inline"/>
              <w:suppressOverlap w:val="0"/>
              <w:jc w:val="center"/>
              <w:rPr>
                <w:b/>
                <w:bCs w:val="0"/>
              </w:rPr>
            </w:pPr>
            <w:r w:rsidRPr="00006FCB">
              <w:rPr>
                <w:b/>
                <w:bCs w:val="0"/>
              </w:rPr>
              <w:t>-</w:t>
            </w:r>
            <w:r w:rsidR="00CC3D51" w:rsidRPr="00006FCB">
              <w:rPr>
                <w:b/>
                <w:bCs w:val="0"/>
              </w:rPr>
              <w:t>1,501</w:t>
            </w:r>
          </w:p>
          <w:p w14:paraId="2651AECE" w14:textId="69DFFAA4" w:rsidR="00CC3D51" w:rsidRPr="00006FCB" w:rsidRDefault="00CC3D51" w:rsidP="00AA2F7B">
            <w:pPr>
              <w:pStyle w:val="TableText0"/>
              <w:framePr w:hSpace="0" w:wrap="auto" w:vAnchor="margin" w:yAlign="inline"/>
              <w:suppressOverlap w:val="0"/>
              <w:jc w:val="center"/>
              <w:rPr>
                <w:b/>
                <w:bCs w:val="0"/>
              </w:rPr>
            </w:pPr>
            <w:r w:rsidRPr="00006FCB">
              <w:rPr>
                <w:b/>
                <w:bCs w:val="0"/>
              </w:rPr>
              <w:t>(-2,23</w:t>
            </w:r>
            <w:r w:rsidR="006A33BA" w:rsidRPr="00006FCB">
              <w:rPr>
                <w:b/>
                <w:bCs w:val="0"/>
              </w:rPr>
              <w:t>8</w:t>
            </w:r>
            <w:r w:rsidRPr="00006FCB">
              <w:rPr>
                <w:b/>
                <w:bCs w:val="0"/>
              </w:rPr>
              <w:t>, -76</w:t>
            </w:r>
            <w:r w:rsidR="006A33BA" w:rsidRPr="00006FCB">
              <w:rPr>
                <w:b/>
                <w:bCs w:val="0"/>
              </w:rPr>
              <w:t>5</w:t>
            </w:r>
            <w:r w:rsidRPr="00006FCB">
              <w:rPr>
                <w:b/>
                <w:bCs w:val="0"/>
              </w:rPr>
              <w:t>)</w:t>
            </w:r>
          </w:p>
        </w:tc>
        <w:tc>
          <w:tcPr>
            <w:tcW w:w="414" w:type="pct"/>
            <w:tcMar>
              <w:left w:w="20" w:type="dxa"/>
              <w:right w:w="20" w:type="dxa"/>
            </w:tcMar>
            <w:vAlign w:val="center"/>
          </w:tcPr>
          <w:p w14:paraId="26ABDE44" w14:textId="77777777" w:rsidR="00CC3D51" w:rsidRPr="00006FCB" w:rsidRDefault="00CC3D51" w:rsidP="00AA2F7B">
            <w:pPr>
              <w:pStyle w:val="TableText0"/>
              <w:framePr w:hSpace="0" w:wrap="auto" w:vAnchor="margin" w:yAlign="inline"/>
              <w:suppressOverlap w:val="0"/>
              <w:jc w:val="center"/>
              <w:rPr>
                <w:b/>
              </w:rPr>
            </w:pPr>
            <w:r w:rsidRPr="00006FCB">
              <w:t>0.0003</w:t>
            </w:r>
          </w:p>
        </w:tc>
      </w:tr>
      <w:tr w:rsidR="00F13150" w:rsidRPr="00006FCB" w14:paraId="7DECE97A" w14:textId="77777777" w:rsidTr="4D2BAA30">
        <w:tc>
          <w:tcPr>
            <w:tcW w:w="837" w:type="pct"/>
            <w:tcMar>
              <w:left w:w="20" w:type="dxa"/>
              <w:right w:w="20" w:type="dxa"/>
            </w:tcMar>
            <w:vAlign w:val="center"/>
          </w:tcPr>
          <w:p w14:paraId="3FDF15A7" w14:textId="1205147C" w:rsidR="00CC3D51" w:rsidRPr="00006FCB" w:rsidRDefault="00CC3D51" w:rsidP="00AA2F7B">
            <w:pPr>
              <w:pStyle w:val="TableText0"/>
              <w:framePr w:hSpace="0" w:wrap="auto" w:vAnchor="margin" w:yAlign="inline"/>
              <w:suppressOverlap w:val="0"/>
              <w:rPr>
                <w:b/>
              </w:rPr>
            </w:pPr>
            <w:r w:rsidRPr="00006FCB">
              <w:t xml:space="preserve">Active </w:t>
            </w:r>
            <w:r w:rsidR="00CB5D09" w:rsidRPr="00006FCB">
              <w:t>v</w:t>
            </w:r>
            <w:r w:rsidRPr="00006FCB">
              <w:t>itamin D (mcg)</w:t>
            </w:r>
          </w:p>
        </w:tc>
        <w:tc>
          <w:tcPr>
            <w:tcW w:w="504" w:type="pct"/>
            <w:tcMar>
              <w:left w:w="20" w:type="dxa"/>
              <w:right w:w="20" w:type="dxa"/>
            </w:tcMar>
            <w:vAlign w:val="center"/>
          </w:tcPr>
          <w:p w14:paraId="4CB69AD3" w14:textId="77777777" w:rsidR="00F13150" w:rsidRPr="00006FCB" w:rsidRDefault="00CC3D51" w:rsidP="00AA2F7B">
            <w:pPr>
              <w:pStyle w:val="TableText0"/>
              <w:framePr w:hSpace="0" w:wrap="auto" w:vAnchor="margin" w:yAlign="inline"/>
              <w:suppressOverlap w:val="0"/>
              <w:jc w:val="center"/>
            </w:pPr>
            <w:r w:rsidRPr="00006FCB">
              <w:t xml:space="preserve">0.99 </w:t>
            </w:r>
          </w:p>
          <w:p w14:paraId="6C4E7092" w14:textId="3E93F1F8" w:rsidR="00CC3D51" w:rsidRPr="00006FCB" w:rsidRDefault="00CC3D51" w:rsidP="00AA2F7B">
            <w:pPr>
              <w:pStyle w:val="TableText0"/>
              <w:framePr w:hSpace="0" w:wrap="auto" w:vAnchor="margin" w:yAlign="inline"/>
              <w:suppressOverlap w:val="0"/>
              <w:jc w:val="center"/>
              <w:rPr>
                <w:b/>
              </w:rPr>
            </w:pPr>
            <w:r w:rsidRPr="00006FCB">
              <w:t>(0.74)</w:t>
            </w:r>
          </w:p>
        </w:tc>
        <w:tc>
          <w:tcPr>
            <w:tcW w:w="504" w:type="pct"/>
            <w:tcMar>
              <w:left w:w="20" w:type="dxa"/>
              <w:right w:w="20" w:type="dxa"/>
            </w:tcMar>
            <w:vAlign w:val="center"/>
          </w:tcPr>
          <w:p w14:paraId="116685ED" w14:textId="77777777" w:rsidR="00F13150" w:rsidRPr="00006FCB" w:rsidRDefault="00CC3D51" w:rsidP="00AA2F7B">
            <w:pPr>
              <w:pStyle w:val="TableText0"/>
              <w:framePr w:hSpace="0" w:wrap="auto" w:vAnchor="margin" w:yAlign="inline"/>
              <w:suppressOverlap w:val="0"/>
              <w:jc w:val="center"/>
            </w:pPr>
            <w:r w:rsidRPr="00006FCB">
              <w:t xml:space="preserve">0 </w:t>
            </w:r>
          </w:p>
          <w:p w14:paraId="18418721" w14:textId="6E88CE7D" w:rsidR="00CC3D51" w:rsidRPr="00006FCB" w:rsidRDefault="00CC3D51" w:rsidP="00AA2F7B">
            <w:pPr>
              <w:pStyle w:val="TableText0"/>
              <w:framePr w:hSpace="0" w:wrap="auto" w:vAnchor="margin" w:yAlign="inline"/>
              <w:suppressOverlap w:val="0"/>
              <w:jc w:val="center"/>
              <w:rPr>
                <w:b/>
              </w:rPr>
            </w:pPr>
            <w:r w:rsidRPr="00006FCB">
              <w:t>(0.00)</w:t>
            </w:r>
          </w:p>
        </w:tc>
        <w:tc>
          <w:tcPr>
            <w:tcW w:w="544" w:type="pct"/>
            <w:tcMar>
              <w:left w:w="20" w:type="dxa"/>
              <w:right w:w="20" w:type="dxa"/>
            </w:tcMar>
            <w:vAlign w:val="center"/>
          </w:tcPr>
          <w:p w14:paraId="32D561E7" w14:textId="77777777" w:rsidR="00817A94" w:rsidRPr="00006FCB" w:rsidRDefault="006A33BA" w:rsidP="00AA2F7B">
            <w:pPr>
              <w:pStyle w:val="TableText0"/>
              <w:framePr w:hSpace="0" w:wrap="auto" w:vAnchor="margin" w:yAlign="inline"/>
              <w:suppressOverlap w:val="0"/>
              <w:jc w:val="center"/>
              <w:rPr>
                <w:spacing w:val="-6"/>
              </w:rPr>
            </w:pPr>
            <w:r w:rsidRPr="00006FCB">
              <w:t>-</w:t>
            </w:r>
            <w:r w:rsidR="00CC3D51" w:rsidRPr="00006FCB">
              <w:t>0.99</w:t>
            </w:r>
            <w:r w:rsidR="00CC3D51" w:rsidRPr="00006FCB">
              <w:rPr>
                <w:spacing w:val="-6"/>
              </w:rPr>
              <w:t xml:space="preserve"> </w:t>
            </w:r>
          </w:p>
          <w:p w14:paraId="35AA8551" w14:textId="6300DAC3" w:rsidR="00CC3D51" w:rsidRPr="00006FCB" w:rsidRDefault="00CC3D51" w:rsidP="00AA2F7B">
            <w:pPr>
              <w:pStyle w:val="TableText0"/>
              <w:framePr w:hSpace="0" w:wrap="auto" w:vAnchor="margin" w:yAlign="inline"/>
              <w:suppressOverlap w:val="0"/>
              <w:jc w:val="center"/>
              <w:rPr>
                <w:b/>
              </w:rPr>
            </w:pPr>
            <w:r w:rsidRPr="00006FCB">
              <w:rPr>
                <w:spacing w:val="-2"/>
              </w:rPr>
              <w:t>(0.06)</w:t>
            </w:r>
          </w:p>
        </w:tc>
        <w:tc>
          <w:tcPr>
            <w:tcW w:w="532" w:type="pct"/>
            <w:tcMar>
              <w:left w:w="20" w:type="dxa"/>
              <w:right w:w="20" w:type="dxa"/>
            </w:tcMar>
            <w:vAlign w:val="center"/>
          </w:tcPr>
          <w:p w14:paraId="241F6456" w14:textId="77777777" w:rsidR="006D1465" w:rsidRPr="00006FCB" w:rsidRDefault="00CC3D51" w:rsidP="00AA2F7B">
            <w:pPr>
              <w:pStyle w:val="TableText0"/>
              <w:framePr w:hSpace="0" w:wrap="auto" w:vAnchor="margin" w:yAlign="inline"/>
              <w:suppressOverlap w:val="0"/>
              <w:jc w:val="center"/>
            </w:pPr>
            <w:r w:rsidRPr="00006FCB">
              <w:t xml:space="preserve">0.94 </w:t>
            </w:r>
          </w:p>
          <w:p w14:paraId="69C9366F" w14:textId="00825C66" w:rsidR="00CC3D51" w:rsidRPr="00006FCB" w:rsidRDefault="00CC3D51" w:rsidP="00AA2F7B">
            <w:pPr>
              <w:pStyle w:val="TableText0"/>
              <w:framePr w:hSpace="0" w:wrap="auto" w:vAnchor="margin" w:yAlign="inline"/>
              <w:suppressOverlap w:val="0"/>
              <w:jc w:val="center"/>
              <w:rPr>
                <w:b/>
              </w:rPr>
            </w:pPr>
            <w:r w:rsidRPr="00006FCB">
              <w:t>(</w:t>
            </w:r>
            <w:r w:rsidRPr="00006FCB">
              <w:rPr>
                <w:spacing w:val="-2"/>
              </w:rPr>
              <w:t>0.62)</w:t>
            </w:r>
          </w:p>
        </w:tc>
        <w:tc>
          <w:tcPr>
            <w:tcW w:w="532" w:type="pct"/>
            <w:tcMar>
              <w:left w:w="20" w:type="dxa"/>
              <w:right w:w="20" w:type="dxa"/>
            </w:tcMar>
            <w:vAlign w:val="center"/>
          </w:tcPr>
          <w:p w14:paraId="75A604EB" w14:textId="77777777" w:rsidR="006D1465" w:rsidRPr="00006FCB" w:rsidRDefault="00CC3D51" w:rsidP="00AA2F7B">
            <w:pPr>
              <w:pStyle w:val="TableText0"/>
              <w:framePr w:hSpace="0" w:wrap="auto" w:vAnchor="margin" w:yAlign="inline"/>
              <w:suppressOverlap w:val="0"/>
              <w:jc w:val="center"/>
            </w:pPr>
            <w:r w:rsidRPr="00006FCB">
              <w:t xml:space="preserve">0.61 </w:t>
            </w:r>
          </w:p>
          <w:p w14:paraId="673A4180" w14:textId="12EBA858" w:rsidR="00CC3D51" w:rsidRPr="00006FCB" w:rsidRDefault="00CC3D51" w:rsidP="00AA2F7B">
            <w:pPr>
              <w:pStyle w:val="TableText0"/>
              <w:framePr w:hSpace="0" w:wrap="auto" w:vAnchor="margin" w:yAlign="inline"/>
              <w:suppressOverlap w:val="0"/>
              <w:jc w:val="center"/>
              <w:rPr>
                <w:b/>
              </w:rPr>
            </w:pPr>
            <w:r w:rsidRPr="00006FCB">
              <w:t>(0.73)</w:t>
            </w:r>
          </w:p>
        </w:tc>
        <w:tc>
          <w:tcPr>
            <w:tcW w:w="532" w:type="pct"/>
            <w:tcMar>
              <w:left w:w="20" w:type="dxa"/>
              <w:right w:w="20" w:type="dxa"/>
            </w:tcMar>
            <w:vAlign w:val="center"/>
          </w:tcPr>
          <w:p w14:paraId="40EFAB09" w14:textId="77777777" w:rsidR="00CC3D51" w:rsidRPr="00006FCB" w:rsidRDefault="00CC3D51" w:rsidP="00AA2F7B">
            <w:pPr>
              <w:pStyle w:val="TableParagraph"/>
              <w:keepNext/>
              <w:widowControl/>
              <w:spacing w:line="227" w:lineRule="exact"/>
              <w:ind w:left="0"/>
              <w:jc w:val="center"/>
              <w:rPr>
                <w:bCs/>
                <w:sz w:val="20"/>
              </w:rPr>
            </w:pPr>
            <w:r w:rsidRPr="00006FCB">
              <w:rPr>
                <w:bCs/>
                <w:spacing w:val="-2"/>
                <w:sz w:val="20"/>
              </w:rPr>
              <w:t>-0.37</w:t>
            </w:r>
          </w:p>
          <w:p w14:paraId="0ADF08E0" w14:textId="2C202F31" w:rsidR="00CC3D51" w:rsidRPr="00006FCB" w:rsidRDefault="00CC3D51" w:rsidP="00AA2F7B">
            <w:pPr>
              <w:pStyle w:val="TableText0"/>
              <w:framePr w:hSpace="0" w:wrap="auto" w:vAnchor="margin" w:yAlign="inline"/>
              <w:suppressOverlap w:val="0"/>
              <w:jc w:val="center"/>
              <w:rPr>
                <w:b/>
              </w:rPr>
            </w:pPr>
            <w:r w:rsidRPr="00006FCB">
              <w:t>(0.09)</w:t>
            </w:r>
          </w:p>
        </w:tc>
        <w:tc>
          <w:tcPr>
            <w:tcW w:w="601" w:type="pct"/>
            <w:tcMar>
              <w:left w:w="20" w:type="dxa"/>
              <w:right w:w="20" w:type="dxa"/>
            </w:tcMar>
            <w:vAlign w:val="center"/>
          </w:tcPr>
          <w:p w14:paraId="29643DB6" w14:textId="19927158" w:rsidR="00CC3D51" w:rsidRPr="00006FCB" w:rsidRDefault="006A33BA" w:rsidP="00AA2F7B">
            <w:pPr>
              <w:pStyle w:val="TableText0"/>
              <w:framePr w:hSpace="0" w:wrap="auto" w:vAnchor="margin" w:yAlign="inline"/>
              <w:suppressOverlap w:val="0"/>
              <w:jc w:val="center"/>
              <w:rPr>
                <w:b/>
                <w:bCs w:val="0"/>
              </w:rPr>
            </w:pPr>
            <w:r w:rsidRPr="00006FCB">
              <w:rPr>
                <w:b/>
                <w:bCs w:val="0"/>
              </w:rPr>
              <w:t>-</w:t>
            </w:r>
            <w:r w:rsidR="00CC3D51" w:rsidRPr="00006FCB">
              <w:rPr>
                <w:b/>
                <w:bCs w:val="0"/>
              </w:rPr>
              <w:t>0.62</w:t>
            </w:r>
          </w:p>
          <w:p w14:paraId="05A03BC6" w14:textId="77777777" w:rsidR="00CC3D51" w:rsidRPr="00006FCB" w:rsidRDefault="00CC3D51" w:rsidP="00AA2F7B">
            <w:pPr>
              <w:pStyle w:val="TableText0"/>
              <w:framePr w:hSpace="0" w:wrap="auto" w:vAnchor="margin" w:yAlign="inline"/>
              <w:suppressOverlap w:val="0"/>
              <w:jc w:val="center"/>
              <w:rPr>
                <w:b/>
                <w:bCs w:val="0"/>
              </w:rPr>
            </w:pPr>
            <w:r w:rsidRPr="00006FCB">
              <w:rPr>
                <w:b/>
                <w:bCs w:val="0"/>
              </w:rPr>
              <w:t>(-0.80, -0.44)</w:t>
            </w:r>
          </w:p>
        </w:tc>
        <w:tc>
          <w:tcPr>
            <w:tcW w:w="414" w:type="pct"/>
            <w:tcMar>
              <w:left w:w="20" w:type="dxa"/>
              <w:right w:w="20" w:type="dxa"/>
            </w:tcMar>
            <w:vAlign w:val="center"/>
          </w:tcPr>
          <w:p w14:paraId="6F21C76F" w14:textId="77777777" w:rsidR="00CC3D51" w:rsidRPr="00006FCB" w:rsidRDefault="00CC3D51" w:rsidP="00AA2F7B">
            <w:pPr>
              <w:pStyle w:val="TableText0"/>
              <w:framePr w:hSpace="0" w:wrap="auto" w:vAnchor="margin" w:yAlign="inline"/>
              <w:suppressOverlap w:val="0"/>
              <w:jc w:val="center"/>
              <w:rPr>
                <w:b/>
              </w:rPr>
            </w:pPr>
            <w:r w:rsidRPr="00006FCB">
              <w:t>&lt;0.0001</w:t>
            </w:r>
          </w:p>
        </w:tc>
      </w:tr>
      <w:tr w:rsidR="00F13150" w:rsidRPr="00006FCB" w14:paraId="0A49E9D6" w14:textId="77777777" w:rsidTr="4D2BAA30">
        <w:tc>
          <w:tcPr>
            <w:tcW w:w="837" w:type="pct"/>
            <w:tcMar>
              <w:left w:w="20" w:type="dxa"/>
              <w:right w:w="20" w:type="dxa"/>
            </w:tcMar>
            <w:vAlign w:val="center"/>
          </w:tcPr>
          <w:p w14:paraId="04C5ECC7" w14:textId="77777777" w:rsidR="00CC3D51" w:rsidRPr="00006FCB" w:rsidRDefault="00CC3D51" w:rsidP="00AA2F7B">
            <w:pPr>
              <w:pStyle w:val="TableText0"/>
              <w:framePr w:hSpace="0" w:wrap="auto" w:vAnchor="margin" w:yAlign="inline"/>
              <w:suppressOverlap w:val="0"/>
              <w:rPr>
                <w:b/>
              </w:rPr>
            </w:pPr>
            <w:r w:rsidRPr="00006FCB">
              <w:t>Daily</w:t>
            </w:r>
            <w:r w:rsidRPr="00006FCB">
              <w:rPr>
                <w:spacing w:val="-6"/>
              </w:rPr>
              <w:t xml:space="preserve"> </w:t>
            </w:r>
            <w:r w:rsidRPr="00006FCB">
              <w:t>pill</w:t>
            </w:r>
            <w:r w:rsidRPr="00006FCB">
              <w:rPr>
                <w:spacing w:val="-6"/>
              </w:rPr>
              <w:t xml:space="preserve"> </w:t>
            </w:r>
            <w:r w:rsidRPr="00006FCB">
              <w:rPr>
                <w:spacing w:val="-2"/>
              </w:rPr>
              <w:t>burden</w:t>
            </w:r>
          </w:p>
        </w:tc>
        <w:tc>
          <w:tcPr>
            <w:tcW w:w="504" w:type="pct"/>
            <w:tcMar>
              <w:left w:w="20" w:type="dxa"/>
              <w:right w:w="20" w:type="dxa"/>
            </w:tcMar>
            <w:vAlign w:val="center"/>
          </w:tcPr>
          <w:p w14:paraId="03CC6519" w14:textId="77777777" w:rsidR="00F13150" w:rsidRPr="00006FCB" w:rsidRDefault="00CC3D51" w:rsidP="00AA2F7B">
            <w:pPr>
              <w:pStyle w:val="TableText0"/>
              <w:framePr w:hSpace="0" w:wrap="auto" w:vAnchor="margin" w:yAlign="inline"/>
              <w:suppressOverlap w:val="0"/>
              <w:jc w:val="center"/>
            </w:pPr>
            <w:r w:rsidRPr="00006FCB">
              <w:t xml:space="preserve">6.69 </w:t>
            </w:r>
          </w:p>
          <w:p w14:paraId="381940B8" w14:textId="145E616E" w:rsidR="00CC3D51" w:rsidRPr="00006FCB" w:rsidRDefault="00CC3D51" w:rsidP="00AA2F7B">
            <w:pPr>
              <w:pStyle w:val="TableText0"/>
              <w:framePr w:hSpace="0" w:wrap="auto" w:vAnchor="margin" w:yAlign="inline"/>
              <w:suppressOverlap w:val="0"/>
              <w:jc w:val="center"/>
              <w:rPr>
                <w:b/>
              </w:rPr>
            </w:pPr>
            <w:r w:rsidRPr="00006FCB">
              <w:t>(2.20)</w:t>
            </w:r>
          </w:p>
        </w:tc>
        <w:tc>
          <w:tcPr>
            <w:tcW w:w="504" w:type="pct"/>
            <w:tcMar>
              <w:left w:w="20" w:type="dxa"/>
              <w:right w:w="20" w:type="dxa"/>
            </w:tcMar>
            <w:vAlign w:val="center"/>
          </w:tcPr>
          <w:p w14:paraId="3B1B2312" w14:textId="77777777" w:rsidR="00F13150" w:rsidRPr="00006FCB" w:rsidRDefault="00CC3D51" w:rsidP="00AA2F7B">
            <w:pPr>
              <w:pStyle w:val="TableText0"/>
              <w:framePr w:hSpace="0" w:wrap="auto" w:vAnchor="margin" w:yAlign="inline"/>
              <w:suppressOverlap w:val="0"/>
              <w:jc w:val="center"/>
            </w:pPr>
            <w:r w:rsidRPr="00006FCB">
              <w:t xml:space="preserve">0.45 </w:t>
            </w:r>
          </w:p>
          <w:p w14:paraId="3BD4B60D" w14:textId="252C99F5" w:rsidR="00CC3D51" w:rsidRPr="00006FCB" w:rsidRDefault="00CC3D51" w:rsidP="00AA2F7B">
            <w:pPr>
              <w:pStyle w:val="TableText0"/>
              <w:framePr w:hSpace="0" w:wrap="auto" w:vAnchor="margin" w:yAlign="inline"/>
              <w:suppressOverlap w:val="0"/>
              <w:jc w:val="center"/>
              <w:rPr>
                <w:b/>
              </w:rPr>
            </w:pPr>
            <w:r w:rsidRPr="00006FCB">
              <w:t>(1.66)</w:t>
            </w:r>
          </w:p>
        </w:tc>
        <w:tc>
          <w:tcPr>
            <w:tcW w:w="544" w:type="pct"/>
            <w:tcMar>
              <w:left w:w="20" w:type="dxa"/>
              <w:right w:w="20" w:type="dxa"/>
            </w:tcMar>
            <w:vAlign w:val="center"/>
          </w:tcPr>
          <w:p w14:paraId="561340D9" w14:textId="77777777" w:rsidR="00817A94" w:rsidRPr="00006FCB" w:rsidRDefault="00CC3D51" w:rsidP="00AA2F7B">
            <w:pPr>
              <w:pStyle w:val="TableText0"/>
              <w:framePr w:hSpace="0" w:wrap="auto" w:vAnchor="margin" w:yAlign="inline"/>
              <w:suppressOverlap w:val="0"/>
              <w:jc w:val="center"/>
              <w:rPr>
                <w:spacing w:val="-7"/>
              </w:rPr>
            </w:pPr>
            <w:r w:rsidRPr="00006FCB">
              <w:t>-5.61</w:t>
            </w:r>
            <w:r w:rsidRPr="00006FCB">
              <w:rPr>
                <w:spacing w:val="-7"/>
              </w:rPr>
              <w:t xml:space="preserve"> </w:t>
            </w:r>
          </w:p>
          <w:p w14:paraId="6D40099B" w14:textId="3F19A672" w:rsidR="00CC3D51" w:rsidRPr="00006FCB" w:rsidRDefault="00CC3D51" w:rsidP="00AA2F7B">
            <w:pPr>
              <w:pStyle w:val="TableText0"/>
              <w:framePr w:hSpace="0" w:wrap="auto" w:vAnchor="margin" w:yAlign="inline"/>
              <w:suppressOverlap w:val="0"/>
              <w:jc w:val="center"/>
              <w:rPr>
                <w:b/>
              </w:rPr>
            </w:pPr>
            <w:r w:rsidRPr="00006FCB">
              <w:rPr>
                <w:spacing w:val="-2"/>
              </w:rPr>
              <w:t>(0.28)</w:t>
            </w:r>
          </w:p>
        </w:tc>
        <w:tc>
          <w:tcPr>
            <w:tcW w:w="532" w:type="pct"/>
            <w:tcMar>
              <w:left w:w="20" w:type="dxa"/>
              <w:right w:w="20" w:type="dxa"/>
            </w:tcMar>
            <w:vAlign w:val="center"/>
          </w:tcPr>
          <w:p w14:paraId="68BAE947" w14:textId="77777777" w:rsidR="006D1465" w:rsidRPr="00006FCB" w:rsidRDefault="00CC3D51" w:rsidP="00AA2F7B">
            <w:pPr>
              <w:pStyle w:val="TableText0"/>
              <w:framePr w:hSpace="0" w:wrap="auto" w:vAnchor="margin" w:yAlign="inline"/>
              <w:suppressOverlap w:val="0"/>
              <w:jc w:val="center"/>
            </w:pPr>
            <w:r w:rsidRPr="00006FCB">
              <w:t xml:space="preserve">6.74 </w:t>
            </w:r>
          </w:p>
          <w:p w14:paraId="4CBD7C5D" w14:textId="63590252" w:rsidR="00CC3D51" w:rsidRPr="00006FCB" w:rsidRDefault="00CC3D51" w:rsidP="00AA2F7B">
            <w:pPr>
              <w:pStyle w:val="TableText0"/>
              <w:framePr w:hSpace="0" w:wrap="auto" w:vAnchor="margin" w:yAlign="inline"/>
              <w:suppressOverlap w:val="0"/>
              <w:jc w:val="center"/>
              <w:rPr>
                <w:b/>
              </w:rPr>
            </w:pPr>
            <w:r w:rsidRPr="00006FCB">
              <w:t>(</w:t>
            </w:r>
            <w:r w:rsidRPr="00006FCB">
              <w:rPr>
                <w:spacing w:val="-2"/>
              </w:rPr>
              <w:t>2.99)</w:t>
            </w:r>
          </w:p>
        </w:tc>
        <w:tc>
          <w:tcPr>
            <w:tcW w:w="532" w:type="pct"/>
            <w:tcMar>
              <w:left w:w="20" w:type="dxa"/>
              <w:right w:w="20" w:type="dxa"/>
            </w:tcMar>
            <w:vAlign w:val="center"/>
          </w:tcPr>
          <w:p w14:paraId="0D80365C" w14:textId="77777777" w:rsidR="006D1465" w:rsidRPr="00006FCB" w:rsidRDefault="00CC3D51" w:rsidP="00AA2F7B">
            <w:pPr>
              <w:pStyle w:val="TableText0"/>
              <w:framePr w:hSpace="0" w:wrap="auto" w:vAnchor="margin" w:yAlign="inline"/>
              <w:suppressOverlap w:val="0"/>
              <w:jc w:val="center"/>
            </w:pPr>
            <w:r w:rsidRPr="00006FCB">
              <w:t xml:space="preserve">5.42 </w:t>
            </w:r>
          </w:p>
          <w:p w14:paraId="1C58DBC5" w14:textId="7D179A1D" w:rsidR="00CC3D51" w:rsidRPr="00006FCB" w:rsidRDefault="00CC3D51" w:rsidP="00AA2F7B">
            <w:pPr>
              <w:pStyle w:val="TableText0"/>
              <w:framePr w:hSpace="0" w:wrap="auto" w:vAnchor="margin" w:yAlign="inline"/>
              <w:suppressOverlap w:val="0"/>
              <w:jc w:val="center"/>
              <w:rPr>
                <w:b/>
              </w:rPr>
            </w:pPr>
            <w:r w:rsidRPr="00006FCB">
              <w:t>(</w:t>
            </w:r>
            <w:r w:rsidRPr="00006FCB">
              <w:rPr>
                <w:spacing w:val="-2"/>
              </w:rPr>
              <w:t>3.22)</w:t>
            </w:r>
          </w:p>
        </w:tc>
        <w:tc>
          <w:tcPr>
            <w:tcW w:w="532" w:type="pct"/>
            <w:tcMar>
              <w:left w:w="20" w:type="dxa"/>
              <w:right w:w="20" w:type="dxa"/>
            </w:tcMar>
            <w:vAlign w:val="center"/>
          </w:tcPr>
          <w:p w14:paraId="17F3E232" w14:textId="77777777" w:rsidR="00CC3D51" w:rsidRPr="00006FCB" w:rsidRDefault="00CC3D51" w:rsidP="00AA2F7B">
            <w:pPr>
              <w:pStyle w:val="TableParagraph"/>
              <w:keepNext/>
              <w:widowControl/>
              <w:spacing w:line="227" w:lineRule="exact"/>
              <w:ind w:left="0"/>
              <w:jc w:val="center"/>
              <w:rPr>
                <w:bCs/>
                <w:sz w:val="20"/>
              </w:rPr>
            </w:pPr>
            <w:r w:rsidRPr="00006FCB">
              <w:rPr>
                <w:bCs/>
                <w:spacing w:val="-2"/>
                <w:sz w:val="20"/>
              </w:rPr>
              <w:t>-</w:t>
            </w:r>
            <w:r w:rsidRPr="00006FCB">
              <w:rPr>
                <w:bCs/>
                <w:spacing w:val="-4"/>
                <w:sz w:val="20"/>
              </w:rPr>
              <w:t>0.54</w:t>
            </w:r>
          </w:p>
          <w:p w14:paraId="0239528A" w14:textId="77777777" w:rsidR="00CC3D51" w:rsidRPr="00006FCB" w:rsidRDefault="00CC3D51" w:rsidP="00AA2F7B">
            <w:pPr>
              <w:pStyle w:val="TableText0"/>
              <w:framePr w:hSpace="0" w:wrap="auto" w:vAnchor="margin" w:yAlign="inline"/>
              <w:suppressOverlap w:val="0"/>
              <w:jc w:val="center"/>
              <w:rPr>
                <w:b/>
              </w:rPr>
            </w:pPr>
            <w:r w:rsidRPr="00006FCB">
              <w:t>(0.74)</w:t>
            </w:r>
          </w:p>
        </w:tc>
        <w:tc>
          <w:tcPr>
            <w:tcW w:w="601" w:type="pct"/>
            <w:tcMar>
              <w:left w:w="20" w:type="dxa"/>
              <w:right w:w="20" w:type="dxa"/>
            </w:tcMar>
            <w:vAlign w:val="center"/>
          </w:tcPr>
          <w:p w14:paraId="6C20185A" w14:textId="4C7C6D21" w:rsidR="00CC3D51" w:rsidRPr="00006FCB" w:rsidRDefault="006A33BA" w:rsidP="00AA2F7B">
            <w:pPr>
              <w:pStyle w:val="TableText0"/>
              <w:framePr w:hSpace="0" w:wrap="auto" w:vAnchor="margin" w:yAlign="inline"/>
              <w:suppressOverlap w:val="0"/>
              <w:jc w:val="center"/>
              <w:rPr>
                <w:b/>
                <w:bCs w:val="0"/>
              </w:rPr>
            </w:pPr>
            <w:r w:rsidRPr="00006FCB">
              <w:rPr>
                <w:b/>
                <w:bCs w:val="0"/>
              </w:rPr>
              <w:t>-</w:t>
            </w:r>
            <w:r w:rsidR="00CC3D51" w:rsidRPr="00006FCB">
              <w:rPr>
                <w:b/>
                <w:bCs w:val="0"/>
              </w:rPr>
              <w:t>5.08</w:t>
            </w:r>
          </w:p>
          <w:p w14:paraId="26531296" w14:textId="77777777" w:rsidR="00CC3D51" w:rsidRPr="00006FCB" w:rsidRDefault="00CC3D51" w:rsidP="00AA2F7B">
            <w:pPr>
              <w:pStyle w:val="TableText0"/>
              <w:framePr w:hSpace="0" w:wrap="auto" w:vAnchor="margin" w:yAlign="inline"/>
              <w:suppressOverlap w:val="0"/>
              <w:jc w:val="center"/>
              <w:rPr>
                <w:b/>
                <w:bCs w:val="0"/>
              </w:rPr>
            </w:pPr>
            <w:r w:rsidRPr="00006FCB">
              <w:rPr>
                <w:b/>
                <w:bCs w:val="0"/>
              </w:rPr>
              <w:t>(-6.61, -3.55)</w:t>
            </w:r>
          </w:p>
        </w:tc>
        <w:tc>
          <w:tcPr>
            <w:tcW w:w="414" w:type="pct"/>
            <w:tcMar>
              <w:left w:w="20" w:type="dxa"/>
              <w:right w:w="20" w:type="dxa"/>
            </w:tcMar>
            <w:vAlign w:val="center"/>
          </w:tcPr>
          <w:p w14:paraId="5BFCBF76" w14:textId="77777777" w:rsidR="00CC3D51" w:rsidRPr="00006FCB" w:rsidRDefault="00CC3D51" w:rsidP="00AA2F7B">
            <w:pPr>
              <w:pStyle w:val="TableText0"/>
              <w:framePr w:hSpace="0" w:wrap="auto" w:vAnchor="margin" w:yAlign="inline"/>
              <w:suppressOverlap w:val="0"/>
              <w:jc w:val="center"/>
              <w:rPr>
                <w:b/>
              </w:rPr>
            </w:pPr>
            <w:r w:rsidRPr="00006FCB">
              <w:t>&lt;0.0001</w:t>
            </w:r>
          </w:p>
        </w:tc>
      </w:tr>
      <w:tr w:rsidR="00F13150" w:rsidRPr="00006FCB" w14:paraId="27633E40" w14:textId="77777777" w:rsidTr="4D2BAA30">
        <w:tc>
          <w:tcPr>
            <w:tcW w:w="837" w:type="pct"/>
            <w:tcMar>
              <w:left w:w="20" w:type="dxa"/>
              <w:right w:w="20" w:type="dxa"/>
            </w:tcMar>
            <w:vAlign w:val="center"/>
          </w:tcPr>
          <w:p w14:paraId="509C73A9" w14:textId="77777777" w:rsidR="00CC3D51" w:rsidRPr="00006FCB" w:rsidRDefault="00CC3D51" w:rsidP="00AA2F7B">
            <w:pPr>
              <w:pStyle w:val="TableText0"/>
              <w:framePr w:hSpace="0" w:wrap="auto" w:vAnchor="margin" w:yAlign="inline"/>
              <w:suppressOverlap w:val="0"/>
              <w:rPr>
                <w:b/>
              </w:rPr>
            </w:pPr>
            <w:r w:rsidRPr="00006FCB">
              <w:t>Serum phosphate (mg/dL)</w:t>
            </w:r>
          </w:p>
        </w:tc>
        <w:tc>
          <w:tcPr>
            <w:tcW w:w="504" w:type="pct"/>
            <w:tcMar>
              <w:left w:w="20" w:type="dxa"/>
              <w:right w:w="20" w:type="dxa"/>
            </w:tcMar>
            <w:vAlign w:val="center"/>
          </w:tcPr>
          <w:p w14:paraId="1DFFD787" w14:textId="77777777" w:rsidR="00F13150" w:rsidRPr="00006FCB" w:rsidRDefault="00CC3D51" w:rsidP="00AA2F7B">
            <w:pPr>
              <w:pStyle w:val="TableText0"/>
              <w:framePr w:hSpace="0" w:wrap="auto" w:vAnchor="margin" w:yAlign="inline"/>
              <w:suppressOverlap w:val="0"/>
              <w:jc w:val="center"/>
            </w:pPr>
            <w:r w:rsidRPr="00006FCB">
              <w:t xml:space="preserve">4.22 </w:t>
            </w:r>
          </w:p>
          <w:p w14:paraId="1D0DE7B9" w14:textId="534F2308" w:rsidR="00CC3D51" w:rsidRPr="00006FCB" w:rsidRDefault="00CC3D51" w:rsidP="00AA2F7B">
            <w:pPr>
              <w:pStyle w:val="TableText0"/>
              <w:framePr w:hSpace="0" w:wrap="auto" w:vAnchor="margin" w:yAlign="inline"/>
              <w:suppressOverlap w:val="0"/>
              <w:jc w:val="center"/>
              <w:rPr>
                <w:b/>
              </w:rPr>
            </w:pPr>
            <w:r w:rsidRPr="00006FCB">
              <w:t>(0.59)</w:t>
            </w:r>
          </w:p>
        </w:tc>
        <w:tc>
          <w:tcPr>
            <w:tcW w:w="504" w:type="pct"/>
            <w:tcMar>
              <w:left w:w="20" w:type="dxa"/>
              <w:right w:w="20" w:type="dxa"/>
            </w:tcMar>
            <w:vAlign w:val="center"/>
          </w:tcPr>
          <w:p w14:paraId="4D106D83" w14:textId="77777777" w:rsidR="00F13150" w:rsidRPr="00006FCB" w:rsidRDefault="00CC3D51" w:rsidP="00AA2F7B">
            <w:pPr>
              <w:pStyle w:val="TableText0"/>
              <w:framePr w:hSpace="0" w:wrap="auto" w:vAnchor="margin" w:yAlign="inline"/>
              <w:suppressOverlap w:val="0"/>
              <w:jc w:val="center"/>
            </w:pPr>
            <w:r w:rsidRPr="00006FCB">
              <w:t xml:space="preserve">3.80 </w:t>
            </w:r>
          </w:p>
          <w:p w14:paraId="397F6911" w14:textId="1B1D45EE" w:rsidR="00CC3D51" w:rsidRPr="00006FCB" w:rsidRDefault="00CC3D51" w:rsidP="00AA2F7B">
            <w:pPr>
              <w:pStyle w:val="TableText0"/>
              <w:framePr w:hSpace="0" w:wrap="auto" w:vAnchor="margin" w:yAlign="inline"/>
              <w:suppressOverlap w:val="0"/>
              <w:jc w:val="center"/>
              <w:rPr>
                <w:b/>
              </w:rPr>
            </w:pPr>
            <w:r w:rsidRPr="00006FCB">
              <w:t>(0.57)</w:t>
            </w:r>
          </w:p>
        </w:tc>
        <w:tc>
          <w:tcPr>
            <w:tcW w:w="544" w:type="pct"/>
            <w:tcMar>
              <w:left w:w="20" w:type="dxa"/>
              <w:right w:w="20" w:type="dxa"/>
            </w:tcMar>
            <w:vAlign w:val="center"/>
          </w:tcPr>
          <w:p w14:paraId="62C3EA7E" w14:textId="77777777" w:rsidR="00F13150" w:rsidRPr="00006FCB" w:rsidRDefault="006A33BA" w:rsidP="00AA2F7B">
            <w:pPr>
              <w:pStyle w:val="TableText0"/>
              <w:framePr w:hSpace="0" w:wrap="auto" w:vAnchor="margin" w:yAlign="inline"/>
              <w:suppressOverlap w:val="0"/>
              <w:jc w:val="center"/>
              <w:rPr>
                <w:spacing w:val="-9"/>
              </w:rPr>
            </w:pPr>
            <w:r w:rsidRPr="00006FCB">
              <w:t>-</w:t>
            </w:r>
            <w:r w:rsidR="00CC3D51" w:rsidRPr="00006FCB">
              <w:t>0.35</w:t>
            </w:r>
            <w:r w:rsidR="00CC3D51" w:rsidRPr="00006FCB">
              <w:rPr>
                <w:spacing w:val="-9"/>
              </w:rPr>
              <w:t xml:space="preserve"> </w:t>
            </w:r>
          </w:p>
          <w:p w14:paraId="44ED8EE9" w14:textId="080C812A" w:rsidR="00CC3D51" w:rsidRPr="00006FCB" w:rsidRDefault="00CC3D51" w:rsidP="00AA2F7B">
            <w:pPr>
              <w:pStyle w:val="TableText0"/>
              <w:framePr w:hSpace="0" w:wrap="auto" w:vAnchor="margin" w:yAlign="inline"/>
              <w:suppressOverlap w:val="0"/>
              <w:jc w:val="center"/>
              <w:rPr>
                <w:b/>
              </w:rPr>
            </w:pPr>
            <w:r w:rsidRPr="00006FCB">
              <w:rPr>
                <w:spacing w:val="-2"/>
              </w:rPr>
              <w:t>(0.08)</w:t>
            </w:r>
          </w:p>
        </w:tc>
        <w:tc>
          <w:tcPr>
            <w:tcW w:w="532" w:type="pct"/>
            <w:tcMar>
              <w:left w:w="20" w:type="dxa"/>
              <w:right w:w="20" w:type="dxa"/>
            </w:tcMar>
            <w:vAlign w:val="center"/>
          </w:tcPr>
          <w:p w14:paraId="02122F39" w14:textId="77777777" w:rsidR="006D1465" w:rsidRPr="00006FCB" w:rsidRDefault="00CC3D51" w:rsidP="00AA2F7B">
            <w:pPr>
              <w:pStyle w:val="TableText0"/>
              <w:framePr w:hSpace="0" w:wrap="auto" w:vAnchor="margin" w:yAlign="inline"/>
              <w:suppressOverlap w:val="0"/>
              <w:jc w:val="center"/>
            </w:pPr>
            <w:r w:rsidRPr="00006FCB">
              <w:t xml:space="preserve">3.91 </w:t>
            </w:r>
          </w:p>
          <w:p w14:paraId="6890590F" w14:textId="65943716" w:rsidR="00CC3D51" w:rsidRPr="00006FCB" w:rsidRDefault="00CC3D51" w:rsidP="00AA2F7B">
            <w:pPr>
              <w:pStyle w:val="TableText0"/>
              <w:framePr w:hSpace="0" w:wrap="auto" w:vAnchor="margin" w:yAlign="inline"/>
              <w:suppressOverlap w:val="0"/>
              <w:jc w:val="center"/>
              <w:rPr>
                <w:b/>
              </w:rPr>
            </w:pPr>
            <w:r w:rsidRPr="00006FCB">
              <w:t>(0.80)</w:t>
            </w:r>
          </w:p>
        </w:tc>
        <w:tc>
          <w:tcPr>
            <w:tcW w:w="532" w:type="pct"/>
            <w:tcMar>
              <w:left w:w="20" w:type="dxa"/>
              <w:right w:w="20" w:type="dxa"/>
            </w:tcMar>
            <w:vAlign w:val="center"/>
          </w:tcPr>
          <w:p w14:paraId="6FF221E0" w14:textId="77777777" w:rsidR="006D1465" w:rsidRPr="00006FCB" w:rsidRDefault="00CC3D51" w:rsidP="00AA2F7B">
            <w:pPr>
              <w:pStyle w:val="TableText0"/>
              <w:framePr w:hSpace="0" w:wrap="auto" w:vAnchor="margin" w:yAlign="inline"/>
              <w:suppressOverlap w:val="0"/>
              <w:jc w:val="center"/>
            </w:pPr>
            <w:r w:rsidRPr="00006FCB">
              <w:t xml:space="preserve">3.88 </w:t>
            </w:r>
          </w:p>
          <w:p w14:paraId="04B57B2E" w14:textId="0AB22996" w:rsidR="00CC3D51" w:rsidRPr="00006FCB" w:rsidRDefault="00CC3D51" w:rsidP="00AA2F7B">
            <w:pPr>
              <w:pStyle w:val="TableText0"/>
              <w:framePr w:hSpace="0" w:wrap="auto" w:vAnchor="margin" w:yAlign="inline"/>
              <w:suppressOverlap w:val="0"/>
              <w:jc w:val="center"/>
              <w:rPr>
                <w:b/>
              </w:rPr>
            </w:pPr>
            <w:r w:rsidRPr="00006FCB">
              <w:t>(0.90)</w:t>
            </w:r>
          </w:p>
        </w:tc>
        <w:tc>
          <w:tcPr>
            <w:tcW w:w="532" w:type="pct"/>
            <w:tcMar>
              <w:left w:w="20" w:type="dxa"/>
              <w:right w:w="20" w:type="dxa"/>
            </w:tcMar>
            <w:vAlign w:val="center"/>
          </w:tcPr>
          <w:p w14:paraId="41434850" w14:textId="0C6817FD" w:rsidR="00CC3D51" w:rsidRPr="00006FCB" w:rsidRDefault="006A33BA" w:rsidP="00AA2F7B">
            <w:pPr>
              <w:pStyle w:val="TableParagraph"/>
              <w:keepNext/>
              <w:widowControl/>
              <w:spacing w:line="228" w:lineRule="exact"/>
              <w:ind w:left="0"/>
              <w:jc w:val="center"/>
              <w:rPr>
                <w:bCs/>
                <w:sz w:val="20"/>
              </w:rPr>
            </w:pPr>
            <w:r w:rsidRPr="00006FCB">
              <w:rPr>
                <w:bCs/>
                <w:spacing w:val="-2"/>
                <w:sz w:val="20"/>
              </w:rPr>
              <w:t>-</w:t>
            </w:r>
            <w:r w:rsidR="00CC3D51" w:rsidRPr="00006FCB">
              <w:rPr>
                <w:bCs/>
                <w:spacing w:val="-2"/>
                <w:sz w:val="20"/>
              </w:rPr>
              <w:t>0.13</w:t>
            </w:r>
          </w:p>
          <w:p w14:paraId="422615EC" w14:textId="182DA8C8" w:rsidR="00CC3D51" w:rsidRPr="00006FCB" w:rsidRDefault="00CC3D51" w:rsidP="00AA2F7B">
            <w:pPr>
              <w:pStyle w:val="TableText0"/>
              <w:framePr w:hSpace="0" w:wrap="auto" w:vAnchor="margin" w:yAlign="inline"/>
              <w:suppressOverlap w:val="0"/>
              <w:jc w:val="center"/>
              <w:rPr>
                <w:b/>
              </w:rPr>
            </w:pPr>
            <w:r w:rsidRPr="00006FCB">
              <w:t>(0.16)</w:t>
            </w:r>
          </w:p>
        </w:tc>
        <w:tc>
          <w:tcPr>
            <w:tcW w:w="601" w:type="pct"/>
            <w:tcMar>
              <w:left w:w="20" w:type="dxa"/>
              <w:right w:w="20" w:type="dxa"/>
            </w:tcMar>
            <w:vAlign w:val="center"/>
          </w:tcPr>
          <w:p w14:paraId="4A23D294" w14:textId="4230C0BA" w:rsidR="00CC3D51" w:rsidRPr="00006FCB" w:rsidRDefault="006A33BA" w:rsidP="00AA2F7B">
            <w:pPr>
              <w:pStyle w:val="TableText0"/>
              <w:framePr w:hSpace="0" w:wrap="auto" w:vAnchor="margin" w:yAlign="inline"/>
              <w:suppressOverlap w:val="0"/>
              <w:jc w:val="center"/>
              <w:rPr>
                <w:spacing w:val="-2"/>
              </w:rPr>
            </w:pPr>
            <w:r w:rsidRPr="00006FCB">
              <w:t>-</w:t>
            </w:r>
            <w:r w:rsidR="00CC3D51" w:rsidRPr="00006FCB">
              <w:t>0.23</w:t>
            </w:r>
          </w:p>
          <w:p w14:paraId="5B525B6B" w14:textId="3C334DFF" w:rsidR="00CC3D51" w:rsidRPr="00006FCB" w:rsidRDefault="00CC3D51" w:rsidP="00AA2F7B">
            <w:pPr>
              <w:pStyle w:val="TableText0"/>
              <w:framePr w:hSpace="0" w:wrap="auto" w:vAnchor="margin" w:yAlign="inline"/>
              <w:suppressOverlap w:val="0"/>
              <w:jc w:val="center"/>
              <w:rPr>
                <w:b/>
                <w:bCs w:val="0"/>
              </w:rPr>
            </w:pPr>
            <w:r w:rsidRPr="00006FCB">
              <w:t>(</w:t>
            </w:r>
            <w:r w:rsidR="006A33BA" w:rsidRPr="00006FCB">
              <w:t>-</w:t>
            </w:r>
            <w:r w:rsidRPr="00006FCB">
              <w:t>0.57, 0.12)</w:t>
            </w:r>
          </w:p>
        </w:tc>
        <w:tc>
          <w:tcPr>
            <w:tcW w:w="414" w:type="pct"/>
            <w:tcMar>
              <w:left w:w="20" w:type="dxa"/>
              <w:right w:w="20" w:type="dxa"/>
            </w:tcMar>
            <w:vAlign w:val="center"/>
          </w:tcPr>
          <w:p w14:paraId="018A080B" w14:textId="77777777" w:rsidR="00CC3D51" w:rsidRPr="00006FCB" w:rsidRDefault="00CC3D51" w:rsidP="00AA2F7B">
            <w:pPr>
              <w:pStyle w:val="TableText0"/>
              <w:framePr w:hSpace="0" w:wrap="auto" w:vAnchor="margin" w:yAlign="inline"/>
              <w:suppressOverlap w:val="0"/>
              <w:jc w:val="center"/>
              <w:rPr>
                <w:b/>
              </w:rPr>
            </w:pPr>
            <w:r w:rsidRPr="00006FCB">
              <w:t>0.19</w:t>
            </w:r>
          </w:p>
        </w:tc>
      </w:tr>
      <w:tr w:rsidR="00F13150" w:rsidRPr="00006FCB" w14:paraId="23AC678D" w14:textId="77777777" w:rsidTr="4D2BAA30">
        <w:tc>
          <w:tcPr>
            <w:tcW w:w="837" w:type="pct"/>
            <w:tcMar>
              <w:left w:w="20" w:type="dxa"/>
              <w:right w:w="20" w:type="dxa"/>
            </w:tcMar>
            <w:vAlign w:val="center"/>
          </w:tcPr>
          <w:p w14:paraId="2557F631" w14:textId="16B52525" w:rsidR="00CC3D51" w:rsidRPr="00006FCB" w:rsidRDefault="00CC3D51" w:rsidP="00AA2F7B">
            <w:pPr>
              <w:pStyle w:val="TableText0"/>
              <w:framePr w:hSpace="0" w:wrap="auto" w:vAnchor="margin" w:yAlign="inline"/>
              <w:suppressOverlap w:val="0"/>
              <w:rPr>
                <w:b/>
              </w:rPr>
            </w:pPr>
            <w:r w:rsidRPr="00006FCB">
              <w:t>Serum calcium (mg/dL)</w:t>
            </w:r>
            <w:r w:rsidR="00E567BD" w:rsidRPr="00006FCB">
              <w:t xml:space="preserve"> </w:t>
            </w:r>
            <w:r w:rsidR="00EE3E04" w:rsidRPr="00006FCB">
              <w:rPr>
                <w:vertAlign w:val="superscript"/>
              </w:rPr>
              <w:t>b</w:t>
            </w:r>
          </w:p>
        </w:tc>
        <w:tc>
          <w:tcPr>
            <w:tcW w:w="504" w:type="pct"/>
            <w:tcMar>
              <w:left w:w="20" w:type="dxa"/>
              <w:right w:w="20" w:type="dxa"/>
            </w:tcMar>
            <w:vAlign w:val="center"/>
          </w:tcPr>
          <w:p w14:paraId="364773FA" w14:textId="77777777" w:rsidR="00F13150" w:rsidRPr="00006FCB" w:rsidRDefault="00CC3D51" w:rsidP="00AA2F7B">
            <w:pPr>
              <w:pStyle w:val="TableText0"/>
              <w:framePr w:hSpace="0" w:wrap="auto" w:vAnchor="margin" w:yAlign="inline"/>
              <w:suppressOverlap w:val="0"/>
              <w:jc w:val="center"/>
            </w:pPr>
            <w:r w:rsidRPr="00006FCB">
              <w:t xml:space="preserve">8.80 </w:t>
            </w:r>
          </w:p>
          <w:p w14:paraId="3A8C8C15" w14:textId="7AFC25EA" w:rsidR="00CC3D51" w:rsidRPr="00006FCB" w:rsidRDefault="00CC3D51" w:rsidP="00AA2F7B">
            <w:pPr>
              <w:pStyle w:val="TableText0"/>
              <w:framePr w:hSpace="0" w:wrap="auto" w:vAnchor="margin" w:yAlign="inline"/>
              <w:suppressOverlap w:val="0"/>
              <w:jc w:val="center"/>
              <w:rPr>
                <w:b/>
              </w:rPr>
            </w:pPr>
            <w:r w:rsidRPr="00006FCB">
              <w:t>(0.69)</w:t>
            </w:r>
          </w:p>
        </w:tc>
        <w:tc>
          <w:tcPr>
            <w:tcW w:w="504" w:type="pct"/>
            <w:tcMar>
              <w:left w:w="20" w:type="dxa"/>
              <w:right w:w="20" w:type="dxa"/>
            </w:tcMar>
            <w:vAlign w:val="center"/>
          </w:tcPr>
          <w:p w14:paraId="3F78FB64" w14:textId="77777777" w:rsidR="00F13150" w:rsidRPr="00006FCB" w:rsidRDefault="00CC3D51" w:rsidP="00AA2F7B">
            <w:pPr>
              <w:pStyle w:val="TableText0"/>
              <w:framePr w:hSpace="0" w:wrap="auto" w:vAnchor="margin" w:yAlign="inline"/>
              <w:suppressOverlap w:val="0"/>
              <w:jc w:val="center"/>
            </w:pPr>
            <w:r w:rsidRPr="00006FCB">
              <w:t xml:space="preserve">8.94 </w:t>
            </w:r>
          </w:p>
          <w:p w14:paraId="3CE6CE65" w14:textId="0A462152" w:rsidR="00CC3D51" w:rsidRPr="00006FCB" w:rsidRDefault="00CC3D51" w:rsidP="00AA2F7B">
            <w:pPr>
              <w:pStyle w:val="TableText0"/>
              <w:framePr w:hSpace="0" w:wrap="auto" w:vAnchor="margin" w:yAlign="inline"/>
              <w:suppressOverlap w:val="0"/>
              <w:jc w:val="center"/>
              <w:rPr>
                <w:b/>
              </w:rPr>
            </w:pPr>
            <w:r w:rsidRPr="00006FCB">
              <w:t>(0.67)</w:t>
            </w:r>
          </w:p>
        </w:tc>
        <w:tc>
          <w:tcPr>
            <w:tcW w:w="544" w:type="pct"/>
            <w:tcMar>
              <w:left w:w="20" w:type="dxa"/>
              <w:right w:w="20" w:type="dxa"/>
            </w:tcMar>
            <w:vAlign w:val="center"/>
          </w:tcPr>
          <w:p w14:paraId="74495BF1" w14:textId="77777777" w:rsidR="00F13150" w:rsidRPr="00006FCB" w:rsidRDefault="00CC3D51" w:rsidP="00AA2F7B">
            <w:pPr>
              <w:pStyle w:val="TableText0"/>
              <w:framePr w:hSpace="0" w:wrap="auto" w:vAnchor="margin" w:yAlign="inline"/>
              <w:suppressOverlap w:val="0"/>
              <w:jc w:val="center"/>
              <w:rPr>
                <w:spacing w:val="-8"/>
              </w:rPr>
            </w:pPr>
            <w:r w:rsidRPr="00006FCB">
              <w:t>0.31</w:t>
            </w:r>
            <w:r w:rsidRPr="00006FCB">
              <w:rPr>
                <w:spacing w:val="-8"/>
              </w:rPr>
              <w:t xml:space="preserve"> </w:t>
            </w:r>
          </w:p>
          <w:p w14:paraId="02A8B81C" w14:textId="1107D37F" w:rsidR="00CC3D51" w:rsidRPr="00006FCB" w:rsidRDefault="00CC3D51" w:rsidP="00AA2F7B">
            <w:pPr>
              <w:pStyle w:val="TableText0"/>
              <w:framePr w:hSpace="0" w:wrap="auto" w:vAnchor="margin" w:yAlign="inline"/>
              <w:suppressOverlap w:val="0"/>
              <w:jc w:val="center"/>
              <w:rPr>
                <w:b/>
              </w:rPr>
            </w:pPr>
            <w:r w:rsidRPr="00006FCB">
              <w:t>(0.11)</w:t>
            </w:r>
          </w:p>
        </w:tc>
        <w:tc>
          <w:tcPr>
            <w:tcW w:w="532" w:type="pct"/>
            <w:tcMar>
              <w:left w:w="20" w:type="dxa"/>
              <w:right w:w="20" w:type="dxa"/>
            </w:tcMar>
            <w:vAlign w:val="center"/>
          </w:tcPr>
          <w:p w14:paraId="3508001F" w14:textId="77777777" w:rsidR="006D1465" w:rsidRPr="00006FCB" w:rsidRDefault="00CC3D51" w:rsidP="00AA2F7B">
            <w:pPr>
              <w:pStyle w:val="TableText0"/>
              <w:framePr w:hSpace="0" w:wrap="auto" w:vAnchor="margin" w:yAlign="inline"/>
              <w:suppressOverlap w:val="0"/>
              <w:jc w:val="center"/>
            </w:pPr>
            <w:r w:rsidRPr="00006FCB">
              <w:t xml:space="preserve">8.63 </w:t>
            </w:r>
          </w:p>
          <w:p w14:paraId="1DABCE95" w14:textId="44611700" w:rsidR="00CC3D51" w:rsidRPr="00006FCB" w:rsidRDefault="00CC3D51" w:rsidP="00AA2F7B">
            <w:pPr>
              <w:pStyle w:val="TableText0"/>
              <w:framePr w:hSpace="0" w:wrap="auto" w:vAnchor="margin" w:yAlign="inline"/>
              <w:suppressOverlap w:val="0"/>
              <w:jc w:val="center"/>
              <w:rPr>
                <w:b/>
              </w:rPr>
            </w:pPr>
            <w:r w:rsidRPr="00006FCB">
              <w:t>(0.6</w:t>
            </w:r>
            <w:r w:rsidR="00817A94" w:rsidRPr="00006FCB">
              <w:t>4)</w:t>
            </w:r>
          </w:p>
        </w:tc>
        <w:tc>
          <w:tcPr>
            <w:tcW w:w="532" w:type="pct"/>
            <w:tcMar>
              <w:left w:w="20" w:type="dxa"/>
              <w:right w:w="20" w:type="dxa"/>
            </w:tcMar>
            <w:vAlign w:val="center"/>
          </w:tcPr>
          <w:p w14:paraId="2AAAD9E9" w14:textId="77777777" w:rsidR="006D1465" w:rsidRPr="00006FCB" w:rsidRDefault="00CC3D51" w:rsidP="00AA2F7B">
            <w:pPr>
              <w:pStyle w:val="TableText0"/>
              <w:framePr w:hSpace="0" w:wrap="auto" w:vAnchor="margin" w:yAlign="inline"/>
              <w:suppressOverlap w:val="0"/>
              <w:jc w:val="center"/>
            </w:pPr>
            <w:r w:rsidRPr="00006FCB">
              <w:t xml:space="preserve">8.22 </w:t>
            </w:r>
          </w:p>
          <w:p w14:paraId="6320FDC0" w14:textId="370A8C08" w:rsidR="00CC3D51" w:rsidRPr="00006FCB" w:rsidRDefault="00CC3D51" w:rsidP="00AA2F7B">
            <w:pPr>
              <w:pStyle w:val="TableText0"/>
              <w:framePr w:hSpace="0" w:wrap="auto" w:vAnchor="margin" w:yAlign="inline"/>
              <w:suppressOverlap w:val="0"/>
              <w:jc w:val="center"/>
              <w:rPr>
                <w:b/>
              </w:rPr>
            </w:pPr>
            <w:r w:rsidRPr="00006FCB">
              <w:t>(0.53)</w:t>
            </w:r>
          </w:p>
        </w:tc>
        <w:tc>
          <w:tcPr>
            <w:tcW w:w="532" w:type="pct"/>
            <w:tcMar>
              <w:left w:w="20" w:type="dxa"/>
              <w:right w:w="20" w:type="dxa"/>
            </w:tcMar>
            <w:vAlign w:val="center"/>
          </w:tcPr>
          <w:p w14:paraId="03B39482" w14:textId="2669134C" w:rsidR="00CC3D51" w:rsidRPr="00006FCB" w:rsidRDefault="006A33BA" w:rsidP="00AA2F7B">
            <w:pPr>
              <w:pStyle w:val="TableParagraph"/>
              <w:keepNext/>
              <w:widowControl/>
              <w:spacing w:line="228" w:lineRule="exact"/>
              <w:ind w:left="0"/>
              <w:jc w:val="center"/>
              <w:rPr>
                <w:bCs/>
                <w:sz w:val="20"/>
              </w:rPr>
            </w:pPr>
            <w:r w:rsidRPr="00006FCB">
              <w:rPr>
                <w:bCs/>
                <w:spacing w:val="-2"/>
                <w:sz w:val="20"/>
              </w:rPr>
              <w:t>-</w:t>
            </w:r>
            <w:r w:rsidR="00CC3D51" w:rsidRPr="00006FCB">
              <w:rPr>
                <w:bCs/>
                <w:spacing w:val="-2"/>
                <w:sz w:val="20"/>
              </w:rPr>
              <w:t>0.39</w:t>
            </w:r>
          </w:p>
          <w:p w14:paraId="23070B0D" w14:textId="7AD4E650" w:rsidR="00CC3D51" w:rsidRPr="00006FCB" w:rsidRDefault="00CC3D51" w:rsidP="00AA2F7B">
            <w:pPr>
              <w:pStyle w:val="TableText0"/>
              <w:framePr w:hSpace="0" w:wrap="auto" w:vAnchor="margin" w:yAlign="inline"/>
              <w:suppressOverlap w:val="0"/>
              <w:jc w:val="center"/>
              <w:rPr>
                <w:b/>
              </w:rPr>
            </w:pPr>
            <w:r w:rsidRPr="00006FCB">
              <w:t>(0.144)</w:t>
            </w:r>
          </w:p>
        </w:tc>
        <w:tc>
          <w:tcPr>
            <w:tcW w:w="601" w:type="pct"/>
            <w:tcMar>
              <w:left w:w="20" w:type="dxa"/>
              <w:right w:w="20" w:type="dxa"/>
            </w:tcMar>
            <w:vAlign w:val="center"/>
          </w:tcPr>
          <w:p w14:paraId="603FAECA" w14:textId="1513AC36" w:rsidR="00CC3D51" w:rsidRPr="00006FCB" w:rsidRDefault="00CC3D51" w:rsidP="00AA2F7B">
            <w:pPr>
              <w:pStyle w:val="TableText0"/>
              <w:framePr w:hSpace="0" w:wrap="auto" w:vAnchor="margin" w:yAlign="inline"/>
              <w:suppressOverlap w:val="0"/>
              <w:jc w:val="center"/>
              <w:rPr>
                <w:b/>
                <w:bCs w:val="0"/>
                <w:spacing w:val="-2"/>
              </w:rPr>
            </w:pPr>
            <w:r w:rsidRPr="00006FCB">
              <w:rPr>
                <w:b/>
                <w:bCs w:val="0"/>
              </w:rPr>
              <w:t>0.69</w:t>
            </w:r>
          </w:p>
          <w:p w14:paraId="062156A6" w14:textId="77777777" w:rsidR="00CC3D51" w:rsidRPr="00006FCB" w:rsidRDefault="00CC3D51" w:rsidP="00AA2F7B">
            <w:pPr>
              <w:pStyle w:val="TableText0"/>
              <w:framePr w:hSpace="0" w:wrap="auto" w:vAnchor="margin" w:yAlign="inline"/>
              <w:suppressOverlap w:val="0"/>
              <w:jc w:val="center"/>
              <w:rPr>
                <w:b/>
                <w:bCs w:val="0"/>
              </w:rPr>
            </w:pPr>
            <w:r w:rsidRPr="00006FCB">
              <w:rPr>
                <w:b/>
                <w:bCs w:val="0"/>
              </w:rPr>
              <w:t>(0.40, 0.99)</w:t>
            </w:r>
          </w:p>
        </w:tc>
        <w:tc>
          <w:tcPr>
            <w:tcW w:w="414" w:type="pct"/>
            <w:tcMar>
              <w:left w:w="20" w:type="dxa"/>
              <w:right w:w="20" w:type="dxa"/>
            </w:tcMar>
            <w:vAlign w:val="center"/>
          </w:tcPr>
          <w:p w14:paraId="4805DAEC" w14:textId="77777777" w:rsidR="00CC3D51" w:rsidRPr="00006FCB" w:rsidRDefault="00CC3D51" w:rsidP="00AA2F7B">
            <w:pPr>
              <w:pStyle w:val="TableText0"/>
              <w:framePr w:hSpace="0" w:wrap="auto" w:vAnchor="margin" w:yAlign="inline"/>
              <w:suppressOverlap w:val="0"/>
              <w:jc w:val="center"/>
              <w:rPr>
                <w:b/>
              </w:rPr>
            </w:pPr>
            <w:r w:rsidRPr="00006FCB">
              <w:t>&lt;0.0001</w:t>
            </w:r>
          </w:p>
        </w:tc>
      </w:tr>
      <w:tr w:rsidR="00F13150" w:rsidRPr="00006FCB" w14:paraId="35410713" w14:textId="77777777" w:rsidTr="4D2BAA30">
        <w:tc>
          <w:tcPr>
            <w:tcW w:w="837" w:type="pct"/>
            <w:tcMar>
              <w:left w:w="20" w:type="dxa"/>
              <w:right w:w="20" w:type="dxa"/>
            </w:tcMar>
            <w:vAlign w:val="center"/>
          </w:tcPr>
          <w:p w14:paraId="280D6191" w14:textId="77777777" w:rsidR="00CC3D51" w:rsidRPr="00006FCB" w:rsidRDefault="00CC3D51" w:rsidP="00AA2F7B">
            <w:pPr>
              <w:pStyle w:val="TableText0"/>
              <w:framePr w:hSpace="0" w:wrap="auto" w:vAnchor="margin" w:yAlign="inline"/>
              <w:suppressOverlap w:val="0"/>
              <w:rPr>
                <w:b/>
              </w:rPr>
            </w:pPr>
            <w:r w:rsidRPr="00006FCB">
              <w:t>Serum calcium-phosphate product</w:t>
            </w:r>
          </w:p>
        </w:tc>
        <w:tc>
          <w:tcPr>
            <w:tcW w:w="504" w:type="pct"/>
            <w:tcMar>
              <w:left w:w="20" w:type="dxa"/>
              <w:right w:w="20" w:type="dxa"/>
            </w:tcMar>
            <w:vAlign w:val="center"/>
          </w:tcPr>
          <w:p w14:paraId="2464CD3F" w14:textId="77777777" w:rsidR="00CC3D51" w:rsidRPr="00006FCB" w:rsidRDefault="00CC3D51" w:rsidP="00AA2F7B">
            <w:pPr>
              <w:pStyle w:val="TableText0"/>
              <w:framePr w:hSpace="0" w:wrap="auto" w:vAnchor="margin" w:yAlign="inline"/>
              <w:suppressOverlap w:val="0"/>
              <w:jc w:val="center"/>
              <w:rPr>
                <w:b/>
              </w:rPr>
            </w:pPr>
            <w:r w:rsidRPr="00006FCB">
              <w:t>37.05 (5.68)</w:t>
            </w:r>
          </w:p>
        </w:tc>
        <w:tc>
          <w:tcPr>
            <w:tcW w:w="504" w:type="pct"/>
            <w:tcMar>
              <w:left w:w="20" w:type="dxa"/>
              <w:right w:w="20" w:type="dxa"/>
            </w:tcMar>
            <w:vAlign w:val="center"/>
          </w:tcPr>
          <w:p w14:paraId="4A22ADFF" w14:textId="77777777" w:rsidR="00CC3D51" w:rsidRPr="00006FCB" w:rsidRDefault="00CC3D51" w:rsidP="00AA2F7B">
            <w:pPr>
              <w:pStyle w:val="TableText0"/>
              <w:framePr w:hSpace="0" w:wrap="auto" w:vAnchor="margin" w:yAlign="inline"/>
              <w:suppressOverlap w:val="0"/>
              <w:jc w:val="center"/>
              <w:rPr>
                <w:b/>
              </w:rPr>
            </w:pPr>
            <w:r w:rsidRPr="00006FCB">
              <w:t>33.89 (4.76)</w:t>
            </w:r>
          </w:p>
        </w:tc>
        <w:tc>
          <w:tcPr>
            <w:tcW w:w="544" w:type="pct"/>
            <w:tcMar>
              <w:left w:w="20" w:type="dxa"/>
              <w:right w:w="20" w:type="dxa"/>
            </w:tcMar>
            <w:vAlign w:val="center"/>
          </w:tcPr>
          <w:p w14:paraId="73A2979E" w14:textId="0FC61C7C" w:rsidR="00CC3D51" w:rsidRPr="00006FCB" w:rsidRDefault="006A33BA" w:rsidP="00AA2F7B">
            <w:pPr>
              <w:pStyle w:val="TableText0"/>
              <w:framePr w:hSpace="0" w:wrap="auto" w:vAnchor="margin" w:yAlign="inline"/>
              <w:suppressOverlap w:val="0"/>
              <w:jc w:val="center"/>
            </w:pPr>
            <w:r w:rsidRPr="00006FCB">
              <w:t>-</w:t>
            </w:r>
            <w:r w:rsidR="00CC3D51" w:rsidRPr="00006FCB">
              <w:t>1.8</w:t>
            </w:r>
            <w:r w:rsidR="00F62C7C">
              <w:t>4</w:t>
            </w:r>
            <w:r w:rsidR="00CC3D51" w:rsidRPr="00006FCB">
              <w:rPr>
                <w:spacing w:val="-9"/>
              </w:rPr>
              <w:t xml:space="preserve"> </w:t>
            </w:r>
            <w:r w:rsidR="00CC3D51" w:rsidRPr="00006FCB">
              <w:t>(0.76)</w:t>
            </w:r>
          </w:p>
        </w:tc>
        <w:tc>
          <w:tcPr>
            <w:tcW w:w="532" w:type="pct"/>
            <w:tcMar>
              <w:left w:w="20" w:type="dxa"/>
              <w:right w:w="20" w:type="dxa"/>
            </w:tcMar>
            <w:vAlign w:val="center"/>
          </w:tcPr>
          <w:p w14:paraId="5F7D3FAE" w14:textId="77777777" w:rsidR="00817A94" w:rsidRPr="00006FCB" w:rsidRDefault="00CC3D51" w:rsidP="00AA2F7B">
            <w:pPr>
              <w:pStyle w:val="TableText0"/>
              <w:framePr w:hSpace="0" w:wrap="auto" w:vAnchor="margin" w:yAlign="inline"/>
              <w:suppressOverlap w:val="0"/>
              <w:jc w:val="center"/>
            </w:pPr>
            <w:r w:rsidRPr="00006FCB">
              <w:t xml:space="preserve">33.67 </w:t>
            </w:r>
          </w:p>
          <w:p w14:paraId="3F9F836E" w14:textId="5BBC3D01" w:rsidR="00CC3D51" w:rsidRPr="00006FCB" w:rsidRDefault="00CC3D51" w:rsidP="00AA2F7B">
            <w:pPr>
              <w:pStyle w:val="TableText0"/>
              <w:framePr w:hSpace="0" w:wrap="auto" w:vAnchor="margin" w:yAlign="inline"/>
              <w:suppressOverlap w:val="0"/>
              <w:jc w:val="center"/>
              <w:rPr>
                <w:b/>
              </w:rPr>
            </w:pPr>
            <w:r w:rsidRPr="00006FCB">
              <w:t>(6.73)</w:t>
            </w:r>
          </w:p>
        </w:tc>
        <w:tc>
          <w:tcPr>
            <w:tcW w:w="532" w:type="pct"/>
            <w:tcMar>
              <w:left w:w="20" w:type="dxa"/>
              <w:right w:w="20" w:type="dxa"/>
            </w:tcMar>
            <w:vAlign w:val="center"/>
          </w:tcPr>
          <w:p w14:paraId="1AE5677D" w14:textId="77777777" w:rsidR="006D1465" w:rsidRPr="00006FCB" w:rsidRDefault="00CC3D51" w:rsidP="00AA2F7B">
            <w:pPr>
              <w:pStyle w:val="TableText0"/>
              <w:framePr w:hSpace="0" w:wrap="auto" w:vAnchor="margin" w:yAlign="inline"/>
              <w:suppressOverlap w:val="0"/>
              <w:jc w:val="center"/>
            </w:pPr>
            <w:r w:rsidRPr="00006FCB">
              <w:t xml:space="preserve">31.66 </w:t>
            </w:r>
          </w:p>
          <w:p w14:paraId="6581F6B0" w14:textId="777692A9" w:rsidR="00CC3D51" w:rsidRPr="00006FCB" w:rsidRDefault="00CC3D51" w:rsidP="00AA2F7B">
            <w:pPr>
              <w:pStyle w:val="TableText0"/>
              <w:framePr w:hSpace="0" w:wrap="auto" w:vAnchor="margin" w:yAlign="inline"/>
              <w:suppressOverlap w:val="0"/>
              <w:jc w:val="center"/>
              <w:rPr>
                <w:b/>
              </w:rPr>
            </w:pPr>
            <w:r w:rsidRPr="00006FCB">
              <w:t>(6.41)</w:t>
            </w:r>
          </w:p>
        </w:tc>
        <w:tc>
          <w:tcPr>
            <w:tcW w:w="532" w:type="pct"/>
            <w:tcMar>
              <w:left w:w="20" w:type="dxa"/>
              <w:right w:w="20" w:type="dxa"/>
            </w:tcMar>
            <w:vAlign w:val="center"/>
          </w:tcPr>
          <w:p w14:paraId="45E1B513" w14:textId="62834AC9" w:rsidR="00CC3D51" w:rsidRPr="00006FCB" w:rsidRDefault="006A33BA" w:rsidP="00AA2F7B">
            <w:pPr>
              <w:pStyle w:val="TableParagraph"/>
              <w:keepNext/>
              <w:widowControl/>
              <w:spacing w:line="228" w:lineRule="exact"/>
              <w:ind w:left="0"/>
              <w:jc w:val="center"/>
              <w:rPr>
                <w:bCs/>
                <w:sz w:val="20"/>
              </w:rPr>
            </w:pPr>
            <w:r w:rsidRPr="00006FCB">
              <w:rPr>
                <w:bCs/>
                <w:spacing w:val="-2"/>
                <w:sz w:val="20"/>
              </w:rPr>
              <w:t>-</w:t>
            </w:r>
            <w:r w:rsidR="00CC3D51" w:rsidRPr="00006FCB">
              <w:rPr>
                <w:bCs/>
                <w:spacing w:val="-2"/>
                <w:sz w:val="20"/>
              </w:rPr>
              <w:t>2.77</w:t>
            </w:r>
          </w:p>
          <w:p w14:paraId="4F075E5E" w14:textId="57AC8748" w:rsidR="00CC3D51" w:rsidRPr="00006FCB" w:rsidRDefault="00CC3D51" w:rsidP="00AA2F7B">
            <w:pPr>
              <w:pStyle w:val="TableText0"/>
              <w:framePr w:hSpace="0" w:wrap="auto" w:vAnchor="margin" w:yAlign="inline"/>
              <w:suppressOverlap w:val="0"/>
              <w:jc w:val="center"/>
              <w:rPr>
                <w:b/>
              </w:rPr>
            </w:pPr>
            <w:r w:rsidRPr="00006FCB">
              <w:t>(1.28)</w:t>
            </w:r>
          </w:p>
        </w:tc>
        <w:tc>
          <w:tcPr>
            <w:tcW w:w="601" w:type="pct"/>
            <w:tcMar>
              <w:left w:w="20" w:type="dxa"/>
              <w:right w:w="20" w:type="dxa"/>
            </w:tcMar>
            <w:vAlign w:val="center"/>
          </w:tcPr>
          <w:p w14:paraId="68BC29C4" w14:textId="2EC24958" w:rsidR="00CC3D51" w:rsidRPr="00006FCB" w:rsidRDefault="00CC3D51" w:rsidP="00AA2F7B">
            <w:pPr>
              <w:pStyle w:val="TableText0"/>
              <w:framePr w:hSpace="0" w:wrap="auto" w:vAnchor="margin" w:yAlign="inline"/>
              <w:suppressOverlap w:val="0"/>
              <w:jc w:val="center"/>
              <w:rPr>
                <w:b/>
                <w:spacing w:val="-2"/>
              </w:rPr>
            </w:pPr>
            <w:r w:rsidRPr="00006FCB">
              <w:t>0.93</w:t>
            </w:r>
          </w:p>
          <w:p w14:paraId="159B3A71" w14:textId="5C616144" w:rsidR="00CC3D51" w:rsidRPr="00006FCB" w:rsidRDefault="00CC3D51" w:rsidP="00AA2F7B">
            <w:pPr>
              <w:pStyle w:val="TableText0"/>
              <w:framePr w:hSpace="0" w:wrap="auto" w:vAnchor="margin" w:yAlign="inline"/>
              <w:suppressOverlap w:val="0"/>
              <w:jc w:val="center"/>
              <w:rPr>
                <w:b/>
              </w:rPr>
            </w:pPr>
            <w:r w:rsidRPr="00006FCB">
              <w:t>(</w:t>
            </w:r>
            <w:r w:rsidR="006A33BA" w:rsidRPr="00006FCB">
              <w:t>-</w:t>
            </w:r>
            <w:r w:rsidRPr="00006FCB">
              <w:t>1.68, 3.55)</w:t>
            </w:r>
          </w:p>
        </w:tc>
        <w:tc>
          <w:tcPr>
            <w:tcW w:w="414" w:type="pct"/>
            <w:tcMar>
              <w:left w:w="20" w:type="dxa"/>
              <w:right w:w="20" w:type="dxa"/>
            </w:tcMar>
            <w:vAlign w:val="center"/>
          </w:tcPr>
          <w:p w14:paraId="7F1DCCA6" w14:textId="77777777" w:rsidR="00CC3D51" w:rsidRPr="00006FCB" w:rsidRDefault="00CC3D51" w:rsidP="00AA2F7B">
            <w:pPr>
              <w:pStyle w:val="TableText0"/>
              <w:framePr w:hSpace="0" w:wrap="auto" w:vAnchor="margin" w:yAlign="inline"/>
              <w:suppressOverlap w:val="0"/>
              <w:jc w:val="center"/>
              <w:rPr>
                <w:b/>
              </w:rPr>
            </w:pPr>
            <w:r w:rsidRPr="00006FCB">
              <w:t>0.4711</w:t>
            </w:r>
          </w:p>
        </w:tc>
      </w:tr>
    </w:tbl>
    <w:p w14:paraId="1AB926AB" w14:textId="543C4790" w:rsidR="00CC3D51" w:rsidRPr="00006FCB" w:rsidRDefault="00CC3D51" w:rsidP="00265947">
      <w:pPr>
        <w:pStyle w:val="TableFigureFooter"/>
      </w:pPr>
      <w:r w:rsidRPr="00006FCB">
        <w:t>Source: Table 30</w:t>
      </w:r>
      <w:r w:rsidR="00FD0555" w:rsidRPr="00006FCB">
        <w:t xml:space="preserve"> p74</w:t>
      </w:r>
      <w:r w:rsidRPr="00006FCB">
        <w:t xml:space="preserve">, Table 31 </w:t>
      </w:r>
      <w:r w:rsidR="00FD0555" w:rsidRPr="00006FCB">
        <w:t>p78</w:t>
      </w:r>
      <w:r w:rsidR="0034285A" w:rsidRPr="00006FCB">
        <w:t xml:space="preserve"> </w:t>
      </w:r>
      <w:r w:rsidRPr="00006FCB">
        <w:t>of the submission.</w:t>
      </w:r>
    </w:p>
    <w:p w14:paraId="4C0D1B87" w14:textId="77777777" w:rsidR="00CC3D51" w:rsidRPr="00006FCB" w:rsidRDefault="00CC3D51" w:rsidP="00265947">
      <w:pPr>
        <w:pStyle w:val="TableFigureFooter"/>
      </w:pPr>
      <w:r w:rsidRPr="4D2BAA30">
        <w:t>ANCOVA = analysis of covariance, CI = confidence interval, ITT = intention to treat, LS = least squares, PBO = placebo, PPT = palopegteriparatide, SD = standard deviation, SE = standard error.</w:t>
      </w:r>
    </w:p>
    <w:p w14:paraId="2DE5E6BB" w14:textId="77777777" w:rsidR="00CC3D51" w:rsidRPr="00006FCB" w:rsidRDefault="00CC3D51" w:rsidP="00265947">
      <w:pPr>
        <w:pStyle w:val="TableFigureFooter"/>
      </w:pPr>
      <w:r w:rsidRPr="00006FCB">
        <w:rPr>
          <w:vertAlign w:val="superscript"/>
        </w:rPr>
        <w:t>a</w:t>
      </w:r>
      <w:r w:rsidRPr="00006FCB">
        <w:t xml:space="preserve"> calculated from ANCOVA model.</w:t>
      </w:r>
    </w:p>
    <w:p w14:paraId="156428F0" w14:textId="21EC06C2" w:rsidR="00BF1008" w:rsidRPr="00006FCB" w:rsidRDefault="00EE3E04" w:rsidP="00AA2F7B">
      <w:pPr>
        <w:pStyle w:val="FooterTableFigure"/>
        <w:keepNext/>
        <w:spacing w:after="0"/>
        <w:rPr>
          <w:rFonts w:eastAsia="Calibri"/>
          <w:b/>
        </w:rPr>
      </w:pPr>
      <w:r w:rsidRPr="00006FCB">
        <w:rPr>
          <w:vertAlign w:val="superscript"/>
        </w:rPr>
        <w:t>b</w:t>
      </w:r>
      <w:r w:rsidRPr="00006FCB">
        <w:t xml:space="preserve"> </w:t>
      </w:r>
      <w:r w:rsidR="00531D82" w:rsidRPr="00006FCB">
        <w:t>the</w:t>
      </w:r>
      <w:r w:rsidRPr="00006FCB">
        <w:t xml:space="preserve"> normal range for albumin-adjusted serum calcium was 8.3 to 10.6 mg/dL (2.07 to 2.64 mmol/L).</w:t>
      </w:r>
      <w:r w:rsidR="00BF1008" w:rsidRPr="00006FCB">
        <w:rPr>
          <w:rFonts w:eastAsia="Calibri"/>
          <w:b/>
        </w:rPr>
        <w:t xml:space="preserve"> </w:t>
      </w:r>
    </w:p>
    <w:p w14:paraId="14678CA3" w14:textId="50669507" w:rsidR="00BF1008" w:rsidRPr="00006FCB" w:rsidRDefault="7DF89D75" w:rsidP="383E5602">
      <w:pPr>
        <w:pStyle w:val="FooterTableFigure"/>
        <w:keepNext/>
        <w:rPr>
          <w:rFonts w:eastAsia="Calibri"/>
          <w:vertAlign w:val="superscript"/>
        </w:rPr>
      </w:pPr>
      <w:r w:rsidRPr="383E5602">
        <w:rPr>
          <w:rFonts w:eastAsia="Calibri"/>
          <w:b/>
          <w:bCs/>
        </w:rPr>
        <w:t>Bold</w:t>
      </w:r>
      <w:r w:rsidRPr="383E5602">
        <w:rPr>
          <w:rFonts w:eastAsia="Calibri"/>
        </w:rPr>
        <w:t xml:space="preserve"> represents a significant result.</w:t>
      </w:r>
    </w:p>
    <w:p w14:paraId="6F71F1A8" w14:textId="700036F8" w:rsidR="005307A1" w:rsidRPr="00006FCB" w:rsidRDefault="005307A1" w:rsidP="005307A1">
      <w:pPr>
        <w:pStyle w:val="3-BodyText"/>
      </w:pPr>
      <w:r w:rsidRPr="4D2BAA30">
        <w:t>At the end of Week 26, patients in the palopegteriparatide arm had their mean daily dose of calcium reduced to a supplemental dose (</w:t>
      </w:r>
      <w:r w:rsidRPr="4D2BAA30">
        <w:rPr>
          <w:rFonts w:cs="Calibri"/>
        </w:rPr>
        <w:t>≤ 600 mg/day</w:t>
      </w:r>
      <w:r w:rsidRPr="4D2BAA30">
        <w:t>). Patients in the placebo arm did not. At baseline the active vitamin D doses and mean daily pill burden in both arms were similar (6.69</w:t>
      </w:r>
      <w:r w:rsidR="00AF53ED">
        <w:t xml:space="preserve"> and </w:t>
      </w:r>
      <w:r w:rsidRPr="4D2BAA30">
        <w:t xml:space="preserve">6.74 tablets); however, by the end of Week 26, all patients in the palopegteriparatide arm had stopped taking their active vitamin D tablets and the mean daily pill burden for patients using palopegteriparatide had reduced to 0.45 tablets. The difference in the </w:t>
      </w:r>
      <w:r w:rsidR="00A10495" w:rsidRPr="4D2BAA30">
        <w:t>least square (</w:t>
      </w:r>
      <w:r w:rsidRPr="4D2BAA30">
        <w:t>LS</w:t>
      </w:r>
      <w:r w:rsidR="00A10495" w:rsidRPr="4D2BAA30">
        <w:t>)</w:t>
      </w:r>
      <w:r w:rsidRPr="4D2BAA30">
        <w:t xml:space="preserve"> means between the palopegteriparatide arm and the placebo arm was significant for change in calcium dose</w:t>
      </w:r>
      <w:r w:rsidR="005F253C" w:rsidRPr="4D2BAA30">
        <w:t>,</w:t>
      </w:r>
      <w:r w:rsidRPr="4D2BAA30">
        <w:t xml:space="preserve"> active vitamin D dose and daily pill burden. </w:t>
      </w:r>
    </w:p>
    <w:p w14:paraId="01509CF1" w14:textId="41453910" w:rsidR="005307A1" w:rsidRPr="00006FCB" w:rsidRDefault="005307A1" w:rsidP="4D2BAA30">
      <w:pPr>
        <w:pStyle w:val="3-BodyText"/>
        <w:rPr>
          <w:color w:val="0066FF"/>
        </w:rPr>
      </w:pPr>
      <w:r w:rsidRPr="4D2BAA30">
        <w:t xml:space="preserve">With respect to biochemistry results, the mean serum calcium levels were in the normal range for the palopegteriparatide arm at baseline and Week 26. Patients in the placebo arm experienced a numerical decrease </w:t>
      </w:r>
      <w:r w:rsidR="00B040B4" w:rsidRPr="4D2BAA30">
        <w:t xml:space="preserve">in mean serum calcium level </w:t>
      </w:r>
      <w:r w:rsidRPr="4D2BAA30">
        <w:t>at Week 26</w:t>
      </w:r>
      <w:r w:rsidR="003723E8" w:rsidRPr="4D2BAA30">
        <w:t>,</w:t>
      </w:r>
      <w:r w:rsidRPr="4D2BAA30">
        <w:t xml:space="preserve"> </w:t>
      </w:r>
      <w:r w:rsidR="00B040B4" w:rsidRPr="4D2BAA30">
        <w:t>with it falling to</w:t>
      </w:r>
      <w:r w:rsidRPr="4D2BAA30">
        <w:t xml:space="preserve"> just below the normal range. The difference in the LS means was significant. These results </w:t>
      </w:r>
      <w:r w:rsidR="007978D3">
        <w:t>need to</w:t>
      </w:r>
      <w:r w:rsidR="007978D3" w:rsidRPr="4D2BAA30">
        <w:t xml:space="preserve"> </w:t>
      </w:r>
      <w:r w:rsidRPr="4D2BAA30">
        <w:t>be interpreted in the context of the trial titration algorithm</w:t>
      </w:r>
      <w:r w:rsidR="007978D3">
        <w:t>,</w:t>
      </w:r>
      <w:r w:rsidR="00112B4B" w:rsidRPr="4D2BAA30">
        <w:t xml:space="preserve"> as</w:t>
      </w:r>
      <w:r w:rsidRPr="4D2BAA30">
        <w:t xml:space="preserve"> patients in the placebo arm</w:t>
      </w:r>
      <w:r w:rsidR="00397DA5" w:rsidRPr="4D2BAA30">
        <w:t xml:space="preserve"> with </w:t>
      </w:r>
      <w:r w:rsidR="00112B4B" w:rsidRPr="4D2BAA30">
        <w:t xml:space="preserve">normal serum calcium levels </w:t>
      </w:r>
      <w:r w:rsidRPr="4D2BAA30">
        <w:t>had their calcium and active vitamin D doses reduced.</w:t>
      </w:r>
    </w:p>
    <w:p w14:paraId="535BB9D5" w14:textId="65721389" w:rsidR="00E659EA" w:rsidRPr="00006FCB" w:rsidRDefault="065D25B7" w:rsidP="00E659EA">
      <w:pPr>
        <w:pStyle w:val="3-BodyText"/>
      </w:pPr>
      <w:r w:rsidRPr="383E5602">
        <w:t xml:space="preserve">Results related to </w:t>
      </w:r>
      <w:r w:rsidR="2AE841B6" w:rsidRPr="383E5602">
        <w:t>key</w:t>
      </w:r>
      <w:r w:rsidR="71E0B2B3" w:rsidRPr="383E5602">
        <w:t xml:space="preserve"> </w:t>
      </w:r>
      <w:r w:rsidRPr="383E5602">
        <w:t xml:space="preserve">secondary outcomes i.e., changes from baseline in hypoparathyroidism experience scales (HPES) and SF-36 are presented in </w:t>
      </w:r>
      <w:r w:rsidR="00E659EA" w:rsidRPr="00006FCB">
        <w:fldChar w:fldCharType="begin"/>
      </w:r>
      <w:r w:rsidR="00E659EA" w:rsidRPr="00006FCB">
        <w:instrText xml:space="preserve"> REF _Ref184726970 \h </w:instrText>
      </w:r>
      <w:r w:rsidR="00006FCB" w:rsidRPr="00006FCB">
        <w:instrText xml:space="preserve"> \* MERGEFORMAT </w:instrText>
      </w:r>
      <w:r w:rsidR="00E659EA" w:rsidRPr="00006FCB">
        <w:fldChar w:fldCharType="separate"/>
      </w:r>
      <w:r w:rsidR="00DA35E4" w:rsidRPr="4D2BAA30">
        <w:t xml:space="preserve">Table </w:t>
      </w:r>
      <w:r w:rsidR="00DA35E4">
        <w:rPr>
          <w:noProof/>
        </w:rPr>
        <w:t>6</w:t>
      </w:r>
      <w:r w:rsidR="00E659EA" w:rsidRPr="00006FCB">
        <w:fldChar w:fldCharType="end"/>
      </w:r>
      <w:r w:rsidRPr="383E5602">
        <w:t>.</w:t>
      </w:r>
      <w:r w:rsidR="0E4ED2E9" w:rsidRPr="383E5602">
        <w:t xml:space="preserve"> </w:t>
      </w:r>
      <w:r w:rsidRPr="383E5602">
        <w:t xml:space="preserve"> </w:t>
      </w:r>
      <w:r w:rsidR="0E4ED2E9" w:rsidRPr="383E5602">
        <w:t xml:space="preserve">The HPES is a disease-specific </w:t>
      </w:r>
      <w:r w:rsidR="00837A02">
        <w:t>patient-related outcome</w:t>
      </w:r>
      <w:r w:rsidR="0E4ED2E9" w:rsidRPr="383E5602">
        <w:t xml:space="preserve"> that was developed and validated by the Sponsor</w:t>
      </w:r>
      <w:r w:rsidR="349C18EA" w:rsidRPr="383E5602">
        <w:t xml:space="preserve"> in a different study</w:t>
      </w:r>
      <w:r w:rsidR="00E80E87" w:rsidRPr="383E5602">
        <w:rPr>
          <w:rStyle w:val="FootnoteReference"/>
        </w:rPr>
        <w:footnoteReference w:id="5"/>
      </w:r>
      <w:r w:rsidR="0E4ED2E9" w:rsidRPr="383E5602">
        <w:t xml:space="preserve"> to assess relevant patient reported symptom and disease impacts. </w:t>
      </w:r>
      <w:r w:rsidRPr="383E5602">
        <w:t xml:space="preserve">A decrease in HPES scores and an increase in SF-36 scores indicates an improvement in HRQoL. </w:t>
      </w:r>
    </w:p>
    <w:p w14:paraId="07450831" w14:textId="216A8995" w:rsidR="00E659EA" w:rsidRPr="00006FCB" w:rsidRDefault="00E659EA" w:rsidP="00E659EA">
      <w:pPr>
        <w:pStyle w:val="Caption"/>
      </w:pPr>
      <w:bookmarkStart w:id="30" w:name="_Ref184726970"/>
      <w:r w:rsidRPr="4D2BAA30">
        <w:t xml:space="preserve">Table </w:t>
      </w:r>
      <w:r w:rsidRPr="4D2BAA30">
        <w:fldChar w:fldCharType="begin"/>
      </w:r>
      <w:r>
        <w:instrText xml:space="preserve"> SEQ Table \* ARABIC </w:instrText>
      </w:r>
      <w:r w:rsidRPr="4D2BAA30">
        <w:fldChar w:fldCharType="separate"/>
      </w:r>
      <w:r w:rsidR="00DA35E4">
        <w:rPr>
          <w:noProof/>
        </w:rPr>
        <w:t>6</w:t>
      </w:r>
      <w:r w:rsidRPr="4D2BAA30">
        <w:rPr>
          <w:noProof/>
        </w:rPr>
        <w:fldChar w:fldCharType="end"/>
      </w:r>
      <w:bookmarkEnd w:id="30"/>
      <w:r w:rsidRPr="4D2BAA30">
        <w:t xml:space="preserve">: Results of </w:t>
      </w:r>
      <w:r w:rsidR="000F55EF" w:rsidRPr="4D2BAA30">
        <w:t>key secondary outcomes</w:t>
      </w:r>
      <w:r w:rsidR="00A15A7F" w:rsidRPr="4D2BAA30">
        <w:t xml:space="preserve"> </w:t>
      </w:r>
      <w:r w:rsidRPr="4D2BAA30">
        <w:t>and EQ-5D-5L scores in PaTHway at Week 26 (ITT population)</w:t>
      </w:r>
    </w:p>
    <w:tbl>
      <w:tblPr>
        <w:tblpPr w:leftFromText="180" w:rightFromText="180" w:vertAnchor="text" w:tblpY="1"/>
        <w:tblOverlap w:val="neve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Results of key secondary outcomes and EQ-5D-5L scores in PaTHway at Week 26 (ITT population)"/>
      </w:tblPr>
      <w:tblGrid>
        <w:gridCol w:w="1515"/>
        <w:gridCol w:w="912"/>
        <w:gridCol w:w="916"/>
        <w:gridCol w:w="881"/>
        <w:gridCol w:w="919"/>
        <w:gridCol w:w="918"/>
        <w:gridCol w:w="921"/>
        <w:gridCol w:w="1234"/>
        <w:gridCol w:w="815"/>
      </w:tblGrid>
      <w:tr w:rsidR="007D4AE5" w:rsidRPr="00006FCB" w14:paraId="4937C8D7" w14:textId="77777777" w:rsidTr="4D2BAA30">
        <w:trPr>
          <w:tblHeader/>
        </w:trPr>
        <w:tc>
          <w:tcPr>
            <w:tcW w:w="839" w:type="pct"/>
            <w:vMerge w:val="restart"/>
            <w:vAlign w:val="center"/>
          </w:tcPr>
          <w:p w14:paraId="7E57E364" w14:textId="77777777" w:rsidR="007D4AE5" w:rsidRPr="00006FCB" w:rsidRDefault="007D4AE5" w:rsidP="006C0FF8">
            <w:pPr>
              <w:pStyle w:val="TableText0"/>
              <w:framePr w:hSpace="0" w:wrap="auto" w:vAnchor="margin" w:yAlign="inline"/>
              <w:suppressOverlap w:val="0"/>
              <w:rPr>
                <w:b/>
                <w:bCs w:val="0"/>
              </w:rPr>
            </w:pPr>
            <w:r w:rsidRPr="00006FCB">
              <w:rPr>
                <w:b/>
                <w:bCs w:val="0"/>
              </w:rPr>
              <w:t>Instrument (Domain/subscale)</w:t>
            </w:r>
          </w:p>
        </w:tc>
        <w:tc>
          <w:tcPr>
            <w:tcW w:w="1500" w:type="pct"/>
            <w:gridSpan w:val="3"/>
            <w:vAlign w:val="center"/>
          </w:tcPr>
          <w:p w14:paraId="0CBB6EE1" w14:textId="77777777" w:rsidR="007D4AE5" w:rsidRPr="00006FCB" w:rsidRDefault="007D4AE5" w:rsidP="4D2BAA30">
            <w:pPr>
              <w:pStyle w:val="TableText0"/>
              <w:framePr w:hSpace="0" w:wrap="auto" w:vAnchor="margin" w:yAlign="inline"/>
              <w:suppressOverlap w:val="0"/>
              <w:jc w:val="center"/>
              <w:rPr>
                <w:b/>
              </w:rPr>
            </w:pPr>
            <w:r w:rsidRPr="4D2BAA30">
              <w:rPr>
                <w:b/>
              </w:rPr>
              <w:t>Palopegteriparatide (N=61)</w:t>
            </w:r>
          </w:p>
        </w:tc>
        <w:tc>
          <w:tcPr>
            <w:tcW w:w="1527" w:type="pct"/>
            <w:gridSpan w:val="3"/>
            <w:vAlign w:val="center"/>
          </w:tcPr>
          <w:p w14:paraId="0D99662A"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Placebo (N=21)</w:t>
            </w:r>
          </w:p>
        </w:tc>
        <w:tc>
          <w:tcPr>
            <w:tcW w:w="1134" w:type="pct"/>
            <w:gridSpan w:val="2"/>
            <w:vMerge w:val="restart"/>
            <w:vAlign w:val="center"/>
          </w:tcPr>
          <w:p w14:paraId="50F1041E" w14:textId="77777777" w:rsidR="007D4AE5" w:rsidRPr="00006FCB" w:rsidRDefault="007D4AE5" w:rsidP="008707A7">
            <w:pPr>
              <w:pStyle w:val="TableText0"/>
              <w:framePr w:hSpace="0" w:wrap="auto" w:vAnchor="margin" w:yAlign="inline"/>
              <w:suppressOverlap w:val="0"/>
              <w:jc w:val="center"/>
              <w:rPr>
                <w:b/>
                <w:bCs w:val="0"/>
              </w:rPr>
            </w:pPr>
          </w:p>
        </w:tc>
      </w:tr>
      <w:tr w:rsidR="007D4AE5" w:rsidRPr="00006FCB" w14:paraId="2DA53C6F" w14:textId="77777777" w:rsidTr="4D2BAA30">
        <w:tc>
          <w:tcPr>
            <w:tcW w:w="839" w:type="pct"/>
            <w:vMerge/>
            <w:vAlign w:val="center"/>
          </w:tcPr>
          <w:p w14:paraId="4C7E98D2" w14:textId="77777777" w:rsidR="007D4AE5" w:rsidRPr="00006FCB" w:rsidRDefault="007D4AE5" w:rsidP="006C0FF8">
            <w:pPr>
              <w:pStyle w:val="TableText0"/>
              <w:framePr w:hSpace="0" w:wrap="auto" w:vAnchor="margin" w:yAlign="inline"/>
              <w:suppressOverlap w:val="0"/>
            </w:pPr>
          </w:p>
        </w:tc>
        <w:tc>
          <w:tcPr>
            <w:tcW w:w="505" w:type="pct"/>
            <w:vAlign w:val="center"/>
          </w:tcPr>
          <w:p w14:paraId="2FB9A0AF"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Baseline</w:t>
            </w:r>
          </w:p>
        </w:tc>
        <w:tc>
          <w:tcPr>
            <w:tcW w:w="507" w:type="pct"/>
            <w:vAlign w:val="center"/>
          </w:tcPr>
          <w:p w14:paraId="7F561EBB"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Week 26</w:t>
            </w:r>
          </w:p>
        </w:tc>
        <w:tc>
          <w:tcPr>
            <w:tcW w:w="488" w:type="pct"/>
            <w:vAlign w:val="center"/>
          </w:tcPr>
          <w:p w14:paraId="25E5DEE0"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 xml:space="preserve">Change from baseline </w:t>
            </w:r>
            <w:r w:rsidRPr="00006FCB">
              <w:rPr>
                <w:b/>
                <w:bCs w:val="0"/>
                <w:vertAlign w:val="superscript"/>
              </w:rPr>
              <w:t>a</w:t>
            </w:r>
          </w:p>
        </w:tc>
        <w:tc>
          <w:tcPr>
            <w:tcW w:w="509" w:type="pct"/>
            <w:vAlign w:val="center"/>
          </w:tcPr>
          <w:p w14:paraId="7EA4036C"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Baseline</w:t>
            </w:r>
          </w:p>
        </w:tc>
        <w:tc>
          <w:tcPr>
            <w:tcW w:w="508" w:type="pct"/>
            <w:vAlign w:val="center"/>
          </w:tcPr>
          <w:p w14:paraId="75245472"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Week 26</w:t>
            </w:r>
          </w:p>
        </w:tc>
        <w:tc>
          <w:tcPr>
            <w:tcW w:w="510" w:type="pct"/>
            <w:vAlign w:val="center"/>
          </w:tcPr>
          <w:p w14:paraId="0DC89054"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 xml:space="preserve">Change from baseline </w:t>
            </w:r>
            <w:r w:rsidRPr="00006FCB">
              <w:rPr>
                <w:b/>
                <w:bCs w:val="0"/>
                <w:vertAlign w:val="superscript"/>
              </w:rPr>
              <w:t>a</w:t>
            </w:r>
          </w:p>
        </w:tc>
        <w:tc>
          <w:tcPr>
            <w:tcW w:w="1134" w:type="pct"/>
            <w:gridSpan w:val="2"/>
            <w:vMerge/>
            <w:vAlign w:val="center"/>
          </w:tcPr>
          <w:p w14:paraId="0A88655C" w14:textId="77777777" w:rsidR="007D4AE5" w:rsidRPr="00006FCB" w:rsidRDefault="007D4AE5" w:rsidP="008707A7">
            <w:pPr>
              <w:pStyle w:val="TableText0"/>
              <w:framePr w:hSpace="0" w:wrap="auto" w:vAnchor="margin" w:yAlign="inline"/>
              <w:suppressOverlap w:val="0"/>
              <w:jc w:val="center"/>
              <w:rPr>
                <w:b/>
                <w:bCs w:val="0"/>
              </w:rPr>
            </w:pPr>
          </w:p>
        </w:tc>
      </w:tr>
      <w:tr w:rsidR="007D4AE5" w:rsidRPr="00006FCB" w14:paraId="643AFFEF" w14:textId="77777777" w:rsidTr="4D2BAA30">
        <w:tc>
          <w:tcPr>
            <w:tcW w:w="839" w:type="pct"/>
            <w:vMerge/>
            <w:vAlign w:val="center"/>
          </w:tcPr>
          <w:p w14:paraId="370C4923" w14:textId="77777777" w:rsidR="007D4AE5" w:rsidRPr="00006FCB" w:rsidRDefault="007D4AE5" w:rsidP="006C0FF8">
            <w:pPr>
              <w:pStyle w:val="TableText0"/>
              <w:framePr w:hSpace="0" w:wrap="auto" w:vAnchor="margin" w:yAlign="inline"/>
              <w:suppressOverlap w:val="0"/>
            </w:pPr>
          </w:p>
        </w:tc>
        <w:tc>
          <w:tcPr>
            <w:tcW w:w="505" w:type="pct"/>
            <w:vAlign w:val="center"/>
          </w:tcPr>
          <w:p w14:paraId="6D5EA33F"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Mean (SD)</w:t>
            </w:r>
          </w:p>
        </w:tc>
        <w:tc>
          <w:tcPr>
            <w:tcW w:w="507" w:type="pct"/>
            <w:vAlign w:val="center"/>
          </w:tcPr>
          <w:p w14:paraId="62A9986D"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Mean (SD)</w:t>
            </w:r>
          </w:p>
        </w:tc>
        <w:tc>
          <w:tcPr>
            <w:tcW w:w="488" w:type="pct"/>
            <w:vAlign w:val="center"/>
          </w:tcPr>
          <w:p w14:paraId="62D4CE86" w14:textId="16367C76" w:rsidR="007D4AE5" w:rsidRPr="00006FCB" w:rsidRDefault="007D4AE5" w:rsidP="002E7482">
            <w:pPr>
              <w:pStyle w:val="TableText0"/>
              <w:framePr w:hSpace="0" w:wrap="auto" w:vAnchor="margin" w:yAlign="inline"/>
              <w:suppressOverlap w:val="0"/>
              <w:jc w:val="center"/>
              <w:rPr>
                <w:b/>
                <w:bCs w:val="0"/>
              </w:rPr>
            </w:pPr>
            <w:r w:rsidRPr="00006FCB">
              <w:rPr>
                <w:b/>
                <w:bCs w:val="0"/>
              </w:rPr>
              <w:t>LS mean (SE)</w:t>
            </w:r>
          </w:p>
        </w:tc>
        <w:tc>
          <w:tcPr>
            <w:tcW w:w="509" w:type="pct"/>
            <w:vAlign w:val="center"/>
          </w:tcPr>
          <w:p w14:paraId="1903D575"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Mean (SD)</w:t>
            </w:r>
          </w:p>
        </w:tc>
        <w:tc>
          <w:tcPr>
            <w:tcW w:w="508" w:type="pct"/>
            <w:vAlign w:val="center"/>
          </w:tcPr>
          <w:p w14:paraId="432096C3"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Mean (SD)</w:t>
            </w:r>
          </w:p>
        </w:tc>
        <w:tc>
          <w:tcPr>
            <w:tcW w:w="510" w:type="pct"/>
            <w:vAlign w:val="center"/>
          </w:tcPr>
          <w:p w14:paraId="63C5C805" w14:textId="0F7458C4" w:rsidR="007D4AE5" w:rsidRPr="00006FCB" w:rsidRDefault="007D4AE5" w:rsidP="002E7482">
            <w:pPr>
              <w:pStyle w:val="TableText0"/>
              <w:framePr w:hSpace="0" w:wrap="auto" w:vAnchor="margin" w:yAlign="inline"/>
              <w:suppressOverlap w:val="0"/>
              <w:jc w:val="center"/>
              <w:rPr>
                <w:b/>
                <w:bCs w:val="0"/>
              </w:rPr>
            </w:pPr>
            <w:r w:rsidRPr="00006FCB">
              <w:rPr>
                <w:b/>
                <w:bCs w:val="0"/>
              </w:rPr>
              <w:t>LS mean (SE)</w:t>
            </w:r>
          </w:p>
        </w:tc>
        <w:tc>
          <w:tcPr>
            <w:tcW w:w="683" w:type="pct"/>
            <w:vAlign w:val="center"/>
          </w:tcPr>
          <w:p w14:paraId="359763AD" w14:textId="3634823A" w:rsidR="007D4AE5" w:rsidRPr="00006FCB" w:rsidRDefault="007D4AE5" w:rsidP="008707A7">
            <w:pPr>
              <w:pStyle w:val="TableText0"/>
              <w:framePr w:hSpace="0" w:wrap="auto" w:vAnchor="margin" w:yAlign="inline"/>
              <w:suppressOverlap w:val="0"/>
              <w:jc w:val="center"/>
              <w:rPr>
                <w:b/>
                <w:bCs w:val="0"/>
              </w:rPr>
            </w:pPr>
            <w:r w:rsidRPr="00006FCB">
              <w:rPr>
                <w:b/>
                <w:bCs w:val="0"/>
              </w:rPr>
              <w:t>Difference in LS means</w:t>
            </w:r>
          </w:p>
          <w:p w14:paraId="0BD7A0FE"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(95% CI)</w:t>
            </w:r>
          </w:p>
        </w:tc>
        <w:tc>
          <w:tcPr>
            <w:tcW w:w="451" w:type="pct"/>
            <w:vAlign w:val="center"/>
          </w:tcPr>
          <w:p w14:paraId="6A47EC24" w14:textId="77777777" w:rsidR="007D4AE5" w:rsidRPr="00006FCB" w:rsidRDefault="007D4AE5" w:rsidP="008707A7">
            <w:pPr>
              <w:pStyle w:val="TableText0"/>
              <w:framePr w:hSpace="0" w:wrap="auto" w:vAnchor="margin" w:yAlign="inline"/>
              <w:suppressOverlap w:val="0"/>
              <w:jc w:val="center"/>
              <w:rPr>
                <w:b/>
                <w:bCs w:val="0"/>
              </w:rPr>
            </w:pPr>
            <w:r w:rsidRPr="00006FCB">
              <w:rPr>
                <w:b/>
                <w:bCs w:val="0"/>
              </w:rPr>
              <w:t>P-value (PPT vs PBO)</w:t>
            </w:r>
          </w:p>
        </w:tc>
      </w:tr>
      <w:tr w:rsidR="0002042F" w:rsidRPr="00006FCB" w14:paraId="50C2A46D" w14:textId="77777777" w:rsidTr="4D2BAA30">
        <w:tc>
          <w:tcPr>
            <w:tcW w:w="5000" w:type="pct"/>
            <w:gridSpan w:val="9"/>
            <w:vAlign w:val="center"/>
          </w:tcPr>
          <w:p w14:paraId="01024FF9" w14:textId="43ABFDC9" w:rsidR="0002042F" w:rsidRPr="00006FCB" w:rsidRDefault="0002042F" w:rsidP="006C0FF8">
            <w:pPr>
              <w:pStyle w:val="TableText0"/>
              <w:framePr w:hSpace="0" w:wrap="auto" w:vAnchor="margin" w:yAlign="inline"/>
              <w:suppressOverlap w:val="0"/>
              <w:rPr>
                <w:b/>
                <w:bCs w:val="0"/>
              </w:rPr>
            </w:pPr>
            <w:r w:rsidRPr="00006FCB">
              <w:rPr>
                <w:b/>
                <w:bCs w:val="0"/>
              </w:rPr>
              <w:t>Key secondary endpoints</w:t>
            </w:r>
          </w:p>
        </w:tc>
      </w:tr>
      <w:tr w:rsidR="00300E7A" w:rsidRPr="00006FCB" w14:paraId="17383063" w14:textId="77777777" w:rsidTr="4D2BAA30">
        <w:tc>
          <w:tcPr>
            <w:tcW w:w="839" w:type="pct"/>
            <w:vAlign w:val="center"/>
          </w:tcPr>
          <w:p w14:paraId="46797261" w14:textId="77777777" w:rsidR="00E659EA" w:rsidRPr="00006FCB" w:rsidRDefault="00E659EA" w:rsidP="006C0FF8">
            <w:pPr>
              <w:pStyle w:val="TableText0"/>
              <w:framePr w:hSpace="0" w:wrap="auto" w:vAnchor="margin" w:yAlign="inline"/>
              <w:suppressOverlap w:val="0"/>
              <w:rPr>
                <w:b/>
              </w:rPr>
            </w:pPr>
            <w:r w:rsidRPr="00006FCB">
              <w:t>HPES symptoms (physical)</w:t>
            </w:r>
          </w:p>
        </w:tc>
        <w:tc>
          <w:tcPr>
            <w:tcW w:w="505" w:type="pct"/>
            <w:vAlign w:val="center"/>
          </w:tcPr>
          <w:p w14:paraId="3C25C50F" w14:textId="77777777" w:rsidR="00E659EA" w:rsidRPr="00006FCB" w:rsidRDefault="00E659EA" w:rsidP="008707A7">
            <w:pPr>
              <w:pStyle w:val="TableText0"/>
              <w:framePr w:hSpace="0" w:wrap="auto" w:vAnchor="margin" w:yAlign="inline"/>
              <w:suppressOverlap w:val="0"/>
              <w:jc w:val="center"/>
            </w:pPr>
            <w:r w:rsidRPr="00006FCB">
              <w:t>41.39 (22.79)</w:t>
            </w:r>
          </w:p>
        </w:tc>
        <w:tc>
          <w:tcPr>
            <w:tcW w:w="507" w:type="pct"/>
            <w:vAlign w:val="center"/>
          </w:tcPr>
          <w:p w14:paraId="1005B7C7" w14:textId="77777777" w:rsidR="00E659EA" w:rsidRPr="00006FCB" w:rsidRDefault="00E659EA" w:rsidP="008707A7">
            <w:pPr>
              <w:pStyle w:val="TableText0"/>
              <w:framePr w:hSpace="0" w:wrap="auto" w:vAnchor="margin" w:yAlign="inline"/>
              <w:suppressOverlap w:val="0"/>
              <w:jc w:val="center"/>
            </w:pPr>
            <w:r w:rsidRPr="00006FCB">
              <w:t>21.65 (15.14)</w:t>
            </w:r>
          </w:p>
        </w:tc>
        <w:tc>
          <w:tcPr>
            <w:tcW w:w="488" w:type="pct"/>
            <w:vAlign w:val="center"/>
          </w:tcPr>
          <w:p w14:paraId="46681347" w14:textId="77777777" w:rsidR="00E659EA" w:rsidRPr="00006FCB" w:rsidRDefault="00E659EA" w:rsidP="008707A7">
            <w:pPr>
              <w:pStyle w:val="TableText0"/>
              <w:framePr w:hSpace="0" w:wrap="auto" w:vAnchor="margin" w:yAlign="inline"/>
              <w:suppressOverlap w:val="0"/>
              <w:jc w:val="center"/>
            </w:pPr>
            <w:r w:rsidRPr="00006FCB">
              <w:t>-21.01 (2.20)</w:t>
            </w:r>
          </w:p>
        </w:tc>
        <w:tc>
          <w:tcPr>
            <w:tcW w:w="509" w:type="pct"/>
            <w:vAlign w:val="center"/>
          </w:tcPr>
          <w:p w14:paraId="21B8574C" w14:textId="77777777" w:rsidR="00E659EA" w:rsidRPr="00006FCB" w:rsidRDefault="00E659EA" w:rsidP="008707A7">
            <w:pPr>
              <w:pStyle w:val="TableText0"/>
              <w:framePr w:hSpace="0" w:wrap="auto" w:vAnchor="margin" w:yAlign="inline"/>
              <w:suppressOverlap w:val="0"/>
              <w:jc w:val="center"/>
            </w:pPr>
            <w:r w:rsidRPr="00006FCB">
              <w:t>47.72 (25.93)</w:t>
            </w:r>
          </w:p>
        </w:tc>
        <w:tc>
          <w:tcPr>
            <w:tcW w:w="508" w:type="pct"/>
            <w:vAlign w:val="center"/>
          </w:tcPr>
          <w:p w14:paraId="37F9C38B" w14:textId="77777777" w:rsidR="00E659EA" w:rsidRPr="00006FCB" w:rsidRDefault="00E659EA" w:rsidP="008707A7">
            <w:pPr>
              <w:pStyle w:val="TableText0"/>
              <w:framePr w:hSpace="0" w:wrap="auto" w:vAnchor="margin" w:yAlign="inline"/>
              <w:suppressOverlap w:val="0"/>
              <w:jc w:val="center"/>
            </w:pPr>
            <w:r w:rsidRPr="00006FCB">
              <w:t>41.78 (25.93)</w:t>
            </w:r>
          </w:p>
        </w:tc>
        <w:tc>
          <w:tcPr>
            <w:tcW w:w="510" w:type="pct"/>
            <w:vAlign w:val="center"/>
          </w:tcPr>
          <w:p w14:paraId="03CF8989" w14:textId="77777777" w:rsidR="00E659EA" w:rsidRPr="00006FCB" w:rsidRDefault="00E659EA" w:rsidP="008707A7">
            <w:pPr>
              <w:pStyle w:val="TableText0"/>
              <w:framePr w:hSpace="0" w:wrap="auto" w:vAnchor="margin" w:yAlign="inline"/>
              <w:suppressOverlap w:val="0"/>
              <w:jc w:val="center"/>
            </w:pPr>
            <w:r w:rsidRPr="00006FCB">
              <w:t>-4.81 (5.02)</w:t>
            </w:r>
          </w:p>
        </w:tc>
        <w:tc>
          <w:tcPr>
            <w:tcW w:w="683" w:type="pct"/>
            <w:vAlign w:val="center"/>
          </w:tcPr>
          <w:p w14:paraId="4BDBFEAC" w14:textId="77777777" w:rsidR="00E659EA" w:rsidRPr="00006FCB" w:rsidRDefault="00E659EA" w:rsidP="008707A7">
            <w:pPr>
              <w:pStyle w:val="TableText0"/>
              <w:framePr w:hSpace="0" w:wrap="auto" w:vAnchor="margin" w:yAlign="inline"/>
              <w:suppressOverlap w:val="0"/>
              <w:jc w:val="center"/>
              <w:rPr>
                <w:b/>
                <w:bCs w:val="0"/>
              </w:rPr>
            </w:pPr>
            <w:r w:rsidRPr="00006FCB">
              <w:rPr>
                <w:b/>
                <w:bCs w:val="0"/>
              </w:rPr>
              <w:t>-16.20</w:t>
            </w:r>
          </w:p>
          <w:p w14:paraId="2FF991A3" w14:textId="1CA71159" w:rsidR="00E659EA" w:rsidRPr="00006FCB" w:rsidRDefault="00E659EA" w:rsidP="00140FD3">
            <w:pPr>
              <w:pStyle w:val="TableText0"/>
              <w:framePr w:hSpace="0" w:wrap="auto" w:vAnchor="margin" w:yAlign="inline"/>
              <w:suppressOverlap w:val="0"/>
              <w:jc w:val="center"/>
              <w:rPr>
                <w:b/>
                <w:bCs w:val="0"/>
              </w:rPr>
            </w:pPr>
            <w:r w:rsidRPr="00006FCB">
              <w:rPr>
                <w:b/>
                <w:bCs w:val="0"/>
              </w:rPr>
              <w:t>(-26.61, -5.79)</w:t>
            </w:r>
          </w:p>
        </w:tc>
        <w:tc>
          <w:tcPr>
            <w:tcW w:w="451" w:type="pct"/>
            <w:vAlign w:val="center"/>
          </w:tcPr>
          <w:p w14:paraId="1454E093" w14:textId="77777777" w:rsidR="00E659EA" w:rsidRPr="00006FCB" w:rsidRDefault="00E659EA" w:rsidP="008707A7">
            <w:pPr>
              <w:pStyle w:val="TableText0"/>
              <w:framePr w:hSpace="0" w:wrap="auto" w:vAnchor="margin" w:yAlign="inline"/>
              <w:suppressOverlap w:val="0"/>
              <w:jc w:val="center"/>
            </w:pPr>
            <w:r w:rsidRPr="00006FCB">
              <w:t>0.0038</w:t>
            </w:r>
          </w:p>
        </w:tc>
      </w:tr>
      <w:tr w:rsidR="00300E7A" w:rsidRPr="00006FCB" w14:paraId="3E2585E8" w14:textId="77777777" w:rsidTr="4D2BAA30">
        <w:tc>
          <w:tcPr>
            <w:tcW w:w="839" w:type="pct"/>
            <w:vAlign w:val="center"/>
          </w:tcPr>
          <w:p w14:paraId="61A4F64B" w14:textId="77777777" w:rsidR="00E659EA" w:rsidRPr="00006FCB" w:rsidRDefault="00E659EA" w:rsidP="006C0FF8">
            <w:pPr>
              <w:pStyle w:val="TableText0"/>
              <w:framePr w:hSpace="0" w:wrap="auto" w:vAnchor="margin" w:yAlign="inline"/>
              <w:suppressOverlap w:val="0"/>
              <w:rPr>
                <w:b/>
              </w:rPr>
            </w:pPr>
            <w:r w:rsidRPr="00006FCB">
              <w:t>HPES symptoms (cognitive)</w:t>
            </w:r>
          </w:p>
        </w:tc>
        <w:tc>
          <w:tcPr>
            <w:tcW w:w="505" w:type="pct"/>
            <w:vAlign w:val="center"/>
          </w:tcPr>
          <w:p w14:paraId="10897B28" w14:textId="77777777" w:rsidR="00E659EA" w:rsidRPr="00006FCB" w:rsidRDefault="00E659EA" w:rsidP="008707A7">
            <w:pPr>
              <w:pStyle w:val="TableText0"/>
              <w:framePr w:hSpace="0" w:wrap="auto" w:vAnchor="margin" w:yAlign="inline"/>
              <w:suppressOverlap w:val="0"/>
              <w:jc w:val="center"/>
            </w:pPr>
            <w:r w:rsidRPr="00006FCB">
              <w:t>39.34 (28.41)</w:t>
            </w:r>
          </w:p>
        </w:tc>
        <w:tc>
          <w:tcPr>
            <w:tcW w:w="507" w:type="pct"/>
            <w:vAlign w:val="center"/>
          </w:tcPr>
          <w:p w14:paraId="05467431" w14:textId="77777777" w:rsidR="00E659EA" w:rsidRPr="00006FCB" w:rsidRDefault="00E659EA" w:rsidP="008707A7">
            <w:pPr>
              <w:pStyle w:val="TableText0"/>
              <w:framePr w:hSpace="0" w:wrap="auto" w:vAnchor="margin" w:yAlign="inline"/>
              <w:suppressOverlap w:val="0"/>
              <w:jc w:val="center"/>
            </w:pPr>
            <w:r w:rsidRPr="00006FCB">
              <w:t>18.05 (16.40)</w:t>
            </w:r>
          </w:p>
        </w:tc>
        <w:tc>
          <w:tcPr>
            <w:tcW w:w="488" w:type="pct"/>
            <w:vAlign w:val="center"/>
          </w:tcPr>
          <w:p w14:paraId="7AE43A4A" w14:textId="77777777" w:rsidR="00E659EA" w:rsidRPr="00006FCB" w:rsidRDefault="00E659EA" w:rsidP="008707A7">
            <w:pPr>
              <w:pStyle w:val="TableText0"/>
              <w:framePr w:hSpace="0" w:wrap="auto" w:vAnchor="margin" w:yAlign="inline"/>
              <w:suppressOverlap w:val="0"/>
              <w:jc w:val="center"/>
            </w:pPr>
            <w:r w:rsidRPr="00006FCB">
              <w:t>-20.49 (2.59)</w:t>
            </w:r>
          </w:p>
        </w:tc>
        <w:tc>
          <w:tcPr>
            <w:tcW w:w="509" w:type="pct"/>
            <w:vAlign w:val="center"/>
          </w:tcPr>
          <w:p w14:paraId="209D1575" w14:textId="77777777" w:rsidR="00E659EA" w:rsidRPr="00006FCB" w:rsidRDefault="00E659EA" w:rsidP="008707A7">
            <w:pPr>
              <w:pStyle w:val="TableText0"/>
              <w:framePr w:hSpace="0" w:wrap="auto" w:vAnchor="margin" w:yAlign="inline"/>
              <w:suppressOverlap w:val="0"/>
              <w:jc w:val="center"/>
            </w:pPr>
            <w:r w:rsidRPr="00006FCB">
              <w:t>38.33 (24.00)</w:t>
            </w:r>
          </w:p>
        </w:tc>
        <w:tc>
          <w:tcPr>
            <w:tcW w:w="508" w:type="pct"/>
            <w:vAlign w:val="center"/>
          </w:tcPr>
          <w:p w14:paraId="454CE49F" w14:textId="77777777" w:rsidR="00E659EA" w:rsidRPr="00006FCB" w:rsidRDefault="00E659EA" w:rsidP="008707A7">
            <w:pPr>
              <w:pStyle w:val="TableText0"/>
              <w:framePr w:hSpace="0" w:wrap="auto" w:vAnchor="margin" w:yAlign="inline"/>
              <w:suppressOverlap w:val="0"/>
              <w:jc w:val="center"/>
            </w:pPr>
            <w:r w:rsidRPr="00006FCB">
              <w:t>32.63 (25.30)</w:t>
            </w:r>
          </w:p>
        </w:tc>
        <w:tc>
          <w:tcPr>
            <w:tcW w:w="510" w:type="pct"/>
            <w:vAlign w:val="center"/>
          </w:tcPr>
          <w:p w14:paraId="31EB8DAA" w14:textId="77777777" w:rsidR="00E659EA" w:rsidRPr="00006FCB" w:rsidRDefault="00E659EA" w:rsidP="008707A7">
            <w:pPr>
              <w:pStyle w:val="TableText0"/>
              <w:framePr w:hSpace="0" w:wrap="auto" w:vAnchor="margin" w:yAlign="inline"/>
              <w:suppressOverlap w:val="0"/>
              <w:jc w:val="center"/>
            </w:pPr>
            <w:r w:rsidRPr="00006FCB">
              <w:t>-6.16 (4.71)</w:t>
            </w:r>
          </w:p>
        </w:tc>
        <w:tc>
          <w:tcPr>
            <w:tcW w:w="683" w:type="pct"/>
            <w:vAlign w:val="center"/>
          </w:tcPr>
          <w:p w14:paraId="34A68DCC" w14:textId="0F1388AB" w:rsidR="00E659EA" w:rsidRPr="00006FCB" w:rsidRDefault="00E659EA" w:rsidP="008707A7">
            <w:pPr>
              <w:pStyle w:val="TableText0"/>
              <w:framePr w:hSpace="0" w:wrap="auto" w:vAnchor="margin" w:yAlign="inline"/>
              <w:suppressOverlap w:val="0"/>
              <w:jc w:val="center"/>
              <w:rPr>
                <w:b/>
                <w:bCs w:val="0"/>
              </w:rPr>
            </w:pPr>
            <w:r w:rsidRPr="00006FCB">
              <w:rPr>
                <w:b/>
                <w:bCs w:val="0"/>
              </w:rPr>
              <w:t>-14.33</w:t>
            </w:r>
          </w:p>
          <w:p w14:paraId="749A992F" w14:textId="77777777" w:rsidR="00E659EA" w:rsidRPr="00006FCB" w:rsidRDefault="00E659EA" w:rsidP="008707A7">
            <w:pPr>
              <w:pStyle w:val="TableText0"/>
              <w:framePr w:hSpace="0" w:wrap="auto" w:vAnchor="margin" w:yAlign="inline"/>
              <w:suppressOverlap w:val="0"/>
              <w:jc w:val="center"/>
              <w:rPr>
                <w:b/>
                <w:bCs w:val="0"/>
              </w:rPr>
            </w:pPr>
            <w:r w:rsidRPr="00006FCB">
              <w:rPr>
                <w:b/>
                <w:bCs w:val="0"/>
              </w:rPr>
              <w:t>(-24.00, -4.66)</w:t>
            </w:r>
          </w:p>
        </w:tc>
        <w:tc>
          <w:tcPr>
            <w:tcW w:w="451" w:type="pct"/>
            <w:vAlign w:val="center"/>
          </w:tcPr>
          <w:p w14:paraId="69F38440" w14:textId="77777777" w:rsidR="00E659EA" w:rsidRPr="00006FCB" w:rsidRDefault="00E659EA" w:rsidP="008707A7">
            <w:pPr>
              <w:pStyle w:val="TableText0"/>
              <w:framePr w:hSpace="0" w:wrap="auto" w:vAnchor="margin" w:yAlign="inline"/>
              <w:suppressOverlap w:val="0"/>
              <w:jc w:val="center"/>
            </w:pPr>
            <w:r w:rsidRPr="00006FCB">
              <w:t>0.0055</w:t>
            </w:r>
          </w:p>
        </w:tc>
      </w:tr>
      <w:tr w:rsidR="00300E7A" w:rsidRPr="00006FCB" w14:paraId="53B038FD" w14:textId="77777777" w:rsidTr="4D2BAA30">
        <w:tc>
          <w:tcPr>
            <w:tcW w:w="839" w:type="pct"/>
            <w:vAlign w:val="center"/>
          </w:tcPr>
          <w:p w14:paraId="408EFC62" w14:textId="77777777" w:rsidR="00E659EA" w:rsidRPr="00006FCB" w:rsidRDefault="00E659EA" w:rsidP="006C0FF8">
            <w:pPr>
              <w:pStyle w:val="TableText0"/>
              <w:framePr w:hSpace="0" w:wrap="auto" w:vAnchor="margin" w:yAlign="inline"/>
              <w:suppressOverlap w:val="0"/>
              <w:rPr>
                <w:b/>
              </w:rPr>
            </w:pPr>
            <w:r w:rsidRPr="00006FCB">
              <w:t>HPES impact (physical functioning)</w:t>
            </w:r>
          </w:p>
        </w:tc>
        <w:tc>
          <w:tcPr>
            <w:tcW w:w="505" w:type="pct"/>
            <w:vAlign w:val="center"/>
          </w:tcPr>
          <w:p w14:paraId="4875130B" w14:textId="77777777" w:rsidR="00E659EA" w:rsidRPr="00006FCB" w:rsidRDefault="00E659EA" w:rsidP="008707A7">
            <w:pPr>
              <w:pStyle w:val="TableText0"/>
              <w:framePr w:hSpace="0" w:wrap="auto" w:vAnchor="margin" w:yAlign="inline"/>
              <w:suppressOverlap w:val="0"/>
              <w:jc w:val="center"/>
            </w:pPr>
            <w:r w:rsidRPr="00006FCB">
              <w:t>35.90 (25.70)</w:t>
            </w:r>
          </w:p>
        </w:tc>
        <w:tc>
          <w:tcPr>
            <w:tcW w:w="507" w:type="pct"/>
            <w:vAlign w:val="center"/>
          </w:tcPr>
          <w:p w14:paraId="4E6865DC" w14:textId="77777777" w:rsidR="00E659EA" w:rsidRPr="00006FCB" w:rsidRDefault="00E659EA" w:rsidP="008707A7">
            <w:pPr>
              <w:pStyle w:val="TableText0"/>
              <w:framePr w:hSpace="0" w:wrap="auto" w:vAnchor="margin" w:yAlign="inline"/>
              <w:suppressOverlap w:val="0"/>
              <w:jc w:val="center"/>
            </w:pPr>
            <w:r w:rsidRPr="00006FCB">
              <w:t>17.29 (17.67)</w:t>
            </w:r>
          </w:p>
        </w:tc>
        <w:tc>
          <w:tcPr>
            <w:tcW w:w="488" w:type="pct"/>
            <w:vAlign w:val="center"/>
          </w:tcPr>
          <w:p w14:paraId="16189319" w14:textId="77777777" w:rsidR="00E659EA" w:rsidRPr="00006FCB" w:rsidRDefault="00E659EA" w:rsidP="008707A7">
            <w:pPr>
              <w:pStyle w:val="TableText0"/>
              <w:framePr w:hSpace="0" w:wrap="auto" w:vAnchor="margin" w:yAlign="inline"/>
              <w:suppressOverlap w:val="0"/>
              <w:jc w:val="center"/>
            </w:pPr>
            <w:r w:rsidRPr="00006FCB">
              <w:t>-18.29 (2.65)</w:t>
            </w:r>
          </w:p>
        </w:tc>
        <w:tc>
          <w:tcPr>
            <w:tcW w:w="509" w:type="pct"/>
            <w:vAlign w:val="center"/>
          </w:tcPr>
          <w:p w14:paraId="47CFE852" w14:textId="77777777" w:rsidR="00E659EA" w:rsidRPr="00006FCB" w:rsidRDefault="00E659EA" w:rsidP="008707A7">
            <w:pPr>
              <w:pStyle w:val="TableText0"/>
              <w:framePr w:hSpace="0" w:wrap="auto" w:vAnchor="margin" w:yAlign="inline"/>
              <w:suppressOverlap w:val="0"/>
              <w:jc w:val="center"/>
            </w:pPr>
            <w:r w:rsidRPr="00006FCB">
              <w:t>40.71 (27.54)</w:t>
            </w:r>
          </w:p>
        </w:tc>
        <w:tc>
          <w:tcPr>
            <w:tcW w:w="508" w:type="pct"/>
            <w:vAlign w:val="center"/>
          </w:tcPr>
          <w:p w14:paraId="0E105B26" w14:textId="77777777" w:rsidR="00E659EA" w:rsidRPr="00006FCB" w:rsidRDefault="00E659EA" w:rsidP="008707A7">
            <w:pPr>
              <w:pStyle w:val="TableText0"/>
              <w:framePr w:hSpace="0" w:wrap="auto" w:vAnchor="margin" w:yAlign="inline"/>
              <w:suppressOverlap w:val="0"/>
              <w:jc w:val="center"/>
            </w:pPr>
            <w:r w:rsidRPr="00006FCB">
              <w:t>38.68 (29.34)</w:t>
            </w:r>
          </w:p>
        </w:tc>
        <w:tc>
          <w:tcPr>
            <w:tcW w:w="510" w:type="pct"/>
            <w:vAlign w:val="center"/>
          </w:tcPr>
          <w:p w14:paraId="24856D9D" w14:textId="77777777" w:rsidR="00E659EA" w:rsidRPr="00006FCB" w:rsidRDefault="00E659EA" w:rsidP="008707A7">
            <w:pPr>
              <w:pStyle w:val="TableText0"/>
              <w:framePr w:hSpace="0" w:wrap="auto" w:vAnchor="margin" w:yAlign="inline"/>
              <w:suppressOverlap w:val="0"/>
              <w:jc w:val="center"/>
            </w:pPr>
            <w:r w:rsidRPr="00006FCB">
              <w:t>-1.01 (5.49)</w:t>
            </w:r>
          </w:p>
          <w:p w14:paraId="2DCAEB57" w14:textId="77777777" w:rsidR="00E659EA" w:rsidRPr="00006FCB" w:rsidRDefault="00E659EA" w:rsidP="008707A7">
            <w:pPr>
              <w:pStyle w:val="TableText0"/>
              <w:framePr w:hSpace="0" w:wrap="auto" w:vAnchor="margin" w:yAlign="inline"/>
              <w:suppressOverlap w:val="0"/>
              <w:jc w:val="center"/>
            </w:pPr>
          </w:p>
        </w:tc>
        <w:tc>
          <w:tcPr>
            <w:tcW w:w="683" w:type="pct"/>
            <w:vAlign w:val="center"/>
          </w:tcPr>
          <w:p w14:paraId="5CB33122" w14:textId="7B6ED2E5" w:rsidR="00E659EA" w:rsidRPr="00006FCB" w:rsidRDefault="00E659EA" w:rsidP="008707A7">
            <w:pPr>
              <w:pStyle w:val="TableText0"/>
              <w:framePr w:hSpace="0" w:wrap="auto" w:vAnchor="margin" w:yAlign="inline"/>
              <w:suppressOverlap w:val="0"/>
              <w:jc w:val="center"/>
              <w:rPr>
                <w:b/>
                <w:bCs w:val="0"/>
              </w:rPr>
            </w:pPr>
            <w:r w:rsidRPr="00006FCB">
              <w:rPr>
                <w:b/>
                <w:bCs w:val="0"/>
              </w:rPr>
              <w:t>-17.28</w:t>
            </w:r>
          </w:p>
          <w:p w14:paraId="6170DEF5" w14:textId="659DA608" w:rsidR="00E659EA" w:rsidRPr="00006FCB" w:rsidRDefault="00E659EA" w:rsidP="008707A7">
            <w:pPr>
              <w:pStyle w:val="TableText0"/>
              <w:framePr w:hSpace="0" w:wrap="auto" w:vAnchor="margin" w:yAlign="inline"/>
              <w:suppressOverlap w:val="0"/>
              <w:jc w:val="center"/>
              <w:rPr>
                <w:b/>
                <w:bCs w:val="0"/>
              </w:rPr>
            </w:pPr>
            <w:r w:rsidRPr="00006FCB">
              <w:rPr>
                <w:b/>
                <w:bCs w:val="0"/>
              </w:rPr>
              <w:t>(-28.66, -5.89)</w:t>
            </w:r>
          </w:p>
        </w:tc>
        <w:tc>
          <w:tcPr>
            <w:tcW w:w="451" w:type="pct"/>
            <w:vAlign w:val="center"/>
          </w:tcPr>
          <w:p w14:paraId="422655A3" w14:textId="77777777" w:rsidR="00E659EA" w:rsidRPr="00006FCB" w:rsidRDefault="00E659EA" w:rsidP="008707A7">
            <w:pPr>
              <w:pStyle w:val="TableText0"/>
              <w:framePr w:hSpace="0" w:wrap="auto" w:vAnchor="margin" w:yAlign="inline"/>
              <w:suppressOverlap w:val="0"/>
              <w:jc w:val="center"/>
            </w:pPr>
            <w:r w:rsidRPr="00006FCB">
              <w:t>0.0046</w:t>
            </w:r>
          </w:p>
        </w:tc>
      </w:tr>
      <w:tr w:rsidR="00300E7A" w:rsidRPr="00006FCB" w14:paraId="11BF1114" w14:textId="77777777" w:rsidTr="4D2BAA30">
        <w:tc>
          <w:tcPr>
            <w:tcW w:w="839" w:type="pct"/>
            <w:vAlign w:val="center"/>
          </w:tcPr>
          <w:p w14:paraId="2A871588" w14:textId="77777777" w:rsidR="00E659EA" w:rsidRPr="00006FCB" w:rsidRDefault="00E659EA" w:rsidP="006C0FF8">
            <w:pPr>
              <w:pStyle w:val="TableText0"/>
              <w:framePr w:hSpace="0" w:wrap="auto" w:vAnchor="margin" w:yAlign="inline"/>
              <w:suppressOverlap w:val="0"/>
              <w:rPr>
                <w:b/>
              </w:rPr>
            </w:pPr>
            <w:r w:rsidRPr="00006FCB">
              <w:t>HPES impact (daily life)</w:t>
            </w:r>
          </w:p>
        </w:tc>
        <w:tc>
          <w:tcPr>
            <w:tcW w:w="505" w:type="pct"/>
            <w:vAlign w:val="center"/>
          </w:tcPr>
          <w:p w14:paraId="1B51D129" w14:textId="77777777" w:rsidR="00E659EA" w:rsidRPr="00006FCB" w:rsidRDefault="00E659EA" w:rsidP="008707A7">
            <w:pPr>
              <w:pStyle w:val="TableText0"/>
              <w:framePr w:hSpace="0" w:wrap="auto" w:vAnchor="margin" w:yAlign="inline"/>
              <w:suppressOverlap w:val="0"/>
              <w:jc w:val="center"/>
            </w:pPr>
            <w:r w:rsidRPr="00006FCB">
              <w:t>31.28 (24.76)</w:t>
            </w:r>
          </w:p>
        </w:tc>
        <w:tc>
          <w:tcPr>
            <w:tcW w:w="507" w:type="pct"/>
            <w:vAlign w:val="center"/>
          </w:tcPr>
          <w:p w14:paraId="2CD1C1B3" w14:textId="77777777" w:rsidR="00E659EA" w:rsidRPr="00006FCB" w:rsidRDefault="00E659EA" w:rsidP="008707A7">
            <w:pPr>
              <w:pStyle w:val="TableText0"/>
              <w:framePr w:hSpace="0" w:wrap="auto" w:vAnchor="margin" w:yAlign="inline"/>
              <w:suppressOverlap w:val="0"/>
              <w:jc w:val="center"/>
            </w:pPr>
            <w:r w:rsidRPr="00006FCB">
              <w:t>13.91 (15.98)</w:t>
            </w:r>
          </w:p>
        </w:tc>
        <w:tc>
          <w:tcPr>
            <w:tcW w:w="488" w:type="pct"/>
            <w:vAlign w:val="center"/>
          </w:tcPr>
          <w:p w14:paraId="0600C586" w14:textId="77777777" w:rsidR="00E659EA" w:rsidRPr="00006FCB" w:rsidRDefault="00E659EA" w:rsidP="008707A7">
            <w:pPr>
              <w:pStyle w:val="TableText0"/>
              <w:framePr w:hSpace="0" w:wrap="auto" w:vAnchor="margin" w:yAlign="inline"/>
              <w:suppressOverlap w:val="0"/>
              <w:jc w:val="center"/>
            </w:pPr>
            <w:r w:rsidRPr="00006FCB">
              <w:t>-17.65 (2.37)</w:t>
            </w:r>
          </w:p>
        </w:tc>
        <w:tc>
          <w:tcPr>
            <w:tcW w:w="509" w:type="pct"/>
            <w:vAlign w:val="center"/>
          </w:tcPr>
          <w:p w14:paraId="66A662D2" w14:textId="77777777" w:rsidR="00E659EA" w:rsidRPr="00006FCB" w:rsidRDefault="00E659EA" w:rsidP="008707A7">
            <w:pPr>
              <w:pStyle w:val="TableText0"/>
              <w:framePr w:hSpace="0" w:wrap="auto" w:vAnchor="margin" w:yAlign="inline"/>
              <w:suppressOverlap w:val="0"/>
              <w:jc w:val="center"/>
            </w:pPr>
            <w:r w:rsidRPr="00006FCB">
              <w:t>34.61 (28.21)</w:t>
            </w:r>
          </w:p>
        </w:tc>
        <w:tc>
          <w:tcPr>
            <w:tcW w:w="508" w:type="pct"/>
            <w:vAlign w:val="center"/>
          </w:tcPr>
          <w:p w14:paraId="1829F486" w14:textId="77777777" w:rsidR="00E659EA" w:rsidRPr="00006FCB" w:rsidRDefault="00E659EA" w:rsidP="008707A7">
            <w:pPr>
              <w:pStyle w:val="TableText0"/>
              <w:framePr w:hSpace="0" w:wrap="auto" w:vAnchor="margin" w:yAlign="inline"/>
              <w:suppressOverlap w:val="0"/>
              <w:jc w:val="center"/>
            </w:pPr>
            <w:r w:rsidRPr="00006FCB">
              <w:t>34.21 (30.80)</w:t>
            </w:r>
          </w:p>
        </w:tc>
        <w:tc>
          <w:tcPr>
            <w:tcW w:w="510" w:type="pct"/>
            <w:vAlign w:val="center"/>
          </w:tcPr>
          <w:p w14:paraId="1C96712E" w14:textId="77777777" w:rsidR="00E659EA" w:rsidRPr="00006FCB" w:rsidRDefault="00E659EA" w:rsidP="008707A7">
            <w:pPr>
              <w:pStyle w:val="TableText0"/>
              <w:framePr w:hSpace="0" w:wrap="auto" w:vAnchor="margin" w:yAlign="inline"/>
              <w:suppressOverlap w:val="0"/>
              <w:jc w:val="center"/>
            </w:pPr>
            <w:r w:rsidRPr="00006FCB">
              <w:t>-0.36 (5.68)</w:t>
            </w:r>
          </w:p>
        </w:tc>
        <w:tc>
          <w:tcPr>
            <w:tcW w:w="683" w:type="pct"/>
            <w:vAlign w:val="center"/>
          </w:tcPr>
          <w:p w14:paraId="5280A38A" w14:textId="6BF77112" w:rsidR="00E659EA" w:rsidRPr="00006FCB" w:rsidRDefault="00E659EA" w:rsidP="008707A7">
            <w:pPr>
              <w:pStyle w:val="TableText0"/>
              <w:framePr w:hSpace="0" w:wrap="auto" w:vAnchor="margin" w:yAlign="inline"/>
              <w:suppressOverlap w:val="0"/>
              <w:jc w:val="center"/>
              <w:rPr>
                <w:b/>
                <w:bCs w:val="0"/>
              </w:rPr>
            </w:pPr>
            <w:r w:rsidRPr="00006FCB">
              <w:rPr>
                <w:b/>
                <w:bCs w:val="0"/>
              </w:rPr>
              <w:t>-17.29</w:t>
            </w:r>
          </w:p>
          <w:p w14:paraId="2C0EB6F5" w14:textId="77777777" w:rsidR="00E659EA" w:rsidRPr="00006FCB" w:rsidRDefault="00E659EA" w:rsidP="008707A7">
            <w:pPr>
              <w:pStyle w:val="TableText0"/>
              <w:framePr w:hSpace="0" w:wrap="auto" w:vAnchor="margin" w:yAlign="inline"/>
              <w:suppressOverlap w:val="0"/>
              <w:jc w:val="center"/>
              <w:rPr>
                <w:b/>
                <w:bCs w:val="0"/>
              </w:rPr>
            </w:pPr>
            <w:r w:rsidRPr="00006FCB">
              <w:rPr>
                <w:b/>
                <w:bCs w:val="0"/>
              </w:rPr>
              <w:t>(-29.08, -5.49)</w:t>
            </w:r>
          </w:p>
        </w:tc>
        <w:tc>
          <w:tcPr>
            <w:tcW w:w="451" w:type="pct"/>
            <w:vAlign w:val="center"/>
          </w:tcPr>
          <w:p w14:paraId="4B8D95F7" w14:textId="77777777" w:rsidR="00E659EA" w:rsidRPr="00006FCB" w:rsidRDefault="00E659EA" w:rsidP="008707A7">
            <w:pPr>
              <w:pStyle w:val="TableText0"/>
              <w:framePr w:hSpace="0" w:wrap="auto" w:vAnchor="margin" w:yAlign="inline"/>
              <w:suppressOverlap w:val="0"/>
              <w:jc w:val="center"/>
            </w:pPr>
            <w:r w:rsidRPr="00006FCB">
              <w:t>0.0061</w:t>
            </w:r>
          </w:p>
        </w:tc>
      </w:tr>
      <w:tr w:rsidR="00300E7A" w:rsidRPr="00006FCB" w14:paraId="53F344DC" w14:textId="77777777" w:rsidTr="4D2BAA30">
        <w:tc>
          <w:tcPr>
            <w:tcW w:w="839" w:type="pct"/>
            <w:vAlign w:val="center"/>
          </w:tcPr>
          <w:p w14:paraId="69FEF8C4" w14:textId="77777777" w:rsidR="00E659EA" w:rsidRPr="00006FCB" w:rsidRDefault="00E659EA" w:rsidP="006C0FF8">
            <w:pPr>
              <w:pStyle w:val="TableText0"/>
              <w:framePr w:hSpace="0" w:wrap="auto" w:vAnchor="margin" w:yAlign="inline"/>
              <w:suppressOverlap w:val="0"/>
              <w:rPr>
                <w:b/>
              </w:rPr>
            </w:pPr>
            <w:r w:rsidRPr="00006FCB">
              <w:t>SF-36 physical functioning subscale</w:t>
            </w:r>
          </w:p>
        </w:tc>
        <w:tc>
          <w:tcPr>
            <w:tcW w:w="505" w:type="pct"/>
            <w:vAlign w:val="center"/>
          </w:tcPr>
          <w:p w14:paraId="759A627F" w14:textId="77777777" w:rsidR="00E659EA" w:rsidRPr="00006FCB" w:rsidRDefault="00E659EA" w:rsidP="008707A7">
            <w:pPr>
              <w:pStyle w:val="TableText0"/>
              <w:framePr w:hSpace="0" w:wrap="auto" w:vAnchor="margin" w:yAlign="inline"/>
              <w:suppressOverlap w:val="0"/>
              <w:jc w:val="center"/>
            </w:pPr>
            <w:r w:rsidRPr="00006FCB">
              <w:t>46.31 (9.33)</w:t>
            </w:r>
          </w:p>
        </w:tc>
        <w:tc>
          <w:tcPr>
            <w:tcW w:w="507" w:type="pct"/>
            <w:vAlign w:val="center"/>
          </w:tcPr>
          <w:p w14:paraId="3EC1A689" w14:textId="77777777" w:rsidR="00E659EA" w:rsidRPr="00006FCB" w:rsidRDefault="00E659EA" w:rsidP="008707A7">
            <w:pPr>
              <w:pStyle w:val="TableText0"/>
              <w:framePr w:hSpace="0" w:wrap="auto" w:vAnchor="margin" w:yAlign="inline"/>
              <w:suppressOverlap w:val="0"/>
              <w:jc w:val="center"/>
            </w:pPr>
            <w:r w:rsidRPr="00006FCB">
              <w:t>51.58 (7.08)</w:t>
            </w:r>
          </w:p>
        </w:tc>
        <w:tc>
          <w:tcPr>
            <w:tcW w:w="488" w:type="pct"/>
            <w:vAlign w:val="center"/>
          </w:tcPr>
          <w:p w14:paraId="261EAE1D" w14:textId="77777777" w:rsidR="00E659EA" w:rsidRPr="00006FCB" w:rsidRDefault="00E659EA" w:rsidP="008707A7">
            <w:pPr>
              <w:pStyle w:val="TableText0"/>
              <w:framePr w:hSpace="0" w:wrap="auto" w:vAnchor="margin" w:yAlign="inline"/>
              <w:suppressOverlap w:val="0"/>
              <w:jc w:val="center"/>
            </w:pPr>
            <w:r w:rsidRPr="00006FCB">
              <w:t>5.29 (0.91)</w:t>
            </w:r>
          </w:p>
        </w:tc>
        <w:tc>
          <w:tcPr>
            <w:tcW w:w="509" w:type="pct"/>
            <w:vAlign w:val="center"/>
          </w:tcPr>
          <w:p w14:paraId="020A47EF" w14:textId="77777777" w:rsidR="00E659EA" w:rsidRPr="00006FCB" w:rsidRDefault="00E659EA" w:rsidP="008707A7">
            <w:pPr>
              <w:pStyle w:val="TableText0"/>
              <w:framePr w:hSpace="0" w:wrap="auto" w:vAnchor="margin" w:yAlign="inline"/>
              <w:suppressOverlap w:val="0"/>
              <w:jc w:val="center"/>
            </w:pPr>
            <w:r w:rsidRPr="00006FCB">
              <w:t>44.37 (11.33)</w:t>
            </w:r>
          </w:p>
        </w:tc>
        <w:tc>
          <w:tcPr>
            <w:tcW w:w="508" w:type="pct"/>
            <w:vAlign w:val="center"/>
          </w:tcPr>
          <w:p w14:paraId="5F76548B" w14:textId="77777777" w:rsidR="00E659EA" w:rsidRPr="00006FCB" w:rsidRDefault="00E659EA" w:rsidP="008707A7">
            <w:pPr>
              <w:pStyle w:val="TableText0"/>
              <w:framePr w:hSpace="0" w:wrap="auto" w:vAnchor="margin" w:yAlign="inline"/>
              <w:suppressOverlap w:val="0"/>
              <w:jc w:val="center"/>
            </w:pPr>
            <w:r w:rsidRPr="00006FCB">
              <w:t>44.40 (12.73)</w:t>
            </w:r>
          </w:p>
        </w:tc>
        <w:tc>
          <w:tcPr>
            <w:tcW w:w="510" w:type="pct"/>
            <w:vAlign w:val="center"/>
          </w:tcPr>
          <w:p w14:paraId="59964598" w14:textId="77777777" w:rsidR="00E659EA" w:rsidRPr="00006FCB" w:rsidRDefault="00E659EA" w:rsidP="008707A7">
            <w:pPr>
              <w:pStyle w:val="TableText0"/>
              <w:framePr w:hSpace="0" w:wrap="auto" w:vAnchor="margin" w:yAlign="inline"/>
              <w:suppressOverlap w:val="0"/>
              <w:jc w:val="center"/>
            </w:pPr>
            <w:r w:rsidRPr="00006FCB">
              <w:t>0.122 (2.29)</w:t>
            </w:r>
          </w:p>
        </w:tc>
        <w:tc>
          <w:tcPr>
            <w:tcW w:w="683" w:type="pct"/>
            <w:vAlign w:val="center"/>
          </w:tcPr>
          <w:p w14:paraId="74F8B4AD" w14:textId="0EB9BC86" w:rsidR="00E659EA" w:rsidRPr="00006FCB" w:rsidRDefault="00E659EA" w:rsidP="008707A7">
            <w:pPr>
              <w:pStyle w:val="TableText0"/>
              <w:framePr w:hSpace="0" w:wrap="auto" w:vAnchor="margin" w:yAlign="inline"/>
              <w:suppressOverlap w:val="0"/>
              <w:jc w:val="center"/>
              <w:rPr>
                <w:b/>
                <w:bCs w:val="0"/>
              </w:rPr>
            </w:pPr>
            <w:r w:rsidRPr="00006FCB">
              <w:rPr>
                <w:b/>
                <w:bCs w:val="0"/>
              </w:rPr>
              <w:t>5.16</w:t>
            </w:r>
          </w:p>
          <w:p w14:paraId="04385699" w14:textId="77777777" w:rsidR="00E659EA" w:rsidRPr="00006FCB" w:rsidRDefault="00E659EA" w:rsidP="008707A7">
            <w:pPr>
              <w:pStyle w:val="TableText0"/>
              <w:framePr w:hSpace="0" w:wrap="auto" w:vAnchor="margin" w:yAlign="inline"/>
              <w:suppressOverlap w:val="0"/>
              <w:jc w:val="center"/>
              <w:rPr>
                <w:b/>
                <w:bCs w:val="0"/>
              </w:rPr>
            </w:pPr>
            <w:r w:rsidRPr="00006FCB">
              <w:rPr>
                <w:b/>
                <w:bCs w:val="0"/>
              </w:rPr>
              <w:t>(0.41, 9.92)</w:t>
            </w:r>
          </w:p>
        </w:tc>
        <w:tc>
          <w:tcPr>
            <w:tcW w:w="451" w:type="pct"/>
            <w:vAlign w:val="center"/>
          </w:tcPr>
          <w:p w14:paraId="005EE7E7" w14:textId="77777777" w:rsidR="00E659EA" w:rsidRPr="00006FCB" w:rsidRDefault="00E659EA" w:rsidP="008707A7">
            <w:pPr>
              <w:pStyle w:val="TableText0"/>
              <w:framePr w:hSpace="0" w:wrap="auto" w:vAnchor="margin" w:yAlign="inline"/>
              <w:suppressOverlap w:val="0"/>
              <w:jc w:val="center"/>
            </w:pPr>
            <w:r w:rsidRPr="00006FCB">
              <w:t>0.0347</w:t>
            </w:r>
          </w:p>
        </w:tc>
      </w:tr>
      <w:tr w:rsidR="00E659EA" w:rsidRPr="00006FCB" w14:paraId="08D55536" w14:textId="77777777" w:rsidTr="4D2BAA30">
        <w:tc>
          <w:tcPr>
            <w:tcW w:w="5000" w:type="pct"/>
            <w:gridSpan w:val="9"/>
            <w:vAlign w:val="center"/>
          </w:tcPr>
          <w:p w14:paraId="36A591C0" w14:textId="77777777" w:rsidR="00E659EA" w:rsidRPr="00006FCB" w:rsidRDefault="00E659EA" w:rsidP="006C0FF8">
            <w:pPr>
              <w:pStyle w:val="TableText0"/>
              <w:framePr w:hSpace="0" w:wrap="auto" w:vAnchor="margin" w:yAlign="inline"/>
              <w:suppressOverlap w:val="0"/>
              <w:rPr>
                <w:b/>
                <w:bCs w:val="0"/>
              </w:rPr>
            </w:pPr>
            <w:r w:rsidRPr="00006FCB">
              <w:rPr>
                <w:b/>
                <w:bCs w:val="0"/>
              </w:rPr>
              <w:t>Other secondary endpoints</w:t>
            </w:r>
          </w:p>
        </w:tc>
      </w:tr>
      <w:tr w:rsidR="00300E7A" w:rsidRPr="00006FCB" w14:paraId="33E7B343" w14:textId="77777777" w:rsidTr="4D2BAA30">
        <w:tc>
          <w:tcPr>
            <w:tcW w:w="839" w:type="pct"/>
            <w:vAlign w:val="center"/>
          </w:tcPr>
          <w:p w14:paraId="18B4757F" w14:textId="77777777" w:rsidR="00E659EA" w:rsidRPr="00006FCB" w:rsidRDefault="00E659EA" w:rsidP="006C0FF8">
            <w:pPr>
              <w:pStyle w:val="TableText0"/>
              <w:framePr w:hSpace="0" w:wrap="auto" w:vAnchor="margin" w:yAlign="inline"/>
              <w:suppressOverlap w:val="0"/>
              <w:rPr>
                <w:b/>
              </w:rPr>
            </w:pPr>
            <w:r w:rsidRPr="00006FCB">
              <w:t>EQ-5D index score (UK algorithm)</w:t>
            </w:r>
          </w:p>
        </w:tc>
        <w:tc>
          <w:tcPr>
            <w:tcW w:w="505" w:type="pct"/>
            <w:vAlign w:val="center"/>
          </w:tcPr>
          <w:p w14:paraId="5E0C5962" w14:textId="77777777" w:rsidR="00E659EA" w:rsidRPr="00006FCB" w:rsidRDefault="00E659EA" w:rsidP="008707A7">
            <w:pPr>
              <w:pStyle w:val="TableText0"/>
              <w:framePr w:hSpace="0" w:wrap="auto" w:vAnchor="margin" w:yAlign="inline"/>
              <w:suppressOverlap w:val="0"/>
              <w:jc w:val="center"/>
            </w:pPr>
            <w:r w:rsidRPr="00006FCB">
              <w:t>0.71 (0.19)</w:t>
            </w:r>
          </w:p>
        </w:tc>
        <w:tc>
          <w:tcPr>
            <w:tcW w:w="507" w:type="pct"/>
            <w:vAlign w:val="center"/>
          </w:tcPr>
          <w:p w14:paraId="1ACDF30C" w14:textId="77777777" w:rsidR="00E659EA" w:rsidRPr="00006FCB" w:rsidRDefault="00E659EA" w:rsidP="008707A7">
            <w:pPr>
              <w:pStyle w:val="TableText0"/>
              <w:framePr w:hSpace="0" w:wrap="auto" w:vAnchor="margin" w:yAlign="inline"/>
              <w:suppressOverlap w:val="0"/>
              <w:jc w:val="center"/>
            </w:pPr>
            <w:r w:rsidRPr="00006FCB">
              <w:t>0.79 (0.17)</w:t>
            </w:r>
          </w:p>
        </w:tc>
        <w:tc>
          <w:tcPr>
            <w:tcW w:w="488" w:type="pct"/>
            <w:vAlign w:val="center"/>
          </w:tcPr>
          <w:p w14:paraId="69F1E328" w14:textId="77777777" w:rsidR="00E659EA" w:rsidRPr="00006FCB" w:rsidRDefault="00E659EA" w:rsidP="008707A7">
            <w:pPr>
              <w:pStyle w:val="TableText0"/>
              <w:framePr w:hSpace="0" w:wrap="auto" w:vAnchor="margin" w:yAlign="inline"/>
              <w:suppressOverlap w:val="0"/>
              <w:jc w:val="center"/>
            </w:pPr>
            <w:r w:rsidRPr="00006FCB">
              <w:t>0.08 (0.02)</w:t>
            </w:r>
          </w:p>
        </w:tc>
        <w:tc>
          <w:tcPr>
            <w:tcW w:w="509" w:type="pct"/>
            <w:vAlign w:val="center"/>
          </w:tcPr>
          <w:p w14:paraId="7FA46086" w14:textId="77777777" w:rsidR="00E659EA" w:rsidRPr="00006FCB" w:rsidRDefault="00E659EA" w:rsidP="008707A7">
            <w:pPr>
              <w:pStyle w:val="TableText0"/>
              <w:framePr w:hSpace="0" w:wrap="auto" w:vAnchor="margin" w:yAlign="inline"/>
              <w:suppressOverlap w:val="0"/>
              <w:jc w:val="center"/>
            </w:pPr>
            <w:r w:rsidRPr="00006FCB">
              <w:t>0.66 (0.24)</w:t>
            </w:r>
          </w:p>
        </w:tc>
        <w:tc>
          <w:tcPr>
            <w:tcW w:w="508" w:type="pct"/>
            <w:vAlign w:val="center"/>
          </w:tcPr>
          <w:p w14:paraId="60180391" w14:textId="77777777" w:rsidR="00E659EA" w:rsidRPr="00006FCB" w:rsidRDefault="00E659EA" w:rsidP="008707A7">
            <w:pPr>
              <w:pStyle w:val="TableText0"/>
              <w:framePr w:hSpace="0" w:wrap="auto" w:vAnchor="margin" w:yAlign="inline"/>
              <w:suppressOverlap w:val="0"/>
              <w:jc w:val="center"/>
            </w:pPr>
            <w:r w:rsidRPr="00006FCB">
              <w:t>0.66 (0.30)</w:t>
            </w:r>
          </w:p>
        </w:tc>
        <w:tc>
          <w:tcPr>
            <w:tcW w:w="510" w:type="pct"/>
            <w:vAlign w:val="center"/>
          </w:tcPr>
          <w:p w14:paraId="144DBA81" w14:textId="77777777" w:rsidR="00E659EA" w:rsidRPr="00006FCB" w:rsidRDefault="00E659EA" w:rsidP="008707A7">
            <w:pPr>
              <w:pStyle w:val="TableText0"/>
              <w:framePr w:hSpace="0" w:wrap="auto" w:vAnchor="margin" w:yAlign="inline"/>
              <w:suppressOverlap w:val="0"/>
              <w:jc w:val="center"/>
            </w:pPr>
            <w:r w:rsidRPr="00006FCB">
              <w:t>-0.03 (0.06)</w:t>
            </w:r>
          </w:p>
        </w:tc>
        <w:tc>
          <w:tcPr>
            <w:tcW w:w="683" w:type="pct"/>
            <w:vAlign w:val="center"/>
          </w:tcPr>
          <w:p w14:paraId="04F89EC4" w14:textId="13543990" w:rsidR="00E659EA" w:rsidRPr="00006FCB" w:rsidRDefault="00E659EA" w:rsidP="008707A7">
            <w:pPr>
              <w:pStyle w:val="TableText0"/>
              <w:framePr w:hSpace="0" w:wrap="auto" w:vAnchor="margin" w:yAlign="inline"/>
              <w:suppressOverlap w:val="0"/>
              <w:jc w:val="center"/>
            </w:pPr>
            <w:r w:rsidRPr="00006FCB">
              <w:t>0.11</w:t>
            </w:r>
          </w:p>
          <w:p w14:paraId="50EF65A5" w14:textId="77777777" w:rsidR="00E659EA" w:rsidRPr="00006FCB" w:rsidRDefault="00E659EA" w:rsidP="008707A7">
            <w:pPr>
              <w:pStyle w:val="TableText0"/>
              <w:framePr w:hSpace="0" w:wrap="auto" w:vAnchor="margin" w:yAlign="inline"/>
              <w:suppressOverlap w:val="0"/>
              <w:jc w:val="center"/>
            </w:pPr>
            <w:r w:rsidRPr="00006FCB">
              <w:t>(-0.01, 0.22)</w:t>
            </w:r>
          </w:p>
        </w:tc>
        <w:tc>
          <w:tcPr>
            <w:tcW w:w="451" w:type="pct"/>
            <w:vAlign w:val="center"/>
          </w:tcPr>
          <w:p w14:paraId="0B1B5DBC" w14:textId="77777777" w:rsidR="00E659EA" w:rsidRPr="00006FCB" w:rsidRDefault="00E659EA" w:rsidP="008707A7">
            <w:pPr>
              <w:pStyle w:val="TableText0"/>
              <w:framePr w:hSpace="0" w:wrap="auto" w:vAnchor="margin" w:yAlign="inline"/>
              <w:suppressOverlap w:val="0"/>
              <w:jc w:val="center"/>
            </w:pPr>
            <w:r w:rsidRPr="00006FCB">
              <w:t>0.0615</w:t>
            </w:r>
          </w:p>
        </w:tc>
      </w:tr>
      <w:tr w:rsidR="00300E7A" w:rsidRPr="00006FCB" w14:paraId="3DC81964" w14:textId="77777777" w:rsidTr="4D2BAA30">
        <w:tc>
          <w:tcPr>
            <w:tcW w:w="839" w:type="pct"/>
            <w:vAlign w:val="center"/>
          </w:tcPr>
          <w:p w14:paraId="5AD4F37F" w14:textId="77777777" w:rsidR="00E659EA" w:rsidRPr="00006FCB" w:rsidRDefault="00E659EA" w:rsidP="006C0FF8">
            <w:pPr>
              <w:pStyle w:val="TableText0"/>
              <w:framePr w:hSpace="0" w:wrap="auto" w:vAnchor="margin" w:yAlign="inline"/>
              <w:suppressOverlap w:val="0"/>
              <w:rPr>
                <w:b/>
              </w:rPr>
            </w:pPr>
            <w:r w:rsidRPr="00006FCB">
              <w:t>EQ-5D index score (Australian algorithm)</w:t>
            </w:r>
          </w:p>
        </w:tc>
        <w:tc>
          <w:tcPr>
            <w:tcW w:w="505" w:type="pct"/>
            <w:vAlign w:val="center"/>
          </w:tcPr>
          <w:p w14:paraId="368E2707" w14:textId="77777777" w:rsidR="00E659EA" w:rsidRPr="00006FCB" w:rsidRDefault="00E659EA" w:rsidP="008707A7">
            <w:pPr>
              <w:pStyle w:val="TableText0"/>
              <w:framePr w:hSpace="0" w:wrap="auto" w:vAnchor="margin" w:yAlign="inline"/>
              <w:suppressOverlap w:val="0"/>
              <w:jc w:val="center"/>
            </w:pPr>
            <w:r w:rsidRPr="00006FCB">
              <w:t>0.85 (0.17)</w:t>
            </w:r>
          </w:p>
        </w:tc>
        <w:tc>
          <w:tcPr>
            <w:tcW w:w="507" w:type="pct"/>
            <w:vAlign w:val="center"/>
          </w:tcPr>
          <w:p w14:paraId="067C13DC" w14:textId="77777777" w:rsidR="00E659EA" w:rsidRPr="00006FCB" w:rsidRDefault="00E659EA" w:rsidP="008707A7">
            <w:pPr>
              <w:pStyle w:val="TableText0"/>
              <w:framePr w:hSpace="0" w:wrap="auto" w:vAnchor="margin" w:yAlign="inline"/>
              <w:suppressOverlap w:val="0"/>
              <w:jc w:val="center"/>
            </w:pPr>
            <w:r w:rsidRPr="00006FCB">
              <w:t>0.92 (0.12)</w:t>
            </w:r>
          </w:p>
        </w:tc>
        <w:tc>
          <w:tcPr>
            <w:tcW w:w="488" w:type="pct"/>
            <w:vAlign w:val="center"/>
          </w:tcPr>
          <w:p w14:paraId="61128A01" w14:textId="77777777" w:rsidR="00E659EA" w:rsidRPr="00006FCB" w:rsidRDefault="00E659EA" w:rsidP="008707A7">
            <w:pPr>
              <w:pStyle w:val="TableText0"/>
              <w:framePr w:hSpace="0" w:wrap="auto" w:vAnchor="margin" w:yAlign="inline"/>
              <w:suppressOverlap w:val="0"/>
              <w:jc w:val="center"/>
            </w:pPr>
            <w:r w:rsidRPr="00006FCB">
              <w:t>0.08 (0.02)</w:t>
            </w:r>
          </w:p>
        </w:tc>
        <w:tc>
          <w:tcPr>
            <w:tcW w:w="509" w:type="pct"/>
            <w:vAlign w:val="center"/>
          </w:tcPr>
          <w:p w14:paraId="1F453337" w14:textId="77777777" w:rsidR="00E659EA" w:rsidRPr="00006FCB" w:rsidRDefault="00E659EA" w:rsidP="008707A7">
            <w:pPr>
              <w:pStyle w:val="TableText0"/>
              <w:framePr w:hSpace="0" w:wrap="auto" w:vAnchor="margin" w:yAlign="inline"/>
              <w:suppressOverlap w:val="0"/>
              <w:jc w:val="center"/>
            </w:pPr>
            <w:r w:rsidRPr="00006FCB">
              <w:t>0.78 (0.25)</w:t>
            </w:r>
          </w:p>
        </w:tc>
        <w:tc>
          <w:tcPr>
            <w:tcW w:w="508" w:type="pct"/>
            <w:vAlign w:val="center"/>
          </w:tcPr>
          <w:p w14:paraId="3CCA7935" w14:textId="77777777" w:rsidR="00E659EA" w:rsidRPr="00006FCB" w:rsidRDefault="00E659EA" w:rsidP="008707A7">
            <w:pPr>
              <w:pStyle w:val="TableText0"/>
              <w:framePr w:hSpace="0" w:wrap="auto" w:vAnchor="margin" w:yAlign="inline"/>
              <w:suppressOverlap w:val="0"/>
              <w:jc w:val="center"/>
            </w:pPr>
            <w:r w:rsidRPr="00006FCB">
              <w:t>0.76 (0.32)</w:t>
            </w:r>
          </w:p>
        </w:tc>
        <w:tc>
          <w:tcPr>
            <w:tcW w:w="510" w:type="pct"/>
            <w:vAlign w:val="center"/>
          </w:tcPr>
          <w:p w14:paraId="3E98B0E2" w14:textId="77777777" w:rsidR="00E659EA" w:rsidRPr="00006FCB" w:rsidRDefault="00E659EA" w:rsidP="008707A7">
            <w:pPr>
              <w:pStyle w:val="TableText0"/>
              <w:framePr w:hSpace="0" w:wrap="auto" w:vAnchor="margin" w:yAlign="inline"/>
              <w:suppressOverlap w:val="0"/>
              <w:jc w:val="center"/>
            </w:pPr>
            <w:r w:rsidRPr="00006FCB">
              <w:t>-0.04 (0.03)</w:t>
            </w:r>
          </w:p>
        </w:tc>
        <w:tc>
          <w:tcPr>
            <w:tcW w:w="683" w:type="pct"/>
            <w:vAlign w:val="center"/>
          </w:tcPr>
          <w:p w14:paraId="02C6A4A6" w14:textId="2130F778" w:rsidR="00E659EA" w:rsidRPr="00006FCB" w:rsidRDefault="00E659EA" w:rsidP="008707A7">
            <w:pPr>
              <w:pStyle w:val="TableText0"/>
              <w:framePr w:hSpace="0" w:wrap="auto" w:vAnchor="margin" w:yAlign="inline"/>
              <w:suppressOverlap w:val="0"/>
              <w:jc w:val="center"/>
              <w:rPr>
                <w:b/>
                <w:bCs w:val="0"/>
              </w:rPr>
            </w:pPr>
            <w:r w:rsidRPr="00006FCB">
              <w:rPr>
                <w:b/>
                <w:bCs w:val="0"/>
              </w:rPr>
              <w:t>0.12</w:t>
            </w:r>
          </w:p>
          <w:p w14:paraId="19A71FEA" w14:textId="77777777" w:rsidR="00E659EA" w:rsidRPr="00006FCB" w:rsidRDefault="00E659EA" w:rsidP="008707A7">
            <w:pPr>
              <w:pStyle w:val="TableText0"/>
              <w:framePr w:hSpace="0" w:wrap="auto" w:vAnchor="margin" w:yAlign="inline"/>
              <w:suppressOverlap w:val="0"/>
              <w:jc w:val="center"/>
            </w:pPr>
            <w:r w:rsidRPr="00006FCB">
              <w:rPr>
                <w:b/>
                <w:bCs w:val="0"/>
              </w:rPr>
              <w:t>(0.04, 0.20)</w:t>
            </w:r>
          </w:p>
        </w:tc>
        <w:tc>
          <w:tcPr>
            <w:tcW w:w="451" w:type="pct"/>
            <w:vAlign w:val="center"/>
          </w:tcPr>
          <w:p w14:paraId="3B8022E9" w14:textId="77777777" w:rsidR="00E659EA" w:rsidRPr="00006FCB" w:rsidRDefault="00E659EA" w:rsidP="008707A7">
            <w:pPr>
              <w:pStyle w:val="TableText0"/>
              <w:framePr w:hSpace="0" w:wrap="auto" w:vAnchor="margin" w:yAlign="inline"/>
              <w:suppressOverlap w:val="0"/>
              <w:jc w:val="center"/>
            </w:pPr>
            <w:r w:rsidRPr="00006FCB">
              <w:t>0.0044</w:t>
            </w:r>
          </w:p>
        </w:tc>
      </w:tr>
      <w:tr w:rsidR="00300E7A" w:rsidRPr="00006FCB" w14:paraId="7F3BF020" w14:textId="77777777" w:rsidTr="4D2BAA30">
        <w:tc>
          <w:tcPr>
            <w:tcW w:w="839" w:type="pct"/>
            <w:vAlign w:val="center"/>
          </w:tcPr>
          <w:p w14:paraId="4082D583" w14:textId="77777777" w:rsidR="00E659EA" w:rsidRPr="00006FCB" w:rsidRDefault="00E659EA" w:rsidP="006C0FF8">
            <w:pPr>
              <w:pStyle w:val="TableText0"/>
              <w:framePr w:hSpace="0" w:wrap="auto" w:vAnchor="margin" w:yAlign="inline"/>
              <w:suppressOverlap w:val="0"/>
              <w:rPr>
                <w:b/>
              </w:rPr>
            </w:pPr>
            <w:r w:rsidRPr="00006FCB">
              <w:t>EQ-5D VAS</w:t>
            </w:r>
          </w:p>
        </w:tc>
        <w:tc>
          <w:tcPr>
            <w:tcW w:w="505" w:type="pct"/>
            <w:vAlign w:val="center"/>
          </w:tcPr>
          <w:p w14:paraId="7645E7AA" w14:textId="77777777" w:rsidR="00E659EA" w:rsidRPr="00006FCB" w:rsidRDefault="00E659EA" w:rsidP="008707A7">
            <w:pPr>
              <w:pStyle w:val="TableText0"/>
              <w:framePr w:hSpace="0" w:wrap="auto" w:vAnchor="margin" w:yAlign="inline"/>
              <w:suppressOverlap w:val="0"/>
              <w:jc w:val="center"/>
            </w:pPr>
            <w:r w:rsidRPr="00006FCB">
              <w:t>67.7 (17.62)</w:t>
            </w:r>
          </w:p>
        </w:tc>
        <w:tc>
          <w:tcPr>
            <w:tcW w:w="507" w:type="pct"/>
            <w:vAlign w:val="center"/>
          </w:tcPr>
          <w:p w14:paraId="72D5663B" w14:textId="77777777" w:rsidR="00E659EA" w:rsidRPr="00006FCB" w:rsidRDefault="00E659EA" w:rsidP="008707A7">
            <w:pPr>
              <w:pStyle w:val="TableText0"/>
              <w:framePr w:hSpace="0" w:wrap="auto" w:vAnchor="margin" w:yAlign="inline"/>
              <w:suppressOverlap w:val="0"/>
              <w:jc w:val="center"/>
            </w:pPr>
            <w:r w:rsidRPr="00006FCB">
              <w:t>76.0 (16.57)</w:t>
            </w:r>
          </w:p>
        </w:tc>
        <w:tc>
          <w:tcPr>
            <w:tcW w:w="488" w:type="pct"/>
            <w:vAlign w:val="center"/>
          </w:tcPr>
          <w:p w14:paraId="7FBFE0D6" w14:textId="77777777" w:rsidR="00E659EA" w:rsidRPr="00006FCB" w:rsidRDefault="00E659EA" w:rsidP="008707A7">
            <w:pPr>
              <w:pStyle w:val="TableText0"/>
              <w:framePr w:hSpace="0" w:wrap="auto" w:vAnchor="margin" w:yAlign="inline"/>
              <w:suppressOverlap w:val="0"/>
              <w:jc w:val="center"/>
            </w:pPr>
            <w:r w:rsidRPr="00006FCB">
              <w:t>8.3 (2.67)</w:t>
            </w:r>
          </w:p>
        </w:tc>
        <w:tc>
          <w:tcPr>
            <w:tcW w:w="509" w:type="pct"/>
            <w:vAlign w:val="center"/>
          </w:tcPr>
          <w:p w14:paraId="7F21783C" w14:textId="77777777" w:rsidR="00E659EA" w:rsidRPr="00006FCB" w:rsidRDefault="00E659EA" w:rsidP="008707A7">
            <w:pPr>
              <w:pStyle w:val="TableText0"/>
              <w:framePr w:hSpace="0" w:wrap="auto" w:vAnchor="margin" w:yAlign="inline"/>
              <w:suppressOverlap w:val="0"/>
              <w:jc w:val="center"/>
            </w:pPr>
            <w:r w:rsidRPr="00006FCB">
              <w:t>62.6 (24.51)</w:t>
            </w:r>
          </w:p>
        </w:tc>
        <w:tc>
          <w:tcPr>
            <w:tcW w:w="508" w:type="pct"/>
            <w:vAlign w:val="center"/>
          </w:tcPr>
          <w:p w14:paraId="420E97CC" w14:textId="77777777" w:rsidR="00E659EA" w:rsidRPr="00006FCB" w:rsidRDefault="00E659EA" w:rsidP="008707A7">
            <w:pPr>
              <w:pStyle w:val="TableText0"/>
              <w:framePr w:hSpace="0" w:wrap="auto" w:vAnchor="margin" w:yAlign="inline"/>
              <w:suppressOverlap w:val="0"/>
              <w:jc w:val="center"/>
            </w:pPr>
            <w:r w:rsidRPr="00006FCB">
              <w:t>65.2 (24.28)</w:t>
            </w:r>
          </w:p>
        </w:tc>
        <w:tc>
          <w:tcPr>
            <w:tcW w:w="510" w:type="pct"/>
            <w:vAlign w:val="center"/>
          </w:tcPr>
          <w:p w14:paraId="44E24CA5" w14:textId="77777777" w:rsidR="00E659EA" w:rsidRPr="00006FCB" w:rsidRDefault="00E659EA" w:rsidP="008707A7">
            <w:pPr>
              <w:pStyle w:val="TableText0"/>
              <w:framePr w:hSpace="0" w:wrap="auto" w:vAnchor="margin" w:yAlign="inline"/>
              <w:suppressOverlap w:val="0"/>
              <w:jc w:val="center"/>
            </w:pPr>
            <w:r w:rsidRPr="00006FCB">
              <w:t>-0.0 (4.37)</w:t>
            </w:r>
          </w:p>
        </w:tc>
        <w:tc>
          <w:tcPr>
            <w:tcW w:w="683" w:type="pct"/>
            <w:vAlign w:val="center"/>
          </w:tcPr>
          <w:p w14:paraId="38A3201F" w14:textId="6E928C3C" w:rsidR="00E659EA" w:rsidRPr="00006FCB" w:rsidRDefault="00E659EA" w:rsidP="008707A7">
            <w:pPr>
              <w:pStyle w:val="TableText0"/>
              <w:framePr w:hSpace="0" w:wrap="auto" w:vAnchor="margin" w:yAlign="inline"/>
              <w:suppressOverlap w:val="0"/>
              <w:jc w:val="center"/>
            </w:pPr>
            <w:r w:rsidRPr="00006FCB">
              <w:t>8.3</w:t>
            </w:r>
          </w:p>
          <w:p w14:paraId="6514185B" w14:textId="77777777" w:rsidR="00E659EA" w:rsidRPr="00006FCB" w:rsidRDefault="00E659EA" w:rsidP="008707A7">
            <w:pPr>
              <w:pStyle w:val="TableText0"/>
              <w:framePr w:hSpace="0" w:wrap="auto" w:vAnchor="margin" w:yAlign="inline"/>
              <w:suppressOverlap w:val="0"/>
              <w:jc w:val="center"/>
            </w:pPr>
            <w:r w:rsidRPr="00006FCB">
              <w:t>(-0.7, 17.3)</w:t>
            </w:r>
          </w:p>
        </w:tc>
        <w:tc>
          <w:tcPr>
            <w:tcW w:w="451" w:type="pct"/>
            <w:vAlign w:val="center"/>
          </w:tcPr>
          <w:p w14:paraId="4EF745C2" w14:textId="77777777" w:rsidR="00E659EA" w:rsidRPr="00006FCB" w:rsidRDefault="00E659EA" w:rsidP="008707A7">
            <w:pPr>
              <w:pStyle w:val="TableText0"/>
              <w:framePr w:hSpace="0" w:wrap="auto" w:vAnchor="margin" w:yAlign="inline"/>
              <w:suppressOverlap w:val="0"/>
              <w:jc w:val="center"/>
            </w:pPr>
            <w:r w:rsidRPr="00006FCB">
              <w:t>0.0706</w:t>
            </w:r>
          </w:p>
        </w:tc>
      </w:tr>
    </w:tbl>
    <w:p w14:paraId="3977F4DC" w14:textId="2A0A489A" w:rsidR="00E659EA" w:rsidRPr="00006FCB" w:rsidRDefault="00E659EA" w:rsidP="00E659EA">
      <w:pPr>
        <w:pStyle w:val="FooterTableFigure"/>
      </w:pPr>
      <w:r w:rsidRPr="00006FCB">
        <w:t xml:space="preserve">Source: Table 26 </w:t>
      </w:r>
      <w:r w:rsidR="005E2192" w:rsidRPr="00006FCB">
        <w:t xml:space="preserve">p63, </w:t>
      </w:r>
      <w:r w:rsidRPr="00006FCB">
        <w:t xml:space="preserve">Table 29 </w:t>
      </w:r>
      <w:r w:rsidR="005E2192" w:rsidRPr="00006FCB">
        <w:t xml:space="preserve">p71, </w:t>
      </w:r>
      <w:r w:rsidR="00757FCD" w:rsidRPr="00006FCB">
        <w:t>Attachment</w:t>
      </w:r>
      <w:r w:rsidR="005E2192" w:rsidRPr="00006FCB">
        <w:t xml:space="preserve"> 4 of the submission. </w:t>
      </w:r>
    </w:p>
    <w:p w14:paraId="49F971DD" w14:textId="124867D7" w:rsidR="00E659EA" w:rsidRPr="00006FCB" w:rsidRDefault="00E659EA" w:rsidP="00E659EA">
      <w:pPr>
        <w:pStyle w:val="FooterTableFigure"/>
      </w:pPr>
      <w:r w:rsidRPr="4D2BAA30">
        <w:t xml:space="preserve">ANCOVA = analysis of covariance, CI = confidence interval; </w:t>
      </w:r>
      <w:r w:rsidR="00552A12" w:rsidRPr="4D2BAA30">
        <w:t xml:space="preserve">EQ-5D = EuroQol-5D, </w:t>
      </w:r>
      <w:r w:rsidRPr="4D2BAA30">
        <w:t>HPES = hypoparathyroidism patient experience scale, ITT = intention to treat, LS = least squares, PBO = placebo, PPT = palopegteriparatide, SD = standard deviation, SE = standard error</w:t>
      </w:r>
      <w:r w:rsidR="00552A12" w:rsidRPr="4D2BAA30">
        <w:t>. VAS = visual analogue scale</w:t>
      </w:r>
      <w:r w:rsidRPr="4D2BAA30">
        <w:t>.</w:t>
      </w:r>
    </w:p>
    <w:p w14:paraId="2E67953C" w14:textId="047A3B3D" w:rsidR="00B76B4C" w:rsidRPr="00006FCB" w:rsidRDefault="00E659EA" w:rsidP="008707A7">
      <w:pPr>
        <w:pStyle w:val="FooterTableFigure"/>
      </w:pPr>
      <w:r w:rsidRPr="00006FCB">
        <w:rPr>
          <w:vertAlign w:val="superscript"/>
        </w:rPr>
        <w:t xml:space="preserve">a </w:t>
      </w:r>
      <w:r w:rsidRPr="00006FCB">
        <w:t>calculated from ANCOVA model.</w:t>
      </w:r>
    </w:p>
    <w:p w14:paraId="76922723" w14:textId="77777777" w:rsidR="000C40DF" w:rsidRPr="00006FCB" w:rsidRDefault="37B7C442" w:rsidP="000C40DF">
      <w:pPr>
        <w:pStyle w:val="FooterTableFigure"/>
      </w:pPr>
      <w:r w:rsidRPr="383E5602">
        <w:rPr>
          <w:b/>
          <w:bCs/>
        </w:rPr>
        <w:t>Bold</w:t>
      </w:r>
      <w:r w:rsidRPr="383E5602">
        <w:t xml:space="preserve"> indicates a significant result.</w:t>
      </w:r>
    </w:p>
    <w:p w14:paraId="34A45DB7" w14:textId="11B34863" w:rsidR="00E80E87" w:rsidRPr="00006FCB" w:rsidRDefault="6ABC8C66" w:rsidP="00E80E87">
      <w:pPr>
        <w:pStyle w:val="3-BodyText"/>
      </w:pPr>
      <w:r w:rsidRPr="383E5602">
        <w:t xml:space="preserve">Across all the secondary endpoints for HPES, patients in the palopegteriparatide arm experienced a greater improvement in the domain/subscale scores (decrease in HPES scores) at Week 26 compared to the placebo arm. The difference from baseline in the HPES key secondary outcomes met the pre-defined minimum clinically important difference (MCID) of </w:t>
      </w:r>
      <w:r w:rsidR="1A0EE27F" w:rsidRPr="383E5602">
        <w:t xml:space="preserve">a </w:t>
      </w:r>
      <w:r w:rsidRPr="383E5602">
        <w:t>13</w:t>
      </w:r>
      <w:r w:rsidR="79773A26" w:rsidRPr="383E5602">
        <w:t xml:space="preserve"> to</w:t>
      </w:r>
      <w:r w:rsidR="1A0EE27F" w:rsidRPr="383E5602">
        <w:t xml:space="preserve"> </w:t>
      </w:r>
      <w:r w:rsidRPr="383E5602">
        <w:t>15-point difference for the palopegteriparatide arm.</w:t>
      </w:r>
    </w:p>
    <w:p w14:paraId="20AC0475" w14:textId="77777777" w:rsidR="00E80E87" w:rsidRPr="00006FCB" w:rsidRDefault="6ABC8C66" w:rsidP="00E80E87">
      <w:pPr>
        <w:pStyle w:val="3-BodyText"/>
      </w:pPr>
      <w:r w:rsidRPr="383E5602">
        <w:t>For the SF-36, patients in the palopegteriparatide arm experienced a greater improvement (increase in SF-36 score) and the difference in the LS means were significant for all domains and component summaries except for the role emotional domain, mental health domain, mental health component summary and bodily pain domain. The submission did not propose an MCID for this endpoint.</w:t>
      </w:r>
    </w:p>
    <w:p w14:paraId="0233C138" w14:textId="47DA18B4" w:rsidR="00E80E87" w:rsidRPr="00006FCB" w:rsidRDefault="00E80E87" w:rsidP="00E80E87">
      <w:pPr>
        <w:pStyle w:val="3-BodyText"/>
      </w:pPr>
      <w:r w:rsidRPr="4D2BAA30">
        <w:t>The difference in the change from baseline in the LS means between the palopegteriparatide and placebo arms for the EQ-5D VAS and EQ-5D-5L utility score using the UK value set was not significant at Week 26. The EQ-5D-5L index scores using the Australian value set</w:t>
      </w:r>
      <w:bookmarkStart w:id="31" w:name="_Ref187768471"/>
      <w:r w:rsidRPr="4D2BAA30">
        <w:rPr>
          <w:rStyle w:val="FootnoteReference"/>
        </w:rPr>
        <w:footnoteReference w:id="6"/>
      </w:r>
      <w:bookmarkEnd w:id="31"/>
      <w:r w:rsidRPr="4D2BAA30">
        <w:t xml:space="preserve"> is utilised in the economic model and is included in </w:t>
      </w:r>
      <w:r w:rsidRPr="00006FCB">
        <w:fldChar w:fldCharType="begin"/>
      </w:r>
      <w:r w:rsidRPr="00006FCB">
        <w:instrText xml:space="preserve"> REF _Ref184726970 \h </w:instrText>
      </w:r>
      <w:r w:rsidR="00006FCB" w:rsidRPr="00006FCB">
        <w:instrText xml:space="preserve"> \* MERGEFORMAT </w:instrText>
      </w:r>
      <w:r w:rsidRPr="00006FCB">
        <w:fldChar w:fldCharType="separate"/>
      </w:r>
      <w:r w:rsidR="00DA35E4" w:rsidRPr="4D2BAA30">
        <w:t xml:space="preserve">Table </w:t>
      </w:r>
      <w:r w:rsidR="00DA35E4">
        <w:rPr>
          <w:noProof/>
        </w:rPr>
        <w:t>6</w:t>
      </w:r>
      <w:r w:rsidRPr="00006FCB">
        <w:fldChar w:fldCharType="end"/>
      </w:r>
      <w:r w:rsidRPr="4D2BAA30">
        <w:t xml:space="preserve"> </w:t>
      </w:r>
      <w:r w:rsidR="00DB67E4" w:rsidRPr="4D2BAA30">
        <w:t>above</w:t>
      </w:r>
      <w:r w:rsidRPr="4D2BAA30">
        <w:t>. Using the Australian algorithm, the change from baseline in the LS means between the palopegteriparatide and placebo arms for EQ-5D-5L utility score was significant at Week 26.</w:t>
      </w:r>
    </w:p>
    <w:p w14:paraId="4630F644" w14:textId="2B15DA80" w:rsidR="00B76B4C" w:rsidRPr="00006FCB" w:rsidRDefault="041A207F" w:rsidP="006C0FF8">
      <w:pPr>
        <w:pStyle w:val="3-BodyText"/>
      </w:pPr>
      <w:r w:rsidRPr="383E5602">
        <w:t xml:space="preserve">The submission claimed superiority of palopegteriparatide compared to </w:t>
      </w:r>
      <w:r w:rsidR="6A6C89D1" w:rsidRPr="383E5602">
        <w:t>placebo</w:t>
      </w:r>
      <w:r w:rsidRPr="383E5602">
        <w:t xml:space="preserve"> based on changes in BMD. </w:t>
      </w:r>
      <w:r w:rsidR="6A6C89D1" w:rsidRPr="383E5602">
        <w:t>A</w:t>
      </w:r>
      <w:r w:rsidRPr="383E5602">
        <w:t>t baseline the</w:t>
      </w:r>
      <w:r w:rsidR="038FCA5C" w:rsidRPr="383E5602">
        <w:t xml:space="preserve"> mean</w:t>
      </w:r>
      <w:r w:rsidRPr="383E5602">
        <w:t xml:space="preserve"> BMD and Z-scores were above the age- and sex-matched reference ranges</w:t>
      </w:r>
      <w:r w:rsidR="6101E34A" w:rsidRPr="383E5602">
        <w:t xml:space="preserve"> for both arms</w:t>
      </w:r>
      <w:r w:rsidR="038FCA5C" w:rsidRPr="383E5602">
        <w:t xml:space="preserve">. By Week 26 the palopegteriparatide arm reported a reduction in their mean </w:t>
      </w:r>
      <w:r w:rsidR="4C13825A" w:rsidRPr="383E5602">
        <w:t>Z</w:t>
      </w:r>
      <w:r w:rsidR="038FCA5C" w:rsidRPr="383E5602">
        <w:t>-scores for 4 out o</w:t>
      </w:r>
      <w:r w:rsidR="31FF2A30" w:rsidRPr="383E5602">
        <w:t xml:space="preserve">f the 5 locations reported. While these </w:t>
      </w:r>
      <w:r w:rsidR="4C13825A" w:rsidRPr="383E5602">
        <w:t>Z</w:t>
      </w:r>
      <w:r w:rsidR="31FF2A30" w:rsidRPr="383E5602">
        <w:t>-scores were still above age- and sex-matched reference ranges, they were trending toward normalisation. The placebo arm did not report</w:t>
      </w:r>
      <w:r w:rsidR="038FCA5C" w:rsidRPr="383E5602">
        <w:t xml:space="preserve"> </w:t>
      </w:r>
      <w:r w:rsidR="31FF2A30" w:rsidRPr="383E5602">
        <w:t xml:space="preserve">similar reductions in </w:t>
      </w:r>
      <w:r w:rsidR="4C13825A" w:rsidRPr="383E5602">
        <w:t>Z</w:t>
      </w:r>
      <w:r w:rsidR="31FF2A30" w:rsidRPr="383E5602">
        <w:t xml:space="preserve">-scores. </w:t>
      </w:r>
      <w:r w:rsidRPr="383E5602">
        <w:t>The difference in the LS means for change from baseline to Week 26 in Z-scores was significant for all regions except forearm/radius 1/3 distal. The submission did not present an MCID for a change in BMD in patients with HPT.</w:t>
      </w:r>
    </w:p>
    <w:p w14:paraId="61754C8C" w14:textId="44F8732E" w:rsidR="006A48EE" w:rsidRPr="00006FCB" w:rsidRDefault="00866459" w:rsidP="006A48EE">
      <w:pPr>
        <w:pStyle w:val="3-BodyText"/>
        <w:numPr>
          <w:ilvl w:val="0"/>
          <w:numId w:val="0"/>
        </w:numPr>
        <w:rPr>
          <w:b/>
          <w:bCs/>
        </w:rPr>
      </w:pPr>
      <w:r>
        <w:rPr>
          <w:b/>
          <w:bCs/>
          <w:i/>
          <w:iCs/>
        </w:rPr>
        <w:t>eGFR results</w:t>
      </w:r>
    </w:p>
    <w:p w14:paraId="3364E0FD" w14:textId="72C804A7" w:rsidR="00CC3D51" w:rsidRPr="00006FCB" w:rsidRDefault="00CC3D51" w:rsidP="00CC3D51">
      <w:pPr>
        <w:pStyle w:val="3-BodyText"/>
      </w:pPr>
      <w:r w:rsidRPr="4D2BAA30">
        <w:t xml:space="preserve">The submission also claimed superiority of palopegteriparatide compared to </w:t>
      </w:r>
      <w:r w:rsidR="00D44771" w:rsidRPr="4D2BAA30">
        <w:t>conventional therapy</w:t>
      </w:r>
      <w:r w:rsidRPr="4D2BAA30">
        <w:t xml:space="preserve"> based on a </w:t>
      </w:r>
      <w:r w:rsidRPr="00930BBD">
        <w:rPr>
          <w:i/>
          <w:iCs/>
        </w:rPr>
        <w:t>post</w:t>
      </w:r>
      <w:r w:rsidR="00D44771" w:rsidRPr="00930BBD">
        <w:rPr>
          <w:i/>
          <w:iCs/>
        </w:rPr>
        <w:t>-</w:t>
      </w:r>
      <w:r w:rsidRPr="00930BBD">
        <w:rPr>
          <w:i/>
          <w:iCs/>
        </w:rPr>
        <w:t>hoc</w:t>
      </w:r>
      <w:r w:rsidRPr="4D2BAA30">
        <w:t xml:space="preserve"> analysis of eGFR at 26 weeks as a measure of renal function. The submission also presented the results of the 52-week and 104-week follow up. </w:t>
      </w:r>
      <w:r w:rsidR="00EA761D" w:rsidRPr="00151020">
        <w:t xml:space="preserve">The </w:t>
      </w:r>
      <w:r w:rsidR="00E16C37" w:rsidRPr="00E16C37">
        <w:t xml:space="preserve">Pre-Sub-Committee Response </w:t>
      </w:r>
      <w:r w:rsidR="00E16C37">
        <w:t>(</w:t>
      </w:r>
      <w:r w:rsidR="00EA761D" w:rsidRPr="00151020">
        <w:t>PSCR</w:t>
      </w:r>
      <w:r w:rsidR="00E16C37">
        <w:t>)</w:t>
      </w:r>
      <w:r w:rsidR="00EA761D" w:rsidRPr="00151020">
        <w:t xml:space="preserve"> provided results of the 156 week follow up. </w:t>
      </w:r>
      <w:r w:rsidRPr="00151020">
        <w:t xml:space="preserve">These are presented in </w:t>
      </w:r>
      <w:r w:rsidRPr="00151020">
        <w:fldChar w:fldCharType="begin"/>
      </w:r>
      <w:r w:rsidRPr="00151020">
        <w:instrText xml:space="preserve"> REF _Ref184728865 \h  \* MERGEFORMAT </w:instrText>
      </w:r>
      <w:r w:rsidRPr="00151020">
        <w:fldChar w:fldCharType="separate"/>
      </w:r>
      <w:r w:rsidR="00DA35E4" w:rsidRPr="383E5602">
        <w:t xml:space="preserve">Table </w:t>
      </w:r>
      <w:r w:rsidR="00DA35E4">
        <w:rPr>
          <w:noProof/>
        </w:rPr>
        <w:t>7</w:t>
      </w:r>
      <w:r w:rsidRPr="00151020">
        <w:fldChar w:fldCharType="end"/>
      </w:r>
      <w:r w:rsidRPr="00151020">
        <w:t xml:space="preserve"> below.</w:t>
      </w:r>
    </w:p>
    <w:p w14:paraId="74B3C160" w14:textId="77777777" w:rsidR="00CC3D51" w:rsidRPr="00006FCB" w:rsidRDefault="00CC3D51" w:rsidP="00CC3D51">
      <w:pPr>
        <w:pStyle w:val="3-BodyText"/>
        <w:numPr>
          <w:ilvl w:val="0"/>
          <w:numId w:val="0"/>
        </w:numPr>
        <w:rPr>
          <w:color w:val="0066FF"/>
        </w:rPr>
      </w:pPr>
    </w:p>
    <w:p w14:paraId="2F0E65B4" w14:textId="299AA26D" w:rsidR="00CC3D51" w:rsidRPr="00006FCB" w:rsidRDefault="4D72FECA" w:rsidP="00D44771">
      <w:pPr>
        <w:pStyle w:val="Caption"/>
      </w:pPr>
      <w:bookmarkStart w:id="32" w:name="_Ref184728865"/>
      <w:r w:rsidRPr="383E5602">
        <w:t xml:space="preserve">Table </w:t>
      </w:r>
      <w:r w:rsidR="00CC3D51" w:rsidRPr="383E5602">
        <w:fldChar w:fldCharType="begin"/>
      </w:r>
      <w:r w:rsidR="00CC3D51">
        <w:instrText xml:space="preserve"> SEQ Table \* ARABIC </w:instrText>
      </w:r>
      <w:r w:rsidR="00CC3D51" w:rsidRPr="383E5602">
        <w:fldChar w:fldCharType="separate"/>
      </w:r>
      <w:r w:rsidR="00DA35E4">
        <w:rPr>
          <w:noProof/>
        </w:rPr>
        <w:t>7</w:t>
      </w:r>
      <w:r w:rsidR="00CC3D51" w:rsidRPr="383E5602">
        <w:rPr>
          <w:noProof/>
        </w:rPr>
        <w:fldChar w:fldCharType="end"/>
      </w:r>
      <w:bookmarkEnd w:id="32"/>
      <w:r w:rsidRPr="383E5602">
        <w:t>: eGFR results for patients in PaTHway at Week 26, Week 52</w:t>
      </w:r>
      <w:r w:rsidR="4A49DCCA" w:rsidRPr="383E5602">
        <w:t>,</w:t>
      </w:r>
      <w:r w:rsidRPr="383E5602">
        <w:t xml:space="preserve"> Week 104 </w:t>
      </w:r>
      <w:r w:rsidR="4A49DCCA" w:rsidRPr="0059773B">
        <w:t>and Week 156</w:t>
      </w:r>
      <w:r w:rsidR="4A49DCCA" w:rsidRPr="383E5602">
        <w:rPr>
          <w:i/>
          <w:iCs/>
        </w:rPr>
        <w:t xml:space="preserve"> </w:t>
      </w:r>
      <w:r w:rsidRPr="383E5602">
        <w:t>(ITT 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 eGFR results for patients in PaTHway at Week 26, Week 52, Week 104 and Week 156 (ITT population)"/>
      </w:tblPr>
      <w:tblGrid>
        <w:gridCol w:w="2277"/>
        <w:gridCol w:w="1080"/>
        <w:gridCol w:w="1080"/>
        <w:gridCol w:w="1080"/>
        <w:gridCol w:w="1199"/>
        <w:gridCol w:w="1201"/>
        <w:gridCol w:w="1100"/>
      </w:tblGrid>
      <w:tr w:rsidR="002C13D5" w:rsidRPr="00006FCB" w14:paraId="33571958" w14:textId="7CBF09EB" w:rsidTr="00242579">
        <w:trPr>
          <w:trHeight w:val="230"/>
        </w:trPr>
        <w:tc>
          <w:tcPr>
            <w:tcW w:w="1262" w:type="pct"/>
            <w:vMerge w:val="restart"/>
            <w:shd w:val="clear" w:color="auto" w:fill="auto"/>
            <w:tcMar>
              <w:left w:w="20" w:type="dxa"/>
              <w:right w:w="20" w:type="dxa"/>
            </w:tcMar>
          </w:tcPr>
          <w:p w14:paraId="56607E89" w14:textId="77777777" w:rsidR="002C13D5" w:rsidRPr="00006FCB" w:rsidRDefault="002C13D5" w:rsidP="00A45DC0">
            <w:pPr>
              <w:pStyle w:val="TableParagraph"/>
              <w:keepNext/>
              <w:widowControl/>
              <w:spacing w:line="240" w:lineRule="auto"/>
              <w:ind w:left="-121"/>
              <w:rPr>
                <w:rFonts w:ascii="Times New Roman"/>
                <w:sz w:val="16"/>
              </w:rPr>
            </w:pPr>
          </w:p>
        </w:tc>
        <w:tc>
          <w:tcPr>
            <w:tcW w:w="1198" w:type="pct"/>
            <w:gridSpan w:val="2"/>
            <w:shd w:val="clear" w:color="auto" w:fill="auto"/>
            <w:tcMar>
              <w:left w:w="20" w:type="dxa"/>
              <w:right w:w="20" w:type="dxa"/>
            </w:tcMar>
          </w:tcPr>
          <w:p w14:paraId="4EE326EF" w14:textId="77777777" w:rsidR="002C13D5" w:rsidRPr="00006FCB" w:rsidRDefault="002C13D5" w:rsidP="00242579">
            <w:pPr>
              <w:pStyle w:val="TableParagraph"/>
              <w:keepNext/>
              <w:widowControl/>
              <w:ind w:left="0"/>
              <w:jc w:val="center"/>
              <w:rPr>
                <w:b/>
                <w:sz w:val="20"/>
              </w:rPr>
            </w:pPr>
            <w:r w:rsidRPr="00006FCB">
              <w:rPr>
                <w:b/>
                <w:sz w:val="20"/>
              </w:rPr>
              <w:t>Double-blind</w:t>
            </w:r>
            <w:r w:rsidRPr="00006FCB">
              <w:rPr>
                <w:b/>
                <w:spacing w:val="-12"/>
                <w:sz w:val="20"/>
              </w:rPr>
              <w:t xml:space="preserve"> </w:t>
            </w:r>
            <w:r w:rsidRPr="00006FCB">
              <w:rPr>
                <w:b/>
                <w:spacing w:val="-2"/>
                <w:sz w:val="20"/>
              </w:rPr>
              <w:t>period</w:t>
            </w:r>
          </w:p>
        </w:tc>
        <w:tc>
          <w:tcPr>
            <w:tcW w:w="2541" w:type="pct"/>
            <w:gridSpan w:val="4"/>
            <w:shd w:val="clear" w:color="auto" w:fill="auto"/>
            <w:tcMar>
              <w:left w:w="20" w:type="dxa"/>
              <w:right w:w="20" w:type="dxa"/>
            </w:tcMar>
          </w:tcPr>
          <w:p w14:paraId="47EC66C5" w14:textId="2813B590" w:rsidR="002C13D5" w:rsidRPr="00006FCB" w:rsidRDefault="002C13D5" w:rsidP="00D44771">
            <w:pPr>
              <w:pStyle w:val="TableParagraph"/>
              <w:keepNext/>
              <w:widowControl/>
              <w:ind w:left="5"/>
              <w:jc w:val="center"/>
              <w:rPr>
                <w:b/>
                <w:sz w:val="20"/>
              </w:rPr>
            </w:pPr>
            <w:r w:rsidRPr="00006FCB">
              <w:rPr>
                <w:b/>
                <w:sz w:val="20"/>
              </w:rPr>
              <w:t>Open-label</w:t>
            </w:r>
            <w:r w:rsidRPr="00006FCB">
              <w:rPr>
                <w:b/>
                <w:spacing w:val="-6"/>
                <w:sz w:val="20"/>
              </w:rPr>
              <w:t xml:space="preserve"> </w:t>
            </w:r>
            <w:r w:rsidRPr="00006FCB">
              <w:rPr>
                <w:b/>
                <w:spacing w:val="-2"/>
                <w:sz w:val="20"/>
              </w:rPr>
              <w:t>period</w:t>
            </w:r>
          </w:p>
        </w:tc>
      </w:tr>
      <w:tr w:rsidR="00316519" w:rsidRPr="00006FCB" w14:paraId="123E7CE6" w14:textId="096D5E8B" w:rsidTr="00242579">
        <w:trPr>
          <w:trHeight w:val="74"/>
        </w:trPr>
        <w:tc>
          <w:tcPr>
            <w:tcW w:w="1262" w:type="pct"/>
            <w:vMerge/>
            <w:tcMar>
              <w:left w:w="20" w:type="dxa"/>
              <w:right w:w="20" w:type="dxa"/>
            </w:tcMar>
          </w:tcPr>
          <w:p w14:paraId="2F740FD3" w14:textId="77777777" w:rsidR="00316519" w:rsidRPr="00006FCB" w:rsidRDefault="00316519" w:rsidP="00D44771">
            <w:pPr>
              <w:pStyle w:val="TableParagraph"/>
              <w:keepNext/>
              <w:widowControl/>
              <w:spacing w:line="240" w:lineRule="auto"/>
              <w:ind w:left="0"/>
              <w:rPr>
                <w:rFonts w:ascii="Times New Roman"/>
                <w:sz w:val="16"/>
              </w:rPr>
            </w:pPr>
          </w:p>
        </w:tc>
        <w:tc>
          <w:tcPr>
            <w:tcW w:w="1198" w:type="pct"/>
            <w:gridSpan w:val="2"/>
            <w:tcMar>
              <w:left w:w="20" w:type="dxa"/>
              <w:right w:w="20" w:type="dxa"/>
            </w:tcMar>
          </w:tcPr>
          <w:p w14:paraId="128FD6BD" w14:textId="77777777" w:rsidR="00316519" w:rsidRPr="00006FCB" w:rsidRDefault="00316519" w:rsidP="00D44771">
            <w:pPr>
              <w:pStyle w:val="TableParagraph"/>
              <w:keepNext/>
              <w:widowControl/>
              <w:ind w:left="8" w:right="4"/>
              <w:jc w:val="center"/>
              <w:rPr>
                <w:b/>
                <w:bCs/>
                <w:sz w:val="20"/>
              </w:rPr>
            </w:pPr>
            <w:r w:rsidRPr="00006FCB">
              <w:rPr>
                <w:b/>
                <w:bCs/>
                <w:sz w:val="20"/>
              </w:rPr>
              <w:t>26</w:t>
            </w:r>
            <w:r w:rsidRPr="00006FCB">
              <w:rPr>
                <w:b/>
                <w:bCs/>
                <w:spacing w:val="-3"/>
                <w:sz w:val="20"/>
              </w:rPr>
              <w:t xml:space="preserve"> </w:t>
            </w:r>
            <w:r w:rsidRPr="00006FCB">
              <w:rPr>
                <w:b/>
                <w:bCs/>
                <w:spacing w:val="-2"/>
                <w:sz w:val="20"/>
              </w:rPr>
              <w:t>weeks</w:t>
            </w:r>
          </w:p>
        </w:tc>
        <w:tc>
          <w:tcPr>
            <w:tcW w:w="1264" w:type="pct"/>
            <w:gridSpan w:val="2"/>
            <w:tcMar>
              <w:left w:w="20" w:type="dxa"/>
              <w:right w:w="20" w:type="dxa"/>
            </w:tcMar>
          </w:tcPr>
          <w:p w14:paraId="332DD645" w14:textId="77777777" w:rsidR="00316519" w:rsidRPr="00006FCB" w:rsidRDefault="00316519" w:rsidP="00D44771">
            <w:pPr>
              <w:pStyle w:val="TableParagraph"/>
              <w:keepNext/>
              <w:widowControl/>
              <w:ind w:left="0"/>
              <w:jc w:val="center"/>
              <w:rPr>
                <w:b/>
                <w:bCs/>
                <w:sz w:val="20"/>
              </w:rPr>
            </w:pPr>
            <w:r w:rsidRPr="00006FCB">
              <w:rPr>
                <w:b/>
                <w:bCs/>
                <w:sz w:val="20"/>
              </w:rPr>
              <w:t>52</w:t>
            </w:r>
            <w:r w:rsidRPr="00006FCB">
              <w:rPr>
                <w:b/>
                <w:bCs/>
                <w:spacing w:val="-3"/>
                <w:sz w:val="20"/>
              </w:rPr>
              <w:t xml:space="preserve"> </w:t>
            </w:r>
            <w:r w:rsidRPr="00006FCB">
              <w:rPr>
                <w:b/>
                <w:bCs/>
                <w:spacing w:val="-2"/>
                <w:sz w:val="20"/>
              </w:rPr>
              <w:t>weeks</w:t>
            </w:r>
          </w:p>
        </w:tc>
        <w:tc>
          <w:tcPr>
            <w:tcW w:w="666" w:type="pct"/>
            <w:tcMar>
              <w:left w:w="20" w:type="dxa"/>
              <w:right w:w="20" w:type="dxa"/>
            </w:tcMar>
          </w:tcPr>
          <w:p w14:paraId="0081E518" w14:textId="77777777" w:rsidR="00316519" w:rsidRPr="00006FCB" w:rsidRDefault="00316519" w:rsidP="00D44771">
            <w:pPr>
              <w:pStyle w:val="TableParagraph"/>
              <w:keepNext/>
              <w:widowControl/>
              <w:ind w:left="7" w:right="7"/>
              <w:jc w:val="center"/>
              <w:rPr>
                <w:b/>
                <w:bCs/>
                <w:sz w:val="20"/>
              </w:rPr>
            </w:pPr>
            <w:r w:rsidRPr="00006FCB">
              <w:rPr>
                <w:b/>
                <w:bCs/>
                <w:sz w:val="20"/>
              </w:rPr>
              <w:t>104</w:t>
            </w:r>
            <w:r w:rsidRPr="00006FCB">
              <w:rPr>
                <w:b/>
                <w:bCs/>
                <w:spacing w:val="-5"/>
                <w:sz w:val="20"/>
              </w:rPr>
              <w:t xml:space="preserve"> </w:t>
            </w:r>
            <w:r w:rsidRPr="00006FCB">
              <w:rPr>
                <w:b/>
                <w:bCs/>
                <w:spacing w:val="-2"/>
                <w:sz w:val="20"/>
              </w:rPr>
              <w:t>weeks</w:t>
            </w:r>
          </w:p>
        </w:tc>
        <w:tc>
          <w:tcPr>
            <w:tcW w:w="611" w:type="pct"/>
            <w:tcMar>
              <w:left w:w="20" w:type="dxa"/>
              <w:right w:w="20" w:type="dxa"/>
            </w:tcMar>
          </w:tcPr>
          <w:p w14:paraId="43D0B83D" w14:textId="0F94F226" w:rsidR="00316519" w:rsidRPr="0059773B" w:rsidRDefault="00241AF9" w:rsidP="00D44771">
            <w:pPr>
              <w:pStyle w:val="TableParagraph"/>
              <w:keepNext/>
              <w:widowControl/>
              <w:ind w:left="7" w:right="7"/>
              <w:jc w:val="center"/>
              <w:rPr>
                <w:b/>
                <w:bCs/>
                <w:sz w:val="20"/>
              </w:rPr>
            </w:pPr>
            <w:r w:rsidRPr="0059773B">
              <w:rPr>
                <w:b/>
                <w:bCs/>
                <w:sz w:val="20"/>
              </w:rPr>
              <w:t>156 weeks</w:t>
            </w:r>
          </w:p>
        </w:tc>
      </w:tr>
      <w:tr w:rsidR="00242579" w:rsidRPr="00006FCB" w14:paraId="20F92AED" w14:textId="053D153F" w:rsidTr="00242579">
        <w:trPr>
          <w:trHeight w:val="194"/>
        </w:trPr>
        <w:tc>
          <w:tcPr>
            <w:tcW w:w="1262" w:type="pct"/>
            <w:vMerge/>
            <w:tcMar>
              <w:left w:w="20" w:type="dxa"/>
              <w:right w:w="20" w:type="dxa"/>
            </w:tcMar>
          </w:tcPr>
          <w:p w14:paraId="024A395C" w14:textId="77777777" w:rsidR="00316519" w:rsidRPr="00006FCB" w:rsidRDefault="00316519" w:rsidP="00D44771">
            <w:pPr>
              <w:pStyle w:val="TableParagraph"/>
              <w:keepNext/>
              <w:widowControl/>
              <w:spacing w:line="240" w:lineRule="auto"/>
              <w:ind w:left="0"/>
              <w:rPr>
                <w:rFonts w:ascii="Times New Roman"/>
                <w:sz w:val="20"/>
              </w:rPr>
            </w:pPr>
          </w:p>
        </w:tc>
        <w:tc>
          <w:tcPr>
            <w:tcW w:w="599" w:type="pct"/>
            <w:tcMar>
              <w:left w:w="20" w:type="dxa"/>
              <w:right w:w="20" w:type="dxa"/>
            </w:tcMar>
            <w:vAlign w:val="center"/>
          </w:tcPr>
          <w:p w14:paraId="5CDEA1B2" w14:textId="77777777" w:rsidR="00316519" w:rsidRPr="00006FCB" w:rsidRDefault="00316519" w:rsidP="00FF216B">
            <w:pPr>
              <w:pStyle w:val="TableParagraph"/>
              <w:keepNext/>
              <w:widowControl/>
              <w:spacing w:line="240" w:lineRule="auto"/>
              <w:ind w:left="565" w:right="136" w:hanging="459"/>
              <w:jc w:val="center"/>
              <w:rPr>
                <w:b/>
                <w:bCs/>
                <w:spacing w:val="-2"/>
                <w:sz w:val="20"/>
              </w:rPr>
            </w:pPr>
            <w:r w:rsidRPr="00006FCB">
              <w:rPr>
                <w:b/>
                <w:bCs/>
                <w:spacing w:val="-2"/>
                <w:sz w:val="20"/>
              </w:rPr>
              <w:t xml:space="preserve">PPT </w:t>
            </w:r>
          </w:p>
          <w:p w14:paraId="74872711" w14:textId="4C406139" w:rsidR="00316519" w:rsidRPr="00006FCB" w:rsidRDefault="00316519" w:rsidP="00FF216B">
            <w:pPr>
              <w:pStyle w:val="TableParagraph"/>
              <w:keepNext/>
              <w:widowControl/>
              <w:spacing w:line="240" w:lineRule="auto"/>
              <w:ind w:left="565" w:right="136" w:hanging="459"/>
              <w:jc w:val="center"/>
              <w:rPr>
                <w:b/>
                <w:bCs/>
                <w:sz w:val="20"/>
              </w:rPr>
            </w:pPr>
            <w:r w:rsidRPr="00006FCB">
              <w:rPr>
                <w:b/>
                <w:bCs/>
                <w:spacing w:val="-2"/>
                <w:sz w:val="20"/>
              </w:rPr>
              <w:t>(N=61)</w:t>
            </w:r>
          </w:p>
        </w:tc>
        <w:tc>
          <w:tcPr>
            <w:tcW w:w="599" w:type="pct"/>
            <w:tcMar>
              <w:left w:w="20" w:type="dxa"/>
              <w:right w:w="20" w:type="dxa"/>
            </w:tcMar>
            <w:vAlign w:val="center"/>
          </w:tcPr>
          <w:p w14:paraId="45872A3A" w14:textId="77777777" w:rsidR="00271356" w:rsidRDefault="00316519" w:rsidP="003821F8">
            <w:pPr>
              <w:pStyle w:val="TableParagraph"/>
              <w:keepNext/>
              <w:widowControl/>
              <w:spacing w:line="240" w:lineRule="auto"/>
              <w:ind w:left="115" w:right="57" w:hanging="45"/>
              <w:jc w:val="center"/>
              <w:rPr>
                <w:b/>
                <w:bCs/>
                <w:spacing w:val="-2"/>
                <w:sz w:val="20"/>
              </w:rPr>
            </w:pPr>
            <w:r w:rsidRPr="00006FCB">
              <w:rPr>
                <w:b/>
                <w:bCs/>
                <w:spacing w:val="-2"/>
                <w:sz w:val="20"/>
              </w:rPr>
              <w:t>Placebo</w:t>
            </w:r>
          </w:p>
          <w:p w14:paraId="7FF2B8EA" w14:textId="1CBFA160" w:rsidR="00316519" w:rsidRPr="00006FCB" w:rsidRDefault="00316519" w:rsidP="003821F8">
            <w:pPr>
              <w:pStyle w:val="TableParagraph"/>
              <w:keepNext/>
              <w:widowControl/>
              <w:spacing w:line="240" w:lineRule="auto"/>
              <w:ind w:left="115" w:right="57" w:hanging="45"/>
              <w:jc w:val="center"/>
              <w:rPr>
                <w:b/>
                <w:bCs/>
                <w:sz w:val="20"/>
              </w:rPr>
            </w:pPr>
            <w:r w:rsidRPr="00006FCB">
              <w:rPr>
                <w:b/>
                <w:bCs/>
                <w:spacing w:val="-2"/>
                <w:sz w:val="20"/>
              </w:rPr>
              <w:t>(N=21)</w:t>
            </w:r>
          </w:p>
        </w:tc>
        <w:tc>
          <w:tcPr>
            <w:tcW w:w="599" w:type="pct"/>
            <w:tcMar>
              <w:left w:w="20" w:type="dxa"/>
              <w:right w:w="20" w:type="dxa"/>
            </w:tcMar>
            <w:vAlign w:val="center"/>
          </w:tcPr>
          <w:p w14:paraId="3DE69394" w14:textId="77777777" w:rsidR="00316519" w:rsidRPr="00006FCB" w:rsidRDefault="00316519" w:rsidP="00FF216B">
            <w:pPr>
              <w:pStyle w:val="TableParagraph"/>
              <w:keepNext/>
              <w:widowControl/>
              <w:spacing w:line="240" w:lineRule="auto"/>
              <w:ind w:left="564" w:hanging="459"/>
              <w:jc w:val="center"/>
              <w:rPr>
                <w:b/>
                <w:bCs/>
                <w:spacing w:val="-2"/>
                <w:sz w:val="20"/>
              </w:rPr>
            </w:pPr>
            <w:r w:rsidRPr="00006FCB">
              <w:rPr>
                <w:b/>
                <w:bCs/>
                <w:spacing w:val="-2"/>
                <w:sz w:val="20"/>
              </w:rPr>
              <w:t xml:space="preserve">PPT </w:t>
            </w:r>
          </w:p>
          <w:p w14:paraId="1DACDA60" w14:textId="63EE0945" w:rsidR="00316519" w:rsidRPr="00006FCB" w:rsidRDefault="00316519" w:rsidP="00FF216B">
            <w:pPr>
              <w:pStyle w:val="TableParagraph"/>
              <w:keepNext/>
              <w:widowControl/>
              <w:spacing w:line="240" w:lineRule="auto"/>
              <w:ind w:left="564" w:hanging="459"/>
              <w:jc w:val="center"/>
              <w:rPr>
                <w:b/>
                <w:bCs/>
                <w:sz w:val="20"/>
              </w:rPr>
            </w:pPr>
            <w:r w:rsidRPr="00006FCB">
              <w:rPr>
                <w:b/>
                <w:bCs/>
                <w:spacing w:val="-2"/>
                <w:sz w:val="20"/>
              </w:rPr>
              <w:t>(N=61)</w:t>
            </w:r>
          </w:p>
        </w:tc>
        <w:tc>
          <w:tcPr>
            <w:tcW w:w="665" w:type="pct"/>
            <w:tcMar>
              <w:left w:w="20" w:type="dxa"/>
              <w:right w:w="20" w:type="dxa"/>
            </w:tcMar>
            <w:vAlign w:val="center"/>
          </w:tcPr>
          <w:p w14:paraId="63D2AEEF" w14:textId="7E9EA99A" w:rsidR="00271356" w:rsidRDefault="00316519" w:rsidP="00271356">
            <w:pPr>
              <w:pStyle w:val="TableParagraph"/>
              <w:keepNext/>
              <w:widowControl/>
              <w:spacing w:line="240" w:lineRule="auto"/>
              <w:ind w:left="77" w:right="102" w:hanging="1"/>
              <w:jc w:val="center"/>
              <w:rPr>
                <w:b/>
                <w:bCs/>
                <w:spacing w:val="-2"/>
                <w:sz w:val="20"/>
              </w:rPr>
            </w:pPr>
            <w:r w:rsidRPr="00006FCB">
              <w:rPr>
                <w:b/>
                <w:bCs/>
                <w:spacing w:val="-2"/>
                <w:sz w:val="20"/>
              </w:rPr>
              <w:t>Placebo/PPT</w:t>
            </w:r>
          </w:p>
          <w:p w14:paraId="0B4267F9" w14:textId="5F914A0D" w:rsidR="00316519" w:rsidRPr="00006FCB" w:rsidRDefault="00316519" w:rsidP="00242579">
            <w:pPr>
              <w:pStyle w:val="TableParagraph"/>
              <w:keepNext/>
              <w:widowControl/>
              <w:spacing w:line="240" w:lineRule="auto"/>
              <w:ind w:left="77" w:hanging="1"/>
              <w:jc w:val="center"/>
              <w:rPr>
                <w:b/>
                <w:bCs/>
                <w:sz w:val="20"/>
              </w:rPr>
            </w:pPr>
            <w:r w:rsidRPr="00006FCB">
              <w:rPr>
                <w:b/>
                <w:bCs/>
                <w:spacing w:val="-2"/>
                <w:sz w:val="20"/>
              </w:rPr>
              <w:t>(N=21)</w:t>
            </w:r>
          </w:p>
        </w:tc>
        <w:tc>
          <w:tcPr>
            <w:tcW w:w="666" w:type="pct"/>
            <w:tcMar>
              <w:left w:w="20" w:type="dxa"/>
              <w:right w:w="20" w:type="dxa"/>
            </w:tcMar>
            <w:vAlign w:val="center"/>
          </w:tcPr>
          <w:p w14:paraId="522418F7" w14:textId="77777777" w:rsidR="00316519" w:rsidRPr="00006FCB" w:rsidRDefault="00316519" w:rsidP="001A061E">
            <w:pPr>
              <w:pStyle w:val="TableParagraph"/>
              <w:keepNext/>
              <w:widowControl/>
              <w:spacing w:line="240" w:lineRule="auto"/>
              <w:ind w:left="7" w:right="6"/>
              <w:jc w:val="center"/>
              <w:rPr>
                <w:b/>
                <w:bCs/>
                <w:spacing w:val="-2"/>
                <w:sz w:val="20"/>
              </w:rPr>
            </w:pPr>
            <w:r w:rsidRPr="00006FCB">
              <w:rPr>
                <w:b/>
                <w:bCs/>
                <w:spacing w:val="-2"/>
                <w:sz w:val="20"/>
              </w:rPr>
              <w:t xml:space="preserve">PPT </w:t>
            </w:r>
            <w:r w:rsidRPr="00006FCB">
              <w:rPr>
                <w:b/>
                <w:bCs/>
                <w:sz w:val="20"/>
              </w:rPr>
              <w:t xml:space="preserve">and placebo/ </w:t>
            </w:r>
            <w:r w:rsidRPr="00006FCB">
              <w:rPr>
                <w:b/>
                <w:bCs/>
                <w:spacing w:val="-2"/>
                <w:sz w:val="20"/>
              </w:rPr>
              <w:t xml:space="preserve">PPT </w:t>
            </w:r>
          </w:p>
          <w:p w14:paraId="21825B66" w14:textId="67DADB83" w:rsidR="00316519" w:rsidRPr="00006FCB" w:rsidRDefault="00316519" w:rsidP="001A061E">
            <w:pPr>
              <w:pStyle w:val="TableParagraph"/>
              <w:keepNext/>
              <w:widowControl/>
              <w:spacing w:line="240" w:lineRule="auto"/>
              <w:ind w:left="7" w:right="6"/>
              <w:jc w:val="center"/>
              <w:rPr>
                <w:b/>
                <w:bCs/>
                <w:sz w:val="20"/>
              </w:rPr>
            </w:pPr>
            <w:r w:rsidRPr="00006FCB">
              <w:rPr>
                <w:b/>
                <w:bCs/>
                <w:spacing w:val="-2"/>
                <w:sz w:val="20"/>
              </w:rPr>
              <w:t>(N=82)</w:t>
            </w:r>
          </w:p>
        </w:tc>
        <w:tc>
          <w:tcPr>
            <w:tcW w:w="611" w:type="pct"/>
            <w:tcMar>
              <w:left w:w="20" w:type="dxa"/>
              <w:right w:w="20" w:type="dxa"/>
            </w:tcMar>
          </w:tcPr>
          <w:p w14:paraId="425DCE72" w14:textId="77777777" w:rsidR="00271356" w:rsidRPr="0059773B" w:rsidRDefault="00C936CA" w:rsidP="001A061E">
            <w:pPr>
              <w:pStyle w:val="TableParagraph"/>
              <w:keepNext/>
              <w:widowControl/>
              <w:spacing w:line="240" w:lineRule="auto"/>
              <w:ind w:left="7" w:right="6"/>
              <w:jc w:val="center"/>
              <w:rPr>
                <w:b/>
                <w:bCs/>
                <w:spacing w:val="-2"/>
                <w:sz w:val="20"/>
              </w:rPr>
            </w:pPr>
            <w:r w:rsidRPr="0059773B">
              <w:rPr>
                <w:b/>
                <w:bCs/>
                <w:spacing w:val="-2"/>
                <w:sz w:val="20"/>
              </w:rPr>
              <w:t>PPT and placebo/PPT</w:t>
            </w:r>
          </w:p>
          <w:p w14:paraId="1364C78A" w14:textId="1F0FF605" w:rsidR="00316519" w:rsidRPr="0059773B" w:rsidRDefault="00C936CA" w:rsidP="001A061E">
            <w:pPr>
              <w:pStyle w:val="TableParagraph"/>
              <w:keepNext/>
              <w:widowControl/>
              <w:spacing w:line="240" w:lineRule="auto"/>
              <w:ind w:left="7" w:right="6"/>
              <w:jc w:val="center"/>
              <w:rPr>
                <w:b/>
                <w:bCs/>
                <w:spacing w:val="-2"/>
                <w:sz w:val="20"/>
              </w:rPr>
            </w:pPr>
            <w:r w:rsidRPr="0059773B">
              <w:rPr>
                <w:b/>
                <w:bCs/>
                <w:spacing w:val="-2"/>
                <w:sz w:val="20"/>
              </w:rPr>
              <w:t>(N=74)</w:t>
            </w:r>
          </w:p>
        </w:tc>
      </w:tr>
      <w:tr w:rsidR="00316519" w:rsidRPr="00006FCB" w14:paraId="569952D8" w14:textId="58A1D44C" w:rsidTr="00A45DC0">
        <w:trPr>
          <w:trHeight w:val="227"/>
        </w:trPr>
        <w:tc>
          <w:tcPr>
            <w:tcW w:w="4389" w:type="pct"/>
            <w:gridSpan w:val="6"/>
            <w:tcMar>
              <w:left w:w="20" w:type="dxa"/>
              <w:right w:w="20" w:type="dxa"/>
            </w:tcMar>
          </w:tcPr>
          <w:p w14:paraId="11F09BE5" w14:textId="77777777" w:rsidR="00316519" w:rsidRPr="00006FCB" w:rsidRDefault="00316519" w:rsidP="00D44771">
            <w:pPr>
              <w:pStyle w:val="TableParagraph"/>
              <w:keepNext/>
              <w:widowControl/>
              <w:spacing w:line="208" w:lineRule="exact"/>
              <w:rPr>
                <w:b/>
                <w:sz w:val="20"/>
              </w:rPr>
            </w:pPr>
            <w:r w:rsidRPr="00006FCB">
              <w:rPr>
                <w:b/>
                <w:spacing w:val="-2"/>
                <w:sz w:val="20"/>
              </w:rPr>
              <w:t>Baseline</w:t>
            </w:r>
          </w:p>
        </w:tc>
        <w:tc>
          <w:tcPr>
            <w:tcW w:w="611" w:type="pct"/>
            <w:tcMar>
              <w:left w:w="20" w:type="dxa"/>
              <w:right w:w="20" w:type="dxa"/>
            </w:tcMar>
          </w:tcPr>
          <w:p w14:paraId="535A4053" w14:textId="77777777" w:rsidR="00316519" w:rsidRPr="0059773B" w:rsidRDefault="00316519" w:rsidP="00D44771">
            <w:pPr>
              <w:pStyle w:val="TableParagraph"/>
              <w:keepNext/>
              <w:widowControl/>
              <w:spacing w:line="208" w:lineRule="exact"/>
              <w:rPr>
                <w:b/>
                <w:spacing w:val="-2"/>
                <w:sz w:val="20"/>
              </w:rPr>
            </w:pPr>
          </w:p>
        </w:tc>
      </w:tr>
      <w:tr w:rsidR="00242579" w:rsidRPr="00006FCB" w14:paraId="44296147" w14:textId="1E62A7CF" w:rsidTr="00242579">
        <w:trPr>
          <w:trHeight w:val="230"/>
        </w:trPr>
        <w:tc>
          <w:tcPr>
            <w:tcW w:w="1262" w:type="pct"/>
            <w:tcMar>
              <w:left w:w="20" w:type="dxa"/>
              <w:right w:w="20" w:type="dxa"/>
            </w:tcMar>
          </w:tcPr>
          <w:p w14:paraId="530BFA37" w14:textId="77777777" w:rsidR="00316519" w:rsidRPr="00006FCB" w:rsidRDefault="00316519" w:rsidP="00D44771">
            <w:pPr>
              <w:pStyle w:val="TableParagraph"/>
              <w:keepNext/>
              <w:widowControl/>
              <w:rPr>
                <w:sz w:val="20"/>
              </w:rPr>
            </w:pPr>
            <w:r w:rsidRPr="00006FCB">
              <w:rPr>
                <w:sz w:val="20"/>
              </w:rPr>
              <w:t>Mean</w:t>
            </w:r>
            <w:r w:rsidRPr="00006FCB">
              <w:rPr>
                <w:spacing w:val="-6"/>
                <w:sz w:val="20"/>
              </w:rPr>
              <w:t xml:space="preserve"> </w:t>
            </w:r>
            <w:r w:rsidRPr="00006FCB">
              <w:rPr>
                <w:spacing w:val="-4"/>
                <w:sz w:val="20"/>
              </w:rPr>
              <w:t>(SD)</w:t>
            </w:r>
          </w:p>
        </w:tc>
        <w:tc>
          <w:tcPr>
            <w:tcW w:w="599" w:type="pct"/>
            <w:tcMar>
              <w:left w:w="20" w:type="dxa"/>
              <w:right w:w="20" w:type="dxa"/>
            </w:tcMar>
          </w:tcPr>
          <w:p w14:paraId="0D8AF057" w14:textId="6E80FF5F" w:rsidR="00316519" w:rsidRPr="00006FCB" w:rsidRDefault="00316519" w:rsidP="00BE3368">
            <w:pPr>
              <w:pStyle w:val="TableParagraph"/>
              <w:keepNext/>
              <w:widowControl/>
              <w:spacing w:line="240" w:lineRule="auto"/>
              <w:ind w:left="0"/>
              <w:jc w:val="center"/>
              <w:rPr>
                <w:sz w:val="20"/>
              </w:rPr>
            </w:pPr>
            <w:r w:rsidRPr="00006FCB">
              <w:rPr>
                <w:sz w:val="20"/>
              </w:rPr>
              <w:t xml:space="preserve">67.5 (13.8) </w:t>
            </w:r>
            <w:r w:rsidRPr="00006FCB">
              <w:rPr>
                <w:sz w:val="20"/>
                <w:vertAlign w:val="superscript"/>
              </w:rPr>
              <w:t>a</w:t>
            </w:r>
          </w:p>
        </w:tc>
        <w:tc>
          <w:tcPr>
            <w:tcW w:w="599" w:type="pct"/>
            <w:tcMar>
              <w:left w:w="20" w:type="dxa"/>
              <w:right w:w="20" w:type="dxa"/>
            </w:tcMar>
          </w:tcPr>
          <w:p w14:paraId="263303B6" w14:textId="77777777" w:rsidR="00316519" w:rsidRPr="00006FCB" w:rsidRDefault="00316519" w:rsidP="00BE3368">
            <w:pPr>
              <w:pStyle w:val="TableParagraph"/>
              <w:keepNext/>
              <w:widowControl/>
              <w:spacing w:line="240" w:lineRule="auto"/>
              <w:ind w:left="0"/>
              <w:jc w:val="center"/>
              <w:rPr>
                <w:sz w:val="20"/>
              </w:rPr>
            </w:pPr>
            <w:r w:rsidRPr="00006FCB">
              <w:rPr>
                <w:sz w:val="20"/>
              </w:rPr>
              <w:t>72.7</w:t>
            </w:r>
            <w:r w:rsidRPr="00006FCB">
              <w:rPr>
                <w:spacing w:val="-6"/>
                <w:sz w:val="20"/>
              </w:rPr>
              <w:t xml:space="preserve"> </w:t>
            </w:r>
            <w:r w:rsidRPr="00006FCB">
              <w:rPr>
                <w:spacing w:val="-2"/>
                <w:sz w:val="20"/>
              </w:rPr>
              <w:t>(14.6)</w:t>
            </w:r>
          </w:p>
        </w:tc>
        <w:tc>
          <w:tcPr>
            <w:tcW w:w="599" w:type="pct"/>
            <w:tcMar>
              <w:left w:w="20" w:type="dxa"/>
              <w:right w:w="20" w:type="dxa"/>
            </w:tcMar>
          </w:tcPr>
          <w:p w14:paraId="0E22293F" w14:textId="77777777" w:rsidR="00316519" w:rsidRPr="00006FCB" w:rsidRDefault="00316519" w:rsidP="00BE3368">
            <w:pPr>
              <w:pStyle w:val="TableParagraph"/>
              <w:keepNext/>
              <w:widowControl/>
              <w:spacing w:line="240" w:lineRule="auto"/>
              <w:ind w:left="0"/>
              <w:jc w:val="center"/>
              <w:rPr>
                <w:sz w:val="20"/>
              </w:rPr>
            </w:pPr>
            <w:r w:rsidRPr="00006FCB">
              <w:rPr>
                <w:spacing w:val="-10"/>
                <w:sz w:val="20"/>
              </w:rPr>
              <w:t>–</w:t>
            </w:r>
          </w:p>
        </w:tc>
        <w:tc>
          <w:tcPr>
            <w:tcW w:w="665" w:type="pct"/>
            <w:tcMar>
              <w:left w:w="20" w:type="dxa"/>
              <w:right w:w="20" w:type="dxa"/>
            </w:tcMar>
          </w:tcPr>
          <w:p w14:paraId="4F951E57" w14:textId="77777777" w:rsidR="00316519" w:rsidRPr="00006FCB" w:rsidRDefault="00316519" w:rsidP="00BE3368">
            <w:pPr>
              <w:pStyle w:val="TableParagraph"/>
              <w:keepNext/>
              <w:widowControl/>
              <w:spacing w:line="240" w:lineRule="auto"/>
              <w:ind w:left="0"/>
              <w:jc w:val="center"/>
              <w:rPr>
                <w:sz w:val="20"/>
              </w:rPr>
            </w:pPr>
            <w:r w:rsidRPr="00006FCB">
              <w:rPr>
                <w:spacing w:val="-10"/>
                <w:sz w:val="20"/>
              </w:rPr>
              <w:t>–</w:t>
            </w:r>
          </w:p>
        </w:tc>
        <w:tc>
          <w:tcPr>
            <w:tcW w:w="666" w:type="pct"/>
            <w:tcMar>
              <w:left w:w="20" w:type="dxa"/>
              <w:right w:w="20" w:type="dxa"/>
            </w:tcMar>
          </w:tcPr>
          <w:p w14:paraId="26B9E23F" w14:textId="33FBF1DF" w:rsidR="00316519" w:rsidRPr="00006FCB" w:rsidRDefault="00316519" w:rsidP="00BE3368">
            <w:pPr>
              <w:pStyle w:val="TableParagraph"/>
              <w:keepNext/>
              <w:widowControl/>
              <w:spacing w:line="240" w:lineRule="auto"/>
              <w:ind w:left="0"/>
              <w:jc w:val="center"/>
              <w:rPr>
                <w:sz w:val="20"/>
              </w:rPr>
            </w:pPr>
            <w:r w:rsidRPr="00006FCB">
              <w:rPr>
                <w:spacing w:val="-10"/>
                <w:sz w:val="20"/>
              </w:rPr>
              <w:t>77.8 (14.8)</w:t>
            </w:r>
          </w:p>
        </w:tc>
        <w:tc>
          <w:tcPr>
            <w:tcW w:w="611" w:type="pct"/>
            <w:tcMar>
              <w:left w:w="20" w:type="dxa"/>
              <w:right w:w="20" w:type="dxa"/>
            </w:tcMar>
          </w:tcPr>
          <w:p w14:paraId="49CC640D" w14:textId="733251BA" w:rsidR="00316519" w:rsidRPr="0059773B" w:rsidRDefault="007A7E4C" w:rsidP="00BE3368">
            <w:pPr>
              <w:pStyle w:val="TableParagraph"/>
              <w:keepNext/>
              <w:widowControl/>
              <w:spacing w:line="240" w:lineRule="auto"/>
              <w:ind w:left="0"/>
              <w:jc w:val="center"/>
              <w:rPr>
                <w:spacing w:val="-10"/>
                <w:sz w:val="20"/>
              </w:rPr>
            </w:pPr>
            <w:r w:rsidRPr="0059773B">
              <w:rPr>
                <w:spacing w:val="-10"/>
                <w:sz w:val="20"/>
              </w:rPr>
              <w:t>-</w:t>
            </w:r>
          </w:p>
        </w:tc>
      </w:tr>
      <w:tr w:rsidR="00316519" w:rsidRPr="00006FCB" w14:paraId="61D0EDF1" w14:textId="491EE6FE" w:rsidTr="00A45DC0">
        <w:trPr>
          <w:trHeight w:val="229"/>
        </w:trPr>
        <w:tc>
          <w:tcPr>
            <w:tcW w:w="4389" w:type="pct"/>
            <w:gridSpan w:val="6"/>
            <w:tcMar>
              <w:left w:w="20" w:type="dxa"/>
              <w:right w:w="20" w:type="dxa"/>
            </w:tcMar>
          </w:tcPr>
          <w:p w14:paraId="0285CB32" w14:textId="77777777" w:rsidR="00316519" w:rsidRPr="00006FCB" w:rsidRDefault="00316519" w:rsidP="00D44771">
            <w:pPr>
              <w:pStyle w:val="TableParagraph"/>
              <w:keepNext/>
              <w:widowControl/>
              <w:rPr>
                <w:b/>
                <w:sz w:val="20"/>
              </w:rPr>
            </w:pPr>
            <w:r w:rsidRPr="00006FCB">
              <w:rPr>
                <w:b/>
                <w:sz w:val="20"/>
              </w:rPr>
              <w:t>Change</w:t>
            </w:r>
            <w:r w:rsidRPr="00006FCB">
              <w:rPr>
                <w:b/>
                <w:spacing w:val="-6"/>
                <w:sz w:val="20"/>
              </w:rPr>
              <w:t xml:space="preserve"> </w:t>
            </w:r>
            <w:r w:rsidRPr="00006FCB">
              <w:rPr>
                <w:b/>
                <w:sz w:val="20"/>
              </w:rPr>
              <w:t>from</w:t>
            </w:r>
            <w:r w:rsidRPr="00006FCB">
              <w:rPr>
                <w:b/>
                <w:spacing w:val="-4"/>
                <w:sz w:val="20"/>
              </w:rPr>
              <w:t xml:space="preserve"> </w:t>
            </w:r>
            <w:r w:rsidRPr="00006FCB">
              <w:rPr>
                <w:b/>
                <w:sz w:val="20"/>
              </w:rPr>
              <w:t>baseline</w:t>
            </w:r>
            <w:r w:rsidRPr="00006FCB">
              <w:rPr>
                <w:b/>
                <w:spacing w:val="-5"/>
                <w:sz w:val="20"/>
              </w:rPr>
              <w:t xml:space="preserve"> </w:t>
            </w:r>
            <w:r w:rsidRPr="00006FCB">
              <w:rPr>
                <w:b/>
                <w:sz w:val="20"/>
              </w:rPr>
              <w:t>at</w:t>
            </w:r>
            <w:r w:rsidRPr="00006FCB">
              <w:rPr>
                <w:b/>
                <w:spacing w:val="-6"/>
                <w:sz w:val="20"/>
              </w:rPr>
              <w:t xml:space="preserve"> </w:t>
            </w:r>
            <w:r w:rsidRPr="00006FCB">
              <w:rPr>
                <w:b/>
                <w:sz w:val="20"/>
              </w:rPr>
              <w:t>follow</w:t>
            </w:r>
            <w:r w:rsidRPr="00006FCB">
              <w:rPr>
                <w:b/>
                <w:spacing w:val="-7"/>
                <w:sz w:val="20"/>
              </w:rPr>
              <w:t xml:space="preserve"> </w:t>
            </w:r>
            <w:r w:rsidRPr="00006FCB">
              <w:rPr>
                <w:b/>
                <w:spacing w:val="-5"/>
                <w:sz w:val="20"/>
              </w:rPr>
              <w:t>up</w:t>
            </w:r>
          </w:p>
        </w:tc>
        <w:tc>
          <w:tcPr>
            <w:tcW w:w="611" w:type="pct"/>
            <w:tcMar>
              <w:left w:w="20" w:type="dxa"/>
              <w:right w:w="20" w:type="dxa"/>
            </w:tcMar>
          </w:tcPr>
          <w:p w14:paraId="41907EC8" w14:textId="77777777" w:rsidR="00316519" w:rsidRPr="0059773B" w:rsidRDefault="00316519" w:rsidP="00D44771">
            <w:pPr>
              <w:pStyle w:val="TableParagraph"/>
              <w:keepNext/>
              <w:widowControl/>
              <w:rPr>
                <w:b/>
                <w:sz w:val="20"/>
              </w:rPr>
            </w:pPr>
          </w:p>
        </w:tc>
      </w:tr>
      <w:tr w:rsidR="00242579" w:rsidRPr="00006FCB" w14:paraId="34C471E8" w14:textId="7D451E36" w:rsidTr="00242579">
        <w:trPr>
          <w:trHeight w:val="56"/>
        </w:trPr>
        <w:tc>
          <w:tcPr>
            <w:tcW w:w="1262" w:type="pct"/>
            <w:tcMar>
              <w:left w:w="20" w:type="dxa"/>
              <w:right w:w="20" w:type="dxa"/>
            </w:tcMar>
          </w:tcPr>
          <w:p w14:paraId="274519E9" w14:textId="77777777" w:rsidR="00316519" w:rsidRPr="00006FCB" w:rsidRDefault="00316519" w:rsidP="00D44771">
            <w:pPr>
              <w:pStyle w:val="TableParagraph"/>
              <w:keepNext/>
              <w:widowControl/>
              <w:rPr>
                <w:sz w:val="20"/>
              </w:rPr>
            </w:pPr>
            <w:r w:rsidRPr="00006FCB">
              <w:rPr>
                <w:sz w:val="20"/>
              </w:rPr>
              <w:t>Mean</w:t>
            </w:r>
            <w:r w:rsidRPr="00006FCB">
              <w:rPr>
                <w:spacing w:val="-6"/>
                <w:sz w:val="20"/>
              </w:rPr>
              <w:t xml:space="preserve"> </w:t>
            </w:r>
            <w:r w:rsidRPr="00006FCB">
              <w:rPr>
                <w:spacing w:val="-4"/>
                <w:sz w:val="20"/>
              </w:rPr>
              <w:t>(SD)</w:t>
            </w:r>
          </w:p>
        </w:tc>
        <w:tc>
          <w:tcPr>
            <w:tcW w:w="599" w:type="pct"/>
            <w:tcMar>
              <w:left w:w="20" w:type="dxa"/>
              <w:right w:w="20" w:type="dxa"/>
            </w:tcMar>
          </w:tcPr>
          <w:p w14:paraId="20FFC495" w14:textId="77777777" w:rsidR="00316519" w:rsidRPr="00006FCB" w:rsidRDefault="00316519" w:rsidP="003821F8">
            <w:pPr>
              <w:pStyle w:val="TableParagraph"/>
              <w:keepNext/>
              <w:widowControl/>
              <w:ind w:left="191"/>
              <w:rPr>
                <w:sz w:val="20"/>
              </w:rPr>
            </w:pPr>
            <w:r w:rsidRPr="00006FCB">
              <w:rPr>
                <w:sz w:val="20"/>
              </w:rPr>
              <w:t>7.9</w:t>
            </w:r>
            <w:r w:rsidRPr="00006FCB">
              <w:rPr>
                <w:spacing w:val="-5"/>
                <w:sz w:val="20"/>
              </w:rPr>
              <w:t xml:space="preserve"> </w:t>
            </w:r>
            <w:r w:rsidRPr="00006FCB">
              <w:rPr>
                <w:spacing w:val="-2"/>
                <w:sz w:val="20"/>
              </w:rPr>
              <w:t>(10.4)</w:t>
            </w:r>
          </w:p>
        </w:tc>
        <w:tc>
          <w:tcPr>
            <w:tcW w:w="599" w:type="pct"/>
            <w:tcMar>
              <w:left w:w="20" w:type="dxa"/>
              <w:right w:w="20" w:type="dxa"/>
            </w:tcMar>
          </w:tcPr>
          <w:p w14:paraId="0F253FCE" w14:textId="77777777" w:rsidR="00316519" w:rsidRPr="00006FCB" w:rsidRDefault="00316519" w:rsidP="003821F8">
            <w:pPr>
              <w:pStyle w:val="TableParagraph"/>
              <w:keepNext/>
              <w:widowControl/>
              <w:ind w:left="102"/>
              <w:rPr>
                <w:sz w:val="20"/>
              </w:rPr>
            </w:pPr>
            <w:r w:rsidRPr="00006FCB">
              <w:rPr>
                <w:sz w:val="20"/>
              </w:rPr>
              <w:t>-1.9</w:t>
            </w:r>
            <w:r w:rsidRPr="00006FCB">
              <w:rPr>
                <w:spacing w:val="-5"/>
                <w:sz w:val="20"/>
              </w:rPr>
              <w:t xml:space="preserve"> </w:t>
            </w:r>
            <w:r w:rsidRPr="00006FCB">
              <w:rPr>
                <w:spacing w:val="-2"/>
                <w:sz w:val="20"/>
              </w:rPr>
              <w:t>(8.6)</w:t>
            </w:r>
          </w:p>
        </w:tc>
        <w:tc>
          <w:tcPr>
            <w:tcW w:w="599" w:type="pct"/>
            <w:tcMar>
              <w:left w:w="20" w:type="dxa"/>
              <w:right w:w="20" w:type="dxa"/>
            </w:tcMar>
          </w:tcPr>
          <w:p w14:paraId="230D73BE" w14:textId="77777777" w:rsidR="00316519" w:rsidRPr="00006FCB" w:rsidRDefault="00316519" w:rsidP="003821F8">
            <w:pPr>
              <w:pStyle w:val="TableParagraph"/>
              <w:keepNext/>
              <w:widowControl/>
              <w:ind w:left="197"/>
              <w:rPr>
                <w:sz w:val="20"/>
              </w:rPr>
            </w:pPr>
            <w:r w:rsidRPr="00006FCB">
              <w:rPr>
                <w:sz w:val="20"/>
              </w:rPr>
              <w:t>9.3</w:t>
            </w:r>
            <w:r w:rsidRPr="00006FCB">
              <w:rPr>
                <w:spacing w:val="-5"/>
                <w:sz w:val="20"/>
              </w:rPr>
              <w:t xml:space="preserve"> </w:t>
            </w:r>
            <w:r w:rsidRPr="00006FCB">
              <w:rPr>
                <w:spacing w:val="-2"/>
                <w:sz w:val="20"/>
              </w:rPr>
              <w:t>(11.7)</w:t>
            </w:r>
          </w:p>
        </w:tc>
        <w:tc>
          <w:tcPr>
            <w:tcW w:w="665" w:type="pct"/>
            <w:tcMar>
              <w:left w:w="20" w:type="dxa"/>
              <w:right w:w="20" w:type="dxa"/>
            </w:tcMar>
          </w:tcPr>
          <w:p w14:paraId="561DF273" w14:textId="77777777" w:rsidR="00316519" w:rsidRPr="00006FCB" w:rsidRDefault="00316519" w:rsidP="003821F8">
            <w:pPr>
              <w:pStyle w:val="TableParagraph"/>
              <w:keepNext/>
              <w:widowControl/>
              <w:ind w:left="368"/>
              <w:rPr>
                <w:sz w:val="20"/>
              </w:rPr>
            </w:pPr>
            <w:r w:rsidRPr="00006FCB">
              <w:rPr>
                <w:sz w:val="20"/>
              </w:rPr>
              <w:t>7.6</w:t>
            </w:r>
            <w:r w:rsidRPr="00006FCB">
              <w:rPr>
                <w:spacing w:val="-5"/>
                <w:sz w:val="20"/>
              </w:rPr>
              <w:t xml:space="preserve"> </w:t>
            </w:r>
            <w:r w:rsidRPr="00006FCB">
              <w:rPr>
                <w:spacing w:val="-4"/>
                <w:sz w:val="20"/>
              </w:rPr>
              <w:t>(8.7)</w:t>
            </w:r>
          </w:p>
        </w:tc>
        <w:tc>
          <w:tcPr>
            <w:tcW w:w="666" w:type="pct"/>
            <w:tcMar>
              <w:left w:w="20" w:type="dxa"/>
              <w:right w:w="20" w:type="dxa"/>
            </w:tcMar>
          </w:tcPr>
          <w:p w14:paraId="55EB08FB" w14:textId="77777777" w:rsidR="00316519" w:rsidRPr="00006FCB" w:rsidRDefault="00316519" w:rsidP="00242579">
            <w:pPr>
              <w:pStyle w:val="TableParagraph"/>
              <w:keepNext/>
              <w:widowControl/>
              <w:jc w:val="center"/>
              <w:rPr>
                <w:sz w:val="20"/>
              </w:rPr>
            </w:pPr>
            <w:r w:rsidRPr="00006FCB">
              <w:rPr>
                <w:sz w:val="20"/>
              </w:rPr>
              <w:t>9.0</w:t>
            </w:r>
            <w:r w:rsidRPr="00006FCB">
              <w:rPr>
                <w:spacing w:val="-5"/>
                <w:sz w:val="20"/>
              </w:rPr>
              <w:t xml:space="preserve"> </w:t>
            </w:r>
            <w:r w:rsidRPr="00006FCB">
              <w:rPr>
                <w:spacing w:val="-2"/>
                <w:sz w:val="20"/>
              </w:rPr>
              <w:t>(10.3)</w:t>
            </w:r>
          </w:p>
        </w:tc>
        <w:tc>
          <w:tcPr>
            <w:tcW w:w="611" w:type="pct"/>
            <w:tcMar>
              <w:left w:w="20" w:type="dxa"/>
              <w:right w:w="20" w:type="dxa"/>
            </w:tcMar>
          </w:tcPr>
          <w:p w14:paraId="5FA4E94A" w14:textId="1AADDAEB" w:rsidR="00316519" w:rsidRPr="0059773B" w:rsidRDefault="00C936CA" w:rsidP="003821F8">
            <w:pPr>
              <w:pStyle w:val="TableParagraph"/>
              <w:keepNext/>
              <w:widowControl/>
              <w:ind w:left="254"/>
              <w:rPr>
                <w:sz w:val="20"/>
              </w:rPr>
            </w:pPr>
            <w:r w:rsidRPr="0059773B">
              <w:rPr>
                <w:sz w:val="20"/>
              </w:rPr>
              <w:t>8.8 (11.9)</w:t>
            </w:r>
          </w:p>
        </w:tc>
      </w:tr>
      <w:tr w:rsidR="00316519" w:rsidRPr="00006FCB" w14:paraId="4EF4D308" w14:textId="0D60D30A" w:rsidTr="00A45DC0">
        <w:trPr>
          <w:trHeight w:val="230"/>
        </w:trPr>
        <w:tc>
          <w:tcPr>
            <w:tcW w:w="4389" w:type="pct"/>
            <w:gridSpan w:val="6"/>
            <w:tcMar>
              <w:left w:w="20" w:type="dxa"/>
              <w:right w:w="20" w:type="dxa"/>
            </w:tcMar>
          </w:tcPr>
          <w:p w14:paraId="6F529A42" w14:textId="5A9C7211" w:rsidR="00316519" w:rsidRPr="00006FCB" w:rsidRDefault="00316519" w:rsidP="00D44771">
            <w:pPr>
              <w:pStyle w:val="TableParagraph"/>
              <w:keepNext/>
              <w:widowControl/>
              <w:rPr>
                <w:b/>
                <w:sz w:val="20"/>
              </w:rPr>
            </w:pPr>
            <w:r w:rsidRPr="00006FCB">
              <w:rPr>
                <w:b/>
                <w:sz w:val="20"/>
              </w:rPr>
              <w:t>Change</w:t>
            </w:r>
            <w:r w:rsidRPr="00006FCB">
              <w:rPr>
                <w:b/>
                <w:spacing w:val="-7"/>
                <w:sz w:val="20"/>
              </w:rPr>
              <w:t xml:space="preserve"> </w:t>
            </w:r>
            <w:r w:rsidRPr="00006FCB">
              <w:rPr>
                <w:b/>
                <w:sz w:val="20"/>
              </w:rPr>
              <w:t>From</w:t>
            </w:r>
            <w:r w:rsidRPr="00006FCB">
              <w:rPr>
                <w:b/>
                <w:spacing w:val="-6"/>
                <w:sz w:val="20"/>
              </w:rPr>
              <w:t xml:space="preserve"> </w:t>
            </w:r>
            <w:r w:rsidRPr="00006FCB">
              <w:rPr>
                <w:b/>
                <w:sz w:val="20"/>
              </w:rPr>
              <w:t>baseline</w:t>
            </w:r>
            <w:r w:rsidRPr="00006FCB">
              <w:rPr>
                <w:b/>
                <w:spacing w:val="-7"/>
                <w:sz w:val="20"/>
              </w:rPr>
              <w:t xml:space="preserve"> </w:t>
            </w:r>
            <w:r w:rsidRPr="00006FCB">
              <w:rPr>
                <w:b/>
                <w:spacing w:val="-2"/>
                <w:sz w:val="20"/>
              </w:rPr>
              <w:t>(ANCOVA)</w:t>
            </w:r>
          </w:p>
        </w:tc>
        <w:tc>
          <w:tcPr>
            <w:tcW w:w="611" w:type="pct"/>
            <w:tcMar>
              <w:left w:w="20" w:type="dxa"/>
              <w:right w:w="20" w:type="dxa"/>
            </w:tcMar>
          </w:tcPr>
          <w:p w14:paraId="568CD23D" w14:textId="77777777" w:rsidR="00316519" w:rsidRPr="0059773B" w:rsidRDefault="00316519" w:rsidP="00D44771">
            <w:pPr>
              <w:pStyle w:val="TableParagraph"/>
              <w:keepNext/>
              <w:widowControl/>
              <w:rPr>
                <w:b/>
                <w:sz w:val="20"/>
              </w:rPr>
            </w:pPr>
          </w:p>
        </w:tc>
      </w:tr>
      <w:tr w:rsidR="00242579" w:rsidRPr="00006FCB" w14:paraId="54A60F28" w14:textId="4C1A78DB" w:rsidTr="00242579">
        <w:trPr>
          <w:trHeight w:val="56"/>
        </w:trPr>
        <w:tc>
          <w:tcPr>
            <w:tcW w:w="1262" w:type="pct"/>
            <w:tcMar>
              <w:left w:w="20" w:type="dxa"/>
              <w:right w:w="20" w:type="dxa"/>
            </w:tcMar>
          </w:tcPr>
          <w:p w14:paraId="2150B9E4" w14:textId="6ABBBD97" w:rsidR="00316519" w:rsidRPr="00006FCB" w:rsidRDefault="00316519" w:rsidP="00242579">
            <w:pPr>
              <w:pStyle w:val="TableParagraph"/>
              <w:keepNext/>
              <w:widowControl/>
              <w:spacing w:line="230" w:lineRule="exact"/>
              <w:rPr>
                <w:sz w:val="20"/>
              </w:rPr>
            </w:pPr>
            <w:r w:rsidRPr="00006FCB">
              <w:rPr>
                <w:sz w:val="20"/>
              </w:rPr>
              <w:t>Difference in LS</w:t>
            </w:r>
            <w:r w:rsidRPr="00006FCB">
              <w:rPr>
                <w:spacing w:val="-12"/>
                <w:sz w:val="20"/>
              </w:rPr>
              <w:t xml:space="preserve"> </w:t>
            </w:r>
            <w:r w:rsidRPr="00006FCB">
              <w:rPr>
                <w:sz w:val="20"/>
              </w:rPr>
              <w:t>Means</w:t>
            </w:r>
            <w:r w:rsidRPr="00006FCB">
              <w:rPr>
                <w:spacing w:val="-11"/>
                <w:sz w:val="20"/>
              </w:rPr>
              <w:t xml:space="preserve"> </w:t>
            </w:r>
            <w:r w:rsidRPr="00006FCB">
              <w:rPr>
                <w:sz w:val="20"/>
              </w:rPr>
              <w:t>SE)</w:t>
            </w:r>
          </w:p>
        </w:tc>
        <w:tc>
          <w:tcPr>
            <w:tcW w:w="1198" w:type="pct"/>
            <w:gridSpan w:val="2"/>
            <w:tcMar>
              <w:left w:w="20" w:type="dxa"/>
              <w:right w:w="20" w:type="dxa"/>
            </w:tcMar>
            <w:vAlign w:val="center"/>
          </w:tcPr>
          <w:p w14:paraId="30F82D75" w14:textId="77777777" w:rsidR="00316519" w:rsidRPr="00006FCB" w:rsidRDefault="00316519" w:rsidP="00BE3368">
            <w:pPr>
              <w:pStyle w:val="TableParagraph"/>
              <w:keepNext/>
              <w:widowControl/>
              <w:spacing w:line="227" w:lineRule="exact"/>
              <w:ind w:left="48"/>
              <w:jc w:val="center"/>
              <w:rPr>
                <w:b/>
                <w:bCs/>
                <w:sz w:val="20"/>
              </w:rPr>
            </w:pPr>
            <w:r w:rsidRPr="00006FCB">
              <w:rPr>
                <w:b/>
                <w:bCs/>
                <w:sz w:val="20"/>
              </w:rPr>
              <w:t>8.8</w:t>
            </w:r>
            <w:r w:rsidRPr="00006FCB">
              <w:rPr>
                <w:b/>
                <w:bCs/>
                <w:spacing w:val="-5"/>
                <w:sz w:val="20"/>
              </w:rPr>
              <w:t xml:space="preserve"> </w:t>
            </w:r>
            <w:r w:rsidRPr="00006FCB">
              <w:rPr>
                <w:b/>
                <w:bCs/>
                <w:spacing w:val="-4"/>
                <w:sz w:val="20"/>
              </w:rPr>
              <w:t>(2.5)</w:t>
            </w:r>
          </w:p>
        </w:tc>
        <w:tc>
          <w:tcPr>
            <w:tcW w:w="599" w:type="pct"/>
            <w:tcMar>
              <w:left w:w="20" w:type="dxa"/>
              <w:right w:w="20" w:type="dxa"/>
            </w:tcMar>
          </w:tcPr>
          <w:p w14:paraId="3BF49BE0" w14:textId="77777777" w:rsidR="00316519" w:rsidRPr="00006FCB" w:rsidRDefault="00316519" w:rsidP="00BE3368">
            <w:pPr>
              <w:pStyle w:val="TableParagraph"/>
              <w:keepNext/>
              <w:widowControl/>
              <w:spacing w:line="240" w:lineRule="auto"/>
              <w:ind w:left="8" w:right="3"/>
              <w:jc w:val="center"/>
              <w:rPr>
                <w:sz w:val="20"/>
              </w:rPr>
            </w:pPr>
            <w:r w:rsidRPr="00006FCB">
              <w:rPr>
                <w:spacing w:val="-10"/>
                <w:sz w:val="20"/>
              </w:rPr>
              <w:t>-</w:t>
            </w:r>
          </w:p>
        </w:tc>
        <w:tc>
          <w:tcPr>
            <w:tcW w:w="665" w:type="pct"/>
            <w:tcMar>
              <w:left w:w="20" w:type="dxa"/>
              <w:right w:w="20" w:type="dxa"/>
            </w:tcMar>
          </w:tcPr>
          <w:p w14:paraId="320CA6F5" w14:textId="77777777" w:rsidR="00316519" w:rsidRPr="00006FCB" w:rsidRDefault="00316519" w:rsidP="00BE3368">
            <w:pPr>
              <w:pStyle w:val="TableParagraph"/>
              <w:keepNext/>
              <w:widowControl/>
              <w:spacing w:line="240" w:lineRule="auto"/>
              <w:ind w:left="8" w:right="4"/>
              <w:jc w:val="center"/>
              <w:rPr>
                <w:sz w:val="20"/>
              </w:rPr>
            </w:pPr>
            <w:r w:rsidRPr="00006FCB">
              <w:rPr>
                <w:spacing w:val="-10"/>
                <w:sz w:val="20"/>
              </w:rPr>
              <w:t>-</w:t>
            </w:r>
          </w:p>
        </w:tc>
        <w:tc>
          <w:tcPr>
            <w:tcW w:w="666" w:type="pct"/>
            <w:tcMar>
              <w:left w:w="20" w:type="dxa"/>
              <w:right w:w="20" w:type="dxa"/>
            </w:tcMar>
          </w:tcPr>
          <w:p w14:paraId="2A6DE2E4" w14:textId="77777777" w:rsidR="00316519" w:rsidRPr="00006FCB" w:rsidRDefault="00316519" w:rsidP="00BE3368">
            <w:pPr>
              <w:pStyle w:val="TableParagraph"/>
              <w:keepNext/>
              <w:widowControl/>
              <w:spacing w:line="227" w:lineRule="exact"/>
              <w:ind w:left="9" w:right="6"/>
              <w:jc w:val="center"/>
              <w:rPr>
                <w:sz w:val="20"/>
              </w:rPr>
            </w:pPr>
            <w:r w:rsidRPr="00006FCB">
              <w:rPr>
                <w:spacing w:val="-10"/>
                <w:sz w:val="20"/>
              </w:rPr>
              <w:t>-</w:t>
            </w:r>
          </w:p>
        </w:tc>
        <w:tc>
          <w:tcPr>
            <w:tcW w:w="611" w:type="pct"/>
            <w:tcMar>
              <w:left w:w="20" w:type="dxa"/>
              <w:right w:w="20" w:type="dxa"/>
            </w:tcMar>
          </w:tcPr>
          <w:p w14:paraId="2E9B4DD0" w14:textId="77777777" w:rsidR="00316519" w:rsidRPr="0059773B" w:rsidRDefault="00316519" w:rsidP="00BE3368">
            <w:pPr>
              <w:pStyle w:val="TableParagraph"/>
              <w:keepNext/>
              <w:widowControl/>
              <w:spacing w:line="227" w:lineRule="exact"/>
              <w:ind w:left="9" w:right="6"/>
              <w:jc w:val="center"/>
              <w:rPr>
                <w:spacing w:val="-10"/>
                <w:sz w:val="20"/>
              </w:rPr>
            </w:pPr>
          </w:p>
        </w:tc>
      </w:tr>
      <w:tr w:rsidR="00242579" w:rsidRPr="00006FCB" w14:paraId="5AA8B406" w14:textId="2B5EC8C7" w:rsidTr="00242579">
        <w:trPr>
          <w:trHeight w:val="182"/>
        </w:trPr>
        <w:tc>
          <w:tcPr>
            <w:tcW w:w="1262" w:type="pct"/>
            <w:tcMar>
              <w:left w:w="20" w:type="dxa"/>
              <w:right w:w="20" w:type="dxa"/>
            </w:tcMar>
          </w:tcPr>
          <w:p w14:paraId="01A05291" w14:textId="77777777" w:rsidR="00316519" w:rsidRPr="00006FCB" w:rsidRDefault="00316519" w:rsidP="00D44771">
            <w:pPr>
              <w:pStyle w:val="TableParagraph"/>
              <w:keepNext/>
              <w:widowControl/>
              <w:spacing w:line="228" w:lineRule="exact"/>
              <w:ind w:right="256"/>
              <w:rPr>
                <w:sz w:val="20"/>
              </w:rPr>
            </w:pPr>
            <w:r w:rsidRPr="00006FCB">
              <w:rPr>
                <w:sz w:val="20"/>
              </w:rPr>
              <w:t>P-value</w:t>
            </w:r>
            <w:r w:rsidRPr="00006FCB">
              <w:rPr>
                <w:spacing w:val="-12"/>
                <w:sz w:val="20"/>
              </w:rPr>
              <w:t xml:space="preserve"> </w:t>
            </w:r>
            <w:r w:rsidRPr="00006FCB">
              <w:rPr>
                <w:sz w:val="20"/>
              </w:rPr>
              <w:t>(PPT vs PBO)</w:t>
            </w:r>
          </w:p>
        </w:tc>
        <w:tc>
          <w:tcPr>
            <w:tcW w:w="1198" w:type="pct"/>
            <w:gridSpan w:val="2"/>
            <w:tcMar>
              <w:left w:w="20" w:type="dxa"/>
              <w:right w:w="20" w:type="dxa"/>
            </w:tcMar>
            <w:vAlign w:val="center"/>
          </w:tcPr>
          <w:p w14:paraId="7E8C40C4" w14:textId="77777777" w:rsidR="00316519" w:rsidRPr="00006FCB" w:rsidRDefault="00316519" w:rsidP="00BE3368">
            <w:pPr>
              <w:pStyle w:val="TableParagraph"/>
              <w:keepNext/>
              <w:widowControl/>
              <w:spacing w:line="227" w:lineRule="exact"/>
              <w:ind w:left="8"/>
              <w:jc w:val="center"/>
              <w:rPr>
                <w:b/>
                <w:bCs/>
                <w:sz w:val="20"/>
              </w:rPr>
            </w:pPr>
            <w:r w:rsidRPr="00006FCB">
              <w:rPr>
                <w:b/>
                <w:bCs/>
                <w:spacing w:val="-2"/>
                <w:sz w:val="20"/>
              </w:rPr>
              <w:t>0.0007</w:t>
            </w:r>
          </w:p>
        </w:tc>
        <w:tc>
          <w:tcPr>
            <w:tcW w:w="599" w:type="pct"/>
            <w:tcMar>
              <w:left w:w="20" w:type="dxa"/>
              <w:right w:w="20" w:type="dxa"/>
            </w:tcMar>
          </w:tcPr>
          <w:p w14:paraId="659D92F7" w14:textId="77777777" w:rsidR="00316519" w:rsidRPr="00006FCB" w:rsidRDefault="00316519" w:rsidP="00BE3368">
            <w:pPr>
              <w:pStyle w:val="TableParagraph"/>
              <w:keepNext/>
              <w:widowControl/>
              <w:spacing w:line="240" w:lineRule="auto"/>
              <w:ind w:left="8" w:right="3"/>
              <w:jc w:val="center"/>
              <w:rPr>
                <w:sz w:val="20"/>
              </w:rPr>
            </w:pPr>
            <w:r w:rsidRPr="00006FCB">
              <w:rPr>
                <w:spacing w:val="-10"/>
                <w:sz w:val="20"/>
              </w:rPr>
              <w:t>-</w:t>
            </w:r>
          </w:p>
        </w:tc>
        <w:tc>
          <w:tcPr>
            <w:tcW w:w="665" w:type="pct"/>
            <w:tcMar>
              <w:left w:w="20" w:type="dxa"/>
              <w:right w:w="20" w:type="dxa"/>
            </w:tcMar>
          </w:tcPr>
          <w:p w14:paraId="691C0B88" w14:textId="77777777" w:rsidR="00316519" w:rsidRPr="00006FCB" w:rsidRDefault="00316519" w:rsidP="00BE3368">
            <w:pPr>
              <w:pStyle w:val="TableParagraph"/>
              <w:keepNext/>
              <w:widowControl/>
              <w:spacing w:line="240" w:lineRule="auto"/>
              <w:ind w:left="8" w:right="4"/>
              <w:jc w:val="center"/>
              <w:rPr>
                <w:sz w:val="20"/>
              </w:rPr>
            </w:pPr>
            <w:r w:rsidRPr="00006FCB">
              <w:rPr>
                <w:spacing w:val="-10"/>
                <w:sz w:val="20"/>
              </w:rPr>
              <w:t>-</w:t>
            </w:r>
          </w:p>
        </w:tc>
        <w:tc>
          <w:tcPr>
            <w:tcW w:w="666" w:type="pct"/>
            <w:tcMar>
              <w:left w:w="20" w:type="dxa"/>
              <w:right w:w="20" w:type="dxa"/>
            </w:tcMar>
          </w:tcPr>
          <w:p w14:paraId="73F35FA2" w14:textId="77777777" w:rsidR="00316519" w:rsidRPr="00006FCB" w:rsidRDefault="00316519" w:rsidP="00BE3368">
            <w:pPr>
              <w:pStyle w:val="TableParagraph"/>
              <w:keepNext/>
              <w:widowControl/>
              <w:spacing w:line="227" w:lineRule="exact"/>
              <w:ind w:left="9" w:right="6"/>
              <w:jc w:val="center"/>
              <w:rPr>
                <w:sz w:val="20"/>
              </w:rPr>
            </w:pPr>
            <w:r w:rsidRPr="00006FCB">
              <w:rPr>
                <w:spacing w:val="-10"/>
                <w:sz w:val="20"/>
              </w:rPr>
              <w:t>-</w:t>
            </w:r>
          </w:p>
        </w:tc>
        <w:tc>
          <w:tcPr>
            <w:tcW w:w="611" w:type="pct"/>
            <w:tcMar>
              <w:left w:w="20" w:type="dxa"/>
              <w:right w:w="20" w:type="dxa"/>
            </w:tcMar>
          </w:tcPr>
          <w:p w14:paraId="6E494F42" w14:textId="77777777" w:rsidR="00316519" w:rsidRPr="0059773B" w:rsidRDefault="00316519" w:rsidP="00BE3368">
            <w:pPr>
              <w:pStyle w:val="TableParagraph"/>
              <w:keepNext/>
              <w:widowControl/>
              <w:spacing w:line="227" w:lineRule="exact"/>
              <w:ind w:left="9" w:right="6"/>
              <w:jc w:val="center"/>
              <w:rPr>
                <w:spacing w:val="-10"/>
                <w:sz w:val="20"/>
              </w:rPr>
            </w:pPr>
          </w:p>
        </w:tc>
      </w:tr>
    </w:tbl>
    <w:p w14:paraId="150F32DC" w14:textId="641D566A" w:rsidR="00CC3D51" w:rsidRPr="00DA16DF" w:rsidRDefault="00CC3D51" w:rsidP="00265947">
      <w:pPr>
        <w:pStyle w:val="TableFigureFooter"/>
      </w:pPr>
      <w:r w:rsidRPr="00006FCB">
        <w:t>Source: Table 33 p80 of the submission, Table 3 p7 Khan et al. 2023</w:t>
      </w:r>
      <w:r w:rsidR="001A1172" w:rsidRPr="00DA16DF">
        <w:t>, PaTHway_eGFR_156wks provided in PSCR</w:t>
      </w:r>
      <w:r w:rsidRPr="00DA16DF">
        <w:t>.</w:t>
      </w:r>
    </w:p>
    <w:p w14:paraId="031ECBE3" w14:textId="418D6946" w:rsidR="00CC3D51" w:rsidRPr="00006FCB" w:rsidRDefault="00CC3D51" w:rsidP="00265947">
      <w:pPr>
        <w:pStyle w:val="TableFigureFooter"/>
      </w:pPr>
      <w:r w:rsidRPr="4D2BAA30">
        <w:t xml:space="preserve">ANCOVA = analysis of covariance, </w:t>
      </w:r>
      <w:r w:rsidR="004D54D6" w:rsidRPr="4D2BAA30">
        <w:t xml:space="preserve">ITT = intention to treat, </w:t>
      </w:r>
      <w:r w:rsidR="00CA3C2A" w:rsidRPr="4D2BAA30">
        <w:t xml:space="preserve">PBO = placebo, PPT = palopegteriparatide, </w:t>
      </w:r>
      <w:r w:rsidRPr="4D2BAA30">
        <w:t>SD = standard deviation, SE = standard error</w:t>
      </w:r>
      <w:r w:rsidR="00CA3C2A" w:rsidRPr="4D2BAA30">
        <w:t>.</w:t>
      </w:r>
    </w:p>
    <w:p w14:paraId="002DB3F6" w14:textId="77777777" w:rsidR="00FC1744" w:rsidRPr="00006FCB" w:rsidRDefault="00CC3D51" w:rsidP="00265947">
      <w:pPr>
        <w:pStyle w:val="TableFigureFooter"/>
      </w:pPr>
      <w:r w:rsidRPr="4D2BAA30">
        <w:t>n = 60 for palopegteriparatide arm at Week 26 and n = 59 at Week 52. N = 19 for placebo arms at Week 26 and Week 52.</w:t>
      </w:r>
    </w:p>
    <w:p w14:paraId="34FFD81B" w14:textId="77777777" w:rsidR="00E50358" w:rsidRPr="00006FCB" w:rsidRDefault="00FC1744" w:rsidP="00E50358">
      <w:pPr>
        <w:pStyle w:val="FooterTableFigure"/>
        <w:rPr>
          <w:b/>
          <w:bCs/>
        </w:rPr>
      </w:pPr>
      <w:r w:rsidRPr="00006FCB">
        <w:rPr>
          <w:vertAlign w:val="superscript"/>
        </w:rPr>
        <w:t>a</w:t>
      </w:r>
      <w:r w:rsidRPr="00006FCB">
        <w:t xml:space="preserve"> Sourced from Khan</w:t>
      </w:r>
      <w:r w:rsidR="00A155F3" w:rsidRPr="00006FCB">
        <w:t xml:space="preserve"> 2023</w:t>
      </w:r>
      <w:r w:rsidR="00E50358" w:rsidRPr="00006FCB">
        <w:rPr>
          <w:b/>
          <w:bCs/>
        </w:rPr>
        <w:t xml:space="preserve"> </w:t>
      </w:r>
    </w:p>
    <w:p w14:paraId="52568041" w14:textId="054A1859" w:rsidR="00E50358" w:rsidRPr="00006FCB" w:rsidRDefault="287455DF" w:rsidP="00E50358">
      <w:pPr>
        <w:pStyle w:val="FooterTableFigure"/>
      </w:pPr>
      <w:r w:rsidRPr="383E5602">
        <w:rPr>
          <w:b/>
          <w:bCs/>
        </w:rPr>
        <w:t>Bold</w:t>
      </w:r>
      <w:r w:rsidRPr="383E5602">
        <w:t xml:space="preserve"> indicates a significant result.</w:t>
      </w:r>
    </w:p>
    <w:p w14:paraId="28DB9E73" w14:textId="731D359E" w:rsidR="00C92D2C" w:rsidRPr="00151020" w:rsidRDefault="4C13825A" w:rsidP="383E5602">
      <w:pPr>
        <w:pStyle w:val="3-BodyText"/>
      </w:pPr>
      <w:r w:rsidRPr="00151020">
        <w:t>At Week 26 there was a statistically significant improvement in eGFR for patients receiving palopegteriparatide compared with placebo. Patients initially randomised to placebo experienced an initial decline in eGFR at Week 26</w:t>
      </w:r>
      <w:r w:rsidR="00FB5414">
        <w:t>,</w:t>
      </w:r>
      <w:r w:rsidRPr="00151020">
        <w:t xml:space="preserve"> followed by an improvement in eGFR at Week 52</w:t>
      </w:r>
      <w:r w:rsidR="00FB5414">
        <w:t xml:space="preserve"> after switching to open label palopegteripar</w:t>
      </w:r>
      <w:r w:rsidR="00C4102B">
        <w:t>a</w:t>
      </w:r>
      <w:r w:rsidR="00FB5414">
        <w:t>tide</w:t>
      </w:r>
      <w:r w:rsidRPr="00151020">
        <w:t xml:space="preserve">. The changes from baseline to Week 52 </w:t>
      </w:r>
      <w:r w:rsidR="33C91803" w:rsidRPr="00151020">
        <w:t xml:space="preserve">for both arms </w:t>
      </w:r>
      <w:r w:rsidRPr="00151020">
        <w:t>met the predefined MCID of 5 m</w:t>
      </w:r>
      <w:r w:rsidR="00501A31">
        <w:t>L</w:t>
      </w:r>
      <w:r w:rsidRPr="00151020">
        <w:t>/min/1.73 m</w:t>
      </w:r>
      <w:r w:rsidRPr="00151020">
        <w:rPr>
          <w:vertAlign w:val="superscript"/>
        </w:rPr>
        <w:t>2</w:t>
      </w:r>
      <w:r w:rsidRPr="00151020">
        <w:t xml:space="preserve"> difference at 12-months. </w:t>
      </w:r>
      <w:r w:rsidR="4624F344" w:rsidRPr="00151020">
        <w:t>However, t</w:t>
      </w:r>
      <w:r w:rsidRPr="00151020">
        <w:t>he MCID proposed by the submission for change in eGFR was established in patients with end-stage renal disease who had undergone deceased donor kidney transplantation and was a means of predicting subsequent death-censored graft failure</w:t>
      </w:r>
      <w:r w:rsidR="00C92D2C" w:rsidRPr="00151020">
        <w:rPr>
          <w:rStyle w:val="FootnoteReference"/>
        </w:rPr>
        <w:footnoteReference w:id="7"/>
      </w:r>
      <w:r w:rsidRPr="00151020">
        <w:t>. In that setting, a difference in eGFR of 5 m</w:t>
      </w:r>
      <w:r w:rsidR="00585EE1">
        <w:t>L</w:t>
      </w:r>
      <w:r w:rsidRPr="00151020">
        <w:t>/min/1.73 m</w:t>
      </w:r>
      <w:r w:rsidRPr="00151020">
        <w:rPr>
          <w:vertAlign w:val="superscript"/>
        </w:rPr>
        <w:t>2</w:t>
      </w:r>
      <w:r w:rsidRPr="00151020">
        <w:t xml:space="preserve"> is likely to be clinically significant and may represent a delay and/or reduction in the need for dialysis. However, these patients are not aligned with those in the PaTHway trial, where the average baseline eGFR was 67.5 </w:t>
      </w:r>
      <w:r w:rsidR="00322440">
        <w:t>to</w:t>
      </w:r>
      <w:r w:rsidR="00322440" w:rsidRPr="00151020">
        <w:t xml:space="preserve"> </w:t>
      </w:r>
      <w:r w:rsidRPr="00151020">
        <w:t>72.7 m</w:t>
      </w:r>
      <w:r w:rsidR="00585EE1">
        <w:t>L</w:t>
      </w:r>
      <w:r w:rsidRPr="00151020">
        <w:t>/min/1.73 m</w:t>
      </w:r>
      <w:r w:rsidRPr="00151020">
        <w:rPr>
          <w:vertAlign w:val="superscript"/>
        </w:rPr>
        <w:t>2</w:t>
      </w:r>
      <w:r w:rsidR="00322440">
        <w:rPr>
          <w:vertAlign w:val="superscript"/>
        </w:rPr>
        <w:t xml:space="preserve"> </w:t>
      </w:r>
      <w:r w:rsidRPr="00151020">
        <w:t>and where a difference in eGFR of 5 m</w:t>
      </w:r>
      <w:r w:rsidR="00585EE1">
        <w:t>L</w:t>
      </w:r>
      <w:r w:rsidRPr="00151020">
        <w:t>/min/1.73 m</w:t>
      </w:r>
      <w:r w:rsidRPr="00151020">
        <w:rPr>
          <w:vertAlign w:val="superscript"/>
        </w:rPr>
        <w:t>2</w:t>
      </w:r>
      <w:r w:rsidRPr="00151020">
        <w:t xml:space="preserve"> at 12 months is unlikely to be clinically meaningful. Thus, </w:t>
      </w:r>
      <w:r w:rsidR="3A14F8E1" w:rsidRPr="00151020">
        <w:t xml:space="preserve">the ESC considered </w:t>
      </w:r>
      <w:r w:rsidRPr="00151020">
        <w:t xml:space="preserve">the applicability to patients with chronic HPT of the MCID for </w:t>
      </w:r>
      <w:r w:rsidRPr="00E56B36">
        <w:t>eGFR proposed by the submission was not justified.</w:t>
      </w:r>
      <w:r w:rsidR="561F7764" w:rsidRPr="00E56B36">
        <w:t xml:space="preserve"> The ESC noted the improvement of 9.81 m</w:t>
      </w:r>
      <w:r w:rsidR="00585EE1" w:rsidRPr="00E56B36">
        <w:t>L</w:t>
      </w:r>
      <w:r w:rsidR="561F7764" w:rsidRPr="00E56B36">
        <w:t>/min/1.73</w:t>
      </w:r>
      <w:r w:rsidR="3CBCFB6E" w:rsidRPr="00E56B36">
        <w:t xml:space="preserve"> </w:t>
      </w:r>
      <w:r w:rsidR="561F7764" w:rsidRPr="00E56B36">
        <w:t>m</w:t>
      </w:r>
      <w:r w:rsidR="561F7764" w:rsidRPr="00E56B36">
        <w:rPr>
          <w:vertAlign w:val="superscript"/>
        </w:rPr>
        <w:t>2</w:t>
      </w:r>
      <w:r w:rsidR="561F7764" w:rsidRPr="00E56B36">
        <w:t xml:space="preserve"> at Week 156 relative to baseline </w:t>
      </w:r>
      <w:r w:rsidR="00FB5414" w:rsidRPr="00E56B36">
        <w:t>in</w:t>
      </w:r>
      <w:r w:rsidR="561F7764" w:rsidRPr="00E56B36">
        <w:t xml:space="preserve"> patients treated with palopegteriparatide only. The improvement in all patients, including patients that received placebo for the first 26 weeks and subsequently switched to open-label treatment with palopegteriparatide</w:t>
      </w:r>
      <w:r w:rsidR="00FB5414" w:rsidRPr="00E56B36">
        <w:t>,</w:t>
      </w:r>
      <w:r w:rsidR="561F7764" w:rsidRPr="00E56B36">
        <w:t xml:space="preserve"> was 8.8 mL/min/1.73 m</w:t>
      </w:r>
      <w:r w:rsidR="561F7764" w:rsidRPr="00E56B36">
        <w:rPr>
          <w:vertAlign w:val="superscript"/>
        </w:rPr>
        <w:t>2</w:t>
      </w:r>
      <w:r w:rsidR="561F7764" w:rsidRPr="00E56B36">
        <w:t>. The change from baseline to Week</w:t>
      </w:r>
      <w:r w:rsidR="561F7764" w:rsidRPr="00151020">
        <w:t xml:space="preserve"> 156 met the predefined MCID of 5 mL/min/1.73 m</w:t>
      </w:r>
      <w:r w:rsidR="561F7764" w:rsidRPr="00151020">
        <w:rPr>
          <w:vertAlign w:val="superscript"/>
        </w:rPr>
        <w:t>2</w:t>
      </w:r>
      <w:r w:rsidR="6E8819D6" w:rsidRPr="00151020">
        <w:t>;</w:t>
      </w:r>
      <w:r w:rsidR="561F7764" w:rsidRPr="00151020">
        <w:t xml:space="preserve"> however</w:t>
      </w:r>
      <w:r w:rsidR="40E1D194" w:rsidRPr="00151020">
        <w:t>,</w:t>
      </w:r>
      <w:r w:rsidR="561F7764" w:rsidRPr="00151020">
        <w:t xml:space="preserve"> as discussed, </w:t>
      </w:r>
      <w:r w:rsidR="00FB5414">
        <w:t>there</w:t>
      </w:r>
      <w:r w:rsidR="00FB5414" w:rsidRPr="00151020">
        <w:t xml:space="preserve"> </w:t>
      </w:r>
      <w:r w:rsidR="561F7764" w:rsidRPr="00151020">
        <w:t xml:space="preserve">was </w:t>
      </w:r>
      <w:r w:rsidR="00FB5414">
        <w:t>ins</w:t>
      </w:r>
      <w:r w:rsidR="561F7764" w:rsidRPr="00151020">
        <w:t xml:space="preserve">ufficient evidence to support </w:t>
      </w:r>
      <w:r w:rsidR="00FB5414" w:rsidRPr="00151020">
        <w:t>th</w:t>
      </w:r>
      <w:r w:rsidR="00FB5414">
        <w:t>is</w:t>
      </w:r>
      <w:r w:rsidR="00FB5414" w:rsidRPr="00151020">
        <w:t xml:space="preserve"> </w:t>
      </w:r>
      <w:r w:rsidR="561F7764" w:rsidRPr="00151020">
        <w:t>MCID in patients with chronic hypoparathyroidism.</w:t>
      </w:r>
      <w:r w:rsidR="00A804F0">
        <w:t xml:space="preserve"> The pre-PBAC response stated that it was important to consider</w:t>
      </w:r>
      <w:r w:rsidR="00693251">
        <w:t xml:space="preserve"> </w:t>
      </w:r>
      <w:r w:rsidR="00A804F0">
        <w:t>not only the magnitude of the benefit in terms of the difference</w:t>
      </w:r>
      <w:r w:rsidR="002A3D18">
        <w:t xml:space="preserve">, but also the direction of change in the respective treatment arms. It noted that conventional therapy resulted in worsening of kidney function </w:t>
      </w:r>
      <w:r w:rsidR="00CC454A">
        <w:t xml:space="preserve">consistent with the natural history of HPT (rate of decline in eGFR = 2 </w:t>
      </w:r>
      <w:r w:rsidR="00322440">
        <w:t xml:space="preserve">to </w:t>
      </w:r>
      <w:r w:rsidR="00CC454A">
        <w:t>3 mL</w:t>
      </w:r>
      <w:r w:rsidR="006F6A83">
        <w:t>/min/1.73 m</w:t>
      </w:r>
      <w:r w:rsidR="006F6A83" w:rsidRPr="006F6A83">
        <w:rPr>
          <w:vertAlign w:val="superscript"/>
        </w:rPr>
        <w:t>2</w:t>
      </w:r>
      <w:r w:rsidR="006F6A83">
        <w:t xml:space="preserve"> per year)</w:t>
      </w:r>
      <w:r w:rsidR="00594894">
        <w:t>, whereas palopegteriparatide continue</w:t>
      </w:r>
      <w:r w:rsidR="00322440">
        <w:t>d</w:t>
      </w:r>
      <w:r w:rsidR="00594894">
        <w:t xml:space="preserve"> to preserve/</w:t>
      </w:r>
      <w:r w:rsidR="00322440">
        <w:t xml:space="preserve"> </w:t>
      </w:r>
      <w:r w:rsidR="00594894">
        <w:t>improve eGFR.</w:t>
      </w:r>
    </w:p>
    <w:p w14:paraId="0CC1DFDA" w14:textId="339CA246" w:rsidR="00CC3D51" w:rsidRPr="00006FCB" w:rsidRDefault="00CC3D51" w:rsidP="00CC3D51">
      <w:pPr>
        <w:pStyle w:val="3-BodyText"/>
      </w:pPr>
      <w:r w:rsidRPr="4D2BAA30">
        <w:t xml:space="preserve">The submission performed a </w:t>
      </w:r>
      <w:r w:rsidRPr="4D2BAA30">
        <w:rPr>
          <w:i/>
          <w:iCs/>
        </w:rPr>
        <w:t>post</w:t>
      </w:r>
      <w:r w:rsidR="00D44771" w:rsidRPr="4D2BAA30">
        <w:rPr>
          <w:i/>
          <w:iCs/>
        </w:rPr>
        <w:t>-</w:t>
      </w:r>
      <w:r w:rsidRPr="4D2BAA30">
        <w:rPr>
          <w:i/>
          <w:iCs/>
        </w:rPr>
        <w:t>hoc</w:t>
      </w:r>
      <w:r w:rsidRPr="4D2BAA30">
        <w:t xml:space="preserve"> subgroup analysis to inform the relative efficacy and safety of palopegteriparatide in patients who are inadequately controlled as per the PBS criteria</w:t>
      </w:r>
      <w:r w:rsidR="00421303" w:rsidRPr="4D2BAA30">
        <w:t xml:space="preserve">, noting that the subgroup did not entirely match the PBS restriction. </w:t>
      </w:r>
      <w:r w:rsidR="00EA04D8" w:rsidRPr="4D2BAA30">
        <w:t xml:space="preserve">Seventy-two </w:t>
      </w:r>
      <w:r w:rsidRPr="4D2BAA30">
        <w:t xml:space="preserve">(87.8%) patients were included in the subgroup. </w:t>
      </w:r>
    </w:p>
    <w:p w14:paraId="04B563D9" w14:textId="6E92A238" w:rsidR="00CC3D51" w:rsidRPr="00006FCB" w:rsidRDefault="00CC3D51" w:rsidP="00CC3D51">
      <w:pPr>
        <w:pStyle w:val="3-BodyText"/>
      </w:pPr>
      <w:r w:rsidRPr="4D2BAA30">
        <w:t>The submission presented the results of the primary outcome, the key secondary outcomes for HPES domain scores, and eGFR for the subgroup. The submission also presented the results of the complement group i.e., patients in PaTHway who did not meet the subgroup criteria</w:t>
      </w:r>
      <w:r w:rsidR="00EA04D8" w:rsidRPr="4D2BAA30">
        <w:t>;</w:t>
      </w:r>
      <w:r w:rsidRPr="4D2BAA30">
        <w:t xml:space="preserve"> however</w:t>
      </w:r>
      <w:r w:rsidR="00EA04D8" w:rsidRPr="4D2BAA30">
        <w:t>,</w:t>
      </w:r>
      <w:r w:rsidRPr="4D2BAA30">
        <w:t xml:space="preserve"> the number of patients in the complement group was small (n=10).</w:t>
      </w:r>
    </w:p>
    <w:p w14:paraId="3DC43168" w14:textId="4DB5B74F" w:rsidR="00CC3D51" w:rsidRPr="00006FCB" w:rsidRDefault="00EB296D" w:rsidP="00CC3D51">
      <w:pPr>
        <w:pStyle w:val="3-BodyText"/>
      </w:pPr>
      <w:r w:rsidRPr="00006FCB">
        <w:t xml:space="preserve">Results for the primary outcome and change from baseline in eGFR are presented in </w:t>
      </w:r>
      <w:r w:rsidRPr="00006FCB">
        <w:fldChar w:fldCharType="begin"/>
      </w:r>
      <w:r w:rsidRPr="00006FCB">
        <w:instrText xml:space="preserve"> REF _Ref184803641 \h  \* MERGEFORMAT </w:instrText>
      </w:r>
      <w:r w:rsidRPr="00006FCB">
        <w:fldChar w:fldCharType="separate"/>
      </w:r>
      <w:r w:rsidR="00DA35E4" w:rsidRPr="4D2BAA30">
        <w:t xml:space="preserve">Table </w:t>
      </w:r>
      <w:r w:rsidR="00DA35E4">
        <w:rPr>
          <w:noProof/>
        </w:rPr>
        <w:t>8</w:t>
      </w:r>
      <w:r w:rsidRPr="00006FCB">
        <w:fldChar w:fldCharType="end"/>
      </w:r>
      <w:r w:rsidRPr="00006FCB">
        <w:t xml:space="preserve"> and </w:t>
      </w:r>
      <w:r w:rsidRPr="00006FCB">
        <w:fldChar w:fldCharType="begin"/>
      </w:r>
      <w:r w:rsidRPr="00006FCB">
        <w:instrText xml:space="preserve"> REF _Ref184803644 \h  \* MERGEFORMAT </w:instrText>
      </w:r>
      <w:r w:rsidRPr="00006FCB">
        <w:fldChar w:fldCharType="separate"/>
      </w:r>
      <w:r w:rsidR="00DA35E4" w:rsidRPr="4D2BAA30">
        <w:t xml:space="preserve">Table </w:t>
      </w:r>
      <w:r w:rsidR="00DA35E4">
        <w:rPr>
          <w:noProof/>
        </w:rPr>
        <w:t>9</w:t>
      </w:r>
      <w:r w:rsidRPr="00006FCB">
        <w:fldChar w:fldCharType="end"/>
      </w:r>
      <w:r w:rsidRPr="00006FCB">
        <w:t>.</w:t>
      </w:r>
      <w:r w:rsidR="004737F5" w:rsidRPr="00006FCB">
        <w:t xml:space="preserve"> </w:t>
      </w:r>
    </w:p>
    <w:p w14:paraId="0D84EB62" w14:textId="71EE5E09" w:rsidR="00EB296D" w:rsidRPr="00006FCB" w:rsidRDefault="00EB296D" w:rsidP="4D2BAA30">
      <w:pPr>
        <w:pStyle w:val="Caption"/>
        <w:rPr>
          <w:rStyle w:val="CommentReference"/>
          <w:b/>
        </w:rPr>
      </w:pPr>
      <w:bookmarkStart w:id="33" w:name="_Ref184803641"/>
      <w:bookmarkStart w:id="34" w:name="_Ref184803636"/>
      <w:r w:rsidRPr="4D2BAA30">
        <w:t xml:space="preserve">Table </w:t>
      </w:r>
      <w:r w:rsidRPr="4D2BAA30">
        <w:fldChar w:fldCharType="begin"/>
      </w:r>
      <w:r>
        <w:instrText xml:space="preserve"> SEQ Table \* ARABIC </w:instrText>
      </w:r>
      <w:r w:rsidRPr="4D2BAA30">
        <w:fldChar w:fldCharType="separate"/>
      </w:r>
      <w:r w:rsidR="00DA35E4">
        <w:rPr>
          <w:noProof/>
        </w:rPr>
        <w:t>8</w:t>
      </w:r>
      <w:r w:rsidRPr="4D2BAA30">
        <w:rPr>
          <w:noProof/>
        </w:rPr>
        <w:fldChar w:fldCharType="end"/>
      </w:r>
      <w:bookmarkEnd w:id="33"/>
      <w:r w:rsidRPr="4D2BAA30">
        <w:t xml:space="preserve">: </w:t>
      </w:r>
      <w:r w:rsidRPr="4D2BAA30">
        <w:rPr>
          <w:rStyle w:val="CommentReference"/>
          <w:b/>
        </w:rPr>
        <w:t xml:space="preserve">Results of </w:t>
      </w:r>
      <w:bookmarkEnd w:id="34"/>
      <w:r w:rsidRPr="4D2BAA30">
        <w:rPr>
          <w:rStyle w:val="CommentReference"/>
          <w:b/>
        </w:rPr>
        <w:t>the primary outcome at Week 26 in PaTHway (PBS subgroup and ITT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of the primary outcome at Week 26 in PaTHway (PBS subgroup and ITT population)"/>
      </w:tblPr>
      <w:tblGrid>
        <w:gridCol w:w="1466"/>
        <w:gridCol w:w="2336"/>
        <w:gridCol w:w="1612"/>
        <w:gridCol w:w="1273"/>
        <w:gridCol w:w="1164"/>
        <w:gridCol w:w="1166"/>
      </w:tblGrid>
      <w:tr w:rsidR="00EB296D" w:rsidRPr="00006FCB" w14:paraId="65A7DB34" w14:textId="77777777" w:rsidTr="00BE3368">
        <w:trPr>
          <w:tblHeader/>
        </w:trPr>
        <w:tc>
          <w:tcPr>
            <w:tcW w:w="1498" w:type="dxa"/>
            <w:tcMar>
              <w:left w:w="40" w:type="dxa"/>
              <w:right w:w="40" w:type="dxa"/>
            </w:tcMar>
            <w:vAlign w:val="center"/>
          </w:tcPr>
          <w:p w14:paraId="3F46CF91" w14:textId="77777777" w:rsidR="00EB296D" w:rsidRPr="00006FCB" w:rsidRDefault="00EB296D" w:rsidP="00874192">
            <w:pPr>
              <w:pStyle w:val="In-tableHeading"/>
              <w:framePr w:wrap="around"/>
            </w:pPr>
            <w:r w:rsidRPr="00006FCB">
              <w:t>Population</w:t>
            </w:r>
          </w:p>
        </w:tc>
        <w:tc>
          <w:tcPr>
            <w:tcW w:w="2457" w:type="dxa"/>
            <w:tcMar>
              <w:left w:w="40" w:type="dxa"/>
              <w:right w:w="40" w:type="dxa"/>
            </w:tcMar>
            <w:vAlign w:val="center"/>
          </w:tcPr>
          <w:p w14:paraId="1A95B3A9" w14:textId="77777777" w:rsidR="00EB296D" w:rsidRPr="00006FCB" w:rsidRDefault="00EB296D" w:rsidP="00874192">
            <w:pPr>
              <w:pStyle w:val="In-tableHeading"/>
              <w:framePr w:wrap="around"/>
            </w:pPr>
            <w:r w:rsidRPr="00006FCB">
              <w:t>Trial ID</w:t>
            </w:r>
          </w:p>
        </w:tc>
        <w:tc>
          <w:tcPr>
            <w:tcW w:w="1320" w:type="dxa"/>
            <w:tcMar>
              <w:left w:w="40" w:type="dxa"/>
              <w:right w:w="40" w:type="dxa"/>
            </w:tcMar>
            <w:vAlign w:val="center"/>
          </w:tcPr>
          <w:p w14:paraId="4F6465C4" w14:textId="78D57078" w:rsidR="00EB296D" w:rsidRPr="00006FCB" w:rsidRDefault="00A321F7" w:rsidP="00A9324D">
            <w:pPr>
              <w:pStyle w:val="In-tableHeading"/>
              <w:framePr w:wrap="around"/>
              <w:jc w:val="center"/>
            </w:pPr>
            <w:proofErr w:type="spellStart"/>
            <w:r w:rsidRPr="00006FCB">
              <w:t>Palopegteriparatide</w:t>
            </w:r>
            <w:proofErr w:type="spellEnd"/>
          </w:p>
          <w:p w14:paraId="7C1A26E5" w14:textId="7E6925C1" w:rsidR="00EB296D" w:rsidRPr="00006FCB" w:rsidRDefault="00EB296D" w:rsidP="00A9324D">
            <w:pPr>
              <w:pStyle w:val="In-tableHeading"/>
              <w:framePr w:wrap="around"/>
              <w:jc w:val="center"/>
            </w:pPr>
            <w:r w:rsidRPr="00006FCB">
              <w:t>n/N (%)</w:t>
            </w:r>
          </w:p>
        </w:tc>
        <w:tc>
          <w:tcPr>
            <w:tcW w:w="1320" w:type="dxa"/>
            <w:tcMar>
              <w:left w:w="40" w:type="dxa"/>
              <w:right w:w="40" w:type="dxa"/>
            </w:tcMar>
            <w:vAlign w:val="center"/>
          </w:tcPr>
          <w:p w14:paraId="12530A7E" w14:textId="6D6D9548" w:rsidR="00EB296D" w:rsidRPr="00006FCB" w:rsidRDefault="00EB296D" w:rsidP="00A9324D">
            <w:pPr>
              <w:pStyle w:val="In-tableHeading"/>
              <w:framePr w:wrap="around"/>
              <w:jc w:val="center"/>
            </w:pPr>
            <w:r w:rsidRPr="00006FCB">
              <w:t>Placebo</w:t>
            </w:r>
          </w:p>
          <w:p w14:paraId="16C63B73" w14:textId="3E821CA6" w:rsidR="00EB296D" w:rsidRPr="00006FCB" w:rsidRDefault="00EB296D" w:rsidP="00A9324D">
            <w:pPr>
              <w:pStyle w:val="In-tableHeading"/>
              <w:framePr w:wrap="around"/>
              <w:jc w:val="center"/>
            </w:pPr>
            <w:r w:rsidRPr="00006FCB">
              <w:t>n/N (%)</w:t>
            </w:r>
          </w:p>
        </w:tc>
        <w:tc>
          <w:tcPr>
            <w:tcW w:w="1200" w:type="dxa"/>
            <w:tcMar>
              <w:left w:w="40" w:type="dxa"/>
              <w:right w:w="40" w:type="dxa"/>
            </w:tcMar>
            <w:vAlign w:val="center"/>
          </w:tcPr>
          <w:p w14:paraId="4DE35CAE" w14:textId="1EE7C82D" w:rsidR="00EB296D" w:rsidRPr="00006FCB" w:rsidRDefault="00EB296D" w:rsidP="00A9324D">
            <w:pPr>
              <w:pStyle w:val="In-tableHeading"/>
              <w:framePr w:wrap="around"/>
              <w:jc w:val="center"/>
            </w:pPr>
            <w:r w:rsidRPr="00006FCB">
              <w:t>RR (95% CI)</w:t>
            </w:r>
          </w:p>
        </w:tc>
        <w:tc>
          <w:tcPr>
            <w:tcW w:w="1221" w:type="dxa"/>
            <w:tcMar>
              <w:left w:w="40" w:type="dxa"/>
              <w:right w:w="40" w:type="dxa"/>
            </w:tcMar>
            <w:vAlign w:val="center"/>
          </w:tcPr>
          <w:p w14:paraId="26675801" w14:textId="77777777" w:rsidR="00EB296D" w:rsidRPr="00006FCB" w:rsidRDefault="00EB296D" w:rsidP="00A9324D">
            <w:pPr>
              <w:pStyle w:val="In-tableHeading"/>
              <w:framePr w:wrap="around"/>
              <w:jc w:val="center"/>
            </w:pPr>
            <w:r w:rsidRPr="00006FCB">
              <w:t>RD (95% CI)</w:t>
            </w:r>
          </w:p>
        </w:tc>
      </w:tr>
      <w:tr w:rsidR="00EB296D" w:rsidRPr="00006FCB" w14:paraId="5D47135D" w14:textId="77777777" w:rsidTr="00E56B36">
        <w:trPr>
          <w:tblHeader/>
        </w:trPr>
        <w:tc>
          <w:tcPr>
            <w:tcW w:w="1498" w:type="dxa"/>
            <w:tcMar>
              <w:left w:w="40" w:type="dxa"/>
              <w:right w:w="40" w:type="dxa"/>
            </w:tcMar>
            <w:vAlign w:val="center"/>
          </w:tcPr>
          <w:p w14:paraId="5D0AEE69" w14:textId="77777777" w:rsidR="00EB296D" w:rsidRPr="00006FCB" w:rsidRDefault="00EB296D" w:rsidP="00874192">
            <w:pPr>
              <w:pStyle w:val="In-tableHeading"/>
              <w:framePr w:wrap="around"/>
              <w:rPr>
                <w:lang w:val="en-AU"/>
              </w:rPr>
            </w:pPr>
            <w:r w:rsidRPr="00006FCB">
              <w:t>Whole trial population</w:t>
            </w:r>
          </w:p>
        </w:tc>
        <w:tc>
          <w:tcPr>
            <w:tcW w:w="2457" w:type="dxa"/>
            <w:tcMar>
              <w:left w:w="40" w:type="dxa"/>
              <w:right w:w="40" w:type="dxa"/>
            </w:tcMar>
            <w:vAlign w:val="center"/>
          </w:tcPr>
          <w:p w14:paraId="6647F9D6" w14:textId="455A17AA" w:rsidR="00EB296D" w:rsidRPr="00006FCB" w:rsidRDefault="00EB296D" w:rsidP="00EB296D">
            <w:pPr>
              <w:pStyle w:val="TableParagraph"/>
              <w:keepNext/>
              <w:widowControl/>
              <w:spacing w:line="240" w:lineRule="auto"/>
              <w:ind w:left="0" w:right="164"/>
              <w:rPr>
                <w:bCs/>
                <w:sz w:val="20"/>
              </w:rPr>
            </w:pPr>
            <w:r w:rsidRPr="00006FCB">
              <w:rPr>
                <w:bCs/>
                <w:sz w:val="20"/>
              </w:rPr>
              <w:t>Primary efficacy endpoint</w:t>
            </w:r>
            <w:r w:rsidRPr="00006FCB">
              <w:rPr>
                <w:bCs/>
                <w:spacing w:val="-5"/>
                <w:sz w:val="20"/>
              </w:rPr>
              <w:t xml:space="preserve"> </w:t>
            </w:r>
            <w:r w:rsidRPr="00006FCB">
              <w:rPr>
                <w:bCs/>
                <w:sz w:val="20"/>
              </w:rPr>
              <w:t>at Week 26</w:t>
            </w:r>
          </w:p>
        </w:tc>
        <w:tc>
          <w:tcPr>
            <w:tcW w:w="1320" w:type="dxa"/>
            <w:shd w:val="clear" w:color="auto" w:fill="auto"/>
            <w:tcMar>
              <w:left w:w="40" w:type="dxa"/>
              <w:right w:w="40" w:type="dxa"/>
            </w:tcMar>
            <w:vAlign w:val="center"/>
          </w:tcPr>
          <w:p w14:paraId="7248636D" w14:textId="0B0F8920" w:rsidR="00EB296D" w:rsidRPr="00E56B36" w:rsidRDefault="00EB296D" w:rsidP="00A9324D">
            <w:pPr>
              <w:pStyle w:val="In-tableHeading"/>
              <w:framePr w:wrap="around"/>
              <w:jc w:val="center"/>
              <w:rPr>
                <w:b w:val="0"/>
                <w:bCs/>
                <w:lang w:val="en-AU"/>
              </w:rPr>
            </w:pPr>
            <w:r w:rsidRPr="00E56B36">
              <w:rPr>
                <w:b w:val="0"/>
                <w:bCs/>
              </w:rPr>
              <w:t>48/61 (78.7)</w:t>
            </w:r>
          </w:p>
        </w:tc>
        <w:tc>
          <w:tcPr>
            <w:tcW w:w="1320" w:type="dxa"/>
            <w:shd w:val="clear" w:color="auto" w:fill="auto"/>
            <w:tcMar>
              <w:left w:w="40" w:type="dxa"/>
              <w:right w:w="40" w:type="dxa"/>
            </w:tcMar>
            <w:vAlign w:val="center"/>
          </w:tcPr>
          <w:p w14:paraId="5E1B40E3" w14:textId="77777777" w:rsidR="00EB296D" w:rsidRPr="00E56B36" w:rsidRDefault="00EB296D" w:rsidP="00A9324D">
            <w:pPr>
              <w:pStyle w:val="In-tableHeading"/>
              <w:framePr w:wrap="around"/>
              <w:jc w:val="center"/>
              <w:rPr>
                <w:b w:val="0"/>
                <w:bCs/>
                <w:lang w:val="en-AU"/>
              </w:rPr>
            </w:pPr>
            <w:r w:rsidRPr="00E56B36">
              <w:rPr>
                <w:b w:val="0"/>
                <w:bCs/>
              </w:rPr>
              <w:t>1/21 (4.8)</w:t>
            </w:r>
          </w:p>
        </w:tc>
        <w:tc>
          <w:tcPr>
            <w:tcW w:w="1200" w:type="dxa"/>
            <w:shd w:val="clear" w:color="auto" w:fill="auto"/>
            <w:tcMar>
              <w:left w:w="40" w:type="dxa"/>
              <w:right w:w="40" w:type="dxa"/>
            </w:tcMar>
            <w:vAlign w:val="center"/>
          </w:tcPr>
          <w:p w14:paraId="56951AB5" w14:textId="07690595" w:rsidR="00EB296D" w:rsidRPr="00E56B36" w:rsidRDefault="00EB296D" w:rsidP="00A9324D">
            <w:pPr>
              <w:pStyle w:val="In-tableHeading"/>
              <w:framePr w:wrap="around"/>
              <w:jc w:val="center"/>
              <w:rPr>
                <w:b w:val="0"/>
                <w:bCs/>
                <w:lang w:val="en-AU"/>
              </w:rPr>
            </w:pPr>
            <w:r w:rsidRPr="00E56B36">
              <w:rPr>
                <w:b w:val="0"/>
                <w:bCs/>
              </w:rPr>
              <w:t xml:space="preserve">NR </w:t>
            </w:r>
            <w:r w:rsidRPr="00E56B36">
              <w:rPr>
                <w:b w:val="0"/>
                <w:bCs/>
                <w:vertAlign w:val="superscript"/>
              </w:rPr>
              <w:t>a</w:t>
            </w:r>
          </w:p>
        </w:tc>
        <w:tc>
          <w:tcPr>
            <w:tcW w:w="1221" w:type="dxa"/>
            <w:shd w:val="clear" w:color="auto" w:fill="auto"/>
            <w:tcMar>
              <w:left w:w="40" w:type="dxa"/>
              <w:right w:w="40" w:type="dxa"/>
            </w:tcMar>
            <w:vAlign w:val="center"/>
          </w:tcPr>
          <w:p w14:paraId="312E6E37" w14:textId="326EE614" w:rsidR="00EB296D" w:rsidRPr="00E56B36" w:rsidRDefault="00EB296D" w:rsidP="00A9324D">
            <w:pPr>
              <w:pStyle w:val="In-tableHeading"/>
              <w:framePr w:wrap="around"/>
              <w:jc w:val="center"/>
              <w:rPr>
                <w:b w:val="0"/>
                <w:bCs/>
                <w:lang w:val="en-AU"/>
              </w:rPr>
            </w:pPr>
            <w:r w:rsidRPr="00E56B36">
              <w:rPr>
                <w:b w:val="0"/>
                <w:bCs/>
              </w:rPr>
              <w:t>NR</w:t>
            </w:r>
            <w:r w:rsidRPr="00E56B36">
              <w:rPr>
                <w:b w:val="0"/>
                <w:bCs/>
                <w:vertAlign w:val="superscript"/>
              </w:rPr>
              <w:t xml:space="preserve"> a</w:t>
            </w:r>
          </w:p>
        </w:tc>
      </w:tr>
      <w:tr w:rsidR="00EB296D" w:rsidRPr="00006FCB" w14:paraId="0C4CEBE6" w14:textId="77777777" w:rsidTr="00E56B36">
        <w:trPr>
          <w:tblHeader/>
        </w:trPr>
        <w:tc>
          <w:tcPr>
            <w:tcW w:w="1498" w:type="dxa"/>
            <w:tcMar>
              <w:left w:w="40" w:type="dxa"/>
              <w:right w:w="40" w:type="dxa"/>
            </w:tcMar>
            <w:vAlign w:val="center"/>
          </w:tcPr>
          <w:p w14:paraId="0FBC229E" w14:textId="2B4FA322" w:rsidR="00EB296D" w:rsidRPr="00006FCB" w:rsidRDefault="00EB296D" w:rsidP="00874192">
            <w:pPr>
              <w:pStyle w:val="In-tableHeading"/>
              <w:framePr w:wrap="around"/>
            </w:pPr>
            <w:r w:rsidRPr="00006FCB">
              <w:t>PBS subgroup</w:t>
            </w:r>
          </w:p>
        </w:tc>
        <w:tc>
          <w:tcPr>
            <w:tcW w:w="2457" w:type="dxa"/>
            <w:tcMar>
              <w:left w:w="40" w:type="dxa"/>
              <w:right w:w="40" w:type="dxa"/>
            </w:tcMar>
            <w:vAlign w:val="center"/>
          </w:tcPr>
          <w:p w14:paraId="3F88BB2D" w14:textId="5331ED9E" w:rsidR="00EB296D" w:rsidRPr="00006FCB" w:rsidRDefault="00EB296D" w:rsidP="00EB296D">
            <w:pPr>
              <w:pStyle w:val="TableParagraph"/>
              <w:keepNext/>
              <w:widowControl/>
              <w:spacing w:line="240" w:lineRule="auto"/>
              <w:ind w:left="0" w:right="164"/>
              <w:rPr>
                <w:bCs/>
                <w:sz w:val="20"/>
              </w:rPr>
            </w:pPr>
            <w:r w:rsidRPr="00006FCB">
              <w:rPr>
                <w:bCs/>
                <w:sz w:val="20"/>
              </w:rPr>
              <w:t>Primary efficacy endpoint</w:t>
            </w:r>
            <w:r w:rsidRPr="00006FCB">
              <w:rPr>
                <w:bCs/>
                <w:spacing w:val="-5"/>
                <w:sz w:val="20"/>
              </w:rPr>
              <w:t xml:space="preserve"> </w:t>
            </w:r>
            <w:r w:rsidRPr="00006FCB">
              <w:rPr>
                <w:bCs/>
                <w:sz w:val="20"/>
              </w:rPr>
              <w:t>at Week 26</w:t>
            </w:r>
          </w:p>
        </w:tc>
        <w:tc>
          <w:tcPr>
            <w:tcW w:w="1320" w:type="dxa"/>
            <w:shd w:val="clear" w:color="auto" w:fill="auto"/>
            <w:tcMar>
              <w:left w:w="40" w:type="dxa"/>
              <w:right w:w="40" w:type="dxa"/>
            </w:tcMar>
            <w:vAlign w:val="center"/>
          </w:tcPr>
          <w:p w14:paraId="7B817487" w14:textId="791F55A6" w:rsidR="00EB296D" w:rsidRPr="00E56B36" w:rsidRDefault="00EB296D" w:rsidP="00A9324D">
            <w:pPr>
              <w:pStyle w:val="In-tableHeading"/>
              <w:framePr w:wrap="around"/>
              <w:jc w:val="center"/>
              <w:rPr>
                <w:b w:val="0"/>
                <w:bCs/>
              </w:rPr>
            </w:pPr>
            <w:r w:rsidRPr="00E56B36">
              <w:rPr>
                <w:b w:val="0"/>
                <w:bCs/>
              </w:rPr>
              <w:t>43/56 (76.8)</w:t>
            </w:r>
          </w:p>
        </w:tc>
        <w:tc>
          <w:tcPr>
            <w:tcW w:w="1320" w:type="dxa"/>
            <w:shd w:val="clear" w:color="auto" w:fill="auto"/>
            <w:tcMar>
              <w:left w:w="40" w:type="dxa"/>
              <w:right w:w="40" w:type="dxa"/>
            </w:tcMar>
            <w:vAlign w:val="center"/>
          </w:tcPr>
          <w:p w14:paraId="30604E50" w14:textId="4225C69A" w:rsidR="00EB296D" w:rsidRPr="00E56B36" w:rsidRDefault="00EB296D" w:rsidP="00A9324D">
            <w:pPr>
              <w:pStyle w:val="In-tableHeading"/>
              <w:framePr w:wrap="around"/>
              <w:jc w:val="center"/>
              <w:rPr>
                <w:b w:val="0"/>
                <w:bCs/>
              </w:rPr>
            </w:pPr>
            <w:r w:rsidRPr="00E56B36">
              <w:rPr>
                <w:b w:val="0"/>
                <w:bCs/>
              </w:rPr>
              <w:t>1/16 (6.3)</w:t>
            </w:r>
          </w:p>
        </w:tc>
        <w:tc>
          <w:tcPr>
            <w:tcW w:w="1200" w:type="dxa"/>
            <w:shd w:val="clear" w:color="auto" w:fill="auto"/>
            <w:tcMar>
              <w:left w:w="40" w:type="dxa"/>
              <w:right w:w="40" w:type="dxa"/>
            </w:tcMar>
            <w:vAlign w:val="center"/>
          </w:tcPr>
          <w:p w14:paraId="3E40E12E" w14:textId="34FB3FBC" w:rsidR="00EB296D" w:rsidRPr="00E56B36" w:rsidRDefault="00EB296D" w:rsidP="00A9324D">
            <w:pPr>
              <w:pStyle w:val="TableText0"/>
              <w:framePr w:wrap="around"/>
              <w:jc w:val="center"/>
            </w:pPr>
            <w:r w:rsidRPr="00E56B36">
              <w:t>12.</w:t>
            </w:r>
            <w:r w:rsidR="00A155F3" w:rsidRPr="00E56B36">
              <w:t>37</w:t>
            </w:r>
          </w:p>
          <w:p w14:paraId="79A922DC" w14:textId="5D2A9BF8" w:rsidR="00EB296D" w:rsidRPr="00E56B36" w:rsidRDefault="008707A7" w:rsidP="00BE3368">
            <w:pPr>
              <w:pStyle w:val="TableText0"/>
              <w:framePr w:wrap="around"/>
              <w:jc w:val="center"/>
              <w:rPr>
                <w:b/>
                <w:bCs w:val="0"/>
              </w:rPr>
            </w:pPr>
            <w:r w:rsidRPr="00E56B36">
              <w:t>(</w:t>
            </w:r>
            <w:r w:rsidR="00EB296D" w:rsidRPr="00E56B36">
              <w:t>1.84,</w:t>
            </w:r>
            <w:r w:rsidR="00BE3368" w:rsidRPr="00E56B36">
              <w:t xml:space="preserve"> </w:t>
            </w:r>
            <w:r w:rsidR="00EB296D" w:rsidRPr="00E56B36">
              <w:t>83.13</w:t>
            </w:r>
            <w:r w:rsidRPr="00E56B36">
              <w:t>)</w:t>
            </w:r>
          </w:p>
        </w:tc>
        <w:tc>
          <w:tcPr>
            <w:tcW w:w="1221" w:type="dxa"/>
            <w:shd w:val="clear" w:color="auto" w:fill="auto"/>
            <w:tcMar>
              <w:left w:w="40" w:type="dxa"/>
              <w:right w:w="40" w:type="dxa"/>
            </w:tcMar>
            <w:vAlign w:val="center"/>
          </w:tcPr>
          <w:p w14:paraId="39481D20" w14:textId="77777777" w:rsidR="00EB296D" w:rsidRPr="00E56B36" w:rsidRDefault="00EB296D" w:rsidP="00A9324D">
            <w:pPr>
              <w:pStyle w:val="TableText0"/>
              <w:framePr w:wrap="around"/>
              <w:jc w:val="center"/>
            </w:pPr>
            <w:r w:rsidRPr="00E56B36">
              <w:t>0.71</w:t>
            </w:r>
          </w:p>
          <w:p w14:paraId="68AB3CEB" w14:textId="72618912" w:rsidR="00EB296D" w:rsidRPr="00E56B36" w:rsidRDefault="008707A7" w:rsidP="00BE3368">
            <w:pPr>
              <w:pStyle w:val="TableText0"/>
              <w:framePr w:wrap="around"/>
              <w:jc w:val="center"/>
              <w:rPr>
                <w:b/>
                <w:bCs w:val="0"/>
              </w:rPr>
            </w:pPr>
            <w:r w:rsidRPr="00E56B36">
              <w:t>(</w:t>
            </w:r>
            <w:r w:rsidR="00EB296D" w:rsidRPr="00E56B36">
              <w:t>0.55,</w:t>
            </w:r>
            <w:r w:rsidR="00BE3368" w:rsidRPr="00E56B36">
              <w:t xml:space="preserve"> </w:t>
            </w:r>
            <w:r w:rsidR="00EB296D" w:rsidRPr="00E56B36">
              <w:t>0.87</w:t>
            </w:r>
            <w:r w:rsidRPr="00E56B36">
              <w:t>)</w:t>
            </w:r>
          </w:p>
        </w:tc>
      </w:tr>
      <w:tr w:rsidR="00EB296D" w:rsidRPr="00006FCB" w14:paraId="193A15A7" w14:textId="77777777" w:rsidTr="00E56B36">
        <w:trPr>
          <w:tblHeader/>
        </w:trPr>
        <w:tc>
          <w:tcPr>
            <w:tcW w:w="1498" w:type="dxa"/>
            <w:tcMar>
              <w:left w:w="40" w:type="dxa"/>
              <w:right w:w="40" w:type="dxa"/>
            </w:tcMar>
            <w:vAlign w:val="center"/>
          </w:tcPr>
          <w:p w14:paraId="74211812" w14:textId="18B1D909" w:rsidR="00EB296D" w:rsidRPr="00006FCB" w:rsidRDefault="00EB296D" w:rsidP="00874192">
            <w:pPr>
              <w:pStyle w:val="In-tableHeading"/>
              <w:framePr w:wrap="around"/>
            </w:pPr>
            <w:r w:rsidRPr="00006FCB">
              <w:t>Complement of subgroup</w:t>
            </w:r>
          </w:p>
        </w:tc>
        <w:tc>
          <w:tcPr>
            <w:tcW w:w="2457" w:type="dxa"/>
            <w:tcMar>
              <w:left w:w="40" w:type="dxa"/>
              <w:right w:w="40" w:type="dxa"/>
            </w:tcMar>
            <w:vAlign w:val="center"/>
          </w:tcPr>
          <w:p w14:paraId="34A55337" w14:textId="2477A7F1" w:rsidR="00EB296D" w:rsidRPr="00006FCB" w:rsidRDefault="00EB296D" w:rsidP="00EB296D">
            <w:pPr>
              <w:pStyle w:val="TableParagraph"/>
              <w:keepNext/>
              <w:widowControl/>
              <w:spacing w:line="240" w:lineRule="auto"/>
              <w:ind w:left="0" w:right="164"/>
              <w:rPr>
                <w:bCs/>
                <w:sz w:val="20"/>
              </w:rPr>
            </w:pPr>
            <w:r w:rsidRPr="00006FCB">
              <w:rPr>
                <w:bCs/>
                <w:sz w:val="20"/>
              </w:rPr>
              <w:t>Primary efficacy endpoint</w:t>
            </w:r>
            <w:r w:rsidRPr="00006FCB">
              <w:rPr>
                <w:bCs/>
                <w:spacing w:val="-5"/>
                <w:sz w:val="20"/>
              </w:rPr>
              <w:t xml:space="preserve"> </w:t>
            </w:r>
            <w:r w:rsidRPr="00006FCB">
              <w:rPr>
                <w:bCs/>
                <w:sz w:val="20"/>
              </w:rPr>
              <w:t>at Week 26</w:t>
            </w:r>
          </w:p>
        </w:tc>
        <w:tc>
          <w:tcPr>
            <w:tcW w:w="1320" w:type="dxa"/>
            <w:shd w:val="clear" w:color="auto" w:fill="auto"/>
            <w:tcMar>
              <w:left w:w="40" w:type="dxa"/>
              <w:right w:w="40" w:type="dxa"/>
            </w:tcMar>
            <w:vAlign w:val="center"/>
          </w:tcPr>
          <w:p w14:paraId="45763561" w14:textId="70B23319" w:rsidR="00EB296D" w:rsidRPr="00E56B36" w:rsidRDefault="00EB296D" w:rsidP="00A9324D">
            <w:pPr>
              <w:pStyle w:val="In-tableHeading"/>
              <w:framePr w:wrap="around"/>
              <w:jc w:val="center"/>
              <w:rPr>
                <w:b w:val="0"/>
                <w:bCs/>
              </w:rPr>
            </w:pPr>
            <w:r w:rsidRPr="00E56B36">
              <w:rPr>
                <w:b w:val="0"/>
                <w:bCs/>
              </w:rPr>
              <w:t>5/5 (100)</w:t>
            </w:r>
          </w:p>
        </w:tc>
        <w:tc>
          <w:tcPr>
            <w:tcW w:w="1320" w:type="dxa"/>
            <w:shd w:val="clear" w:color="auto" w:fill="auto"/>
            <w:tcMar>
              <w:left w:w="40" w:type="dxa"/>
              <w:right w:w="40" w:type="dxa"/>
            </w:tcMar>
            <w:vAlign w:val="center"/>
          </w:tcPr>
          <w:p w14:paraId="62EAA041" w14:textId="7EE19EE4" w:rsidR="00EB296D" w:rsidRPr="00E56B36" w:rsidRDefault="00EB296D" w:rsidP="00A9324D">
            <w:pPr>
              <w:pStyle w:val="In-tableHeading"/>
              <w:framePr w:wrap="around"/>
              <w:jc w:val="center"/>
              <w:rPr>
                <w:b w:val="0"/>
                <w:bCs/>
              </w:rPr>
            </w:pPr>
            <w:r w:rsidRPr="00E56B36">
              <w:rPr>
                <w:b w:val="0"/>
                <w:bCs/>
              </w:rPr>
              <w:t>0</w:t>
            </w:r>
            <w:r w:rsidR="00337E99" w:rsidRPr="00E56B36">
              <w:rPr>
                <w:b w:val="0"/>
                <w:bCs/>
              </w:rPr>
              <w:t>/5</w:t>
            </w:r>
          </w:p>
        </w:tc>
        <w:tc>
          <w:tcPr>
            <w:tcW w:w="1200" w:type="dxa"/>
            <w:shd w:val="clear" w:color="auto" w:fill="auto"/>
            <w:tcMar>
              <w:left w:w="40" w:type="dxa"/>
              <w:right w:w="40" w:type="dxa"/>
            </w:tcMar>
            <w:vAlign w:val="center"/>
          </w:tcPr>
          <w:p w14:paraId="757394A7" w14:textId="25C8CF96" w:rsidR="00EB296D" w:rsidRPr="00E56B36" w:rsidRDefault="00EB296D" w:rsidP="00A9324D">
            <w:pPr>
              <w:pStyle w:val="TableText0"/>
              <w:framePr w:wrap="around"/>
              <w:jc w:val="center"/>
            </w:pPr>
            <w:r w:rsidRPr="00E56B36">
              <w:t>5.07</w:t>
            </w:r>
          </w:p>
          <w:p w14:paraId="5E12CB88" w14:textId="0923B987" w:rsidR="00EB296D" w:rsidRPr="00E56B36" w:rsidRDefault="008707A7" w:rsidP="00BE3368">
            <w:pPr>
              <w:pStyle w:val="TableText0"/>
              <w:framePr w:wrap="around"/>
              <w:jc w:val="center"/>
            </w:pPr>
            <w:r w:rsidRPr="00E56B36">
              <w:t>(</w:t>
            </w:r>
            <w:r w:rsidR="00EB296D" w:rsidRPr="00E56B36">
              <w:t>0.81,</w:t>
            </w:r>
            <w:r w:rsidR="00BE3368" w:rsidRPr="00E56B36">
              <w:t xml:space="preserve"> </w:t>
            </w:r>
            <w:r w:rsidR="00EB296D" w:rsidRPr="00E56B36">
              <w:t>31.5</w:t>
            </w:r>
            <w:r w:rsidR="0036446E" w:rsidRPr="00E56B36">
              <w:t>7</w:t>
            </w:r>
            <w:r w:rsidRPr="00E56B36">
              <w:t>)</w:t>
            </w:r>
          </w:p>
        </w:tc>
        <w:tc>
          <w:tcPr>
            <w:tcW w:w="1221" w:type="dxa"/>
            <w:shd w:val="clear" w:color="auto" w:fill="auto"/>
            <w:tcMar>
              <w:left w:w="40" w:type="dxa"/>
              <w:right w:w="40" w:type="dxa"/>
            </w:tcMar>
            <w:vAlign w:val="center"/>
          </w:tcPr>
          <w:p w14:paraId="1BC176BA" w14:textId="77777777" w:rsidR="00EB296D" w:rsidRPr="00E56B36" w:rsidRDefault="00EB296D" w:rsidP="00A9324D">
            <w:pPr>
              <w:pStyle w:val="TableText0"/>
              <w:framePr w:wrap="around"/>
              <w:jc w:val="center"/>
            </w:pPr>
            <w:r w:rsidRPr="00E56B36">
              <w:t>1</w:t>
            </w:r>
          </w:p>
          <w:p w14:paraId="12170C28" w14:textId="05CF7960" w:rsidR="00EB296D" w:rsidRPr="00E56B36" w:rsidRDefault="008707A7" w:rsidP="00BE3368">
            <w:pPr>
              <w:pStyle w:val="TableText0"/>
              <w:framePr w:wrap="around"/>
              <w:jc w:val="center"/>
            </w:pPr>
            <w:r w:rsidRPr="00E56B36">
              <w:t>(</w:t>
            </w:r>
            <w:r w:rsidR="00EB296D" w:rsidRPr="00E56B36">
              <w:t>1.00,</w:t>
            </w:r>
            <w:r w:rsidR="00BE3368" w:rsidRPr="00E56B36">
              <w:t xml:space="preserve"> </w:t>
            </w:r>
            <w:r w:rsidR="00EB296D" w:rsidRPr="00E56B36">
              <w:t>1.00</w:t>
            </w:r>
            <w:r w:rsidRPr="00E56B36">
              <w:t>)</w:t>
            </w:r>
          </w:p>
        </w:tc>
      </w:tr>
      <w:tr w:rsidR="00EB296D" w:rsidRPr="00006FCB" w14:paraId="2DB6951E" w14:textId="77777777" w:rsidTr="00BE3368">
        <w:tc>
          <w:tcPr>
            <w:tcW w:w="1498" w:type="dxa"/>
            <w:tcMar>
              <w:left w:w="40" w:type="dxa"/>
              <w:right w:w="40" w:type="dxa"/>
            </w:tcMar>
            <w:vAlign w:val="center"/>
          </w:tcPr>
          <w:p w14:paraId="392353C9" w14:textId="4139C586" w:rsidR="00EB296D" w:rsidRPr="00006FCB" w:rsidRDefault="00EB296D" w:rsidP="006C0FF8">
            <w:pPr>
              <w:pStyle w:val="TableText0"/>
              <w:framePr w:wrap="around"/>
              <w:rPr>
                <w:rFonts w:ascii="Times" w:hAnsi="Times"/>
                <w:b/>
              </w:rPr>
            </w:pPr>
            <w:r w:rsidRPr="00006FCB">
              <w:t xml:space="preserve">Subgroup </w:t>
            </w:r>
            <w:r w:rsidR="00BE3368" w:rsidRPr="00006FCB">
              <w:t>i</w:t>
            </w:r>
            <w:r w:rsidRPr="00006FCB">
              <w:t>nteraction p-value</w:t>
            </w:r>
          </w:p>
        </w:tc>
        <w:tc>
          <w:tcPr>
            <w:tcW w:w="7518" w:type="dxa"/>
            <w:gridSpan w:val="5"/>
            <w:tcMar>
              <w:left w:w="40" w:type="dxa"/>
              <w:right w:w="40" w:type="dxa"/>
            </w:tcMar>
            <w:vAlign w:val="center"/>
          </w:tcPr>
          <w:p w14:paraId="2A76E186" w14:textId="50A16D56" w:rsidR="00EB296D" w:rsidRPr="00006FCB" w:rsidRDefault="00EB296D" w:rsidP="00BE3368">
            <w:pPr>
              <w:pStyle w:val="TableText0"/>
              <w:framePr w:wrap="around"/>
              <w:jc w:val="center"/>
              <w:rPr>
                <w:rFonts w:ascii="Times" w:hAnsi="Times"/>
                <w:b/>
              </w:rPr>
            </w:pPr>
            <w:r w:rsidRPr="00006FCB">
              <w:t>0.9621</w:t>
            </w:r>
          </w:p>
        </w:tc>
      </w:tr>
    </w:tbl>
    <w:p w14:paraId="508365A8" w14:textId="5B99BE9D" w:rsidR="00EB296D" w:rsidRPr="00006FCB" w:rsidRDefault="00EB296D" w:rsidP="00EB296D">
      <w:pPr>
        <w:pStyle w:val="FooterTableFigure"/>
        <w:rPr>
          <w:sz w:val="20"/>
        </w:rPr>
      </w:pPr>
      <w:r w:rsidRPr="00006FCB">
        <w:t>Source: Table 47, p103 of the submission</w:t>
      </w:r>
    </w:p>
    <w:p w14:paraId="5BDFBBFD" w14:textId="2F48AEF2" w:rsidR="00EB296D" w:rsidRPr="00006FCB" w:rsidRDefault="00EB296D" w:rsidP="00EB296D">
      <w:pPr>
        <w:pStyle w:val="FooterTableFigure"/>
        <w:rPr>
          <w:rFonts w:eastAsia="Calibri"/>
        </w:rPr>
      </w:pPr>
      <w:r w:rsidRPr="00006FCB">
        <w:rPr>
          <w:rFonts w:eastAsia="Calibri"/>
        </w:rPr>
        <w:t>CI = confidence interval</w:t>
      </w:r>
      <w:r w:rsidR="00D64984" w:rsidRPr="00006FCB">
        <w:rPr>
          <w:rFonts w:eastAsia="Calibri"/>
        </w:rPr>
        <w:t>, ITT = intention to treat,</w:t>
      </w:r>
      <w:r w:rsidRPr="00006FCB">
        <w:rPr>
          <w:rFonts w:eastAsia="Calibri"/>
        </w:rPr>
        <w:t xml:space="preserve"> n = number of participants reporting data</w:t>
      </w:r>
      <w:r w:rsidR="00D64984" w:rsidRPr="00006FCB">
        <w:rPr>
          <w:rFonts w:eastAsia="Calibri"/>
        </w:rPr>
        <w:t>,</w:t>
      </w:r>
      <w:r w:rsidRPr="00006FCB">
        <w:rPr>
          <w:rFonts w:eastAsia="Calibri"/>
        </w:rPr>
        <w:t xml:space="preserve"> N = total participants in group</w:t>
      </w:r>
      <w:r w:rsidR="00D64984" w:rsidRPr="00006FCB">
        <w:rPr>
          <w:rFonts w:eastAsia="Calibri"/>
        </w:rPr>
        <w:t>,</w:t>
      </w:r>
      <w:r w:rsidRPr="00006FCB">
        <w:rPr>
          <w:rFonts w:eastAsia="Calibri"/>
        </w:rPr>
        <w:t xml:space="preserve"> </w:t>
      </w:r>
      <w:r w:rsidR="00D64984" w:rsidRPr="00006FCB">
        <w:rPr>
          <w:rFonts w:eastAsia="Calibri"/>
        </w:rPr>
        <w:t xml:space="preserve">PBS = Pharmaceutical Benefits Scheme, </w:t>
      </w:r>
      <w:r w:rsidRPr="00006FCB">
        <w:rPr>
          <w:rFonts w:eastAsia="Calibri"/>
        </w:rPr>
        <w:t>RD = risk difference</w:t>
      </w:r>
      <w:r w:rsidR="00D64984" w:rsidRPr="00006FCB">
        <w:rPr>
          <w:rFonts w:eastAsia="Calibri"/>
        </w:rPr>
        <w:t>,</w:t>
      </w:r>
      <w:r w:rsidRPr="00006FCB">
        <w:rPr>
          <w:rFonts w:eastAsia="Calibri"/>
        </w:rPr>
        <w:t xml:space="preserve"> RR = relative risk.</w:t>
      </w:r>
    </w:p>
    <w:p w14:paraId="0FD294B7" w14:textId="75D08052" w:rsidR="00EB296D" w:rsidRDefault="2D8DDA83" w:rsidP="383E5602">
      <w:pPr>
        <w:pStyle w:val="FooterTableFigure"/>
        <w:rPr>
          <w:rFonts w:eastAsia="Calibri"/>
        </w:rPr>
      </w:pPr>
      <w:proofErr w:type="spellStart"/>
      <w:r w:rsidRPr="383E5602">
        <w:rPr>
          <w:rFonts w:eastAsia="Calibri"/>
          <w:vertAlign w:val="superscript"/>
        </w:rPr>
        <w:t>a</w:t>
      </w:r>
      <w:proofErr w:type="spellEnd"/>
      <w:r w:rsidRPr="383E5602">
        <w:rPr>
          <w:rFonts w:eastAsia="Calibri"/>
        </w:rPr>
        <w:t xml:space="preserve"> Estimate of effect was not generated for the primary efficacy endpoint as initially outlined in the protocol given the placebo group had only 1 responder (p80 of the CSR). </w:t>
      </w:r>
    </w:p>
    <w:p w14:paraId="46597842" w14:textId="77777777" w:rsidR="00BF46A5" w:rsidRPr="00265947" w:rsidRDefault="00BF46A5" w:rsidP="00BF46A5">
      <w:pPr>
        <w:pStyle w:val="FooterTableFigure"/>
        <w:rPr>
          <w:rFonts w:eastAsia="Calibri"/>
          <w:i/>
          <w:iCs/>
        </w:rPr>
      </w:pPr>
      <w:r w:rsidRPr="00265947">
        <w:rPr>
          <w:rFonts w:eastAsia="Calibri"/>
          <w:i/>
          <w:iCs/>
        </w:rPr>
        <w:t>Note that the sub-group results presented in Table 8 are derived from post-hoc analyses conducted by the Sponsor specifically for the purposes of informing the PBAC consideration. These analyses were not part of the pre-specified statistical plan for the PaTHway study. Interpretation of the results and their application should therefore be limited to seeking to understand the basis for the PBAC outcome and should not be used for any other purpose.</w:t>
      </w:r>
    </w:p>
    <w:p w14:paraId="7DA442E0" w14:textId="77777777" w:rsidR="00E65A29" w:rsidRPr="00006FCB" w:rsidRDefault="00E65A29" w:rsidP="383E5602">
      <w:pPr>
        <w:pStyle w:val="FooterTableFigure"/>
        <w:rPr>
          <w:rFonts w:eastAsia="Calibri"/>
        </w:rPr>
      </w:pPr>
    </w:p>
    <w:p w14:paraId="162DAE73" w14:textId="6832BEE7" w:rsidR="00EB296D" w:rsidRPr="00006FCB" w:rsidRDefault="00EB296D" w:rsidP="00937A28">
      <w:pPr>
        <w:pStyle w:val="Caption"/>
      </w:pPr>
      <w:bookmarkStart w:id="35" w:name="_Ref184803644"/>
      <w:r w:rsidRPr="4D2BAA30">
        <w:t xml:space="preserve">Table </w:t>
      </w:r>
      <w:r w:rsidRPr="4D2BAA30">
        <w:fldChar w:fldCharType="begin"/>
      </w:r>
      <w:r>
        <w:instrText xml:space="preserve"> SEQ Table \* ARABIC </w:instrText>
      </w:r>
      <w:r w:rsidRPr="4D2BAA30">
        <w:fldChar w:fldCharType="separate"/>
      </w:r>
      <w:r w:rsidR="00DA35E4">
        <w:rPr>
          <w:noProof/>
        </w:rPr>
        <w:t>9</w:t>
      </w:r>
      <w:r w:rsidRPr="4D2BAA30">
        <w:rPr>
          <w:noProof/>
        </w:rPr>
        <w:fldChar w:fldCharType="end"/>
      </w:r>
      <w:bookmarkEnd w:id="35"/>
      <w:r w:rsidRPr="4D2BAA30">
        <w:t>: Change in eGFR from baseline to Week 26 in PaTHway (PBS subgroup and ITT population)</w:t>
      </w:r>
    </w:p>
    <w:tbl>
      <w:tblPr>
        <w:tblW w:w="901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Table 9: Change in eGFR from baseline to Week 26 in PaTHway (PBS subgroup and ITT population)"/>
      </w:tblPr>
      <w:tblGrid>
        <w:gridCol w:w="1560"/>
        <w:gridCol w:w="720"/>
        <w:gridCol w:w="1080"/>
        <w:gridCol w:w="720"/>
        <w:gridCol w:w="1080"/>
        <w:gridCol w:w="1200"/>
        <w:gridCol w:w="1560"/>
        <w:gridCol w:w="1098"/>
      </w:tblGrid>
      <w:tr w:rsidR="000B5769" w:rsidRPr="00006FCB" w14:paraId="7AEFCFAE" w14:textId="77777777" w:rsidTr="000A57A5">
        <w:trPr>
          <w:trHeight w:val="309"/>
        </w:trPr>
        <w:tc>
          <w:tcPr>
            <w:tcW w:w="1560" w:type="dxa"/>
            <w:vMerge w:val="restart"/>
            <w:shd w:val="clear" w:color="auto" w:fill="auto"/>
          </w:tcPr>
          <w:p w14:paraId="718A34FC" w14:textId="77777777" w:rsidR="000B5769" w:rsidRPr="00006FCB" w:rsidRDefault="000B5769" w:rsidP="000B5769">
            <w:pPr>
              <w:pStyle w:val="TableParagraph"/>
              <w:keepNext/>
              <w:widowControl/>
              <w:spacing w:line="240" w:lineRule="auto"/>
              <w:ind w:left="0"/>
              <w:rPr>
                <w:rFonts w:ascii="Times New Roman"/>
                <w:sz w:val="20"/>
              </w:rPr>
            </w:pPr>
          </w:p>
        </w:tc>
        <w:tc>
          <w:tcPr>
            <w:tcW w:w="1800" w:type="dxa"/>
            <w:gridSpan w:val="2"/>
            <w:shd w:val="clear" w:color="auto" w:fill="auto"/>
            <w:vAlign w:val="center"/>
          </w:tcPr>
          <w:p w14:paraId="5E1FA520" w14:textId="77777777" w:rsidR="000B5769" w:rsidRPr="00006FCB" w:rsidRDefault="000B5769" w:rsidP="000A57A5">
            <w:pPr>
              <w:pStyle w:val="TableParagraph"/>
              <w:keepNext/>
              <w:widowControl/>
              <w:spacing w:line="240" w:lineRule="auto"/>
              <w:ind w:left="0"/>
              <w:jc w:val="center"/>
              <w:rPr>
                <w:b/>
                <w:sz w:val="20"/>
              </w:rPr>
            </w:pPr>
            <w:r w:rsidRPr="00006FCB">
              <w:rPr>
                <w:b/>
                <w:spacing w:val="-2"/>
                <w:sz w:val="20"/>
              </w:rPr>
              <w:t>Baseline</w:t>
            </w:r>
          </w:p>
        </w:tc>
        <w:tc>
          <w:tcPr>
            <w:tcW w:w="3000" w:type="dxa"/>
            <w:gridSpan w:val="3"/>
            <w:shd w:val="clear" w:color="auto" w:fill="auto"/>
            <w:vAlign w:val="center"/>
          </w:tcPr>
          <w:p w14:paraId="7F0EA6F2" w14:textId="77777777" w:rsidR="000B5769" w:rsidRPr="00006FCB" w:rsidRDefault="000B5769" w:rsidP="000A57A5">
            <w:pPr>
              <w:pStyle w:val="TableParagraph"/>
              <w:keepNext/>
              <w:widowControl/>
              <w:spacing w:line="240" w:lineRule="auto"/>
              <w:ind w:left="0"/>
              <w:jc w:val="center"/>
              <w:rPr>
                <w:b/>
                <w:sz w:val="20"/>
              </w:rPr>
            </w:pPr>
            <w:r w:rsidRPr="00006FCB">
              <w:rPr>
                <w:b/>
                <w:sz w:val="20"/>
              </w:rPr>
              <w:t>Week</w:t>
            </w:r>
            <w:r w:rsidRPr="00006FCB">
              <w:rPr>
                <w:b/>
                <w:spacing w:val="-8"/>
                <w:sz w:val="20"/>
              </w:rPr>
              <w:t xml:space="preserve"> </w:t>
            </w:r>
            <w:r w:rsidRPr="00006FCB">
              <w:rPr>
                <w:b/>
                <w:spacing w:val="-5"/>
                <w:sz w:val="20"/>
              </w:rPr>
              <w:t>26</w:t>
            </w:r>
          </w:p>
        </w:tc>
        <w:tc>
          <w:tcPr>
            <w:tcW w:w="1560" w:type="dxa"/>
            <w:shd w:val="clear" w:color="auto" w:fill="auto"/>
            <w:vAlign w:val="center"/>
          </w:tcPr>
          <w:p w14:paraId="70278873" w14:textId="605A0F8F" w:rsidR="000B5769" w:rsidRPr="00006FCB" w:rsidRDefault="000B5769" w:rsidP="000A57A5">
            <w:pPr>
              <w:pStyle w:val="TableParagraph"/>
              <w:keepNext/>
              <w:widowControl/>
              <w:spacing w:line="240" w:lineRule="auto"/>
              <w:ind w:left="0"/>
              <w:jc w:val="center"/>
              <w:rPr>
                <w:b/>
                <w:sz w:val="20"/>
              </w:rPr>
            </w:pPr>
            <w:proofErr w:type="spellStart"/>
            <w:r w:rsidRPr="00006FCB">
              <w:rPr>
                <w:b/>
                <w:spacing w:val="-2"/>
                <w:sz w:val="20"/>
              </w:rPr>
              <w:t>Palopegteriparatide</w:t>
            </w:r>
            <w:proofErr w:type="spellEnd"/>
            <w:r w:rsidRPr="00006FCB">
              <w:rPr>
                <w:b/>
                <w:spacing w:val="-2"/>
                <w:sz w:val="20"/>
              </w:rPr>
              <w:t xml:space="preserve"> </w:t>
            </w:r>
            <w:r w:rsidRPr="00006FCB">
              <w:rPr>
                <w:b/>
                <w:sz w:val="20"/>
              </w:rPr>
              <w:t>vs. Placebo</w:t>
            </w:r>
          </w:p>
        </w:tc>
        <w:tc>
          <w:tcPr>
            <w:tcW w:w="1098" w:type="dxa"/>
            <w:vMerge w:val="restart"/>
            <w:shd w:val="clear" w:color="auto" w:fill="auto"/>
          </w:tcPr>
          <w:p w14:paraId="37AA8B67" w14:textId="77777777" w:rsidR="000B5769" w:rsidRPr="00006FCB" w:rsidRDefault="000B5769" w:rsidP="000B5769">
            <w:pPr>
              <w:pStyle w:val="TableParagraph"/>
              <w:keepNext/>
              <w:widowControl/>
              <w:spacing w:line="240" w:lineRule="auto"/>
              <w:ind w:left="0"/>
              <w:jc w:val="center"/>
              <w:rPr>
                <w:b/>
                <w:sz w:val="20"/>
              </w:rPr>
            </w:pPr>
          </w:p>
          <w:p w14:paraId="24B2D05A" w14:textId="77777777" w:rsidR="000B5769" w:rsidRPr="00006FCB" w:rsidRDefault="000B5769" w:rsidP="000B5769">
            <w:pPr>
              <w:pStyle w:val="TableParagraph"/>
              <w:keepNext/>
              <w:widowControl/>
              <w:spacing w:line="240" w:lineRule="auto"/>
              <w:ind w:left="0" w:firstLine="4"/>
              <w:jc w:val="center"/>
              <w:rPr>
                <w:b/>
                <w:sz w:val="20"/>
              </w:rPr>
            </w:pPr>
            <w:r w:rsidRPr="00006FCB">
              <w:rPr>
                <w:b/>
                <w:spacing w:val="-2"/>
                <w:sz w:val="20"/>
              </w:rPr>
              <w:t>Subgroup interaction p-value</w:t>
            </w:r>
          </w:p>
        </w:tc>
      </w:tr>
      <w:tr w:rsidR="000B5769" w:rsidRPr="00006FCB" w14:paraId="0C639115" w14:textId="77777777" w:rsidTr="000A57A5">
        <w:trPr>
          <w:trHeight w:val="321"/>
        </w:trPr>
        <w:tc>
          <w:tcPr>
            <w:tcW w:w="1560" w:type="dxa"/>
            <w:vMerge/>
            <w:shd w:val="clear" w:color="auto" w:fill="auto"/>
          </w:tcPr>
          <w:p w14:paraId="5CFF2EE2" w14:textId="77777777" w:rsidR="000B5769" w:rsidRPr="00006FCB" w:rsidRDefault="000B5769" w:rsidP="000B5769">
            <w:pPr>
              <w:pStyle w:val="TableParagraph"/>
              <w:keepNext/>
              <w:widowControl/>
              <w:spacing w:line="240" w:lineRule="auto"/>
              <w:ind w:left="0"/>
              <w:rPr>
                <w:rFonts w:ascii="Times New Roman"/>
                <w:sz w:val="20"/>
              </w:rPr>
            </w:pPr>
          </w:p>
        </w:tc>
        <w:tc>
          <w:tcPr>
            <w:tcW w:w="720" w:type="dxa"/>
            <w:shd w:val="clear" w:color="auto" w:fill="auto"/>
            <w:vAlign w:val="center"/>
          </w:tcPr>
          <w:p w14:paraId="44B68ADD" w14:textId="4C245F76" w:rsidR="000B5769" w:rsidRPr="00006FCB" w:rsidRDefault="000B5769" w:rsidP="000A57A5">
            <w:pPr>
              <w:pStyle w:val="TableParagraph"/>
              <w:keepNext/>
              <w:widowControl/>
              <w:spacing w:line="240" w:lineRule="auto"/>
              <w:ind w:left="0"/>
              <w:jc w:val="center"/>
              <w:rPr>
                <w:b/>
                <w:sz w:val="20"/>
              </w:rPr>
            </w:pPr>
            <w:r w:rsidRPr="00006FCB">
              <w:rPr>
                <w:b/>
                <w:spacing w:val="-5"/>
                <w:sz w:val="20"/>
              </w:rPr>
              <w:t>n/N</w:t>
            </w:r>
          </w:p>
        </w:tc>
        <w:tc>
          <w:tcPr>
            <w:tcW w:w="1080" w:type="dxa"/>
            <w:shd w:val="clear" w:color="auto" w:fill="auto"/>
            <w:vAlign w:val="center"/>
          </w:tcPr>
          <w:p w14:paraId="29FA164E" w14:textId="77777777" w:rsidR="000B5769" w:rsidRPr="00006FCB" w:rsidRDefault="000B5769" w:rsidP="000A57A5">
            <w:pPr>
              <w:pStyle w:val="TableParagraph"/>
              <w:keepNext/>
              <w:widowControl/>
              <w:spacing w:line="240" w:lineRule="auto"/>
              <w:ind w:left="0" w:hanging="41"/>
              <w:jc w:val="center"/>
              <w:rPr>
                <w:b/>
                <w:sz w:val="20"/>
              </w:rPr>
            </w:pPr>
            <w:r w:rsidRPr="00006FCB">
              <w:rPr>
                <w:b/>
                <w:spacing w:val="-4"/>
                <w:sz w:val="20"/>
              </w:rPr>
              <w:t>Mean (SD)</w:t>
            </w:r>
          </w:p>
        </w:tc>
        <w:tc>
          <w:tcPr>
            <w:tcW w:w="720" w:type="dxa"/>
            <w:shd w:val="clear" w:color="auto" w:fill="auto"/>
            <w:vAlign w:val="center"/>
          </w:tcPr>
          <w:p w14:paraId="7A3675E4" w14:textId="2A6F07D0" w:rsidR="000B5769" w:rsidRPr="00006FCB" w:rsidRDefault="000B5769" w:rsidP="000A57A5">
            <w:pPr>
              <w:pStyle w:val="TableParagraph"/>
              <w:keepNext/>
              <w:widowControl/>
              <w:spacing w:line="240" w:lineRule="auto"/>
              <w:ind w:left="0"/>
              <w:jc w:val="center"/>
              <w:rPr>
                <w:b/>
                <w:sz w:val="20"/>
              </w:rPr>
            </w:pPr>
            <w:r w:rsidRPr="00006FCB">
              <w:rPr>
                <w:b/>
                <w:spacing w:val="-5"/>
                <w:sz w:val="20"/>
              </w:rPr>
              <w:t>n/N</w:t>
            </w:r>
          </w:p>
        </w:tc>
        <w:tc>
          <w:tcPr>
            <w:tcW w:w="1080" w:type="dxa"/>
            <w:shd w:val="clear" w:color="auto" w:fill="auto"/>
            <w:vAlign w:val="center"/>
          </w:tcPr>
          <w:p w14:paraId="16559794" w14:textId="77777777" w:rsidR="000B5769" w:rsidRPr="00006FCB" w:rsidRDefault="000B5769" w:rsidP="000A57A5">
            <w:pPr>
              <w:pStyle w:val="TableParagraph"/>
              <w:keepNext/>
              <w:widowControl/>
              <w:spacing w:line="240" w:lineRule="auto"/>
              <w:ind w:left="0" w:hanging="44"/>
              <w:jc w:val="center"/>
              <w:rPr>
                <w:b/>
                <w:sz w:val="20"/>
              </w:rPr>
            </w:pPr>
            <w:r w:rsidRPr="00006FCB">
              <w:rPr>
                <w:b/>
                <w:spacing w:val="-4"/>
                <w:sz w:val="20"/>
              </w:rPr>
              <w:t>Mean (SD)</w:t>
            </w:r>
          </w:p>
        </w:tc>
        <w:tc>
          <w:tcPr>
            <w:tcW w:w="1200" w:type="dxa"/>
            <w:shd w:val="clear" w:color="auto" w:fill="auto"/>
            <w:vAlign w:val="center"/>
          </w:tcPr>
          <w:p w14:paraId="6CA4C408" w14:textId="77777777" w:rsidR="000B5769" w:rsidRPr="00006FCB" w:rsidRDefault="000B5769" w:rsidP="000A57A5">
            <w:pPr>
              <w:pStyle w:val="TableParagraph"/>
              <w:keepNext/>
              <w:widowControl/>
              <w:spacing w:line="240" w:lineRule="auto"/>
              <w:ind w:left="0"/>
              <w:jc w:val="center"/>
              <w:rPr>
                <w:b/>
                <w:sz w:val="20"/>
              </w:rPr>
            </w:pPr>
            <w:r w:rsidRPr="00006FCB">
              <w:rPr>
                <w:b/>
                <w:sz w:val="20"/>
              </w:rPr>
              <w:t>Change</w:t>
            </w:r>
            <w:r w:rsidRPr="00006FCB">
              <w:rPr>
                <w:b/>
                <w:spacing w:val="-12"/>
                <w:sz w:val="20"/>
              </w:rPr>
              <w:t xml:space="preserve"> </w:t>
            </w:r>
            <w:r w:rsidRPr="00006FCB">
              <w:rPr>
                <w:b/>
                <w:sz w:val="20"/>
              </w:rPr>
              <w:t xml:space="preserve">from </w:t>
            </w:r>
            <w:r w:rsidRPr="00006FCB">
              <w:rPr>
                <w:b/>
                <w:spacing w:val="-2"/>
                <w:sz w:val="20"/>
              </w:rPr>
              <w:t>baseline</w:t>
            </w:r>
          </w:p>
          <w:p w14:paraId="08015AC0" w14:textId="77777777" w:rsidR="000B5769" w:rsidRPr="00006FCB" w:rsidRDefault="000B5769" w:rsidP="000A57A5">
            <w:pPr>
              <w:pStyle w:val="TableParagraph"/>
              <w:keepNext/>
              <w:widowControl/>
              <w:spacing w:line="240" w:lineRule="auto"/>
              <w:ind w:left="0"/>
              <w:jc w:val="center"/>
              <w:rPr>
                <w:b/>
                <w:sz w:val="20"/>
              </w:rPr>
            </w:pPr>
            <w:r w:rsidRPr="00006FCB">
              <w:rPr>
                <w:b/>
                <w:sz w:val="20"/>
              </w:rPr>
              <w:t>LS-Mean</w:t>
            </w:r>
            <w:r w:rsidRPr="00006FCB">
              <w:rPr>
                <w:b/>
                <w:spacing w:val="-6"/>
                <w:sz w:val="20"/>
              </w:rPr>
              <w:t xml:space="preserve"> </w:t>
            </w:r>
            <w:r w:rsidRPr="00006FCB">
              <w:rPr>
                <w:b/>
                <w:spacing w:val="-4"/>
                <w:sz w:val="20"/>
              </w:rPr>
              <w:t>(SE)</w:t>
            </w:r>
          </w:p>
        </w:tc>
        <w:tc>
          <w:tcPr>
            <w:tcW w:w="1560" w:type="dxa"/>
            <w:shd w:val="clear" w:color="auto" w:fill="auto"/>
            <w:vAlign w:val="center"/>
          </w:tcPr>
          <w:p w14:paraId="37032455" w14:textId="3A030025" w:rsidR="000B5769" w:rsidRPr="00006FCB" w:rsidRDefault="000B5769" w:rsidP="000A57A5">
            <w:pPr>
              <w:pStyle w:val="TableParagraph"/>
              <w:keepNext/>
              <w:widowControl/>
              <w:spacing w:line="240" w:lineRule="auto"/>
              <w:ind w:left="0" w:firstLine="189"/>
              <w:jc w:val="center"/>
              <w:rPr>
                <w:b/>
                <w:sz w:val="20"/>
              </w:rPr>
            </w:pPr>
            <w:r w:rsidRPr="00006FCB">
              <w:rPr>
                <w:b/>
                <w:sz w:val="20"/>
              </w:rPr>
              <w:t>Difference in LS-Mean</w:t>
            </w:r>
            <w:r w:rsidRPr="00006FCB">
              <w:rPr>
                <w:b/>
                <w:spacing w:val="-12"/>
                <w:sz w:val="20"/>
              </w:rPr>
              <w:t xml:space="preserve"> (</w:t>
            </w:r>
            <w:r w:rsidRPr="00006FCB">
              <w:rPr>
                <w:b/>
                <w:sz w:val="20"/>
              </w:rPr>
              <w:t>95</w:t>
            </w:r>
            <w:r w:rsidRPr="00006FCB">
              <w:rPr>
                <w:b/>
                <w:spacing w:val="-11"/>
                <w:sz w:val="20"/>
              </w:rPr>
              <w:t xml:space="preserve"> </w:t>
            </w:r>
            <w:r w:rsidRPr="00006FCB">
              <w:rPr>
                <w:b/>
                <w:sz w:val="20"/>
              </w:rPr>
              <w:t>%CI)</w:t>
            </w:r>
          </w:p>
          <w:p w14:paraId="0E95ADA5" w14:textId="77777777" w:rsidR="000B5769" w:rsidRPr="00006FCB" w:rsidRDefault="000B5769" w:rsidP="000A57A5">
            <w:pPr>
              <w:pStyle w:val="TableParagraph"/>
              <w:keepNext/>
              <w:widowControl/>
              <w:spacing w:line="240" w:lineRule="auto"/>
              <w:ind w:left="0"/>
              <w:jc w:val="center"/>
              <w:rPr>
                <w:b/>
                <w:sz w:val="20"/>
              </w:rPr>
            </w:pPr>
            <w:r w:rsidRPr="00006FCB">
              <w:rPr>
                <w:b/>
                <w:spacing w:val="-2"/>
                <w:sz w:val="20"/>
              </w:rPr>
              <w:t>p-value</w:t>
            </w:r>
          </w:p>
        </w:tc>
        <w:tc>
          <w:tcPr>
            <w:tcW w:w="1098" w:type="dxa"/>
            <w:vMerge/>
            <w:tcBorders>
              <w:top w:val="nil"/>
            </w:tcBorders>
            <w:shd w:val="clear" w:color="auto" w:fill="D9D9D9"/>
          </w:tcPr>
          <w:p w14:paraId="1F334179" w14:textId="77777777" w:rsidR="000B5769" w:rsidRPr="00006FCB" w:rsidRDefault="000B5769" w:rsidP="000B5769">
            <w:pPr>
              <w:keepNext/>
              <w:rPr>
                <w:sz w:val="2"/>
                <w:szCs w:val="2"/>
              </w:rPr>
            </w:pPr>
          </w:p>
        </w:tc>
      </w:tr>
      <w:tr w:rsidR="00EB296D" w:rsidRPr="00006FCB" w14:paraId="4AD5ABBA" w14:textId="77777777" w:rsidTr="00DF3913">
        <w:trPr>
          <w:trHeight w:val="65"/>
        </w:trPr>
        <w:tc>
          <w:tcPr>
            <w:tcW w:w="9018" w:type="dxa"/>
            <w:gridSpan w:val="8"/>
            <w:tcBorders>
              <w:right w:val="single" w:sz="4" w:space="0" w:color="auto"/>
            </w:tcBorders>
          </w:tcPr>
          <w:p w14:paraId="4A12B5CF" w14:textId="0666FBFB" w:rsidR="00EB296D" w:rsidRPr="00006FCB" w:rsidRDefault="002835D9" w:rsidP="000B5769">
            <w:pPr>
              <w:pStyle w:val="TableParagraph"/>
              <w:keepNext/>
              <w:widowControl/>
              <w:spacing w:line="240" w:lineRule="auto"/>
              <w:ind w:left="0"/>
              <w:rPr>
                <w:spacing w:val="-2"/>
                <w:sz w:val="20"/>
              </w:rPr>
            </w:pPr>
            <w:r w:rsidRPr="00006FCB">
              <w:rPr>
                <w:b/>
                <w:bCs/>
                <w:spacing w:val="-2"/>
                <w:sz w:val="20"/>
              </w:rPr>
              <w:t>Whole trial</w:t>
            </w:r>
            <w:r w:rsidR="00EB296D" w:rsidRPr="00006FCB">
              <w:rPr>
                <w:b/>
                <w:bCs/>
                <w:spacing w:val="-2"/>
                <w:sz w:val="20"/>
              </w:rPr>
              <w:t xml:space="preserve"> population</w:t>
            </w:r>
          </w:p>
        </w:tc>
      </w:tr>
      <w:tr w:rsidR="00EB296D" w:rsidRPr="00006FCB" w14:paraId="7E481950" w14:textId="77777777" w:rsidTr="000A57A5">
        <w:trPr>
          <w:trHeight w:val="51"/>
        </w:trPr>
        <w:tc>
          <w:tcPr>
            <w:tcW w:w="1560" w:type="dxa"/>
            <w:vAlign w:val="center"/>
          </w:tcPr>
          <w:p w14:paraId="0229DD22" w14:textId="77777777" w:rsidR="00EB296D" w:rsidRPr="00006FCB" w:rsidRDefault="00EB296D" w:rsidP="000B5769">
            <w:pPr>
              <w:pStyle w:val="TableParagraph"/>
              <w:keepNext/>
              <w:widowControl/>
              <w:spacing w:line="240" w:lineRule="auto"/>
              <w:ind w:left="0"/>
              <w:rPr>
                <w:spacing w:val="-2"/>
                <w:sz w:val="20"/>
              </w:rPr>
            </w:pPr>
            <w:proofErr w:type="spellStart"/>
            <w:r w:rsidRPr="00006FCB">
              <w:rPr>
                <w:spacing w:val="-2"/>
                <w:sz w:val="20"/>
              </w:rPr>
              <w:t>Palopegteriparatide</w:t>
            </w:r>
            <w:proofErr w:type="spellEnd"/>
          </w:p>
        </w:tc>
        <w:tc>
          <w:tcPr>
            <w:tcW w:w="720" w:type="dxa"/>
          </w:tcPr>
          <w:p w14:paraId="1B151DAC" w14:textId="77777777" w:rsidR="00EB296D" w:rsidRPr="00006FCB" w:rsidRDefault="00EB296D" w:rsidP="006C05BC">
            <w:pPr>
              <w:pStyle w:val="TableParagraph"/>
              <w:keepNext/>
              <w:widowControl/>
              <w:spacing w:line="240" w:lineRule="auto"/>
              <w:ind w:left="0"/>
              <w:jc w:val="center"/>
              <w:rPr>
                <w:spacing w:val="-2"/>
                <w:sz w:val="20"/>
              </w:rPr>
            </w:pPr>
            <w:r w:rsidRPr="00006FCB">
              <w:rPr>
                <w:spacing w:val="-2"/>
                <w:sz w:val="20"/>
              </w:rPr>
              <w:t>61/61</w:t>
            </w:r>
          </w:p>
        </w:tc>
        <w:tc>
          <w:tcPr>
            <w:tcW w:w="1080" w:type="dxa"/>
          </w:tcPr>
          <w:p w14:paraId="14200B6F" w14:textId="77777777" w:rsidR="00EB296D" w:rsidRPr="00006FCB" w:rsidRDefault="00EB296D" w:rsidP="006C05BC">
            <w:pPr>
              <w:pStyle w:val="TableParagraph"/>
              <w:keepNext/>
              <w:widowControl/>
              <w:spacing w:line="240" w:lineRule="auto"/>
              <w:ind w:left="0"/>
              <w:jc w:val="center"/>
              <w:rPr>
                <w:spacing w:val="-2"/>
                <w:sz w:val="20"/>
              </w:rPr>
            </w:pPr>
            <w:r w:rsidRPr="00006FCB">
              <w:rPr>
                <w:spacing w:val="-2"/>
                <w:sz w:val="20"/>
              </w:rPr>
              <w:t>67.5 (13.8)</w:t>
            </w:r>
          </w:p>
        </w:tc>
        <w:tc>
          <w:tcPr>
            <w:tcW w:w="720" w:type="dxa"/>
          </w:tcPr>
          <w:p w14:paraId="2C63516E" w14:textId="77777777" w:rsidR="00EB296D" w:rsidRPr="00006FCB" w:rsidRDefault="00EB296D" w:rsidP="006C05BC">
            <w:pPr>
              <w:pStyle w:val="TableParagraph"/>
              <w:keepNext/>
              <w:widowControl/>
              <w:spacing w:line="240" w:lineRule="auto"/>
              <w:ind w:left="0"/>
              <w:jc w:val="center"/>
              <w:rPr>
                <w:spacing w:val="-2"/>
                <w:sz w:val="20"/>
              </w:rPr>
            </w:pPr>
            <w:r w:rsidRPr="00006FCB">
              <w:rPr>
                <w:spacing w:val="-2"/>
                <w:sz w:val="20"/>
              </w:rPr>
              <w:t>60/61</w:t>
            </w:r>
          </w:p>
        </w:tc>
        <w:tc>
          <w:tcPr>
            <w:tcW w:w="1080" w:type="dxa"/>
          </w:tcPr>
          <w:p w14:paraId="7937B3F6" w14:textId="77777777" w:rsidR="00EB296D" w:rsidRPr="00006FCB" w:rsidRDefault="00EB296D" w:rsidP="006C05BC">
            <w:pPr>
              <w:pStyle w:val="TableParagraph"/>
              <w:keepNext/>
              <w:widowControl/>
              <w:spacing w:line="240" w:lineRule="auto"/>
              <w:ind w:left="0"/>
              <w:jc w:val="center"/>
              <w:rPr>
                <w:spacing w:val="-2"/>
                <w:sz w:val="20"/>
              </w:rPr>
            </w:pPr>
            <w:r w:rsidRPr="00006FCB">
              <w:rPr>
                <w:spacing w:val="-2"/>
                <w:sz w:val="20"/>
              </w:rPr>
              <w:t>75.6 (14.5)</w:t>
            </w:r>
          </w:p>
        </w:tc>
        <w:tc>
          <w:tcPr>
            <w:tcW w:w="1200" w:type="dxa"/>
            <w:tcBorders>
              <w:right w:val="single" w:sz="4" w:space="0" w:color="auto"/>
            </w:tcBorders>
          </w:tcPr>
          <w:p w14:paraId="68FFDDC0" w14:textId="77777777" w:rsidR="00EB296D" w:rsidRPr="00006FCB" w:rsidRDefault="00EB296D" w:rsidP="006C05BC">
            <w:pPr>
              <w:pStyle w:val="TableParagraph"/>
              <w:keepNext/>
              <w:widowControl/>
              <w:spacing w:line="240" w:lineRule="auto"/>
              <w:ind w:left="0"/>
              <w:jc w:val="center"/>
              <w:rPr>
                <w:spacing w:val="-2"/>
                <w:sz w:val="20"/>
              </w:rPr>
            </w:pPr>
            <w:r w:rsidRPr="00006FCB">
              <w:rPr>
                <w:spacing w:val="-2"/>
                <w:sz w:val="20"/>
              </w:rPr>
              <w:t>NR</w:t>
            </w:r>
          </w:p>
        </w:tc>
        <w:tc>
          <w:tcPr>
            <w:tcW w:w="1560" w:type="dxa"/>
            <w:vMerge w:val="restart"/>
            <w:tcBorders>
              <w:top w:val="single" w:sz="4" w:space="0" w:color="auto"/>
              <w:left w:val="single" w:sz="4" w:space="0" w:color="auto"/>
              <w:right w:val="single" w:sz="4" w:space="0" w:color="auto"/>
            </w:tcBorders>
            <w:vAlign w:val="center"/>
          </w:tcPr>
          <w:p w14:paraId="3AEAF27B" w14:textId="77777777" w:rsidR="00EB296D" w:rsidRPr="00006FCB" w:rsidRDefault="00EB296D" w:rsidP="000B5769">
            <w:pPr>
              <w:keepNext/>
              <w:jc w:val="center"/>
              <w:rPr>
                <w:rFonts w:ascii="Arial Narrow" w:eastAsia="Arial Narrow" w:hAnsi="Arial Narrow" w:cs="Arial Narrow"/>
                <w:spacing w:val="-2"/>
                <w:sz w:val="20"/>
                <w:szCs w:val="22"/>
                <w:lang w:val="en-US" w:eastAsia="en-US"/>
              </w:rPr>
            </w:pPr>
            <w:r w:rsidRPr="00006FCB">
              <w:rPr>
                <w:rFonts w:ascii="Arial Narrow" w:eastAsia="Arial Narrow" w:hAnsi="Arial Narrow" w:cs="Arial Narrow"/>
                <w:spacing w:val="-2"/>
                <w:sz w:val="20"/>
                <w:szCs w:val="22"/>
                <w:lang w:val="en-US" w:eastAsia="en-US"/>
              </w:rPr>
              <w:t xml:space="preserve">8.8 </w:t>
            </w:r>
            <w:r w:rsidRPr="00006FCB">
              <w:rPr>
                <w:rFonts w:ascii="Arial Narrow" w:eastAsia="Arial Narrow" w:hAnsi="Arial Narrow" w:cs="Arial Narrow"/>
                <w:spacing w:val="-2"/>
                <w:sz w:val="20"/>
                <w:szCs w:val="22"/>
                <w:vertAlign w:val="superscript"/>
                <w:lang w:val="en-US" w:eastAsia="en-US"/>
              </w:rPr>
              <w:t>a</w:t>
            </w:r>
          </w:p>
          <w:p w14:paraId="62652974" w14:textId="70F29692" w:rsidR="00EB296D" w:rsidRPr="00006FCB" w:rsidRDefault="000A57A5" w:rsidP="000B5769">
            <w:pPr>
              <w:keepNext/>
              <w:jc w:val="center"/>
              <w:rPr>
                <w:rFonts w:ascii="Arial Narrow" w:eastAsia="Arial Narrow" w:hAnsi="Arial Narrow" w:cs="Arial Narrow"/>
                <w:spacing w:val="-2"/>
                <w:sz w:val="20"/>
                <w:szCs w:val="22"/>
                <w:lang w:val="en-US" w:eastAsia="en-US"/>
              </w:rPr>
            </w:pPr>
            <w:r w:rsidRPr="00006FCB">
              <w:rPr>
                <w:rFonts w:ascii="Arial Narrow" w:eastAsia="Arial Narrow" w:hAnsi="Arial Narrow" w:cs="Arial Narrow"/>
                <w:spacing w:val="-2"/>
                <w:sz w:val="20"/>
                <w:szCs w:val="22"/>
                <w:lang w:val="en-US" w:eastAsia="en-US"/>
              </w:rPr>
              <w:t>P=</w:t>
            </w:r>
            <w:r w:rsidR="00EB296D" w:rsidRPr="00006FCB">
              <w:rPr>
                <w:rFonts w:ascii="Arial Narrow" w:eastAsia="Arial Narrow" w:hAnsi="Arial Narrow" w:cs="Arial Narrow"/>
                <w:spacing w:val="-2"/>
                <w:sz w:val="20"/>
                <w:szCs w:val="22"/>
                <w:lang w:val="en-US" w:eastAsia="en-US"/>
              </w:rPr>
              <w:t>0.0007</w:t>
            </w:r>
          </w:p>
        </w:tc>
        <w:tc>
          <w:tcPr>
            <w:tcW w:w="1098" w:type="dxa"/>
            <w:vMerge w:val="restart"/>
            <w:tcBorders>
              <w:top w:val="single" w:sz="4" w:space="0" w:color="auto"/>
              <w:left w:val="single" w:sz="4" w:space="0" w:color="auto"/>
              <w:right w:val="single" w:sz="4" w:space="0" w:color="auto"/>
            </w:tcBorders>
            <w:vAlign w:val="center"/>
          </w:tcPr>
          <w:p w14:paraId="5DF44000" w14:textId="77777777" w:rsidR="00EB296D" w:rsidRPr="00006FCB" w:rsidRDefault="00EB296D" w:rsidP="000B5769">
            <w:pPr>
              <w:pStyle w:val="TableParagraph"/>
              <w:keepNext/>
              <w:widowControl/>
              <w:spacing w:line="240" w:lineRule="auto"/>
              <w:ind w:left="0"/>
              <w:jc w:val="center"/>
              <w:rPr>
                <w:spacing w:val="-2"/>
                <w:sz w:val="20"/>
              </w:rPr>
            </w:pPr>
            <w:r w:rsidRPr="00006FCB">
              <w:rPr>
                <w:spacing w:val="-2"/>
                <w:sz w:val="20"/>
              </w:rPr>
              <w:t>NA</w:t>
            </w:r>
          </w:p>
        </w:tc>
      </w:tr>
      <w:tr w:rsidR="00EB296D" w:rsidRPr="00006FCB" w14:paraId="59D86791" w14:textId="77777777" w:rsidTr="000A57A5">
        <w:trPr>
          <w:trHeight w:val="51"/>
        </w:trPr>
        <w:tc>
          <w:tcPr>
            <w:tcW w:w="1560" w:type="dxa"/>
            <w:vAlign w:val="center"/>
          </w:tcPr>
          <w:p w14:paraId="2EFFFFAF" w14:textId="77777777" w:rsidR="00EB296D" w:rsidRPr="00006FCB" w:rsidRDefault="00EB296D" w:rsidP="000B5769">
            <w:pPr>
              <w:pStyle w:val="TableParagraph"/>
              <w:keepNext/>
              <w:widowControl/>
              <w:spacing w:line="240" w:lineRule="auto"/>
              <w:ind w:left="0"/>
              <w:rPr>
                <w:spacing w:val="-2"/>
                <w:sz w:val="20"/>
              </w:rPr>
            </w:pPr>
            <w:r w:rsidRPr="00006FCB">
              <w:rPr>
                <w:spacing w:val="-2"/>
                <w:sz w:val="20"/>
              </w:rPr>
              <w:t>Placebo</w:t>
            </w:r>
          </w:p>
        </w:tc>
        <w:tc>
          <w:tcPr>
            <w:tcW w:w="720" w:type="dxa"/>
          </w:tcPr>
          <w:p w14:paraId="2E00AC86" w14:textId="77777777" w:rsidR="00EB296D" w:rsidRPr="00006FCB" w:rsidRDefault="00EB296D" w:rsidP="006C05BC">
            <w:pPr>
              <w:pStyle w:val="TableParagraph"/>
              <w:keepNext/>
              <w:widowControl/>
              <w:spacing w:line="240" w:lineRule="auto"/>
              <w:ind w:left="0"/>
              <w:jc w:val="center"/>
              <w:rPr>
                <w:spacing w:val="-2"/>
                <w:sz w:val="20"/>
              </w:rPr>
            </w:pPr>
            <w:r w:rsidRPr="00006FCB">
              <w:rPr>
                <w:spacing w:val="-2"/>
                <w:sz w:val="20"/>
              </w:rPr>
              <w:t>21/21</w:t>
            </w:r>
          </w:p>
        </w:tc>
        <w:tc>
          <w:tcPr>
            <w:tcW w:w="1080" w:type="dxa"/>
          </w:tcPr>
          <w:p w14:paraId="6AE76340" w14:textId="77777777" w:rsidR="00EB296D" w:rsidRPr="00006FCB" w:rsidRDefault="00EB296D" w:rsidP="006C05BC">
            <w:pPr>
              <w:pStyle w:val="TableParagraph"/>
              <w:keepNext/>
              <w:widowControl/>
              <w:spacing w:line="240" w:lineRule="auto"/>
              <w:ind w:left="0"/>
              <w:jc w:val="center"/>
              <w:rPr>
                <w:spacing w:val="-2"/>
                <w:sz w:val="20"/>
              </w:rPr>
            </w:pPr>
            <w:r w:rsidRPr="00006FCB">
              <w:rPr>
                <w:spacing w:val="-2"/>
                <w:sz w:val="20"/>
              </w:rPr>
              <w:t>72.7 (14.6)</w:t>
            </w:r>
          </w:p>
        </w:tc>
        <w:tc>
          <w:tcPr>
            <w:tcW w:w="720" w:type="dxa"/>
          </w:tcPr>
          <w:p w14:paraId="49D76E88" w14:textId="77777777" w:rsidR="00EB296D" w:rsidRPr="00006FCB" w:rsidRDefault="00EB296D" w:rsidP="006C05BC">
            <w:pPr>
              <w:pStyle w:val="TableParagraph"/>
              <w:keepNext/>
              <w:widowControl/>
              <w:spacing w:line="240" w:lineRule="auto"/>
              <w:ind w:left="0"/>
              <w:jc w:val="center"/>
              <w:rPr>
                <w:spacing w:val="-2"/>
                <w:sz w:val="20"/>
              </w:rPr>
            </w:pPr>
            <w:r w:rsidRPr="00006FCB">
              <w:rPr>
                <w:spacing w:val="-2"/>
                <w:sz w:val="20"/>
              </w:rPr>
              <w:t>19/21</w:t>
            </w:r>
          </w:p>
        </w:tc>
        <w:tc>
          <w:tcPr>
            <w:tcW w:w="1080" w:type="dxa"/>
          </w:tcPr>
          <w:p w14:paraId="68B840FA" w14:textId="77777777" w:rsidR="00EB296D" w:rsidRPr="00006FCB" w:rsidRDefault="00EB296D" w:rsidP="006C05BC">
            <w:pPr>
              <w:pStyle w:val="TableParagraph"/>
              <w:keepNext/>
              <w:widowControl/>
              <w:spacing w:line="240" w:lineRule="auto"/>
              <w:ind w:left="0"/>
              <w:jc w:val="center"/>
              <w:rPr>
                <w:spacing w:val="-2"/>
                <w:sz w:val="20"/>
              </w:rPr>
            </w:pPr>
            <w:r w:rsidRPr="00006FCB">
              <w:rPr>
                <w:spacing w:val="-2"/>
                <w:sz w:val="20"/>
              </w:rPr>
              <w:t>70.8 (13.4)</w:t>
            </w:r>
          </w:p>
        </w:tc>
        <w:tc>
          <w:tcPr>
            <w:tcW w:w="1200" w:type="dxa"/>
            <w:tcBorders>
              <w:right w:val="single" w:sz="4" w:space="0" w:color="auto"/>
            </w:tcBorders>
          </w:tcPr>
          <w:p w14:paraId="7FA1B466" w14:textId="77777777" w:rsidR="00EB296D" w:rsidRPr="00006FCB" w:rsidRDefault="00EB296D" w:rsidP="006C05BC">
            <w:pPr>
              <w:pStyle w:val="TableParagraph"/>
              <w:keepNext/>
              <w:widowControl/>
              <w:spacing w:line="240" w:lineRule="auto"/>
              <w:ind w:left="0"/>
              <w:jc w:val="center"/>
              <w:rPr>
                <w:spacing w:val="-2"/>
                <w:sz w:val="20"/>
              </w:rPr>
            </w:pPr>
            <w:r w:rsidRPr="00006FCB">
              <w:rPr>
                <w:spacing w:val="-2"/>
                <w:sz w:val="20"/>
              </w:rPr>
              <w:t>NR</w:t>
            </w:r>
          </w:p>
        </w:tc>
        <w:tc>
          <w:tcPr>
            <w:tcW w:w="1560" w:type="dxa"/>
            <w:vMerge/>
            <w:tcBorders>
              <w:left w:val="single" w:sz="4" w:space="0" w:color="auto"/>
              <w:bottom w:val="single" w:sz="4" w:space="0" w:color="auto"/>
              <w:right w:val="single" w:sz="4" w:space="0" w:color="auto"/>
            </w:tcBorders>
          </w:tcPr>
          <w:p w14:paraId="79929760" w14:textId="77777777" w:rsidR="00EB296D" w:rsidRPr="00006FCB" w:rsidRDefault="00EB296D" w:rsidP="000B5769">
            <w:pPr>
              <w:keepNext/>
              <w:jc w:val="center"/>
              <w:rPr>
                <w:rFonts w:ascii="Arial Narrow" w:eastAsia="Arial Narrow" w:hAnsi="Arial Narrow" w:cs="Arial Narrow"/>
                <w:spacing w:val="-2"/>
                <w:sz w:val="20"/>
                <w:szCs w:val="22"/>
                <w:lang w:val="en-US" w:eastAsia="en-US"/>
              </w:rPr>
            </w:pPr>
          </w:p>
        </w:tc>
        <w:tc>
          <w:tcPr>
            <w:tcW w:w="1098" w:type="dxa"/>
            <w:vMerge/>
            <w:tcBorders>
              <w:left w:val="single" w:sz="4" w:space="0" w:color="auto"/>
              <w:right w:val="single" w:sz="4" w:space="0" w:color="auto"/>
            </w:tcBorders>
          </w:tcPr>
          <w:p w14:paraId="07C6347E" w14:textId="77777777" w:rsidR="00EB296D" w:rsidRPr="00006FCB" w:rsidRDefault="00EB296D" w:rsidP="000B5769">
            <w:pPr>
              <w:keepNext/>
              <w:jc w:val="center"/>
              <w:rPr>
                <w:rFonts w:ascii="Arial Narrow" w:eastAsia="Arial Narrow" w:hAnsi="Arial Narrow" w:cs="Arial Narrow"/>
                <w:spacing w:val="-2"/>
                <w:sz w:val="20"/>
                <w:szCs w:val="22"/>
                <w:lang w:val="en-US" w:eastAsia="en-US"/>
              </w:rPr>
            </w:pPr>
          </w:p>
        </w:tc>
      </w:tr>
      <w:tr w:rsidR="00EB296D" w:rsidRPr="00006FCB" w14:paraId="35B5864F" w14:textId="77777777" w:rsidTr="00D64984">
        <w:trPr>
          <w:trHeight w:val="229"/>
        </w:trPr>
        <w:tc>
          <w:tcPr>
            <w:tcW w:w="9018" w:type="dxa"/>
            <w:gridSpan w:val="8"/>
            <w:vAlign w:val="center"/>
          </w:tcPr>
          <w:p w14:paraId="62C1891A" w14:textId="7C4E39F2" w:rsidR="00EB296D" w:rsidRPr="00006FCB" w:rsidRDefault="00EB296D" w:rsidP="006C05BC">
            <w:pPr>
              <w:pStyle w:val="TableParagraph"/>
              <w:keepNext/>
              <w:widowControl/>
              <w:spacing w:line="240" w:lineRule="auto"/>
              <w:ind w:left="0"/>
              <w:rPr>
                <w:b/>
                <w:sz w:val="20"/>
              </w:rPr>
            </w:pPr>
            <w:r w:rsidRPr="00006FCB">
              <w:rPr>
                <w:b/>
                <w:sz w:val="20"/>
              </w:rPr>
              <w:t>PBS</w:t>
            </w:r>
            <w:r w:rsidRPr="00006FCB">
              <w:rPr>
                <w:b/>
                <w:spacing w:val="-7"/>
                <w:sz w:val="20"/>
              </w:rPr>
              <w:t xml:space="preserve"> </w:t>
            </w:r>
            <w:r w:rsidRPr="00006FCB">
              <w:rPr>
                <w:b/>
                <w:sz w:val="20"/>
              </w:rPr>
              <w:t>subgroup</w:t>
            </w:r>
          </w:p>
        </w:tc>
      </w:tr>
      <w:tr w:rsidR="00EB296D" w:rsidRPr="00006FCB" w14:paraId="58ADA640" w14:textId="77777777" w:rsidTr="000A57A5">
        <w:trPr>
          <w:trHeight w:val="51"/>
        </w:trPr>
        <w:tc>
          <w:tcPr>
            <w:tcW w:w="1560" w:type="dxa"/>
            <w:vAlign w:val="center"/>
          </w:tcPr>
          <w:p w14:paraId="0FEE52B4" w14:textId="77777777" w:rsidR="00EB296D" w:rsidRPr="00006FCB" w:rsidRDefault="00EB296D" w:rsidP="000B5769">
            <w:pPr>
              <w:pStyle w:val="TableParagraph"/>
              <w:keepNext/>
              <w:widowControl/>
              <w:spacing w:line="240" w:lineRule="auto"/>
              <w:ind w:left="0"/>
              <w:rPr>
                <w:spacing w:val="-2"/>
                <w:sz w:val="20"/>
              </w:rPr>
            </w:pPr>
            <w:proofErr w:type="spellStart"/>
            <w:r w:rsidRPr="00006FCB">
              <w:rPr>
                <w:spacing w:val="-2"/>
                <w:sz w:val="20"/>
              </w:rPr>
              <w:t>Palopegteriparatide</w:t>
            </w:r>
            <w:proofErr w:type="spellEnd"/>
          </w:p>
        </w:tc>
        <w:tc>
          <w:tcPr>
            <w:tcW w:w="720" w:type="dxa"/>
          </w:tcPr>
          <w:p w14:paraId="44E77A3D" w14:textId="008B7728" w:rsidR="00EB296D" w:rsidRPr="00E56B36" w:rsidRDefault="00DF632B" w:rsidP="006C05BC">
            <w:pPr>
              <w:pStyle w:val="TableParagraph"/>
              <w:keepNext/>
              <w:widowControl/>
              <w:spacing w:line="240" w:lineRule="auto"/>
              <w:ind w:left="0"/>
              <w:jc w:val="center"/>
              <w:rPr>
                <w:spacing w:val="-2"/>
                <w:sz w:val="20"/>
              </w:rPr>
            </w:pPr>
            <w:r w:rsidRPr="00E56B36">
              <w:rPr>
                <w:spacing w:val="-2"/>
                <w:sz w:val="20"/>
              </w:rPr>
              <w:t>55/56</w:t>
            </w:r>
          </w:p>
        </w:tc>
        <w:tc>
          <w:tcPr>
            <w:tcW w:w="1080" w:type="dxa"/>
          </w:tcPr>
          <w:p w14:paraId="3A556442" w14:textId="10C18846" w:rsidR="00EB296D" w:rsidRPr="00E56B36" w:rsidRDefault="00EB296D" w:rsidP="000A57A5">
            <w:pPr>
              <w:pStyle w:val="TableParagraph"/>
              <w:keepNext/>
              <w:widowControl/>
              <w:spacing w:line="240" w:lineRule="auto"/>
              <w:ind w:left="0"/>
              <w:jc w:val="center"/>
              <w:rPr>
                <w:spacing w:val="-2"/>
                <w:sz w:val="20"/>
              </w:rPr>
            </w:pPr>
            <w:r w:rsidRPr="00E56B36">
              <w:rPr>
                <w:spacing w:val="-2"/>
                <w:sz w:val="20"/>
              </w:rPr>
              <w:t>66.97</w:t>
            </w:r>
            <w:r w:rsidR="000A57A5" w:rsidRPr="00E56B36">
              <w:rPr>
                <w:spacing w:val="-2"/>
                <w:sz w:val="20"/>
              </w:rPr>
              <w:t xml:space="preserve"> </w:t>
            </w:r>
            <w:r w:rsidRPr="00E56B36">
              <w:rPr>
                <w:spacing w:val="-2"/>
                <w:sz w:val="20"/>
              </w:rPr>
              <w:t>(13.50)</w:t>
            </w:r>
          </w:p>
        </w:tc>
        <w:tc>
          <w:tcPr>
            <w:tcW w:w="720" w:type="dxa"/>
          </w:tcPr>
          <w:p w14:paraId="78F41735" w14:textId="0166DCAD" w:rsidR="00EB296D" w:rsidRPr="00E56B36" w:rsidRDefault="00DF632B" w:rsidP="006C05BC">
            <w:pPr>
              <w:pStyle w:val="TableParagraph"/>
              <w:keepNext/>
              <w:widowControl/>
              <w:spacing w:line="240" w:lineRule="auto"/>
              <w:ind w:left="0"/>
              <w:jc w:val="center"/>
              <w:rPr>
                <w:spacing w:val="-2"/>
                <w:sz w:val="20"/>
              </w:rPr>
            </w:pPr>
            <w:r w:rsidRPr="00E56B36">
              <w:rPr>
                <w:spacing w:val="-2"/>
                <w:sz w:val="20"/>
              </w:rPr>
              <w:t>55/56</w:t>
            </w:r>
          </w:p>
        </w:tc>
        <w:tc>
          <w:tcPr>
            <w:tcW w:w="1080" w:type="dxa"/>
          </w:tcPr>
          <w:p w14:paraId="625A9F3F" w14:textId="4B1840A2" w:rsidR="00EB296D" w:rsidRPr="00E56B36" w:rsidRDefault="00EB296D" w:rsidP="000A57A5">
            <w:pPr>
              <w:pStyle w:val="TableParagraph"/>
              <w:keepNext/>
              <w:widowControl/>
              <w:spacing w:line="240" w:lineRule="auto"/>
              <w:ind w:left="0"/>
              <w:jc w:val="center"/>
              <w:rPr>
                <w:spacing w:val="-2"/>
                <w:sz w:val="20"/>
              </w:rPr>
            </w:pPr>
            <w:r w:rsidRPr="00E56B36">
              <w:rPr>
                <w:spacing w:val="-2"/>
                <w:sz w:val="20"/>
              </w:rPr>
              <w:t>75.03</w:t>
            </w:r>
            <w:r w:rsidR="000A57A5" w:rsidRPr="00E56B36">
              <w:rPr>
                <w:spacing w:val="-2"/>
                <w:sz w:val="20"/>
              </w:rPr>
              <w:t xml:space="preserve"> </w:t>
            </w:r>
            <w:r w:rsidRPr="00E56B36">
              <w:rPr>
                <w:spacing w:val="-2"/>
                <w:sz w:val="20"/>
              </w:rPr>
              <w:t>(14.64)</w:t>
            </w:r>
          </w:p>
        </w:tc>
        <w:tc>
          <w:tcPr>
            <w:tcW w:w="1200" w:type="dxa"/>
          </w:tcPr>
          <w:p w14:paraId="499C2B06" w14:textId="77777777" w:rsidR="00EB296D" w:rsidRPr="00E56B36" w:rsidRDefault="00EB296D" w:rsidP="006C05BC">
            <w:pPr>
              <w:pStyle w:val="TableParagraph"/>
              <w:keepNext/>
              <w:widowControl/>
              <w:spacing w:line="240" w:lineRule="auto"/>
              <w:ind w:left="0"/>
              <w:jc w:val="center"/>
              <w:rPr>
                <w:spacing w:val="-2"/>
                <w:sz w:val="20"/>
              </w:rPr>
            </w:pPr>
            <w:r w:rsidRPr="00E56B36">
              <w:rPr>
                <w:spacing w:val="-2"/>
                <w:sz w:val="20"/>
              </w:rPr>
              <w:t>7.14 (1.76)</w:t>
            </w:r>
          </w:p>
        </w:tc>
        <w:tc>
          <w:tcPr>
            <w:tcW w:w="1560" w:type="dxa"/>
            <w:vMerge w:val="restart"/>
            <w:tcBorders>
              <w:right w:val="single" w:sz="4" w:space="0" w:color="auto"/>
            </w:tcBorders>
          </w:tcPr>
          <w:p w14:paraId="24CF612A" w14:textId="5C8C90C8" w:rsidR="00EB296D" w:rsidRPr="00E56B36" w:rsidRDefault="00EB296D" w:rsidP="006C05BC">
            <w:pPr>
              <w:pStyle w:val="TableParagraph"/>
              <w:keepNext/>
              <w:widowControl/>
              <w:spacing w:line="240" w:lineRule="auto"/>
              <w:ind w:left="0"/>
              <w:jc w:val="center"/>
              <w:rPr>
                <w:spacing w:val="-2"/>
                <w:sz w:val="20"/>
              </w:rPr>
            </w:pPr>
            <w:r w:rsidRPr="00E56B36">
              <w:rPr>
                <w:spacing w:val="-2"/>
                <w:sz w:val="20"/>
              </w:rPr>
              <w:t xml:space="preserve">9.62 </w:t>
            </w:r>
            <w:r w:rsidR="008707A7" w:rsidRPr="00E56B36">
              <w:rPr>
                <w:spacing w:val="-2"/>
                <w:sz w:val="20"/>
              </w:rPr>
              <w:t>(</w:t>
            </w:r>
            <w:r w:rsidRPr="00E56B36">
              <w:rPr>
                <w:spacing w:val="-2"/>
                <w:sz w:val="20"/>
              </w:rPr>
              <w:t>3.92, 15.32</w:t>
            </w:r>
            <w:r w:rsidR="008707A7" w:rsidRPr="00E56B36">
              <w:rPr>
                <w:spacing w:val="-2"/>
                <w:sz w:val="20"/>
              </w:rPr>
              <w:t>)</w:t>
            </w:r>
          </w:p>
          <w:p w14:paraId="42CF4F84" w14:textId="1AED3BFB" w:rsidR="00EB296D" w:rsidRPr="00E56B36" w:rsidRDefault="000A57A5" w:rsidP="006C05BC">
            <w:pPr>
              <w:pStyle w:val="TableParagraph"/>
              <w:keepNext/>
              <w:widowControl/>
              <w:spacing w:line="240" w:lineRule="auto"/>
              <w:ind w:left="0"/>
              <w:jc w:val="center"/>
              <w:rPr>
                <w:spacing w:val="-2"/>
                <w:sz w:val="20"/>
              </w:rPr>
            </w:pPr>
            <w:r w:rsidRPr="00E56B36">
              <w:rPr>
                <w:spacing w:val="-2"/>
                <w:sz w:val="20"/>
              </w:rPr>
              <w:t>P=</w:t>
            </w:r>
            <w:r w:rsidR="00EB296D" w:rsidRPr="00E56B36">
              <w:rPr>
                <w:spacing w:val="-2"/>
                <w:sz w:val="20"/>
              </w:rPr>
              <w:t>0.0013</w:t>
            </w:r>
          </w:p>
        </w:tc>
        <w:tc>
          <w:tcPr>
            <w:tcW w:w="1098" w:type="dxa"/>
            <w:vMerge w:val="restart"/>
            <w:tcBorders>
              <w:top w:val="single" w:sz="4" w:space="0" w:color="auto"/>
              <w:left w:val="single" w:sz="4" w:space="0" w:color="auto"/>
              <w:bottom w:val="single" w:sz="4" w:space="0" w:color="auto"/>
              <w:right w:val="single" w:sz="4" w:space="0" w:color="auto"/>
            </w:tcBorders>
          </w:tcPr>
          <w:p w14:paraId="262A4AD4" w14:textId="77777777" w:rsidR="00EB296D" w:rsidRPr="00E56B36" w:rsidRDefault="00EB296D" w:rsidP="000B5769">
            <w:pPr>
              <w:pStyle w:val="TableParagraph"/>
              <w:keepNext/>
              <w:widowControl/>
              <w:spacing w:line="240" w:lineRule="auto"/>
              <w:ind w:left="0"/>
              <w:rPr>
                <w:spacing w:val="-2"/>
                <w:sz w:val="20"/>
              </w:rPr>
            </w:pPr>
          </w:p>
          <w:p w14:paraId="3F85729E" w14:textId="77777777" w:rsidR="00EB296D" w:rsidRPr="00E56B36" w:rsidRDefault="00EB296D" w:rsidP="000B5769">
            <w:pPr>
              <w:pStyle w:val="TableParagraph"/>
              <w:keepNext/>
              <w:widowControl/>
              <w:spacing w:line="240" w:lineRule="auto"/>
              <w:ind w:left="0"/>
              <w:rPr>
                <w:spacing w:val="-2"/>
                <w:sz w:val="20"/>
              </w:rPr>
            </w:pPr>
          </w:p>
          <w:p w14:paraId="7D8AFBCD" w14:textId="77777777" w:rsidR="00EB296D" w:rsidRPr="00E56B36" w:rsidRDefault="00EB296D" w:rsidP="000B5769">
            <w:pPr>
              <w:pStyle w:val="TableParagraph"/>
              <w:keepNext/>
              <w:widowControl/>
              <w:spacing w:line="240" w:lineRule="auto"/>
              <w:ind w:left="0"/>
              <w:rPr>
                <w:spacing w:val="-2"/>
                <w:sz w:val="20"/>
              </w:rPr>
            </w:pPr>
          </w:p>
          <w:p w14:paraId="57EAD099" w14:textId="77777777" w:rsidR="00EB296D" w:rsidRPr="00E56B36" w:rsidRDefault="00EB296D" w:rsidP="000B5769">
            <w:pPr>
              <w:pStyle w:val="TableParagraph"/>
              <w:keepNext/>
              <w:widowControl/>
              <w:spacing w:line="240" w:lineRule="auto"/>
              <w:ind w:left="0"/>
              <w:rPr>
                <w:spacing w:val="-2"/>
                <w:sz w:val="20"/>
              </w:rPr>
            </w:pPr>
          </w:p>
          <w:p w14:paraId="6651516D" w14:textId="4F074DE5" w:rsidR="00EB296D" w:rsidRPr="00E56B36" w:rsidRDefault="000A57A5" w:rsidP="006C05BC">
            <w:pPr>
              <w:pStyle w:val="TableParagraph"/>
              <w:keepNext/>
              <w:widowControl/>
              <w:spacing w:line="240" w:lineRule="auto"/>
              <w:ind w:left="0"/>
              <w:jc w:val="center"/>
              <w:rPr>
                <w:spacing w:val="-2"/>
                <w:sz w:val="20"/>
              </w:rPr>
            </w:pPr>
            <w:r w:rsidRPr="00E56B36">
              <w:rPr>
                <w:spacing w:val="-2"/>
                <w:sz w:val="20"/>
              </w:rPr>
              <w:t>P=</w:t>
            </w:r>
            <w:r w:rsidR="00EB296D" w:rsidRPr="00E56B36">
              <w:rPr>
                <w:spacing w:val="-2"/>
                <w:sz w:val="20"/>
              </w:rPr>
              <w:t>0.5532</w:t>
            </w:r>
          </w:p>
        </w:tc>
      </w:tr>
      <w:tr w:rsidR="00EB296D" w:rsidRPr="00006FCB" w14:paraId="0FB8C907" w14:textId="77777777" w:rsidTr="000A57A5">
        <w:trPr>
          <w:trHeight w:val="51"/>
        </w:trPr>
        <w:tc>
          <w:tcPr>
            <w:tcW w:w="1560" w:type="dxa"/>
            <w:vAlign w:val="center"/>
          </w:tcPr>
          <w:p w14:paraId="18CFD56C" w14:textId="77777777" w:rsidR="00EB296D" w:rsidRPr="00006FCB" w:rsidRDefault="00EB296D" w:rsidP="000B5769">
            <w:pPr>
              <w:pStyle w:val="TableParagraph"/>
              <w:keepNext/>
              <w:widowControl/>
              <w:spacing w:line="240" w:lineRule="auto"/>
              <w:ind w:left="0"/>
              <w:rPr>
                <w:spacing w:val="-2"/>
                <w:sz w:val="20"/>
              </w:rPr>
            </w:pPr>
            <w:r w:rsidRPr="00006FCB">
              <w:rPr>
                <w:spacing w:val="-2"/>
                <w:sz w:val="20"/>
              </w:rPr>
              <w:t>Placebo</w:t>
            </w:r>
          </w:p>
        </w:tc>
        <w:tc>
          <w:tcPr>
            <w:tcW w:w="720" w:type="dxa"/>
          </w:tcPr>
          <w:p w14:paraId="783B407C" w14:textId="622C9397" w:rsidR="00EB296D" w:rsidRPr="00E56B36" w:rsidRDefault="00EB296D" w:rsidP="006C05BC">
            <w:pPr>
              <w:pStyle w:val="TableParagraph"/>
              <w:keepNext/>
              <w:widowControl/>
              <w:spacing w:line="240" w:lineRule="auto"/>
              <w:ind w:left="0"/>
              <w:jc w:val="center"/>
              <w:rPr>
                <w:spacing w:val="-2"/>
                <w:sz w:val="20"/>
              </w:rPr>
            </w:pPr>
            <w:r w:rsidRPr="00E56B36">
              <w:rPr>
                <w:spacing w:val="-2"/>
                <w:sz w:val="20"/>
              </w:rPr>
              <w:t>15</w:t>
            </w:r>
            <w:r w:rsidR="00DF632B" w:rsidRPr="00E56B36">
              <w:rPr>
                <w:spacing w:val="-2"/>
                <w:sz w:val="20"/>
              </w:rPr>
              <w:t>/16</w:t>
            </w:r>
          </w:p>
        </w:tc>
        <w:tc>
          <w:tcPr>
            <w:tcW w:w="1080" w:type="dxa"/>
          </w:tcPr>
          <w:p w14:paraId="0A504B8D" w14:textId="4BA59080" w:rsidR="00EB296D" w:rsidRPr="00E56B36" w:rsidRDefault="00EB296D" w:rsidP="000A57A5">
            <w:pPr>
              <w:pStyle w:val="TableParagraph"/>
              <w:keepNext/>
              <w:widowControl/>
              <w:spacing w:line="240" w:lineRule="auto"/>
              <w:ind w:left="0"/>
              <w:jc w:val="center"/>
              <w:rPr>
                <w:spacing w:val="-2"/>
                <w:sz w:val="20"/>
              </w:rPr>
            </w:pPr>
            <w:r w:rsidRPr="00E56B36">
              <w:rPr>
                <w:spacing w:val="-2"/>
                <w:sz w:val="20"/>
              </w:rPr>
              <w:t>70.96</w:t>
            </w:r>
            <w:r w:rsidR="000A57A5" w:rsidRPr="00E56B36">
              <w:rPr>
                <w:spacing w:val="-2"/>
                <w:sz w:val="20"/>
              </w:rPr>
              <w:t xml:space="preserve"> </w:t>
            </w:r>
            <w:r w:rsidRPr="00E56B36">
              <w:rPr>
                <w:spacing w:val="-2"/>
                <w:sz w:val="20"/>
              </w:rPr>
              <w:t>(16.46)</w:t>
            </w:r>
          </w:p>
        </w:tc>
        <w:tc>
          <w:tcPr>
            <w:tcW w:w="720" w:type="dxa"/>
          </w:tcPr>
          <w:p w14:paraId="456F254E" w14:textId="6326FCC7" w:rsidR="00EB296D" w:rsidRPr="00E56B36" w:rsidRDefault="00DF632B" w:rsidP="006C05BC">
            <w:pPr>
              <w:pStyle w:val="TableParagraph"/>
              <w:keepNext/>
              <w:widowControl/>
              <w:spacing w:line="240" w:lineRule="auto"/>
              <w:ind w:left="0"/>
              <w:jc w:val="center"/>
              <w:rPr>
                <w:spacing w:val="-2"/>
                <w:sz w:val="20"/>
              </w:rPr>
            </w:pPr>
            <w:r w:rsidRPr="00E56B36">
              <w:rPr>
                <w:spacing w:val="-2"/>
                <w:sz w:val="20"/>
              </w:rPr>
              <w:t>15/16</w:t>
            </w:r>
          </w:p>
        </w:tc>
        <w:tc>
          <w:tcPr>
            <w:tcW w:w="1080" w:type="dxa"/>
          </w:tcPr>
          <w:p w14:paraId="47C65FB9" w14:textId="6D074F41" w:rsidR="00EB296D" w:rsidRPr="00E56B36" w:rsidRDefault="00EB296D" w:rsidP="000A57A5">
            <w:pPr>
              <w:pStyle w:val="TableParagraph"/>
              <w:keepNext/>
              <w:widowControl/>
              <w:spacing w:line="240" w:lineRule="auto"/>
              <w:ind w:left="0"/>
              <w:jc w:val="center"/>
              <w:rPr>
                <w:spacing w:val="-2"/>
                <w:sz w:val="20"/>
              </w:rPr>
            </w:pPr>
            <w:r w:rsidRPr="00E56B36">
              <w:rPr>
                <w:spacing w:val="-2"/>
                <w:sz w:val="20"/>
              </w:rPr>
              <w:t>68.43</w:t>
            </w:r>
            <w:r w:rsidR="000A57A5" w:rsidRPr="00E56B36">
              <w:rPr>
                <w:spacing w:val="-2"/>
                <w:sz w:val="20"/>
              </w:rPr>
              <w:t xml:space="preserve"> </w:t>
            </w:r>
            <w:r w:rsidRPr="00E56B36">
              <w:rPr>
                <w:spacing w:val="-2"/>
                <w:sz w:val="20"/>
              </w:rPr>
              <w:t>(12.88)</w:t>
            </w:r>
          </w:p>
        </w:tc>
        <w:tc>
          <w:tcPr>
            <w:tcW w:w="1200" w:type="dxa"/>
          </w:tcPr>
          <w:p w14:paraId="205315C0" w14:textId="77777777" w:rsidR="00EB296D" w:rsidRPr="00E56B36" w:rsidRDefault="00EB296D" w:rsidP="006C05BC">
            <w:pPr>
              <w:pStyle w:val="TableParagraph"/>
              <w:keepNext/>
              <w:widowControl/>
              <w:spacing w:line="240" w:lineRule="auto"/>
              <w:ind w:left="0"/>
              <w:jc w:val="center"/>
              <w:rPr>
                <w:spacing w:val="-2"/>
                <w:sz w:val="20"/>
              </w:rPr>
            </w:pPr>
            <w:r w:rsidRPr="00E56B36">
              <w:rPr>
                <w:spacing w:val="-2"/>
                <w:sz w:val="20"/>
              </w:rPr>
              <w:t>-2.48 (2.81)</w:t>
            </w:r>
          </w:p>
        </w:tc>
        <w:tc>
          <w:tcPr>
            <w:tcW w:w="1560" w:type="dxa"/>
            <w:vMerge/>
            <w:tcBorders>
              <w:top w:val="nil"/>
              <w:right w:val="single" w:sz="4" w:space="0" w:color="auto"/>
            </w:tcBorders>
          </w:tcPr>
          <w:p w14:paraId="2E761C8D" w14:textId="77777777" w:rsidR="00EB296D" w:rsidRPr="00E56B36" w:rsidRDefault="00EB296D" w:rsidP="000B5769">
            <w:pPr>
              <w:keepNext/>
              <w:rPr>
                <w:rFonts w:ascii="Arial Narrow" w:eastAsia="Arial Narrow" w:hAnsi="Arial Narrow" w:cs="Arial Narrow"/>
                <w:spacing w:val="-2"/>
                <w:sz w:val="20"/>
                <w:szCs w:val="22"/>
                <w:lang w:val="en-US" w:eastAsia="en-US"/>
              </w:rPr>
            </w:pPr>
          </w:p>
        </w:tc>
        <w:tc>
          <w:tcPr>
            <w:tcW w:w="1098" w:type="dxa"/>
            <w:vMerge/>
            <w:tcBorders>
              <w:top w:val="single" w:sz="4" w:space="0" w:color="auto"/>
              <w:left w:val="single" w:sz="4" w:space="0" w:color="auto"/>
              <w:bottom w:val="single" w:sz="4" w:space="0" w:color="auto"/>
              <w:right w:val="single" w:sz="4" w:space="0" w:color="auto"/>
            </w:tcBorders>
          </w:tcPr>
          <w:p w14:paraId="043210BD" w14:textId="77777777" w:rsidR="00EB296D" w:rsidRPr="00E56B36" w:rsidRDefault="00EB296D" w:rsidP="000B5769">
            <w:pPr>
              <w:keepNext/>
              <w:rPr>
                <w:rFonts w:ascii="Arial Narrow" w:eastAsia="Arial Narrow" w:hAnsi="Arial Narrow" w:cs="Arial Narrow"/>
                <w:spacing w:val="-2"/>
                <w:sz w:val="20"/>
                <w:szCs w:val="22"/>
                <w:lang w:val="en-US" w:eastAsia="en-US"/>
              </w:rPr>
            </w:pPr>
          </w:p>
        </w:tc>
      </w:tr>
      <w:tr w:rsidR="00EB296D" w:rsidRPr="00006FCB" w14:paraId="6DC2EECC" w14:textId="77777777" w:rsidTr="00DF3913">
        <w:trPr>
          <w:trHeight w:val="229"/>
        </w:trPr>
        <w:tc>
          <w:tcPr>
            <w:tcW w:w="7920" w:type="dxa"/>
            <w:gridSpan w:val="7"/>
            <w:tcBorders>
              <w:right w:val="single" w:sz="4" w:space="0" w:color="auto"/>
            </w:tcBorders>
          </w:tcPr>
          <w:p w14:paraId="3F04C505" w14:textId="77777777" w:rsidR="00EB296D" w:rsidRPr="00E56B36" w:rsidRDefault="00EB296D" w:rsidP="000B5769">
            <w:pPr>
              <w:pStyle w:val="TableParagraph"/>
              <w:keepNext/>
              <w:widowControl/>
              <w:spacing w:line="240" w:lineRule="auto"/>
              <w:ind w:left="0"/>
              <w:rPr>
                <w:b/>
                <w:bCs/>
                <w:spacing w:val="-2"/>
                <w:sz w:val="20"/>
              </w:rPr>
            </w:pPr>
            <w:r w:rsidRPr="00E56B36">
              <w:rPr>
                <w:b/>
                <w:bCs/>
                <w:spacing w:val="-2"/>
                <w:sz w:val="20"/>
              </w:rPr>
              <w:t>Complement</w:t>
            </w:r>
          </w:p>
        </w:tc>
        <w:tc>
          <w:tcPr>
            <w:tcW w:w="1098" w:type="dxa"/>
            <w:vMerge/>
            <w:tcBorders>
              <w:top w:val="single" w:sz="4" w:space="0" w:color="auto"/>
              <w:left w:val="single" w:sz="4" w:space="0" w:color="auto"/>
              <w:bottom w:val="single" w:sz="4" w:space="0" w:color="auto"/>
              <w:right w:val="single" w:sz="4" w:space="0" w:color="auto"/>
            </w:tcBorders>
          </w:tcPr>
          <w:p w14:paraId="3507227D" w14:textId="77777777" w:rsidR="00EB296D" w:rsidRPr="00E56B36" w:rsidRDefault="00EB296D" w:rsidP="000B5769">
            <w:pPr>
              <w:keepNext/>
              <w:rPr>
                <w:rFonts w:ascii="Arial Narrow" w:eastAsia="Arial Narrow" w:hAnsi="Arial Narrow" w:cs="Arial Narrow"/>
                <w:spacing w:val="-2"/>
                <w:sz w:val="20"/>
                <w:szCs w:val="22"/>
                <w:lang w:val="en-US" w:eastAsia="en-US"/>
              </w:rPr>
            </w:pPr>
          </w:p>
        </w:tc>
      </w:tr>
      <w:tr w:rsidR="00EB296D" w:rsidRPr="00006FCB" w14:paraId="59A8EDCA" w14:textId="77777777" w:rsidTr="000A57A5">
        <w:trPr>
          <w:trHeight w:val="51"/>
        </w:trPr>
        <w:tc>
          <w:tcPr>
            <w:tcW w:w="1560" w:type="dxa"/>
            <w:vAlign w:val="center"/>
          </w:tcPr>
          <w:p w14:paraId="6A4FFCB2" w14:textId="77777777" w:rsidR="00EB296D" w:rsidRPr="00006FCB" w:rsidRDefault="00EB296D" w:rsidP="000B5769">
            <w:pPr>
              <w:pStyle w:val="TableParagraph"/>
              <w:keepNext/>
              <w:widowControl/>
              <w:spacing w:line="240" w:lineRule="auto"/>
              <w:ind w:left="0"/>
              <w:rPr>
                <w:spacing w:val="-2"/>
                <w:sz w:val="20"/>
              </w:rPr>
            </w:pPr>
            <w:proofErr w:type="spellStart"/>
            <w:r w:rsidRPr="00006FCB">
              <w:rPr>
                <w:spacing w:val="-2"/>
                <w:sz w:val="20"/>
              </w:rPr>
              <w:t>Palopegteriparatide</w:t>
            </w:r>
            <w:proofErr w:type="spellEnd"/>
          </w:p>
        </w:tc>
        <w:tc>
          <w:tcPr>
            <w:tcW w:w="720" w:type="dxa"/>
          </w:tcPr>
          <w:p w14:paraId="199E2AC8" w14:textId="77777777" w:rsidR="00EB296D" w:rsidRPr="00E56B36" w:rsidRDefault="00EB296D" w:rsidP="006C05BC">
            <w:pPr>
              <w:pStyle w:val="TableParagraph"/>
              <w:keepNext/>
              <w:widowControl/>
              <w:spacing w:line="240" w:lineRule="auto"/>
              <w:ind w:left="0"/>
              <w:jc w:val="center"/>
              <w:rPr>
                <w:spacing w:val="-2"/>
                <w:sz w:val="20"/>
              </w:rPr>
            </w:pPr>
            <w:r w:rsidRPr="00E56B36">
              <w:rPr>
                <w:spacing w:val="-2"/>
                <w:sz w:val="20"/>
              </w:rPr>
              <w:t>5/5</w:t>
            </w:r>
          </w:p>
        </w:tc>
        <w:tc>
          <w:tcPr>
            <w:tcW w:w="1080" w:type="dxa"/>
          </w:tcPr>
          <w:p w14:paraId="0AF755BD" w14:textId="766B190F" w:rsidR="00EB296D" w:rsidRPr="00E56B36" w:rsidRDefault="00EB296D" w:rsidP="000A57A5">
            <w:pPr>
              <w:pStyle w:val="TableParagraph"/>
              <w:keepNext/>
              <w:widowControl/>
              <w:spacing w:line="240" w:lineRule="auto"/>
              <w:ind w:left="0"/>
              <w:jc w:val="center"/>
              <w:rPr>
                <w:spacing w:val="-2"/>
                <w:sz w:val="20"/>
              </w:rPr>
            </w:pPr>
            <w:r w:rsidRPr="00E56B36">
              <w:rPr>
                <w:spacing w:val="-2"/>
                <w:sz w:val="20"/>
              </w:rPr>
              <w:t>75.06</w:t>
            </w:r>
            <w:r w:rsidR="000A57A5" w:rsidRPr="00E56B36">
              <w:rPr>
                <w:spacing w:val="-2"/>
                <w:sz w:val="20"/>
              </w:rPr>
              <w:t xml:space="preserve"> </w:t>
            </w:r>
            <w:r w:rsidRPr="00E56B36">
              <w:rPr>
                <w:spacing w:val="-2"/>
                <w:sz w:val="20"/>
              </w:rPr>
              <w:t>(17.32)</w:t>
            </w:r>
          </w:p>
        </w:tc>
        <w:tc>
          <w:tcPr>
            <w:tcW w:w="720" w:type="dxa"/>
          </w:tcPr>
          <w:p w14:paraId="4DA0E1D1" w14:textId="77777777" w:rsidR="00EB296D" w:rsidRPr="00E56B36" w:rsidRDefault="00EB296D" w:rsidP="006C05BC">
            <w:pPr>
              <w:pStyle w:val="TableParagraph"/>
              <w:keepNext/>
              <w:widowControl/>
              <w:spacing w:line="240" w:lineRule="auto"/>
              <w:ind w:left="0"/>
              <w:jc w:val="center"/>
              <w:rPr>
                <w:spacing w:val="-2"/>
                <w:sz w:val="20"/>
              </w:rPr>
            </w:pPr>
            <w:r w:rsidRPr="00E56B36">
              <w:rPr>
                <w:spacing w:val="-2"/>
                <w:sz w:val="20"/>
              </w:rPr>
              <w:t>5/5</w:t>
            </w:r>
          </w:p>
        </w:tc>
        <w:tc>
          <w:tcPr>
            <w:tcW w:w="1080" w:type="dxa"/>
          </w:tcPr>
          <w:p w14:paraId="2064801F" w14:textId="3C816C0B" w:rsidR="00EB296D" w:rsidRPr="00E56B36" w:rsidRDefault="00EB296D" w:rsidP="000A57A5">
            <w:pPr>
              <w:pStyle w:val="TableParagraph"/>
              <w:keepNext/>
              <w:widowControl/>
              <w:spacing w:line="240" w:lineRule="auto"/>
              <w:ind w:left="0"/>
              <w:jc w:val="center"/>
              <w:rPr>
                <w:spacing w:val="-2"/>
                <w:sz w:val="20"/>
              </w:rPr>
            </w:pPr>
            <w:r w:rsidRPr="00E56B36">
              <w:rPr>
                <w:spacing w:val="-2"/>
                <w:sz w:val="20"/>
              </w:rPr>
              <w:t>81.44</w:t>
            </w:r>
            <w:r w:rsidR="000A57A5" w:rsidRPr="00E56B36">
              <w:rPr>
                <w:spacing w:val="-2"/>
                <w:sz w:val="20"/>
              </w:rPr>
              <w:t xml:space="preserve"> </w:t>
            </w:r>
            <w:r w:rsidRPr="00E56B36">
              <w:rPr>
                <w:spacing w:val="-2"/>
                <w:sz w:val="20"/>
              </w:rPr>
              <w:t>(12.75)</w:t>
            </w:r>
          </w:p>
        </w:tc>
        <w:tc>
          <w:tcPr>
            <w:tcW w:w="1200" w:type="dxa"/>
            <w:tcBorders>
              <w:right w:val="single" w:sz="4" w:space="0" w:color="auto"/>
            </w:tcBorders>
          </w:tcPr>
          <w:p w14:paraId="4A93D8E3" w14:textId="77777777" w:rsidR="00EB296D" w:rsidRPr="00E56B36" w:rsidRDefault="00EB296D" w:rsidP="006C05BC">
            <w:pPr>
              <w:pStyle w:val="TableParagraph"/>
              <w:keepNext/>
              <w:widowControl/>
              <w:spacing w:line="240" w:lineRule="auto"/>
              <w:ind w:left="0"/>
              <w:jc w:val="center"/>
              <w:rPr>
                <w:spacing w:val="-2"/>
                <w:sz w:val="20"/>
              </w:rPr>
            </w:pPr>
            <w:r w:rsidRPr="00E56B36">
              <w:rPr>
                <w:spacing w:val="-2"/>
                <w:sz w:val="20"/>
              </w:rPr>
              <w:t>2.77 (3.41)</w:t>
            </w:r>
          </w:p>
        </w:tc>
        <w:tc>
          <w:tcPr>
            <w:tcW w:w="1560" w:type="dxa"/>
            <w:vMerge w:val="restart"/>
            <w:tcBorders>
              <w:top w:val="single" w:sz="4" w:space="0" w:color="auto"/>
              <w:left w:val="single" w:sz="4" w:space="0" w:color="auto"/>
              <w:bottom w:val="single" w:sz="4" w:space="0" w:color="auto"/>
              <w:right w:val="single" w:sz="4" w:space="0" w:color="auto"/>
            </w:tcBorders>
          </w:tcPr>
          <w:p w14:paraId="4D7D160D" w14:textId="72DBEF9A" w:rsidR="00EB296D" w:rsidRPr="00E56B36" w:rsidRDefault="00EB296D" w:rsidP="006C05BC">
            <w:pPr>
              <w:pStyle w:val="TableParagraph"/>
              <w:keepNext/>
              <w:widowControl/>
              <w:spacing w:line="240" w:lineRule="auto"/>
              <w:ind w:left="0"/>
              <w:jc w:val="center"/>
              <w:rPr>
                <w:spacing w:val="-2"/>
                <w:sz w:val="20"/>
              </w:rPr>
            </w:pPr>
            <w:r w:rsidRPr="00E56B36">
              <w:rPr>
                <w:spacing w:val="-2"/>
                <w:sz w:val="20"/>
              </w:rPr>
              <w:t xml:space="preserve">6.12 </w:t>
            </w:r>
            <w:r w:rsidR="008707A7" w:rsidRPr="00E56B36">
              <w:rPr>
                <w:spacing w:val="-2"/>
                <w:sz w:val="20"/>
              </w:rPr>
              <w:t>(</w:t>
            </w:r>
            <w:r w:rsidRPr="00E56B36">
              <w:rPr>
                <w:spacing w:val="-2"/>
                <w:sz w:val="20"/>
              </w:rPr>
              <w:t>-5.13, 17.38</w:t>
            </w:r>
            <w:r w:rsidR="008707A7" w:rsidRPr="00E56B36">
              <w:rPr>
                <w:spacing w:val="-2"/>
                <w:sz w:val="20"/>
              </w:rPr>
              <w:t>)</w:t>
            </w:r>
          </w:p>
          <w:p w14:paraId="52C3BFB2" w14:textId="23E19CB9" w:rsidR="00EB296D" w:rsidRPr="00E56B36" w:rsidRDefault="000A57A5" w:rsidP="006C05BC">
            <w:pPr>
              <w:pStyle w:val="TableParagraph"/>
              <w:keepNext/>
              <w:widowControl/>
              <w:spacing w:line="240" w:lineRule="auto"/>
              <w:ind w:left="0"/>
              <w:jc w:val="center"/>
              <w:rPr>
                <w:spacing w:val="-2"/>
                <w:sz w:val="20"/>
              </w:rPr>
            </w:pPr>
            <w:r w:rsidRPr="00E56B36">
              <w:rPr>
                <w:spacing w:val="-2"/>
                <w:sz w:val="20"/>
              </w:rPr>
              <w:t>P=</w:t>
            </w:r>
            <w:r w:rsidR="00EB296D" w:rsidRPr="00E56B36">
              <w:rPr>
                <w:spacing w:val="-2"/>
                <w:sz w:val="20"/>
              </w:rPr>
              <w:t>0.2207</w:t>
            </w:r>
          </w:p>
        </w:tc>
        <w:tc>
          <w:tcPr>
            <w:tcW w:w="1098" w:type="dxa"/>
            <w:vMerge/>
            <w:tcBorders>
              <w:top w:val="single" w:sz="4" w:space="0" w:color="auto"/>
              <w:left w:val="single" w:sz="4" w:space="0" w:color="auto"/>
              <w:bottom w:val="single" w:sz="4" w:space="0" w:color="auto"/>
              <w:right w:val="single" w:sz="4" w:space="0" w:color="auto"/>
            </w:tcBorders>
          </w:tcPr>
          <w:p w14:paraId="3A9DFABD" w14:textId="77777777" w:rsidR="00EB296D" w:rsidRPr="00E56B36" w:rsidRDefault="00EB296D" w:rsidP="000B5769">
            <w:pPr>
              <w:keepNext/>
              <w:rPr>
                <w:rFonts w:ascii="Arial Narrow" w:eastAsia="Arial Narrow" w:hAnsi="Arial Narrow" w:cs="Arial Narrow"/>
                <w:spacing w:val="-2"/>
                <w:sz w:val="20"/>
                <w:szCs w:val="22"/>
                <w:lang w:val="en-US" w:eastAsia="en-US"/>
              </w:rPr>
            </w:pPr>
          </w:p>
        </w:tc>
      </w:tr>
      <w:tr w:rsidR="00EB296D" w:rsidRPr="00006FCB" w14:paraId="65E2388D" w14:textId="77777777" w:rsidTr="000A57A5">
        <w:trPr>
          <w:trHeight w:val="51"/>
        </w:trPr>
        <w:tc>
          <w:tcPr>
            <w:tcW w:w="1560" w:type="dxa"/>
            <w:vAlign w:val="center"/>
          </w:tcPr>
          <w:p w14:paraId="40B74303" w14:textId="77777777" w:rsidR="00EB296D" w:rsidRPr="00006FCB" w:rsidRDefault="00EB296D" w:rsidP="000B5769">
            <w:pPr>
              <w:pStyle w:val="TableParagraph"/>
              <w:keepNext/>
              <w:widowControl/>
              <w:spacing w:line="240" w:lineRule="auto"/>
              <w:ind w:left="0"/>
              <w:rPr>
                <w:spacing w:val="-2"/>
                <w:sz w:val="20"/>
              </w:rPr>
            </w:pPr>
            <w:r w:rsidRPr="00006FCB">
              <w:rPr>
                <w:spacing w:val="-2"/>
                <w:sz w:val="20"/>
              </w:rPr>
              <w:t>Placebo</w:t>
            </w:r>
          </w:p>
        </w:tc>
        <w:tc>
          <w:tcPr>
            <w:tcW w:w="720" w:type="dxa"/>
          </w:tcPr>
          <w:p w14:paraId="5192A1C1" w14:textId="69BC459E" w:rsidR="00EB296D" w:rsidRPr="00E56B36" w:rsidRDefault="00DF632B" w:rsidP="006C05BC">
            <w:pPr>
              <w:pStyle w:val="TableParagraph"/>
              <w:keepNext/>
              <w:widowControl/>
              <w:spacing w:line="240" w:lineRule="auto"/>
              <w:ind w:left="0"/>
              <w:jc w:val="center"/>
              <w:rPr>
                <w:spacing w:val="-2"/>
                <w:sz w:val="20"/>
              </w:rPr>
            </w:pPr>
            <w:r w:rsidRPr="00E56B36">
              <w:rPr>
                <w:spacing w:val="-2"/>
                <w:sz w:val="20"/>
              </w:rPr>
              <w:t>4/5</w:t>
            </w:r>
          </w:p>
        </w:tc>
        <w:tc>
          <w:tcPr>
            <w:tcW w:w="1080" w:type="dxa"/>
          </w:tcPr>
          <w:p w14:paraId="1B95F9EA" w14:textId="5516DCF9" w:rsidR="00EB296D" w:rsidRPr="00E56B36" w:rsidRDefault="00EB296D" w:rsidP="000A57A5">
            <w:pPr>
              <w:pStyle w:val="TableParagraph"/>
              <w:keepNext/>
              <w:widowControl/>
              <w:spacing w:line="240" w:lineRule="auto"/>
              <w:ind w:left="0"/>
              <w:jc w:val="center"/>
              <w:rPr>
                <w:spacing w:val="-2"/>
                <w:sz w:val="20"/>
              </w:rPr>
            </w:pPr>
            <w:r w:rsidRPr="00E56B36">
              <w:rPr>
                <w:spacing w:val="-2"/>
                <w:sz w:val="20"/>
              </w:rPr>
              <w:t>79.03</w:t>
            </w:r>
            <w:r w:rsidR="000A57A5" w:rsidRPr="00E56B36">
              <w:rPr>
                <w:spacing w:val="-2"/>
                <w:sz w:val="20"/>
              </w:rPr>
              <w:t xml:space="preserve"> </w:t>
            </w:r>
            <w:r w:rsidRPr="00E56B36">
              <w:rPr>
                <w:spacing w:val="-2"/>
                <w:sz w:val="20"/>
              </w:rPr>
              <w:t>(9.75)</w:t>
            </w:r>
          </w:p>
        </w:tc>
        <w:tc>
          <w:tcPr>
            <w:tcW w:w="720" w:type="dxa"/>
          </w:tcPr>
          <w:p w14:paraId="63A1495E" w14:textId="76C7AABE" w:rsidR="00EB296D" w:rsidRPr="00E56B36" w:rsidRDefault="00DF632B" w:rsidP="006C05BC">
            <w:pPr>
              <w:pStyle w:val="TableParagraph"/>
              <w:keepNext/>
              <w:widowControl/>
              <w:spacing w:line="240" w:lineRule="auto"/>
              <w:ind w:left="0"/>
              <w:jc w:val="center"/>
              <w:rPr>
                <w:spacing w:val="-2"/>
                <w:sz w:val="20"/>
              </w:rPr>
            </w:pPr>
            <w:r w:rsidRPr="00E56B36">
              <w:rPr>
                <w:spacing w:val="-2"/>
                <w:sz w:val="20"/>
              </w:rPr>
              <w:t>4/5</w:t>
            </w:r>
          </w:p>
        </w:tc>
        <w:tc>
          <w:tcPr>
            <w:tcW w:w="1080" w:type="dxa"/>
          </w:tcPr>
          <w:p w14:paraId="3A68282A" w14:textId="3F0C5A02" w:rsidR="00EB296D" w:rsidRPr="00E56B36" w:rsidRDefault="00EB296D" w:rsidP="000A57A5">
            <w:pPr>
              <w:pStyle w:val="TableParagraph"/>
              <w:keepNext/>
              <w:widowControl/>
              <w:spacing w:line="240" w:lineRule="auto"/>
              <w:ind w:left="0"/>
              <w:jc w:val="center"/>
              <w:rPr>
                <w:spacing w:val="-2"/>
                <w:sz w:val="20"/>
              </w:rPr>
            </w:pPr>
            <w:r w:rsidRPr="00E56B36">
              <w:rPr>
                <w:spacing w:val="-2"/>
                <w:sz w:val="20"/>
              </w:rPr>
              <w:t>79.45</w:t>
            </w:r>
            <w:r w:rsidR="000A57A5" w:rsidRPr="00E56B36">
              <w:rPr>
                <w:spacing w:val="-2"/>
                <w:sz w:val="20"/>
              </w:rPr>
              <w:t xml:space="preserve"> </w:t>
            </w:r>
            <w:r w:rsidRPr="00E56B36">
              <w:rPr>
                <w:spacing w:val="-2"/>
                <w:sz w:val="20"/>
              </w:rPr>
              <w:t>(4.16)</w:t>
            </w:r>
          </w:p>
        </w:tc>
        <w:tc>
          <w:tcPr>
            <w:tcW w:w="1200" w:type="dxa"/>
            <w:tcBorders>
              <w:right w:val="single" w:sz="4" w:space="0" w:color="auto"/>
            </w:tcBorders>
          </w:tcPr>
          <w:p w14:paraId="48D9B44A" w14:textId="77777777" w:rsidR="00EB296D" w:rsidRPr="00E56B36" w:rsidRDefault="00EB296D" w:rsidP="006C05BC">
            <w:pPr>
              <w:pStyle w:val="TableParagraph"/>
              <w:keepNext/>
              <w:widowControl/>
              <w:spacing w:line="240" w:lineRule="auto"/>
              <w:ind w:left="0"/>
              <w:jc w:val="center"/>
              <w:rPr>
                <w:spacing w:val="-2"/>
                <w:sz w:val="20"/>
              </w:rPr>
            </w:pPr>
            <w:r w:rsidRPr="00E56B36">
              <w:rPr>
                <w:spacing w:val="-2"/>
                <w:sz w:val="20"/>
              </w:rPr>
              <w:t>-3.36 (4.62)</w:t>
            </w:r>
          </w:p>
        </w:tc>
        <w:tc>
          <w:tcPr>
            <w:tcW w:w="1560" w:type="dxa"/>
            <w:vMerge/>
            <w:tcBorders>
              <w:top w:val="single" w:sz="4" w:space="0" w:color="auto"/>
              <w:left w:val="single" w:sz="4" w:space="0" w:color="auto"/>
              <w:bottom w:val="single" w:sz="4" w:space="0" w:color="auto"/>
              <w:right w:val="single" w:sz="4" w:space="0" w:color="auto"/>
            </w:tcBorders>
          </w:tcPr>
          <w:p w14:paraId="62E65D56" w14:textId="77777777" w:rsidR="00EB296D" w:rsidRPr="00E56B36" w:rsidRDefault="00EB296D" w:rsidP="000B5769">
            <w:pPr>
              <w:keepNext/>
              <w:rPr>
                <w:rFonts w:ascii="Arial Narrow" w:eastAsia="Arial Narrow" w:hAnsi="Arial Narrow" w:cs="Arial Narrow"/>
                <w:spacing w:val="-2"/>
                <w:sz w:val="20"/>
                <w:szCs w:val="22"/>
                <w:lang w:val="en-US" w:eastAsia="en-US"/>
              </w:rPr>
            </w:pPr>
          </w:p>
        </w:tc>
        <w:tc>
          <w:tcPr>
            <w:tcW w:w="1098" w:type="dxa"/>
            <w:vMerge/>
            <w:tcBorders>
              <w:top w:val="single" w:sz="4" w:space="0" w:color="auto"/>
              <w:left w:val="single" w:sz="4" w:space="0" w:color="auto"/>
              <w:bottom w:val="single" w:sz="4" w:space="0" w:color="auto"/>
              <w:right w:val="single" w:sz="4" w:space="0" w:color="auto"/>
            </w:tcBorders>
          </w:tcPr>
          <w:p w14:paraId="3A97A002" w14:textId="77777777" w:rsidR="00EB296D" w:rsidRPr="00E56B36" w:rsidRDefault="00EB296D" w:rsidP="000B5769">
            <w:pPr>
              <w:keepNext/>
              <w:rPr>
                <w:rFonts w:ascii="Arial Narrow" w:eastAsia="Arial Narrow" w:hAnsi="Arial Narrow" w:cs="Arial Narrow"/>
                <w:spacing w:val="-2"/>
                <w:sz w:val="20"/>
                <w:szCs w:val="22"/>
                <w:lang w:val="en-US" w:eastAsia="en-US"/>
              </w:rPr>
            </w:pPr>
          </w:p>
        </w:tc>
      </w:tr>
    </w:tbl>
    <w:p w14:paraId="3E13A99F" w14:textId="77777777" w:rsidR="00EB296D" w:rsidRPr="00006FCB" w:rsidRDefault="00EB296D" w:rsidP="00265947">
      <w:pPr>
        <w:pStyle w:val="TableFigureFooter"/>
      </w:pPr>
      <w:r w:rsidRPr="00006FCB">
        <w:t>Source: Table 33 p80, Table 49 p106 of the submission, Table 3 Khan 2023 et al. 2023.</w:t>
      </w:r>
    </w:p>
    <w:p w14:paraId="135F1B85" w14:textId="28995137" w:rsidR="00EB296D" w:rsidRPr="00006FCB" w:rsidRDefault="00EB296D" w:rsidP="00265947">
      <w:pPr>
        <w:pStyle w:val="TableFigureFooter"/>
      </w:pPr>
      <w:r w:rsidRPr="4D2BAA30">
        <w:t xml:space="preserve">CI = confidence interval, ITT = intention to treat, LS = least squares, </w:t>
      </w:r>
      <w:r w:rsidR="004D54D6" w:rsidRPr="4D2BAA30">
        <w:t xml:space="preserve">NA = not applicable, </w:t>
      </w:r>
      <w:r w:rsidRPr="4D2BAA30">
        <w:t xml:space="preserve">NR = not reported, PBS = pharmaceutical benefits scheme, </w:t>
      </w:r>
      <w:r w:rsidR="00937A28" w:rsidRPr="4D2BAA30">
        <w:t xml:space="preserve">PPT = palopegteriparatide, </w:t>
      </w:r>
      <w:r w:rsidRPr="4D2BAA30">
        <w:t>SD = standard deviation, SE = standard error.</w:t>
      </w:r>
    </w:p>
    <w:p w14:paraId="0323E5E0" w14:textId="77777777" w:rsidR="002C6016" w:rsidRDefault="00EB296D" w:rsidP="00265947">
      <w:pPr>
        <w:pStyle w:val="TableFigureFooter"/>
      </w:pPr>
      <w:r w:rsidRPr="00006FCB">
        <w:rPr>
          <w:vertAlign w:val="superscript"/>
        </w:rPr>
        <w:t>a</w:t>
      </w:r>
      <w:r w:rsidRPr="00006FCB">
        <w:t xml:space="preserve"> 95% CI not reported.</w:t>
      </w:r>
    </w:p>
    <w:p w14:paraId="28FBFE8B" w14:textId="134B9019" w:rsidR="002C6016" w:rsidRPr="00265947" w:rsidRDefault="002C6016" w:rsidP="00265947">
      <w:pPr>
        <w:pStyle w:val="TableFigureFooter"/>
      </w:pPr>
      <w:r w:rsidRPr="00265947">
        <w:t>Note that the sub-group results presented in Table 8 are derived from post-hoc analyses conducted by the Sponsor specifically for the purposes of informing the PBAC consideration. These analyses were not part of the pre-specified statistical plan for the PaTHway study. Interpretation of the results and their application should therefore be limited to seeking to understand the basis for the PBAC outcome and should not be used for any other purpose.</w:t>
      </w:r>
    </w:p>
    <w:p w14:paraId="42AF803A" w14:textId="6660E652" w:rsidR="00EB296D" w:rsidRPr="00006FCB" w:rsidRDefault="00EB296D" w:rsidP="00265947">
      <w:pPr>
        <w:pStyle w:val="TableFigureFooter"/>
      </w:pPr>
    </w:p>
    <w:p w14:paraId="124EB3B2" w14:textId="08A5993B" w:rsidR="00C92D2C" w:rsidRPr="00006FCB" w:rsidRDefault="4C13825A" w:rsidP="00C92D2C">
      <w:pPr>
        <w:pStyle w:val="3-BodyText"/>
      </w:pPr>
      <w:r w:rsidRPr="383E5602">
        <w:t>For all outcomes, the PBS subgroup experienced similar improvements as when compared to the whole trial results. The subgroup interaction p-value demonstrated that there was no significant difference between the PBS population and the complement population, noting again the small size of the complement group and the post-hoc nature of the analysis.</w:t>
      </w:r>
    </w:p>
    <w:p w14:paraId="72C2ECE0" w14:textId="77777777" w:rsidR="00CC3D51" w:rsidRPr="0098262F" w:rsidRDefault="00CC3D51" w:rsidP="00CC3D51">
      <w:pPr>
        <w:pStyle w:val="4-SubsectionHeading"/>
      </w:pPr>
      <w:bookmarkStart w:id="36" w:name="_Toc22897642"/>
      <w:bookmarkStart w:id="37" w:name="_Toc187766415"/>
      <w:r w:rsidRPr="0098262F">
        <w:t>Comparative harms</w:t>
      </w:r>
      <w:bookmarkEnd w:id="36"/>
      <w:bookmarkEnd w:id="37"/>
    </w:p>
    <w:p w14:paraId="3B062FC2" w14:textId="564C56B5" w:rsidR="00CC3D51" w:rsidRPr="00006FCB" w:rsidRDefault="00CC3D51" w:rsidP="4D2BAA30">
      <w:pPr>
        <w:pStyle w:val="3-BodyText"/>
        <w:rPr>
          <w:rFonts w:eastAsia="Calibri"/>
        </w:rPr>
      </w:pPr>
      <w:r w:rsidRPr="4D2BAA30">
        <w:rPr>
          <w:rFonts w:eastAsia="Calibri"/>
        </w:rPr>
        <w:t>To support the safety claim, the submission presented the results of the 26-week blinded period, the 52-week OLE and the 104-week OLE from PaTH</w:t>
      </w:r>
      <w:r w:rsidR="00EB296D" w:rsidRPr="4D2BAA30">
        <w:rPr>
          <w:rFonts w:eastAsia="Calibri"/>
        </w:rPr>
        <w:t>w</w:t>
      </w:r>
      <w:r w:rsidRPr="4D2BAA30">
        <w:rPr>
          <w:rFonts w:eastAsia="Calibri"/>
        </w:rPr>
        <w:t xml:space="preserve">ay, and the long-term safety results from PaTH Forward. TEAEs for PaTHway are reported in </w:t>
      </w:r>
      <w:r w:rsidRPr="00006FCB">
        <w:rPr>
          <w:rFonts w:eastAsia="Calibri"/>
        </w:rPr>
        <w:fldChar w:fldCharType="begin"/>
      </w:r>
      <w:r w:rsidRPr="00006FCB">
        <w:rPr>
          <w:rFonts w:eastAsia="Calibri"/>
        </w:rPr>
        <w:instrText xml:space="preserve"> REF _Ref184730756 \h </w:instrText>
      </w:r>
      <w:r w:rsidR="00006FCB" w:rsidRPr="00006FCB">
        <w:rPr>
          <w:rFonts w:eastAsia="Calibri"/>
        </w:rPr>
        <w:instrText xml:space="preserve"> \* MERGEFORMAT </w:instrText>
      </w:r>
      <w:r w:rsidRPr="00006FCB">
        <w:rPr>
          <w:rFonts w:eastAsia="Calibri"/>
        </w:rPr>
      </w:r>
      <w:r w:rsidRPr="00006FCB">
        <w:rPr>
          <w:rFonts w:eastAsia="Calibri"/>
        </w:rPr>
        <w:fldChar w:fldCharType="separate"/>
      </w:r>
      <w:r w:rsidR="00DA35E4" w:rsidRPr="383E5602">
        <w:t xml:space="preserve">Table </w:t>
      </w:r>
      <w:r w:rsidR="00DA35E4">
        <w:rPr>
          <w:noProof/>
        </w:rPr>
        <w:t>10</w:t>
      </w:r>
      <w:r w:rsidRPr="00006FCB">
        <w:rPr>
          <w:rFonts w:eastAsia="Calibri"/>
        </w:rPr>
        <w:fldChar w:fldCharType="end"/>
      </w:r>
      <w:r w:rsidRPr="4D2BAA30">
        <w:rPr>
          <w:rFonts w:eastAsia="Calibri"/>
        </w:rPr>
        <w:t xml:space="preserve"> and </w:t>
      </w:r>
      <w:r w:rsidRPr="00006FCB">
        <w:rPr>
          <w:rFonts w:eastAsia="Calibri"/>
        </w:rPr>
        <w:fldChar w:fldCharType="begin"/>
      </w:r>
      <w:r w:rsidRPr="00006FCB">
        <w:rPr>
          <w:rFonts w:eastAsia="Calibri"/>
        </w:rPr>
        <w:instrText xml:space="preserve"> REF _Ref184730758 \h </w:instrText>
      </w:r>
      <w:r w:rsidR="00006FCB" w:rsidRPr="00006FCB">
        <w:rPr>
          <w:rFonts w:eastAsia="Calibri"/>
        </w:rPr>
        <w:instrText xml:space="preserve"> \* MERGEFORMAT </w:instrText>
      </w:r>
      <w:r w:rsidRPr="00006FCB">
        <w:rPr>
          <w:rFonts w:eastAsia="Calibri"/>
        </w:rPr>
      </w:r>
      <w:r w:rsidRPr="00006FCB">
        <w:rPr>
          <w:rFonts w:eastAsia="Calibri"/>
        </w:rPr>
        <w:fldChar w:fldCharType="separate"/>
      </w:r>
      <w:r w:rsidR="00DA35E4" w:rsidRPr="4D2BAA30">
        <w:t xml:space="preserve">Table </w:t>
      </w:r>
      <w:r w:rsidR="00DA35E4">
        <w:rPr>
          <w:noProof/>
        </w:rPr>
        <w:t>11</w:t>
      </w:r>
      <w:r w:rsidRPr="00006FCB">
        <w:rPr>
          <w:rFonts w:eastAsia="Calibri"/>
        </w:rPr>
        <w:fldChar w:fldCharType="end"/>
      </w:r>
      <w:r w:rsidRPr="4D2BAA30">
        <w:rPr>
          <w:rFonts w:eastAsia="Calibri"/>
        </w:rPr>
        <w:t>.</w:t>
      </w:r>
    </w:p>
    <w:p w14:paraId="6B6DABDE" w14:textId="15464DCC" w:rsidR="00CC3D51" w:rsidRPr="00006FCB" w:rsidRDefault="4D72FECA" w:rsidP="383E5602">
      <w:pPr>
        <w:pStyle w:val="Caption"/>
        <w:rPr>
          <w:rFonts w:eastAsia="Calibri"/>
        </w:rPr>
      </w:pPr>
      <w:bookmarkStart w:id="38" w:name="_Ref184730756"/>
      <w:r w:rsidRPr="383E5602">
        <w:t xml:space="preserve">Table </w:t>
      </w:r>
      <w:r w:rsidR="00CC3D51" w:rsidRPr="383E5602">
        <w:fldChar w:fldCharType="begin"/>
      </w:r>
      <w:r w:rsidR="00CC3D51">
        <w:instrText xml:space="preserve"> SEQ Table \* ARABIC </w:instrText>
      </w:r>
      <w:r w:rsidR="00CC3D51" w:rsidRPr="383E5602">
        <w:fldChar w:fldCharType="separate"/>
      </w:r>
      <w:r w:rsidR="00DA35E4">
        <w:rPr>
          <w:noProof/>
        </w:rPr>
        <w:t>10</w:t>
      </w:r>
      <w:r w:rsidR="00CC3D51" w:rsidRPr="383E5602">
        <w:rPr>
          <w:noProof/>
        </w:rPr>
        <w:fldChar w:fldCharType="end"/>
      </w:r>
      <w:bookmarkEnd w:id="38"/>
      <w:r w:rsidRPr="383E5602">
        <w:t>: Overview of treatment emergent adverse effects in PaTHway at Week 26, Week 52 and Week 104 (</w:t>
      </w:r>
      <w:r w:rsidR="21C0520A" w:rsidRPr="383E5602">
        <w:t>s</w:t>
      </w:r>
      <w:r w:rsidRPr="383E5602">
        <w:t xml:space="preserve">afety </w:t>
      </w:r>
      <w:r w:rsidR="21C0520A" w:rsidRPr="383E5602">
        <w:t>a</w:t>
      </w:r>
      <w:r w:rsidRPr="383E5602">
        <w:t xml:space="preserve">nalysis </w:t>
      </w:r>
      <w:r w:rsidR="21C0520A" w:rsidRPr="383E5602">
        <w:t>s</w:t>
      </w:r>
      <w:r w:rsidRPr="383E5602">
        <w:t>et)</w:t>
      </w:r>
    </w:p>
    <w:tbl>
      <w:tblPr>
        <w:tblW w:w="9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0: Overview of treatment emergent adverse effects in PaTHway at Week 26, Week 52 and Week 104 (safety analysis set)"/>
      </w:tblPr>
      <w:tblGrid>
        <w:gridCol w:w="2040"/>
        <w:gridCol w:w="1680"/>
        <w:gridCol w:w="1680"/>
        <w:gridCol w:w="1688"/>
        <w:gridCol w:w="2032"/>
      </w:tblGrid>
      <w:tr w:rsidR="000A57A5" w:rsidRPr="00006FCB" w14:paraId="128F66BB" w14:textId="77777777" w:rsidTr="00FF58A4">
        <w:trPr>
          <w:trHeight w:val="236"/>
        </w:trPr>
        <w:tc>
          <w:tcPr>
            <w:tcW w:w="2040" w:type="dxa"/>
            <w:vMerge w:val="restart"/>
            <w:shd w:val="clear" w:color="auto" w:fill="auto"/>
          </w:tcPr>
          <w:p w14:paraId="696749A0" w14:textId="77777777" w:rsidR="000A57A5" w:rsidRPr="00006FCB" w:rsidRDefault="000A57A5" w:rsidP="00DF3913">
            <w:pPr>
              <w:pStyle w:val="TableParagraph"/>
              <w:keepNext/>
              <w:widowControl/>
              <w:spacing w:line="240" w:lineRule="auto"/>
              <w:ind w:left="-121"/>
              <w:rPr>
                <w:rFonts w:ascii="Times New Roman"/>
                <w:sz w:val="16"/>
              </w:rPr>
            </w:pPr>
          </w:p>
        </w:tc>
        <w:tc>
          <w:tcPr>
            <w:tcW w:w="3360" w:type="dxa"/>
            <w:gridSpan w:val="2"/>
            <w:shd w:val="clear" w:color="auto" w:fill="auto"/>
          </w:tcPr>
          <w:p w14:paraId="3A806135" w14:textId="77777777" w:rsidR="000A57A5" w:rsidRPr="00006FCB" w:rsidRDefault="000A57A5" w:rsidP="00DF3913">
            <w:pPr>
              <w:pStyle w:val="TableParagraph"/>
              <w:keepNext/>
              <w:widowControl/>
              <w:ind w:left="12"/>
              <w:jc w:val="center"/>
              <w:rPr>
                <w:b/>
                <w:sz w:val="20"/>
              </w:rPr>
            </w:pPr>
            <w:r w:rsidRPr="00006FCB">
              <w:rPr>
                <w:b/>
                <w:sz w:val="20"/>
              </w:rPr>
              <w:t>Double-blind</w:t>
            </w:r>
            <w:r w:rsidRPr="00006FCB">
              <w:rPr>
                <w:b/>
                <w:spacing w:val="-12"/>
                <w:sz w:val="20"/>
              </w:rPr>
              <w:t xml:space="preserve"> </w:t>
            </w:r>
            <w:r w:rsidRPr="00006FCB">
              <w:rPr>
                <w:b/>
                <w:spacing w:val="-2"/>
                <w:sz w:val="20"/>
              </w:rPr>
              <w:t>period</w:t>
            </w:r>
          </w:p>
        </w:tc>
        <w:tc>
          <w:tcPr>
            <w:tcW w:w="1688" w:type="dxa"/>
            <w:shd w:val="clear" w:color="auto" w:fill="auto"/>
          </w:tcPr>
          <w:p w14:paraId="6A1DFF2D" w14:textId="77777777" w:rsidR="000A57A5" w:rsidRPr="00006FCB" w:rsidRDefault="000A57A5" w:rsidP="00DF3913">
            <w:pPr>
              <w:pStyle w:val="TableParagraph"/>
              <w:keepNext/>
              <w:widowControl/>
              <w:ind w:left="13"/>
              <w:jc w:val="center"/>
              <w:rPr>
                <w:b/>
                <w:sz w:val="20"/>
              </w:rPr>
            </w:pPr>
            <w:r w:rsidRPr="00006FCB">
              <w:rPr>
                <w:b/>
                <w:sz w:val="20"/>
              </w:rPr>
              <w:t>Open-label</w:t>
            </w:r>
            <w:r w:rsidRPr="00006FCB">
              <w:rPr>
                <w:b/>
                <w:spacing w:val="-6"/>
                <w:sz w:val="20"/>
              </w:rPr>
              <w:t xml:space="preserve"> </w:t>
            </w:r>
            <w:r w:rsidRPr="00006FCB">
              <w:rPr>
                <w:b/>
                <w:spacing w:val="-2"/>
                <w:sz w:val="20"/>
              </w:rPr>
              <w:t>period</w:t>
            </w:r>
          </w:p>
        </w:tc>
        <w:tc>
          <w:tcPr>
            <w:tcW w:w="2032" w:type="dxa"/>
            <w:shd w:val="clear" w:color="auto" w:fill="auto"/>
          </w:tcPr>
          <w:p w14:paraId="1BD341C8" w14:textId="77777777" w:rsidR="000A57A5" w:rsidRPr="00006FCB" w:rsidRDefault="000A57A5" w:rsidP="00DF3913">
            <w:pPr>
              <w:pStyle w:val="TableParagraph"/>
              <w:keepNext/>
              <w:widowControl/>
              <w:ind w:left="14" w:right="1"/>
              <w:jc w:val="center"/>
              <w:rPr>
                <w:b/>
                <w:sz w:val="20"/>
              </w:rPr>
            </w:pPr>
            <w:r w:rsidRPr="00006FCB">
              <w:rPr>
                <w:b/>
                <w:sz w:val="20"/>
              </w:rPr>
              <w:t>Open-label</w:t>
            </w:r>
            <w:r w:rsidRPr="00006FCB">
              <w:rPr>
                <w:b/>
                <w:spacing w:val="-6"/>
                <w:sz w:val="20"/>
              </w:rPr>
              <w:t xml:space="preserve"> </w:t>
            </w:r>
            <w:r w:rsidRPr="00006FCB">
              <w:rPr>
                <w:b/>
                <w:spacing w:val="-2"/>
                <w:sz w:val="20"/>
              </w:rPr>
              <w:t>period</w:t>
            </w:r>
          </w:p>
        </w:tc>
      </w:tr>
      <w:tr w:rsidR="000A57A5" w:rsidRPr="00006FCB" w14:paraId="529CDD86" w14:textId="77777777" w:rsidTr="00FF58A4">
        <w:trPr>
          <w:trHeight w:val="56"/>
        </w:trPr>
        <w:tc>
          <w:tcPr>
            <w:tcW w:w="2040" w:type="dxa"/>
            <w:vMerge/>
            <w:shd w:val="clear" w:color="auto" w:fill="auto"/>
          </w:tcPr>
          <w:p w14:paraId="2264DBF1" w14:textId="77777777" w:rsidR="000A57A5" w:rsidRPr="00006FCB" w:rsidRDefault="000A57A5" w:rsidP="00DF3913">
            <w:pPr>
              <w:pStyle w:val="TableParagraph"/>
              <w:keepNext/>
              <w:widowControl/>
              <w:spacing w:line="240" w:lineRule="auto"/>
              <w:ind w:left="0"/>
              <w:rPr>
                <w:rFonts w:ascii="Times New Roman"/>
                <w:sz w:val="16"/>
              </w:rPr>
            </w:pPr>
          </w:p>
        </w:tc>
        <w:tc>
          <w:tcPr>
            <w:tcW w:w="3360" w:type="dxa"/>
            <w:gridSpan w:val="2"/>
            <w:shd w:val="clear" w:color="auto" w:fill="auto"/>
          </w:tcPr>
          <w:p w14:paraId="12567562" w14:textId="77777777" w:rsidR="000A57A5" w:rsidRPr="00006FCB" w:rsidRDefault="000A57A5" w:rsidP="00DF3913">
            <w:pPr>
              <w:pStyle w:val="TableParagraph"/>
              <w:keepNext/>
              <w:widowControl/>
              <w:ind w:left="12"/>
              <w:jc w:val="center"/>
              <w:rPr>
                <w:b/>
                <w:sz w:val="20"/>
              </w:rPr>
            </w:pPr>
            <w:r w:rsidRPr="00006FCB">
              <w:rPr>
                <w:b/>
                <w:bCs/>
                <w:sz w:val="20"/>
              </w:rPr>
              <w:t>26</w:t>
            </w:r>
            <w:r w:rsidRPr="00006FCB">
              <w:rPr>
                <w:b/>
                <w:bCs/>
                <w:spacing w:val="-3"/>
                <w:sz w:val="20"/>
              </w:rPr>
              <w:t xml:space="preserve"> </w:t>
            </w:r>
            <w:r w:rsidRPr="00006FCB">
              <w:rPr>
                <w:b/>
                <w:bCs/>
                <w:spacing w:val="-2"/>
                <w:sz w:val="20"/>
              </w:rPr>
              <w:t>weeks</w:t>
            </w:r>
          </w:p>
        </w:tc>
        <w:tc>
          <w:tcPr>
            <w:tcW w:w="1688" w:type="dxa"/>
            <w:shd w:val="clear" w:color="auto" w:fill="auto"/>
          </w:tcPr>
          <w:p w14:paraId="19E1F95C" w14:textId="77777777" w:rsidR="000A57A5" w:rsidRPr="00006FCB" w:rsidRDefault="000A57A5" w:rsidP="00DF3913">
            <w:pPr>
              <w:pStyle w:val="TableParagraph"/>
              <w:keepNext/>
              <w:widowControl/>
              <w:ind w:left="13"/>
              <w:jc w:val="center"/>
              <w:rPr>
                <w:b/>
                <w:sz w:val="20"/>
              </w:rPr>
            </w:pPr>
            <w:r w:rsidRPr="00006FCB">
              <w:rPr>
                <w:b/>
                <w:sz w:val="20"/>
              </w:rPr>
              <w:t>52 weeks</w:t>
            </w:r>
          </w:p>
        </w:tc>
        <w:tc>
          <w:tcPr>
            <w:tcW w:w="2032" w:type="dxa"/>
            <w:shd w:val="clear" w:color="auto" w:fill="auto"/>
          </w:tcPr>
          <w:p w14:paraId="0D280036" w14:textId="77777777" w:rsidR="000A57A5" w:rsidRPr="00006FCB" w:rsidRDefault="000A57A5" w:rsidP="00DF3913">
            <w:pPr>
              <w:pStyle w:val="TableParagraph"/>
              <w:keepNext/>
              <w:widowControl/>
              <w:ind w:left="14" w:right="1"/>
              <w:jc w:val="center"/>
              <w:rPr>
                <w:b/>
                <w:sz w:val="20"/>
              </w:rPr>
            </w:pPr>
            <w:r w:rsidRPr="00006FCB">
              <w:rPr>
                <w:b/>
                <w:sz w:val="20"/>
              </w:rPr>
              <w:t>104 weeks</w:t>
            </w:r>
          </w:p>
        </w:tc>
      </w:tr>
      <w:tr w:rsidR="000A57A5" w:rsidRPr="00006FCB" w14:paraId="681BD75D" w14:textId="77777777" w:rsidTr="00FF58A4">
        <w:trPr>
          <w:trHeight w:val="470"/>
        </w:trPr>
        <w:tc>
          <w:tcPr>
            <w:tcW w:w="2040" w:type="dxa"/>
            <w:vMerge/>
            <w:vAlign w:val="center"/>
          </w:tcPr>
          <w:p w14:paraId="66EB4993" w14:textId="77777777" w:rsidR="000A57A5" w:rsidRPr="00006FCB" w:rsidRDefault="000A57A5" w:rsidP="00D64984">
            <w:pPr>
              <w:pStyle w:val="TableParagraph"/>
              <w:keepNext/>
              <w:widowControl/>
              <w:ind w:left="10" w:right="3"/>
              <w:rPr>
                <w:sz w:val="20"/>
              </w:rPr>
            </w:pPr>
          </w:p>
        </w:tc>
        <w:tc>
          <w:tcPr>
            <w:tcW w:w="1680" w:type="dxa"/>
          </w:tcPr>
          <w:p w14:paraId="197EC2FF" w14:textId="77777777" w:rsidR="000A57A5" w:rsidRPr="00006FCB" w:rsidRDefault="000A57A5" w:rsidP="00DF3913">
            <w:pPr>
              <w:pStyle w:val="TableParagraph"/>
              <w:keepNext/>
              <w:widowControl/>
              <w:ind w:left="10" w:right="3"/>
              <w:jc w:val="center"/>
              <w:rPr>
                <w:b/>
                <w:bCs/>
                <w:sz w:val="20"/>
              </w:rPr>
            </w:pPr>
            <w:proofErr w:type="spellStart"/>
            <w:r w:rsidRPr="00006FCB">
              <w:rPr>
                <w:b/>
                <w:bCs/>
                <w:sz w:val="20"/>
              </w:rPr>
              <w:t>Palopegteriparatide</w:t>
            </w:r>
            <w:proofErr w:type="spellEnd"/>
            <w:r w:rsidRPr="00006FCB">
              <w:rPr>
                <w:b/>
                <w:bCs/>
                <w:sz w:val="20"/>
              </w:rPr>
              <w:t xml:space="preserve"> (N=61)</w:t>
            </w:r>
          </w:p>
          <w:p w14:paraId="6B727BD2" w14:textId="1EF39E0B" w:rsidR="000A57A5" w:rsidRPr="00006FCB" w:rsidRDefault="000A57A5" w:rsidP="00DF3913">
            <w:pPr>
              <w:pStyle w:val="TableParagraph"/>
              <w:keepNext/>
              <w:widowControl/>
              <w:ind w:left="10" w:right="3"/>
              <w:jc w:val="center"/>
              <w:rPr>
                <w:b/>
                <w:bCs/>
                <w:sz w:val="20"/>
              </w:rPr>
            </w:pPr>
            <w:r w:rsidRPr="00006FCB">
              <w:rPr>
                <w:b/>
                <w:bCs/>
                <w:sz w:val="20"/>
              </w:rPr>
              <w:t>n (%)</w:t>
            </w:r>
          </w:p>
        </w:tc>
        <w:tc>
          <w:tcPr>
            <w:tcW w:w="1680" w:type="dxa"/>
          </w:tcPr>
          <w:p w14:paraId="7CDC36C9" w14:textId="77777777" w:rsidR="000A57A5" w:rsidRPr="00006FCB" w:rsidRDefault="000A57A5" w:rsidP="00DF3913">
            <w:pPr>
              <w:pStyle w:val="TableParagraph"/>
              <w:keepNext/>
              <w:widowControl/>
              <w:ind w:left="10" w:right="3"/>
              <w:jc w:val="center"/>
              <w:rPr>
                <w:b/>
                <w:bCs/>
                <w:sz w:val="20"/>
              </w:rPr>
            </w:pPr>
            <w:r w:rsidRPr="00006FCB">
              <w:rPr>
                <w:b/>
                <w:bCs/>
                <w:sz w:val="20"/>
              </w:rPr>
              <w:t>Placebo (N=21)</w:t>
            </w:r>
          </w:p>
          <w:p w14:paraId="220504F4" w14:textId="272EA7F2" w:rsidR="000A57A5" w:rsidRPr="00006FCB" w:rsidRDefault="000A57A5" w:rsidP="00DF3913">
            <w:pPr>
              <w:pStyle w:val="TableParagraph"/>
              <w:keepNext/>
              <w:widowControl/>
              <w:ind w:left="10" w:right="3"/>
              <w:jc w:val="center"/>
              <w:rPr>
                <w:b/>
                <w:bCs/>
                <w:sz w:val="20"/>
              </w:rPr>
            </w:pPr>
            <w:r w:rsidRPr="00006FCB">
              <w:rPr>
                <w:b/>
                <w:bCs/>
                <w:sz w:val="20"/>
              </w:rPr>
              <w:t>n (%)</w:t>
            </w:r>
          </w:p>
        </w:tc>
        <w:tc>
          <w:tcPr>
            <w:tcW w:w="1688" w:type="dxa"/>
          </w:tcPr>
          <w:p w14:paraId="0FA69A8E" w14:textId="77777777" w:rsidR="000A57A5" w:rsidRPr="00006FCB" w:rsidRDefault="000A57A5" w:rsidP="00DF3913">
            <w:pPr>
              <w:pStyle w:val="TableParagraph"/>
              <w:keepNext/>
              <w:widowControl/>
              <w:ind w:left="10" w:right="3"/>
              <w:jc w:val="center"/>
              <w:rPr>
                <w:b/>
                <w:bCs/>
                <w:sz w:val="20"/>
              </w:rPr>
            </w:pPr>
            <w:proofErr w:type="spellStart"/>
            <w:r w:rsidRPr="00006FCB">
              <w:rPr>
                <w:b/>
                <w:bCs/>
                <w:sz w:val="20"/>
              </w:rPr>
              <w:t>Palopegteriparatide</w:t>
            </w:r>
            <w:proofErr w:type="spellEnd"/>
            <w:r w:rsidRPr="00006FCB">
              <w:rPr>
                <w:b/>
                <w:bCs/>
                <w:sz w:val="20"/>
              </w:rPr>
              <w:t xml:space="preserve"> (N=80)</w:t>
            </w:r>
          </w:p>
          <w:p w14:paraId="359BBA37" w14:textId="0583E606" w:rsidR="000A57A5" w:rsidRPr="00006FCB" w:rsidRDefault="000A57A5" w:rsidP="00DF3913">
            <w:pPr>
              <w:pStyle w:val="TableParagraph"/>
              <w:keepNext/>
              <w:widowControl/>
              <w:ind w:left="10" w:right="3"/>
              <w:jc w:val="center"/>
              <w:rPr>
                <w:b/>
                <w:bCs/>
                <w:sz w:val="20"/>
              </w:rPr>
            </w:pPr>
            <w:r w:rsidRPr="00006FCB">
              <w:rPr>
                <w:b/>
                <w:bCs/>
                <w:sz w:val="20"/>
              </w:rPr>
              <w:t>n (%)</w:t>
            </w:r>
          </w:p>
        </w:tc>
        <w:tc>
          <w:tcPr>
            <w:tcW w:w="2032" w:type="dxa"/>
          </w:tcPr>
          <w:p w14:paraId="41839CB7" w14:textId="77777777" w:rsidR="000A57A5" w:rsidRPr="00006FCB" w:rsidRDefault="000A57A5" w:rsidP="00DF3913">
            <w:pPr>
              <w:pStyle w:val="TableParagraph"/>
              <w:keepNext/>
              <w:widowControl/>
              <w:ind w:left="10" w:right="3"/>
              <w:jc w:val="center"/>
              <w:rPr>
                <w:b/>
                <w:bCs/>
                <w:sz w:val="20"/>
              </w:rPr>
            </w:pPr>
            <w:proofErr w:type="spellStart"/>
            <w:r w:rsidRPr="00006FCB">
              <w:rPr>
                <w:b/>
                <w:bCs/>
                <w:sz w:val="20"/>
              </w:rPr>
              <w:t>Palopegteriparatide</w:t>
            </w:r>
            <w:proofErr w:type="spellEnd"/>
            <w:r w:rsidRPr="00006FCB">
              <w:rPr>
                <w:b/>
                <w:bCs/>
                <w:sz w:val="20"/>
              </w:rPr>
              <w:t xml:space="preserve"> (N=80)</w:t>
            </w:r>
          </w:p>
          <w:p w14:paraId="3243A4F3" w14:textId="711FE9DA" w:rsidR="000A57A5" w:rsidRPr="00006FCB" w:rsidRDefault="000A57A5" w:rsidP="00DF3913">
            <w:pPr>
              <w:pStyle w:val="TableParagraph"/>
              <w:keepNext/>
              <w:widowControl/>
              <w:ind w:left="10" w:right="3"/>
              <w:jc w:val="center"/>
              <w:rPr>
                <w:b/>
                <w:bCs/>
                <w:sz w:val="20"/>
              </w:rPr>
            </w:pPr>
            <w:r w:rsidRPr="00006FCB">
              <w:rPr>
                <w:b/>
                <w:bCs/>
                <w:sz w:val="20"/>
              </w:rPr>
              <w:t>n (%)</w:t>
            </w:r>
          </w:p>
        </w:tc>
      </w:tr>
      <w:tr w:rsidR="00CC3D51" w:rsidRPr="00006FCB" w14:paraId="56EA01A1" w14:textId="77777777" w:rsidTr="00FF58A4">
        <w:trPr>
          <w:trHeight w:val="236"/>
        </w:trPr>
        <w:tc>
          <w:tcPr>
            <w:tcW w:w="2040" w:type="dxa"/>
            <w:vAlign w:val="center"/>
          </w:tcPr>
          <w:p w14:paraId="0F2209DE" w14:textId="77777777" w:rsidR="00CC3D51" w:rsidRPr="00006FCB" w:rsidRDefault="00CC3D51" w:rsidP="00D64984">
            <w:pPr>
              <w:pStyle w:val="TableParagraph"/>
              <w:keepNext/>
              <w:widowControl/>
              <w:rPr>
                <w:sz w:val="20"/>
              </w:rPr>
            </w:pPr>
            <w:r w:rsidRPr="00006FCB">
              <w:rPr>
                <w:spacing w:val="-2"/>
                <w:sz w:val="20"/>
              </w:rPr>
              <w:t>TEAEs</w:t>
            </w:r>
          </w:p>
        </w:tc>
        <w:tc>
          <w:tcPr>
            <w:tcW w:w="1680" w:type="dxa"/>
            <w:vAlign w:val="center"/>
          </w:tcPr>
          <w:p w14:paraId="27E13F86" w14:textId="77777777" w:rsidR="00CC3D51" w:rsidRPr="00006FCB" w:rsidRDefault="00CC3D51" w:rsidP="00DF3913">
            <w:pPr>
              <w:pStyle w:val="TableParagraph"/>
              <w:keepNext/>
              <w:widowControl/>
              <w:ind w:left="10" w:right="3"/>
              <w:jc w:val="center"/>
              <w:rPr>
                <w:sz w:val="20"/>
              </w:rPr>
            </w:pPr>
            <w:r w:rsidRPr="00006FCB">
              <w:rPr>
                <w:sz w:val="20"/>
              </w:rPr>
              <w:t>50 (82.0)</w:t>
            </w:r>
          </w:p>
        </w:tc>
        <w:tc>
          <w:tcPr>
            <w:tcW w:w="1680" w:type="dxa"/>
            <w:vAlign w:val="center"/>
          </w:tcPr>
          <w:p w14:paraId="074EC22A" w14:textId="77777777" w:rsidR="00CC3D51" w:rsidRPr="00006FCB" w:rsidRDefault="00CC3D51" w:rsidP="00DF3913">
            <w:pPr>
              <w:pStyle w:val="TableParagraph"/>
              <w:keepNext/>
              <w:widowControl/>
              <w:ind w:left="0" w:right="31"/>
              <w:jc w:val="center"/>
              <w:rPr>
                <w:sz w:val="20"/>
              </w:rPr>
            </w:pPr>
            <w:r w:rsidRPr="00006FCB">
              <w:rPr>
                <w:sz w:val="20"/>
              </w:rPr>
              <w:t>21 (100.0)</w:t>
            </w:r>
          </w:p>
        </w:tc>
        <w:tc>
          <w:tcPr>
            <w:tcW w:w="1688" w:type="dxa"/>
            <w:vAlign w:val="center"/>
          </w:tcPr>
          <w:p w14:paraId="737B677F" w14:textId="77777777" w:rsidR="00CC3D51" w:rsidRPr="00006FCB" w:rsidRDefault="00CC3D51" w:rsidP="00DF3913">
            <w:pPr>
              <w:pStyle w:val="TableParagraph"/>
              <w:keepNext/>
              <w:widowControl/>
              <w:ind w:left="13" w:right="3"/>
              <w:jc w:val="center"/>
              <w:rPr>
                <w:sz w:val="20"/>
              </w:rPr>
            </w:pPr>
            <w:r w:rsidRPr="00006FCB">
              <w:rPr>
                <w:sz w:val="20"/>
              </w:rPr>
              <w:t>72 (90.0)</w:t>
            </w:r>
          </w:p>
        </w:tc>
        <w:tc>
          <w:tcPr>
            <w:tcW w:w="2032" w:type="dxa"/>
            <w:vAlign w:val="center"/>
          </w:tcPr>
          <w:p w14:paraId="603E73B6" w14:textId="77777777" w:rsidR="00CC3D51" w:rsidRPr="00006FCB" w:rsidRDefault="00CC3D51" w:rsidP="00DF3913">
            <w:pPr>
              <w:pStyle w:val="TableParagraph"/>
              <w:keepNext/>
              <w:widowControl/>
              <w:ind w:left="14" w:right="3"/>
              <w:jc w:val="center"/>
              <w:rPr>
                <w:sz w:val="20"/>
              </w:rPr>
            </w:pPr>
            <w:r w:rsidRPr="00006FCB">
              <w:rPr>
                <w:sz w:val="20"/>
              </w:rPr>
              <w:t>75 (93.8)</w:t>
            </w:r>
          </w:p>
        </w:tc>
      </w:tr>
      <w:tr w:rsidR="00CC3D51" w:rsidRPr="00006FCB" w14:paraId="1675DD29" w14:textId="77777777" w:rsidTr="00FF58A4">
        <w:trPr>
          <w:trHeight w:val="236"/>
        </w:trPr>
        <w:tc>
          <w:tcPr>
            <w:tcW w:w="2040" w:type="dxa"/>
            <w:tcBorders>
              <w:bottom w:val="single" w:sz="4" w:space="0" w:color="000000"/>
            </w:tcBorders>
            <w:vAlign w:val="center"/>
          </w:tcPr>
          <w:p w14:paraId="6A4D68A2" w14:textId="77777777" w:rsidR="00CC3D51" w:rsidRPr="00006FCB" w:rsidRDefault="00CC3D51" w:rsidP="00D64984">
            <w:pPr>
              <w:pStyle w:val="TableParagraph"/>
              <w:keepNext/>
              <w:widowControl/>
              <w:rPr>
                <w:sz w:val="20"/>
              </w:rPr>
            </w:pPr>
            <w:r w:rsidRPr="00006FCB">
              <w:rPr>
                <w:sz w:val="20"/>
              </w:rPr>
              <w:t>Serious</w:t>
            </w:r>
            <w:r w:rsidRPr="00006FCB">
              <w:rPr>
                <w:spacing w:val="-8"/>
                <w:sz w:val="20"/>
              </w:rPr>
              <w:t xml:space="preserve"> </w:t>
            </w:r>
            <w:r w:rsidRPr="00006FCB">
              <w:rPr>
                <w:spacing w:val="-4"/>
                <w:sz w:val="20"/>
              </w:rPr>
              <w:t>TEAEs</w:t>
            </w:r>
          </w:p>
        </w:tc>
        <w:tc>
          <w:tcPr>
            <w:tcW w:w="1680" w:type="dxa"/>
            <w:tcBorders>
              <w:bottom w:val="single" w:sz="4" w:space="0" w:color="000000"/>
            </w:tcBorders>
            <w:vAlign w:val="center"/>
          </w:tcPr>
          <w:p w14:paraId="36B40550" w14:textId="77777777" w:rsidR="00CC3D51" w:rsidRPr="00006FCB" w:rsidRDefault="00CC3D51" w:rsidP="00DF3913">
            <w:pPr>
              <w:pStyle w:val="TableParagraph"/>
              <w:keepNext/>
              <w:widowControl/>
              <w:ind w:left="10" w:right="3"/>
              <w:jc w:val="center"/>
              <w:rPr>
                <w:sz w:val="20"/>
              </w:rPr>
            </w:pPr>
            <w:r w:rsidRPr="00006FCB">
              <w:rPr>
                <w:sz w:val="20"/>
              </w:rPr>
              <w:t>5 (8.2)</w:t>
            </w:r>
          </w:p>
        </w:tc>
        <w:tc>
          <w:tcPr>
            <w:tcW w:w="1680" w:type="dxa"/>
            <w:tcBorders>
              <w:bottom w:val="single" w:sz="4" w:space="0" w:color="000000"/>
            </w:tcBorders>
            <w:vAlign w:val="center"/>
          </w:tcPr>
          <w:p w14:paraId="333CAE92" w14:textId="77777777" w:rsidR="00CC3D51" w:rsidRPr="00006FCB" w:rsidRDefault="00CC3D51" w:rsidP="00DF3913">
            <w:pPr>
              <w:pStyle w:val="TableParagraph"/>
              <w:keepNext/>
              <w:widowControl/>
              <w:ind w:left="0" w:right="31"/>
              <w:jc w:val="center"/>
              <w:rPr>
                <w:sz w:val="20"/>
              </w:rPr>
            </w:pPr>
            <w:r w:rsidRPr="00006FCB">
              <w:rPr>
                <w:sz w:val="20"/>
              </w:rPr>
              <w:t>3 (14.3)</w:t>
            </w:r>
          </w:p>
        </w:tc>
        <w:tc>
          <w:tcPr>
            <w:tcW w:w="1688" w:type="dxa"/>
            <w:tcBorders>
              <w:bottom w:val="single" w:sz="4" w:space="0" w:color="000000"/>
            </w:tcBorders>
            <w:vAlign w:val="center"/>
          </w:tcPr>
          <w:p w14:paraId="3A01EF15" w14:textId="77777777" w:rsidR="00CC3D51" w:rsidRPr="00006FCB" w:rsidRDefault="00CC3D51" w:rsidP="00DF3913">
            <w:pPr>
              <w:pStyle w:val="TableParagraph"/>
              <w:keepNext/>
              <w:widowControl/>
              <w:ind w:left="13" w:right="3"/>
              <w:jc w:val="center"/>
              <w:rPr>
                <w:sz w:val="20"/>
              </w:rPr>
            </w:pPr>
            <w:r w:rsidRPr="00006FCB">
              <w:rPr>
                <w:sz w:val="20"/>
              </w:rPr>
              <w:t>8 (10.0)</w:t>
            </w:r>
          </w:p>
        </w:tc>
        <w:tc>
          <w:tcPr>
            <w:tcW w:w="2032" w:type="dxa"/>
            <w:tcBorders>
              <w:bottom w:val="single" w:sz="4" w:space="0" w:color="000000"/>
            </w:tcBorders>
            <w:vAlign w:val="center"/>
          </w:tcPr>
          <w:p w14:paraId="773DBC83" w14:textId="77777777" w:rsidR="00CC3D51" w:rsidRPr="00006FCB" w:rsidRDefault="00CC3D51" w:rsidP="00DF3913">
            <w:pPr>
              <w:pStyle w:val="TableParagraph"/>
              <w:keepNext/>
              <w:widowControl/>
              <w:ind w:left="14" w:right="3"/>
              <w:jc w:val="center"/>
              <w:rPr>
                <w:sz w:val="20"/>
              </w:rPr>
            </w:pPr>
            <w:r w:rsidRPr="00006FCB">
              <w:rPr>
                <w:sz w:val="20"/>
              </w:rPr>
              <w:t>14 (17.5)</w:t>
            </w:r>
          </w:p>
        </w:tc>
      </w:tr>
      <w:tr w:rsidR="00CC3D51" w:rsidRPr="00006FCB" w14:paraId="49632C67" w14:textId="77777777" w:rsidTr="00FF58A4">
        <w:trPr>
          <w:trHeight w:val="236"/>
        </w:trPr>
        <w:tc>
          <w:tcPr>
            <w:tcW w:w="9120" w:type="dxa"/>
            <w:gridSpan w:val="5"/>
            <w:tcBorders>
              <w:right w:val="single" w:sz="4" w:space="0" w:color="auto"/>
            </w:tcBorders>
            <w:vAlign w:val="center"/>
          </w:tcPr>
          <w:p w14:paraId="42B23334" w14:textId="77777777" w:rsidR="00CC3D51" w:rsidRPr="00006FCB" w:rsidRDefault="00CC3D51" w:rsidP="00D64984">
            <w:pPr>
              <w:pStyle w:val="TableParagraph"/>
              <w:keepNext/>
              <w:widowControl/>
              <w:ind w:right="31"/>
              <w:rPr>
                <w:sz w:val="20"/>
              </w:rPr>
            </w:pPr>
            <w:r w:rsidRPr="00006FCB">
              <w:rPr>
                <w:spacing w:val="-2"/>
                <w:sz w:val="20"/>
              </w:rPr>
              <w:t>Severity</w:t>
            </w:r>
          </w:p>
        </w:tc>
      </w:tr>
      <w:tr w:rsidR="00CC3D51" w:rsidRPr="00006FCB" w14:paraId="00849F4F" w14:textId="77777777" w:rsidTr="00FF58A4">
        <w:trPr>
          <w:trHeight w:val="236"/>
        </w:trPr>
        <w:tc>
          <w:tcPr>
            <w:tcW w:w="2040" w:type="dxa"/>
            <w:vAlign w:val="center"/>
          </w:tcPr>
          <w:p w14:paraId="7CAB5570" w14:textId="77777777" w:rsidR="00CC3D51" w:rsidRPr="00006FCB" w:rsidRDefault="00CC3D51" w:rsidP="00D64984">
            <w:pPr>
              <w:pStyle w:val="TableParagraph"/>
              <w:keepNext/>
              <w:widowControl/>
              <w:ind w:left="278"/>
              <w:rPr>
                <w:sz w:val="20"/>
              </w:rPr>
            </w:pPr>
            <w:r w:rsidRPr="00006FCB">
              <w:rPr>
                <w:sz w:val="20"/>
              </w:rPr>
              <w:t>Grade</w:t>
            </w:r>
            <w:r w:rsidRPr="00006FCB">
              <w:rPr>
                <w:spacing w:val="-7"/>
                <w:sz w:val="20"/>
              </w:rPr>
              <w:t xml:space="preserve"> </w:t>
            </w:r>
            <w:r w:rsidRPr="00006FCB">
              <w:rPr>
                <w:spacing w:val="-10"/>
                <w:sz w:val="20"/>
              </w:rPr>
              <w:t>1</w:t>
            </w:r>
          </w:p>
        </w:tc>
        <w:tc>
          <w:tcPr>
            <w:tcW w:w="1680" w:type="dxa"/>
            <w:vAlign w:val="center"/>
          </w:tcPr>
          <w:p w14:paraId="53F9AAB7" w14:textId="77777777" w:rsidR="00CC3D51" w:rsidRPr="00006FCB" w:rsidRDefault="00CC3D51" w:rsidP="00DF3913">
            <w:pPr>
              <w:pStyle w:val="TableParagraph"/>
              <w:keepNext/>
              <w:widowControl/>
              <w:ind w:left="10" w:right="3"/>
              <w:jc w:val="center"/>
              <w:rPr>
                <w:sz w:val="20"/>
              </w:rPr>
            </w:pPr>
            <w:r w:rsidRPr="00006FCB">
              <w:rPr>
                <w:sz w:val="20"/>
              </w:rPr>
              <w:t>27 (44.3)</w:t>
            </w:r>
          </w:p>
        </w:tc>
        <w:tc>
          <w:tcPr>
            <w:tcW w:w="1680" w:type="dxa"/>
            <w:vAlign w:val="center"/>
          </w:tcPr>
          <w:p w14:paraId="2C17003B" w14:textId="77777777" w:rsidR="00CC3D51" w:rsidRPr="00006FCB" w:rsidRDefault="00CC3D51" w:rsidP="00DF3913">
            <w:pPr>
              <w:pStyle w:val="TableParagraph"/>
              <w:keepNext/>
              <w:widowControl/>
              <w:ind w:left="19" w:right="31"/>
              <w:jc w:val="center"/>
              <w:rPr>
                <w:sz w:val="20"/>
              </w:rPr>
            </w:pPr>
            <w:r w:rsidRPr="00006FCB">
              <w:rPr>
                <w:sz w:val="20"/>
              </w:rPr>
              <w:t>11 (52.4)</w:t>
            </w:r>
          </w:p>
        </w:tc>
        <w:tc>
          <w:tcPr>
            <w:tcW w:w="1688" w:type="dxa"/>
            <w:vAlign w:val="center"/>
          </w:tcPr>
          <w:p w14:paraId="0970916F" w14:textId="77777777" w:rsidR="00CC3D51" w:rsidRPr="00006FCB" w:rsidRDefault="00CC3D51" w:rsidP="00DF3913">
            <w:pPr>
              <w:pStyle w:val="TableParagraph"/>
              <w:keepNext/>
              <w:widowControl/>
              <w:ind w:left="13" w:right="3"/>
              <w:jc w:val="center"/>
              <w:rPr>
                <w:sz w:val="20"/>
              </w:rPr>
            </w:pPr>
            <w:r w:rsidRPr="00006FCB">
              <w:rPr>
                <w:sz w:val="20"/>
              </w:rPr>
              <w:t>37 (46.3)</w:t>
            </w:r>
          </w:p>
        </w:tc>
        <w:tc>
          <w:tcPr>
            <w:tcW w:w="2032" w:type="dxa"/>
            <w:vAlign w:val="center"/>
          </w:tcPr>
          <w:p w14:paraId="3E87F311" w14:textId="77777777" w:rsidR="00CC3D51" w:rsidRPr="00006FCB" w:rsidRDefault="00CC3D51" w:rsidP="00DF3913">
            <w:pPr>
              <w:pStyle w:val="TableParagraph"/>
              <w:keepNext/>
              <w:widowControl/>
              <w:ind w:left="14" w:right="3"/>
              <w:jc w:val="center"/>
              <w:rPr>
                <w:sz w:val="20"/>
              </w:rPr>
            </w:pPr>
            <w:r w:rsidRPr="00006FCB">
              <w:rPr>
                <w:sz w:val="20"/>
              </w:rPr>
              <w:t>36 (45.0)</w:t>
            </w:r>
          </w:p>
        </w:tc>
      </w:tr>
      <w:tr w:rsidR="00CC3D51" w:rsidRPr="00006FCB" w14:paraId="1887D057" w14:textId="77777777" w:rsidTr="00FF58A4">
        <w:trPr>
          <w:trHeight w:val="233"/>
        </w:trPr>
        <w:tc>
          <w:tcPr>
            <w:tcW w:w="2040" w:type="dxa"/>
            <w:vAlign w:val="center"/>
          </w:tcPr>
          <w:p w14:paraId="7AE03BCA" w14:textId="77777777" w:rsidR="00CC3D51" w:rsidRPr="00006FCB" w:rsidRDefault="00CC3D51" w:rsidP="00D64984">
            <w:pPr>
              <w:pStyle w:val="TableParagraph"/>
              <w:keepNext/>
              <w:widowControl/>
              <w:spacing w:line="208" w:lineRule="exact"/>
              <w:ind w:left="278"/>
              <w:rPr>
                <w:sz w:val="20"/>
              </w:rPr>
            </w:pPr>
            <w:r w:rsidRPr="00006FCB">
              <w:rPr>
                <w:sz w:val="20"/>
              </w:rPr>
              <w:t>Grade</w:t>
            </w:r>
            <w:r w:rsidRPr="00006FCB">
              <w:rPr>
                <w:spacing w:val="-7"/>
                <w:sz w:val="20"/>
              </w:rPr>
              <w:t xml:space="preserve"> </w:t>
            </w:r>
            <w:r w:rsidRPr="00006FCB">
              <w:rPr>
                <w:spacing w:val="-10"/>
                <w:sz w:val="20"/>
              </w:rPr>
              <w:t>2</w:t>
            </w:r>
          </w:p>
        </w:tc>
        <w:tc>
          <w:tcPr>
            <w:tcW w:w="1680" w:type="dxa"/>
            <w:vAlign w:val="center"/>
          </w:tcPr>
          <w:p w14:paraId="0762A707" w14:textId="77777777" w:rsidR="00CC3D51" w:rsidRPr="00006FCB" w:rsidRDefault="00CC3D51" w:rsidP="00DF3913">
            <w:pPr>
              <w:pStyle w:val="TableParagraph"/>
              <w:keepNext/>
              <w:widowControl/>
              <w:ind w:left="10" w:right="3"/>
              <w:jc w:val="center"/>
              <w:rPr>
                <w:sz w:val="20"/>
              </w:rPr>
            </w:pPr>
            <w:r w:rsidRPr="00006FCB">
              <w:rPr>
                <w:sz w:val="20"/>
              </w:rPr>
              <w:t>21 (34.4)</w:t>
            </w:r>
          </w:p>
        </w:tc>
        <w:tc>
          <w:tcPr>
            <w:tcW w:w="1680" w:type="dxa"/>
            <w:vAlign w:val="center"/>
          </w:tcPr>
          <w:p w14:paraId="6EAE731C" w14:textId="77777777" w:rsidR="00CC3D51" w:rsidRPr="00006FCB" w:rsidRDefault="00CC3D51" w:rsidP="00DF3913">
            <w:pPr>
              <w:pStyle w:val="TableParagraph"/>
              <w:keepNext/>
              <w:widowControl/>
              <w:ind w:left="19" w:right="31"/>
              <w:jc w:val="center"/>
              <w:rPr>
                <w:sz w:val="20"/>
              </w:rPr>
            </w:pPr>
            <w:r w:rsidRPr="00006FCB">
              <w:rPr>
                <w:sz w:val="20"/>
              </w:rPr>
              <w:t>9 (42.9)</w:t>
            </w:r>
          </w:p>
        </w:tc>
        <w:tc>
          <w:tcPr>
            <w:tcW w:w="1688" w:type="dxa"/>
            <w:vAlign w:val="center"/>
          </w:tcPr>
          <w:p w14:paraId="3582E286" w14:textId="77777777" w:rsidR="00CC3D51" w:rsidRPr="00006FCB" w:rsidRDefault="00CC3D51" w:rsidP="00DF3913">
            <w:pPr>
              <w:pStyle w:val="TableParagraph"/>
              <w:keepNext/>
              <w:widowControl/>
              <w:ind w:left="13" w:right="3"/>
              <w:jc w:val="center"/>
              <w:rPr>
                <w:sz w:val="20"/>
              </w:rPr>
            </w:pPr>
            <w:r w:rsidRPr="00006FCB">
              <w:rPr>
                <w:sz w:val="20"/>
              </w:rPr>
              <w:t>27 (33.8)</w:t>
            </w:r>
          </w:p>
        </w:tc>
        <w:tc>
          <w:tcPr>
            <w:tcW w:w="2032" w:type="dxa"/>
            <w:vAlign w:val="center"/>
          </w:tcPr>
          <w:p w14:paraId="7938F123" w14:textId="77777777" w:rsidR="00CC3D51" w:rsidRPr="00006FCB" w:rsidRDefault="00CC3D51" w:rsidP="00DF3913">
            <w:pPr>
              <w:pStyle w:val="TableParagraph"/>
              <w:keepNext/>
              <w:widowControl/>
              <w:ind w:left="14" w:right="3"/>
              <w:jc w:val="center"/>
              <w:rPr>
                <w:sz w:val="20"/>
              </w:rPr>
            </w:pPr>
            <w:r w:rsidRPr="00006FCB">
              <w:rPr>
                <w:sz w:val="20"/>
              </w:rPr>
              <w:t>29 (36.3)</w:t>
            </w:r>
          </w:p>
        </w:tc>
      </w:tr>
      <w:tr w:rsidR="00CC3D51" w:rsidRPr="00006FCB" w14:paraId="78B71B02" w14:textId="77777777" w:rsidTr="00FF58A4">
        <w:trPr>
          <w:trHeight w:val="236"/>
        </w:trPr>
        <w:tc>
          <w:tcPr>
            <w:tcW w:w="2040" w:type="dxa"/>
            <w:vAlign w:val="center"/>
          </w:tcPr>
          <w:p w14:paraId="2D506090" w14:textId="77777777" w:rsidR="00CC3D51" w:rsidRPr="00006FCB" w:rsidRDefault="00CC3D51" w:rsidP="00D64984">
            <w:pPr>
              <w:pStyle w:val="TableParagraph"/>
              <w:keepNext/>
              <w:widowControl/>
              <w:spacing w:line="211" w:lineRule="exact"/>
              <w:ind w:left="278"/>
              <w:rPr>
                <w:sz w:val="20"/>
              </w:rPr>
            </w:pPr>
            <w:r w:rsidRPr="00006FCB">
              <w:rPr>
                <w:sz w:val="20"/>
              </w:rPr>
              <w:t>Grade</w:t>
            </w:r>
            <w:r w:rsidRPr="00006FCB">
              <w:rPr>
                <w:spacing w:val="-7"/>
                <w:sz w:val="20"/>
              </w:rPr>
              <w:t xml:space="preserve"> </w:t>
            </w:r>
            <w:r w:rsidRPr="00006FCB">
              <w:rPr>
                <w:spacing w:val="-10"/>
                <w:sz w:val="20"/>
              </w:rPr>
              <w:t>3</w:t>
            </w:r>
          </w:p>
        </w:tc>
        <w:tc>
          <w:tcPr>
            <w:tcW w:w="1680" w:type="dxa"/>
            <w:vAlign w:val="center"/>
          </w:tcPr>
          <w:p w14:paraId="7F954EAC" w14:textId="77777777" w:rsidR="00CC3D51" w:rsidRPr="00006FCB" w:rsidRDefault="00CC3D51" w:rsidP="00DF3913">
            <w:pPr>
              <w:pStyle w:val="TableParagraph"/>
              <w:keepNext/>
              <w:widowControl/>
              <w:ind w:left="10" w:right="3"/>
              <w:jc w:val="center"/>
              <w:rPr>
                <w:sz w:val="20"/>
              </w:rPr>
            </w:pPr>
            <w:r w:rsidRPr="00006FCB">
              <w:rPr>
                <w:sz w:val="20"/>
              </w:rPr>
              <w:t>1 (1.6)</w:t>
            </w:r>
          </w:p>
        </w:tc>
        <w:tc>
          <w:tcPr>
            <w:tcW w:w="1680" w:type="dxa"/>
            <w:vAlign w:val="center"/>
          </w:tcPr>
          <w:p w14:paraId="1DF81EF0" w14:textId="77777777" w:rsidR="00CC3D51" w:rsidRPr="00006FCB" w:rsidRDefault="00CC3D51" w:rsidP="00DF3913">
            <w:pPr>
              <w:pStyle w:val="TableParagraph"/>
              <w:keepNext/>
              <w:widowControl/>
              <w:ind w:left="19" w:right="31"/>
              <w:jc w:val="center"/>
              <w:rPr>
                <w:sz w:val="20"/>
              </w:rPr>
            </w:pPr>
            <w:r w:rsidRPr="00006FCB">
              <w:rPr>
                <w:sz w:val="20"/>
              </w:rPr>
              <w:t>1 (4.8)</w:t>
            </w:r>
          </w:p>
        </w:tc>
        <w:tc>
          <w:tcPr>
            <w:tcW w:w="1688" w:type="dxa"/>
            <w:vAlign w:val="center"/>
          </w:tcPr>
          <w:p w14:paraId="52C799CE" w14:textId="77777777" w:rsidR="00CC3D51" w:rsidRPr="00006FCB" w:rsidRDefault="00CC3D51" w:rsidP="00DF3913">
            <w:pPr>
              <w:pStyle w:val="TableParagraph"/>
              <w:keepNext/>
              <w:widowControl/>
              <w:ind w:left="13" w:right="2"/>
              <w:jc w:val="center"/>
              <w:rPr>
                <w:sz w:val="20"/>
              </w:rPr>
            </w:pPr>
            <w:r w:rsidRPr="00006FCB">
              <w:rPr>
                <w:sz w:val="20"/>
              </w:rPr>
              <w:t>7 (8.8)</w:t>
            </w:r>
          </w:p>
        </w:tc>
        <w:tc>
          <w:tcPr>
            <w:tcW w:w="2032" w:type="dxa"/>
            <w:vAlign w:val="center"/>
          </w:tcPr>
          <w:p w14:paraId="4E644BA7" w14:textId="77777777" w:rsidR="00CC3D51" w:rsidRPr="00006FCB" w:rsidRDefault="00CC3D51" w:rsidP="00DF3913">
            <w:pPr>
              <w:pStyle w:val="TableParagraph"/>
              <w:keepNext/>
              <w:widowControl/>
              <w:ind w:left="14" w:right="3"/>
              <w:jc w:val="center"/>
              <w:rPr>
                <w:sz w:val="20"/>
              </w:rPr>
            </w:pPr>
            <w:r w:rsidRPr="00006FCB">
              <w:rPr>
                <w:sz w:val="20"/>
              </w:rPr>
              <w:t>9 (11.3)</w:t>
            </w:r>
          </w:p>
        </w:tc>
      </w:tr>
      <w:tr w:rsidR="00CC3D51" w:rsidRPr="00006FCB" w14:paraId="6A3D6169" w14:textId="77777777" w:rsidTr="00FF58A4">
        <w:trPr>
          <w:trHeight w:val="236"/>
        </w:trPr>
        <w:tc>
          <w:tcPr>
            <w:tcW w:w="2040" w:type="dxa"/>
            <w:vAlign w:val="center"/>
          </w:tcPr>
          <w:p w14:paraId="239417A9" w14:textId="77777777" w:rsidR="00CC3D51" w:rsidRPr="00006FCB" w:rsidRDefault="00CC3D51" w:rsidP="00D64984">
            <w:pPr>
              <w:pStyle w:val="TableParagraph"/>
              <w:keepNext/>
              <w:widowControl/>
              <w:ind w:left="278"/>
              <w:rPr>
                <w:sz w:val="20"/>
              </w:rPr>
            </w:pPr>
            <w:r w:rsidRPr="00006FCB">
              <w:rPr>
                <w:sz w:val="20"/>
              </w:rPr>
              <w:t>Grade</w:t>
            </w:r>
            <w:r w:rsidRPr="00006FCB">
              <w:rPr>
                <w:spacing w:val="-7"/>
                <w:sz w:val="20"/>
              </w:rPr>
              <w:t xml:space="preserve"> </w:t>
            </w:r>
            <w:r w:rsidRPr="00006FCB">
              <w:rPr>
                <w:spacing w:val="-10"/>
                <w:sz w:val="20"/>
              </w:rPr>
              <w:t>4</w:t>
            </w:r>
          </w:p>
        </w:tc>
        <w:tc>
          <w:tcPr>
            <w:tcW w:w="1680" w:type="dxa"/>
            <w:vAlign w:val="center"/>
          </w:tcPr>
          <w:p w14:paraId="035C72A9" w14:textId="77777777" w:rsidR="00CC3D51" w:rsidRPr="00006FCB" w:rsidRDefault="00CC3D51" w:rsidP="00DF3913">
            <w:pPr>
              <w:pStyle w:val="TableParagraph"/>
              <w:keepNext/>
              <w:widowControl/>
              <w:ind w:left="10" w:right="3"/>
              <w:jc w:val="center"/>
              <w:rPr>
                <w:sz w:val="20"/>
              </w:rPr>
            </w:pPr>
            <w:r w:rsidRPr="00006FCB">
              <w:rPr>
                <w:sz w:val="20"/>
              </w:rPr>
              <w:t>1 (1.6)</w:t>
            </w:r>
          </w:p>
        </w:tc>
        <w:tc>
          <w:tcPr>
            <w:tcW w:w="1680" w:type="dxa"/>
            <w:vAlign w:val="center"/>
          </w:tcPr>
          <w:p w14:paraId="0CA75CB8" w14:textId="77777777" w:rsidR="00CC3D51" w:rsidRPr="00006FCB" w:rsidRDefault="00CC3D51" w:rsidP="00DF3913">
            <w:pPr>
              <w:pStyle w:val="TableParagraph"/>
              <w:keepNext/>
              <w:widowControl/>
              <w:ind w:left="19" w:right="31"/>
              <w:jc w:val="center"/>
              <w:rPr>
                <w:sz w:val="20"/>
              </w:rPr>
            </w:pPr>
            <w:r w:rsidRPr="00006FCB">
              <w:rPr>
                <w:sz w:val="20"/>
              </w:rPr>
              <w:t>0</w:t>
            </w:r>
          </w:p>
        </w:tc>
        <w:tc>
          <w:tcPr>
            <w:tcW w:w="1688" w:type="dxa"/>
            <w:vAlign w:val="center"/>
          </w:tcPr>
          <w:p w14:paraId="0B9CAF7A" w14:textId="77777777" w:rsidR="00CC3D51" w:rsidRPr="00006FCB" w:rsidRDefault="00CC3D51" w:rsidP="00DF3913">
            <w:pPr>
              <w:pStyle w:val="TableParagraph"/>
              <w:keepNext/>
              <w:widowControl/>
              <w:ind w:left="13" w:right="2"/>
              <w:jc w:val="center"/>
              <w:rPr>
                <w:sz w:val="20"/>
              </w:rPr>
            </w:pPr>
            <w:r w:rsidRPr="00006FCB">
              <w:rPr>
                <w:sz w:val="20"/>
              </w:rPr>
              <w:t>1 (1.3)</w:t>
            </w:r>
          </w:p>
        </w:tc>
        <w:tc>
          <w:tcPr>
            <w:tcW w:w="2032" w:type="dxa"/>
            <w:vAlign w:val="center"/>
          </w:tcPr>
          <w:p w14:paraId="15048A61" w14:textId="77777777" w:rsidR="00CC3D51" w:rsidRPr="00006FCB" w:rsidRDefault="00CC3D51" w:rsidP="00DF3913">
            <w:pPr>
              <w:pStyle w:val="TableParagraph"/>
              <w:keepNext/>
              <w:widowControl/>
              <w:ind w:left="14" w:right="2"/>
              <w:jc w:val="center"/>
              <w:rPr>
                <w:sz w:val="20"/>
              </w:rPr>
            </w:pPr>
            <w:r w:rsidRPr="00006FCB">
              <w:rPr>
                <w:sz w:val="20"/>
              </w:rPr>
              <w:t>1 (1.3)</w:t>
            </w:r>
          </w:p>
        </w:tc>
      </w:tr>
      <w:tr w:rsidR="00CC3D51" w:rsidRPr="00006FCB" w14:paraId="40C6DD8C" w14:textId="77777777" w:rsidTr="00FF58A4">
        <w:trPr>
          <w:trHeight w:val="236"/>
        </w:trPr>
        <w:tc>
          <w:tcPr>
            <w:tcW w:w="2040" w:type="dxa"/>
            <w:vAlign w:val="center"/>
          </w:tcPr>
          <w:p w14:paraId="4FCEDF7F" w14:textId="77777777" w:rsidR="00CC3D51" w:rsidRPr="00006FCB" w:rsidRDefault="00CC3D51" w:rsidP="00D64984">
            <w:pPr>
              <w:pStyle w:val="TableParagraph"/>
              <w:keepNext/>
              <w:widowControl/>
              <w:rPr>
                <w:sz w:val="20"/>
              </w:rPr>
            </w:pPr>
            <w:r w:rsidRPr="00006FCB">
              <w:rPr>
                <w:spacing w:val="-2"/>
                <w:sz w:val="20"/>
              </w:rPr>
              <w:t>Related</w:t>
            </w:r>
            <w:r w:rsidRPr="00006FCB">
              <w:rPr>
                <w:spacing w:val="2"/>
                <w:sz w:val="20"/>
              </w:rPr>
              <w:t xml:space="preserve"> </w:t>
            </w:r>
            <w:r w:rsidRPr="00006FCB">
              <w:rPr>
                <w:spacing w:val="-4"/>
                <w:sz w:val="20"/>
              </w:rPr>
              <w:t>TEAE</w:t>
            </w:r>
          </w:p>
        </w:tc>
        <w:tc>
          <w:tcPr>
            <w:tcW w:w="1680" w:type="dxa"/>
            <w:vAlign w:val="center"/>
          </w:tcPr>
          <w:p w14:paraId="4E60E99F" w14:textId="77777777" w:rsidR="00CC3D51" w:rsidRPr="00006FCB" w:rsidRDefault="00CC3D51" w:rsidP="00DF3913">
            <w:pPr>
              <w:pStyle w:val="TableParagraph"/>
              <w:keepNext/>
              <w:widowControl/>
              <w:ind w:left="10" w:right="3"/>
              <w:jc w:val="center"/>
              <w:rPr>
                <w:sz w:val="20"/>
              </w:rPr>
            </w:pPr>
            <w:r w:rsidRPr="00006FCB">
              <w:rPr>
                <w:sz w:val="20"/>
              </w:rPr>
              <w:t>30 (49.2)</w:t>
            </w:r>
          </w:p>
        </w:tc>
        <w:tc>
          <w:tcPr>
            <w:tcW w:w="1680" w:type="dxa"/>
            <w:vAlign w:val="center"/>
          </w:tcPr>
          <w:p w14:paraId="76EF5479" w14:textId="77777777" w:rsidR="00CC3D51" w:rsidRPr="00006FCB" w:rsidRDefault="00CC3D51" w:rsidP="00DF3913">
            <w:pPr>
              <w:pStyle w:val="TableParagraph"/>
              <w:keepNext/>
              <w:widowControl/>
              <w:ind w:left="19" w:right="31"/>
              <w:jc w:val="center"/>
              <w:rPr>
                <w:sz w:val="20"/>
              </w:rPr>
            </w:pPr>
            <w:r w:rsidRPr="00006FCB">
              <w:rPr>
                <w:sz w:val="20"/>
              </w:rPr>
              <w:t>8 (38.1)</w:t>
            </w:r>
          </w:p>
        </w:tc>
        <w:tc>
          <w:tcPr>
            <w:tcW w:w="1688" w:type="dxa"/>
            <w:vAlign w:val="center"/>
          </w:tcPr>
          <w:p w14:paraId="56888C62" w14:textId="77777777" w:rsidR="00CC3D51" w:rsidRPr="00006FCB" w:rsidRDefault="00CC3D51" w:rsidP="00DF3913">
            <w:pPr>
              <w:pStyle w:val="TableParagraph"/>
              <w:keepNext/>
              <w:widowControl/>
              <w:ind w:left="13" w:right="3"/>
              <w:jc w:val="center"/>
              <w:rPr>
                <w:sz w:val="20"/>
              </w:rPr>
            </w:pPr>
            <w:r w:rsidRPr="00006FCB">
              <w:rPr>
                <w:sz w:val="20"/>
              </w:rPr>
              <w:t>42 (52.5)</w:t>
            </w:r>
          </w:p>
        </w:tc>
        <w:tc>
          <w:tcPr>
            <w:tcW w:w="2032" w:type="dxa"/>
            <w:vAlign w:val="center"/>
          </w:tcPr>
          <w:p w14:paraId="4F7E7121" w14:textId="77777777" w:rsidR="00CC3D51" w:rsidRPr="00006FCB" w:rsidRDefault="00CC3D51" w:rsidP="00DF3913">
            <w:pPr>
              <w:pStyle w:val="TableParagraph"/>
              <w:keepNext/>
              <w:widowControl/>
              <w:ind w:left="14" w:right="3"/>
              <w:jc w:val="center"/>
              <w:rPr>
                <w:sz w:val="20"/>
              </w:rPr>
            </w:pPr>
            <w:r w:rsidRPr="00006FCB">
              <w:rPr>
                <w:sz w:val="20"/>
              </w:rPr>
              <w:t>44 (55.0)</w:t>
            </w:r>
          </w:p>
        </w:tc>
      </w:tr>
      <w:tr w:rsidR="00CC3D51" w:rsidRPr="00006FCB" w14:paraId="6FA9BEAD" w14:textId="77777777" w:rsidTr="00FF58A4">
        <w:trPr>
          <w:trHeight w:val="233"/>
        </w:trPr>
        <w:tc>
          <w:tcPr>
            <w:tcW w:w="2040" w:type="dxa"/>
            <w:vAlign w:val="center"/>
          </w:tcPr>
          <w:p w14:paraId="282E268B" w14:textId="77777777" w:rsidR="00CC3D51" w:rsidRPr="00006FCB" w:rsidRDefault="00CC3D51" w:rsidP="00D64984">
            <w:pPr>
              <w:pStyle w:val="TableParagraph"/>
              <w:keepNext/>
              <w:widowControl/>
              <w:spacing w:line="208" w:lineRule="exact"/>
              <w:rPr>
                <w:sz w:val="20"/>
              </w:rPr>
            </w:pPr>
            <w:r w:rsidRPr="00006FCB">
              <w:rPr>
                <w:sz w:val="20"/>
              </w:rPr>
              <w:t>Serious</w:t>
            </w:r>
            <w:r w:rsidRPr="00006FCB">
              <w:rPr>
                <w:spacing w:val="-11"/>
                <w:sz w:val="20"/>
              </w:rPr>
              <w:t xml:space="preserve"> </w:t>
            </w:r>
            <w:r w:rsidRPr="00006FCB">
              <w:rPr>
                <w:sz w:val="20"/>
              </w:rPr>
              <w:t>related</w:t>
            </w:r>
            <w:r w:rsidRPr="00006FCB">
              <w:rPr>
                <w:spacing w:val="-10"/>
                <w:sz w:val="20"/>
              </w:rPr>
              <w:t xml:space="preserve"> </w:t>
            </w:r>
            <w:r w:rsidRPr="00006FCB">
              <w:rPr>
                <w:spacing w:val="-4"/>
                <w:sz w:val="20"/>
              </w:rPr>
              <w:t>TEAE</w:t>
            </w:r>
          </w:p>
        </w:tc>
        <w:tc>
          <w:tcPr>
            <w:tcW w:w="1680" w:type="dxa"/>
            <w:vAlign w:val="center"/>
          </w:tcPr>
          <w:p w14:paraId="0D895E71" w14:textId="77777777" w:rsidR="00CC3D51" w:rsidRPr="00006FCB" w:rsidRDefault="00CC3D51" w:rsidP="00DF3913">
            <w:pPr>
              <w:pStyle w:val="TableParagraph"/>
              <w:keepNext/>
              <w:widowControl/>
              <w:ind w:left="10" w:right="3"/>
              <w:jc w:val="center"/>
              <w:rPr>
                <w:sz w:val="20"/>
              </w:rPr>
            </w:pPr>
            <w:r w:rsidRPr="00006FCB">
              <w:rPr>
                <w:sz w:val="20"/>
              </w:rPr>
              <w:t>1 (1.6)</w:t>
            </w:r>
          </w:p>
        </w:tc>
        <w:tc>
          <w:tcPr>
            <w:tcW w:w="1680" w:type="dxa"/>
            <w:vAlign w:val="center"/>
          </w:tcPr>
          <w:p w14:paraId="69F8D483" w14:textId="77777777" w:rsidR="00CC3D51" w:rsidRPr="00006FCB" w:rsidRDefault="00CC3D51" w:rsidP="00DF3913">
            <w:pPr>
              <w:pStyle w:val="TableParagraph"/>
              <w:keepNext/>
              <w:widowControl/>
              <w:ind w:left="19" w:right="31"/>
              <w:jc w:val="center"/>
              <w:rPr>
                <w:sz w:val="20"/>
              </w:rPr>
            </w:pPr>
            <w:r w:rsidRPr="00006FCB">
              <w:rPr>
                <w:sz w:val="20"/>
              </w:rPr>
              <w:t>0</w:t>
            </w:r>
          </w:p>
        </w:tc>
        <w:tc>
          <w:tcPr>
            <w:tcW w:w="1688" w:type="dxa"/>
            <w:vAlign w:val="center"/>
          </w:tcPr>
          <w:p w14:paraId="09FDA007" w14:textId="77777777" w:rsidR="00CC3D51" w:rsidRPr="00006FCB" w:rsidRDefault="00CC3D51" w:rsidP="00DF3913">
            <w:pPr>
              <w:pStyle w:val="TableParagraph"/>
              <w:keepNext/>
              <w:widowControl/>
              <w:ind w:left="13" w:right="2"/>
              <w:jc w:val="center"/>
              <w:rPr>
                <w:sz w:val="20"/>
              </w:rPr>
            </w:pPr>
            <w:r w:rsidRPr="00006FCB">
              <w:rPr>
                <w:sz w:val="20"/>
              </w:rPr>
              <w:t>2 (2.5)</w:t>
            </w:r>
          </w:p>
        </w:tc>
        <w:tc>
          <w:tcPr>
            <w:tcW w:w="2032" w:type="dxa"/>
            <w:vAlign w:val="center"/>
          </w:tcPr>
          <w:p w14:paraId="61F0D860" w14:textId="77777777" w:rsidR="00CC3D51" w:rsidRPr="00006FCB" w:rsidRDefault="00CC3D51" w:rsidP="00DF3913">
            <w:pPr>
              <w:pStyle w:val="TableParagraph"/>
              <w:keepNext/>
              <w:widowControl/>
              <w:ind w:left="14" w:right="2"/>
              <w:jc w:val="center"/>
              <w:rPr>
                <w:sz w:val="20"/>
              </w:rPr>
            </w:pPr>
            <w:r w:rsidRPr="00006FCB">
              <w:rPr>
                <w:sz w:val="20"/>
              </w:rPr>
              <w:t>2 (2.5)</w:t>
            </w:r>
          </w:p>
        </w:tc>
      </w:tr>
      <w:tr w:rsidR="00CC3D51" w:rsidRPr="00006FCB" w14:paraId="0242DDD0" w14:textId="77777777" w:rsidTr="00FF58A4">
        <w:trPr>
          <w:trHeight w:val="709"/>
        </w:trPr>
        <w:tc>
          <w:tcPr>
            <w:tcW w:w="2040" w:type="dxa"/>
            <w:vAlign w:val="center"/>
          </w:tcPr>
          <w:p w14:paraId="5E04F0F3" w14:textId="77777777" w:rsidR="00CC3D51" w:rsidRPr="00006FCB" w:rsidRDefault="00CC3D51" w:rsidP="00D64984">
            <w:pPr>
              <w:pStyle w:val="TableParagraph"/>
              <w:keepNext/>
              <w:widowControl/>
              <w:spacing w:line="230" w:lineRule="exact"/>
              <w:ind w:right="8"/>
              <w:rPr>
                <w:sz w:val="20"/>
              </w:rPr>
            </w:pPr>
            <w:r w:rsidRPr="00006FCB">
              <w:rPr>
                <w:sz w:val="20"/>
              </w:rPr>
              <w:t>TEAE</w:t>
            </w:r>
            <w:r w:rsidRPr="00006FCB">
              <w:rPr>
                <w:spacing w:val="-10"/>
                <w:sz w:val="20"/>
              </w:rPr>
              <w:t xml:space="preserve"> </w:t>
            </w:r>
            <w:r w:rsidRPr="00006FCB">
              <w:rPr>
                <w:sz w:val="20"/>
              </w:rPr>
              <w:t>related</w:t>
            </w:r>
            <w:r w:rsidRPr="00006FCB">
              <w:rPr>
                <w:spacing w:val="-8"/>
                <w:sz w:val="20"/>
              </w:rPr>
              <w:t xml:space="preserve"> </w:t>
            </w:r>
            <w:r w:rsidRPr="00006FCB">
              <w:rPr>
                <w:sz w:val="20"/>
              </w:rPr>
              <w:t>to</w:t>
            </w:r>
            <w:r w:rsidRPr="00006FCB">
              <w:rPr>
                <w:spacing w:val="-8"/>
                <w:sz w:val="20"/>
              </w:rPr>
              <w:t xml:space="preserve"> </w:t>
            </w:r>
            <w:r w:rsidRPr="00006FCB">
              <w:rPr>
                <w:sz w:val="20"/>
              </w:rPr>
              <w:t>hyper-</w:t>
            </w:r>
            <w:r w:rsidRPr="00006FCB">
              <w:rPr>
                <w:spacing w:val="-8"/>
                <w:sz w:val="20"/>
              </w:rPr>
              <w:t xml:space="preserve"> </w:t>
            </w:r>
            <w:r w:rsidRPr="00006FCB">
              <w:rPr>
                <w:sz w:val="20"/>
              </w:rPr>
              <w:t>or</w:t>
            </w:r>
            <w:r w:rsidRPr="00006FCB">
              <w:rPr>
                <w:spacing w:val="-7"/>
                <w:sz w:val="20"/>
              </w:rPr>
              <w:t xml:space="preserve"> </w:t>
            </w:r>
            <w:proofErr w:type="spellStart"/>
            <w:r w:rsidRPr="00006FCB">
              <w:rPr>
                <w:sz w:val="20"/>
              </w:rPr>
              <w:t>hypocalcaemia</w:t>
            </w:r>
            <w:proofErr w:type="spellEnd"/>
            <w:r w:rsidRPr="00006FCB">
              <w:rPr>
                <w:sz w:val="20"/>
              </w:rPr>
              <w:t xml:space="preserve"> leading to ER/urgent care visit and/or </w:t>
            </w:r>
            <w:proofErr w:type="spellStart"/>
            <w:r w:rsidRPr="00006FCB">
              <w:rPr>
                <w:spacing w:val="-2"/>
                <w:sz w:val="20"/>
              </w:rPr>
              <w:t>hospitalisation</w:t>
            </w:r>
            <w:proofErr w:type="spellEnd"/>
          </w:p>
        </w:tc>
        <w:tc>
          <w:tcPr>
            <w:tcW w:w="1680" w:type="dxa"/>
            <w:vAlign w:val="center"/>
          </w:tcPr>
          <w:p w14:paraId="7E9C8F16" w14:textId="77777777" w:rsidR="00CC3D51" w:rsidRPr="00006FCB" w:rsidRDefault="00CC3D51" w:rsidP="00DF3913">
            <w:pPr>
              <w:pStyle w:val="TableParagraph"/>
              <w:keepNext/>
              <w:widowControl/>
              <w:ind w:left="10" w:right="3"/>
              <w:jc w:val="center"/>
              <w:rPr>
                <w:sz w:val="20"/>
              </w:rPr>
            </w:pPr>
            <w:r w:rsidRPr="00006FCB">
              <w:rPr>
                <w:sz w:val="20"/>
              </w:rPr>
              <w:t>4 (6.6)</w:t>
            </w:r>
          </w:p>
        </w:tc>
        <w:tc>
          <w:tcPr>
            <w:tcW w:w="1680" w:type="dxa"/>
            <w:vAlign w:val="center"/>
          </w:tcPr>
          <w:p w14:paraId="572A4603" w14:textId="77777777" w:rsidR="00CC3D51" w:rsidRPr="00006FCB" w:rsidRDefault="00CC3D51" w:rsidP="00DF3913">
            <w:pPr>
              <w:pStyle w:val="TableParagraph"/>
              <w:keepNext/>
              <w:widowControl/>
              <w:ind w:left="19" w:right="31"/>
              <w:jc w:val="center"/>
              <w:rPr>
                <w:sz w:val="20"/>
              </w:rPr>
            </w:pPr>
            <w:r w:rsidRPr="00006FCB">
              <w:rPr>
                <w:sz w:val="20"/>
              </w:rPr>
              <w:t>2 (9.5)</w:t>
            </w:r>
          </w:p>
        </w:tc>
        <w:tc>
          <w:tcPr>
            <w:tcW w:w="1688" w:type="dxa"/>
            <w:vAlign w:val="center"/>
          </w:tcPr>
          <w:p w14:paraId="0BCCC738" w14:textId="77777777" w:rsidR="00CC3D51" w:rsidRPr="00006FCB" w:rsidRDefault="00CC3D51" w:rsidP="00DF3913">
            <w:pPr>
              <w:pStyle w:val="TableParagraph"/>
              <w:keepNext/>
              <w:widowControl/>
              <w:ind w:left="13" w:right="2"/>
              <w:jc w:val="center"/>
              <w:rPr>
                <w:sz w:val="20"/>
              </w:rPr>
            </w:pPr>
            <w:r w:rsidRPr="00006FCB">
              <w:rPr>
                <w:sz w:val="20"/>
              </w:rPr>
              <w:t>6 (7.5)</w:t>
            </w:r>
          </w:p>
        </w:tc>
        <w:tc>
          <w:tcPr>
            <w:tcW w:w="2032" w:type="dxa"/>
            <w:vAlign w:val="center"/>
          </w:tcPr>
          <w:p w14:paraId="4A0378EC" w14:textId="77777777" w:rsidR="00CC3D51" w:rsidRPr="00006FCB" w:rsidRDefault="00CC3D51" w:rsidP="00DF3913">
            <w:pPr>
              <w:pStyle w:val="TableParagraph"/>
              <w:keepNext/>
              <w:widowControl/>
              <w:ind w:left="14" w:right="2"/>
              <w:jc w:val="center"/>
              <w:rPr>
                <w:sz w:val="20"/>
              </w:rPr>
            </w:pPr>
            <w:r w:rsidRPr="00006FCB">
              <w:rPr>
                <w:sz w:val="20"/>
              </w:rPr>
              <w:t>6 (7.5)</w:t>
            </w:r>
          </w:p>
        </w:tc>
      </w:tr>
      <w:tr w:rsidR="00CC3D51" w:rsidRPr="00006FCB" w14:paraId="764A94A9" w14:textId="77777777" w:rsidTr="00FF58A4">
        <w:trPr>
          <w:trHeight w:val="233"/>
        </w:trPr>
        <w:tc>
          <w:tcPr>
            <w:tcW w:w="2040" w:type="dxa"/>
            <w:vAlign w:val="center"/>
          </w:tcPr>
          <w:p w14:paraId="5A443380" w14:textId="77777777" w:rsidR="00CC3D51" w:rsidRPr="00006FCB" w:rsidRDefault="00CC3D51" w:rsidP="00D64984">
            <w:pPr>
              <w:pStyle w:val="TableParagraph"/>
              <w:keepNext/>
              <w:widowControl/>
              <w:spacing w:line="208" w:lineRule="exact"/>
              <w:rPr>
                <w:sz w:val="20"/>
              </w:rPr>
            </w:pPr>
            <w:r w:rsidRPr="00006FCB">
              <w:rPr>
                <w:sz w:val="20"/>
              </w:rPr>
              <w:t>TEAE</w:t>
            </w:r>
            <w:r w:rsidRPr="00006FCB">
              <w:rPr>
                <w:spacing w:val="-7"/>
                <w:sz w:val="20"/>
              </w:rPr>
              <w:t xml:space="preserve"> </w:t>
            </w:r>
            <w:r w:rsidRPr="00006FCB">
              <w:rPr>
                <w:sz w:val="20"/>
              </w:rPr>
              <w:t>leading</w:t>
            </w:r>
            <w:r w:rsidRPr="00006FCB">
              <w:rPr>
                <w:spacing w:val="-8"/>
                <w:sz w:val="20"/>
              </w:rPr>
              <w:t xml:space="preserve"> </w:t>
            </w:r>
            <w:r w:rsidRPr="00006FCB">
              <w:rPr>
                <w:sz w:val="20"/>
              </w:rPr>
              <w:t>to</w:t>
            </w:r>
            <w:r w:rsidRPr="00006FCB">
              <w:rPr>
                <w:spacing w:val="-7"/>
                <w:sz w:val="20"/>
              </w:rPr>
              <w:t xml:space="preserve"> </w:t>
            </w:r>
            <w:r w:rsidRPr="00006FCB">
              <w:rPr>
                <w:sz w:val="20"/>
              </w:rPr>
              <w:t>discontinuation</w:t>
            </w:r>
            <w:r w:rsidRPr="00006FCB">
              <w:rPr>
                <w:spacing w:val="-6"/>
                <w:sz w:val="20"/>
              </w:rPr>
              <w:t xml:space="preserve"> </w:t>
            </w:r>
            <w:r w:rsidRPr="00006FCB">
              <w:rPr>
                <w:sz w:val="20"/>
              </w:rPr>
              <w:t>of</w:t>
            </w:r>
            <w:r w:rsidRPr="00006FCB">
              <w:rPr>
                <w:spacing w:val="-8"/>
                <w:sz w:val="20"/>
              </w:rPr>
              <w:t xml:space="preserve"> </w:t>
            </w:r>
            <w:r w:rsidRPr="00006FCB">
              <w:rPr>
                <w:sz w:val="20"/>
              </w:rPr>
              <w:t>study</w:t>
            </w:r>
            <w:r w:rsidRPr="00006FCB">
              <w:rPr>
                <w:spacing w:val="-9"/>
                <w:sz w:val="20"/>
              </w:rPr>
              <w:t xml:space="preserve"> </w:t>
            </w:r>
            <w:r w:rsidRPr="00006FCB">
              <w:rPr>
                <w:spacing w:val="-4"/>
                <w:sz w:val="20"/>
              </w:rPr>
              <w:t>drug</w:t>
            </w:r>
          </w:p>
        </w:tc>
        <w:tc>
          <w:tcPr>
            <w:tcW w:w="1680" w:type="dxa"/>
            <w:vAlign w:val="center"/>
          </w:tcPr>
          <w:p w14:paraId="0578A586" w14:textId="77777777" w:rsidR="00CC3D51" w:rsidRPr="00006FCB" w:rsidRDefault="00CC3D51" w:rsidP="00DF3913">
            <w:pPr>
              <w:pStyle w:val="TableParagraph"/>
              <w:keepNext/>
              <w:widowControl/>
              <w:spacing w:line="208" w:lineRule="exact"/>
              <w:ind w:left="10"/>
              <w:jc w:val="center"/>
              <w:rPr>
                <w:sz w:val="13"/>
              </w:rPr>
            </w:pPr>
            <w:r w:rsidRPr="00006FCB">
              <w:rPr>
                <w:sz w:val="20"/>
              </w:rPr>
              <w:t>1</w:t>
            </w:r>
            <w:r w:rsidRPr="00006FCB">
              <w:rPr>
                <w:spacing w:val="-2"/>
                <w:sz w:val="20"/>
              </w:rPr>
              <w:t xml:space="preserve"> (1.6)</w:t>
            </w:r>
          </w:p>
        </w:tc>
        <w:tc>
          <w:tcPr>
            <w:tcW w:w="1680" w:type="dxa"/>
            <w:vAlign w:val="center"/>
          </w:tcPr>
          <w:p w14:paraId="0072BF01" w14:textId="77777777" w:rsidR="00CC3D51" w:rsidRPr="00006FCB" w:rsidRDefault="00CC3D51" w:rsidP="00DF3913">
            <w:pPr>
              <w:pStyle w:val="TableParagraph"/>
              <w:keepNext/>
              <w:widowControl/>
              <w:spacing w:line="208" w:lineRule="exact"/>
              <w:ind w:left="19" w:right="31"/>
              <w:jc w:val="center"/>
              <w:rPr>
                <w:sz w:val="20"/>
              </w:rPr>
            </w:pPr>
            <w:r w:rsidRPr="00006FCB">
              <w:rPr>
                <w:sz w:val="20"/>
              </w:rPr>
              <w:t>2</w:t>
            </w:r>
            <w:r w:rsidRPr="00006FCB">
              <w:rPr>
                <w:spacing w:val="-2"/>
                <w:sz w:val="20"/>
              </w:rPr>
              <w:t xml:space="preserve"> (9.5)</w:t>
            </w:r>
          </w:p>
        </w:tc>
        <w:tc>
          <w:tcPr>
            <w:tcW w:w="1688" w:type="dxa"/>
            <w:vAlign w:val="center"/>
          </w:tcPr>
          <w:p w14:paraId="4D163B1D" w14:textId="77777777" w:rsidR="00CC3D51" w:rsidRPr="00006FCB" w:rsidRDefault="00CC3D51" w:rsidP="00DF3913">
            <w:pPr>
              <w:pStyle w:val="TableParagraph"/>
              <w:keepNext/>
              <w:widowControl/>
              <w:spacing w:line="208" w:lineRule="exact"/>
              <w:ind w:left="13" w:right="2"/>
              <w:jc w:val="center"/>
              <w:rPr>
                <w:sz w:val="20"/>
              </w:rPr>
            </w:pPr>
            <w:r w:rsidRPr="00006FCB">
              <w:rPr>
                <w:sz w:val="20"/>
              </w:rPr>
              <w:t>1</w:t>
            </w:r>
            <w:r w:rsidRPr="00006FCB">
              <w:rPr>
                <w:spacing w:val="-2"/>
                <w:sz w:val="20"/>
              </w:rPr>
              <w:t xml:space="preserve"> (1.3)</w:t>
            </w:r>
          </w:p>
        </w:tc>
        <w:tc>
          <w:tcPr>
            <w:tcW w:w="2032" w:type="dxa"/>
            <w:vAlign w:val="center"/>
          </w:tcPr>
          <w:p w14:paraId="68E6B8C0" w14:textId="77777777" w:rsidR="00CC3D51" w:rsidRPr="00006FCB" w:rsidRDefault="00CC3D51" w:rsidP="00DF3913">
            <w:pPr>
              <w:pStyle w:val="TableParagraph"/>
              <w:keepNext/>
              <w:widowControl/>
              <w:spacing w:line="208" w:lineRule="exact"/>
              <w:ind w:left="14" w:right="5"/>
              <w:jc w:val="center"/>
              <w:rPr>
                <w:sz w:val="20"/>
              </w:rPr>
            </w:pPr>
            <w:r w:rsidRPr="00006FCB">
              <w:rPr>
                <w:spacing w:val="-5"/>
                <w:sz w:val="20"/>
              </w:rPr>
              <w:t>NA</w:t>
            </w:r>
          </w:p>
        </w:tc>
      </w:tr>
      <w:tr w:rsidR="00CC3D51" w:rsidRPr="00006FCB" w14:paraId="24FB0463" w14:textId="77777777" w:rsidTr="00FF58A4">
        <w:trPr>
          <w:trHeight w:val="236"/>
        </w:trPr>
        <w:tc>
          <w:tcPr>
            <w:tcW w:w="2040" w:type="dxa"/>
            <w:vAlign w:val="center"/>
          </w:tcPr>
          <w:p w14:paraId="2635FB5A" w14:textId="77777777" w:rsidR="00CC3D51" w:rsidRPr="00006FCB" w:rsidRDefault="00CC3D51" w:rsidP="00D64984">
            <w:pPr>
              <w:pStyle w:val="TableParagraph"/>
              <w:keepNext/>
              <w:widowControl/>
              <w:rPr>
                <w:sz w:val="20"/>
              </w:rPr>
            </w:pPr>
            <w:r w:rsidRPr="00006FCB">
              <w:rPr>
                <w:sz w:val="20"/>
              </w:rPr>
              <w:t>TEAE</w:t>
            </w:r>
            <w:r w:rsidRPr="00006FCB">
              <w:rPr>
                <w:spacing w:val="-8"/>
                <w:sz w:val="20"/>
              </w:rPr>
              <w:t xml:space="preserve"> </w:t>
            </w:r>
            <w:r w:rsidRPr="00006FCB">
              <w:rPr>
                <w:sz w:val="20"/>
              </w:rPr>
              <w:t>leading</w:t>
            </w:r>
            <w:r w:rsidRPr="00006FCB">
              <w:rPr>
                <w:spacing w:val="-8"/>
                <w:sz w:val="20"/>
              </w:rPr>
              <w:t xml:space="preserve"> </w:t>
            </w:r>
            <w:r w:rsidRPr="00006FCB">
              <w:rPr>
                <w:sz w:val="20"/>
              </w:rPr>
              <w:t>to</w:t>
            </w:r>
            <w:r w:rsidRPr="00006FCB">
              <w:rPr>
                <w:spacing w:val="-8"/>
                <w:sz w:val="20"/>
              </w:rPr>
              <w:t xml:space="preserve"> </w:t>
            </w:r>
            <w:r w:rsidRPr="00006FCB">
              <w:rPr>
                <w:sz w:val="20"/>
              </w:rPr>
              <w:t>discontinuation</w:t>
            </w:r>
            <w:r w:rsidRPr="00006FCB">
              <w:rPr>
                <w:spacing w:val="-6"/>
                <w:sz w:val="20"/>
              </w:rPr>
              <w:t xml:space="preserve"> </w:t>
            </w:r>
            <w:r w:rsidRPr="00006FCB">
              <w:rPr>
                <w:sz w:val="20"/>
              </w:rPr>
              <w:t>of</w:t>
            </w:r>
            <w:r w:rsidRPr="00006FCB">
              <w:rPr>
                <w:spacing w:val="-8"/>
                <w:sz w:val="20"/>
              </w:rPr>
              <w:t xml:space="preserve"> </w:t>
            </w:r>
            <w:r w:rsidRPr="00006FCB">
              <w:rPr>
                <w:spacing w:val="-2"/>
                <w:sz w:val="20"/>
              </w:rPr>
              <w:t>trial</w:t>
            </w:r>
          </w:p>
        </w:tc>
        <w:tc>
          <w:tcPr>
            <w:tcW w:w="1680" w:type="dxa"/>
            <w:vAlign w:val="center"/>
          </w:tcPr>
          <w:p w14:paraId="7FF86B28" w14:textId="77777777" w:rsidR="00CC3D51" w:rsidRPr="00006FCB" w:rsidRDefault="00CC3D51" w:rsidP="00DF3913">
            <w:pPr>
              <w:pStyle w:val="TableParagraph"/>
              <w:keepNext/>
              <w:widowControl/>
              <w:ind w:left="10"/>
              <w:jc w:val="center"/>
              <w:rPr>
                <w:sz w:val="13"/>
              </w:rPr>
            </w:pPr>
            <w:r w:rsidRPr="00006FCB">
              <w:rPr>
                <w:sz w:val="20"/>
              </w:rPr>
              <w:t>1</w:t>
            </w:r>
            <w:r w:rsidRPr="00006FCB">
              <w:rPr>
                <w:spacing w:val="-2"/>
                <w:sz w:val="20"/>
              </w:rPr>
              <w:t xml:space="preserve"> (1.6)</w:t>
            </w:r>
          </w:p>
        </w:tc>
        <w:tc>
          <w:tcPr>
            <w:tcW w:w="1680" w:type="dxa"/>
            <w:vAlign w:val="center"/>
          </w:tcPr>
          <w:p w14:paraId="7833D7F6" w14:textId="77777777" w:rsidR="00CC3D51" w:rsidRPr="00006FCB" w:rsidRDefault="00CC3D51" w:rsidP="00DF3913">
            <w:pPr>
              <w:pStyle w:val="TableParagraph"/>
              <w:keepNext/>
              <w:widowControl/>
              <w:ind w:left="19" w:right="31"/>
              <w:jc w:val="center"/>
              <w:rPr>
                <w:sz w:val="20"/>
              </w:rPr>
            </w:pPr>
            <w:r w:rsidRPr="00006FCB">
              <w:rPr>
                <w:sz w:val="20"/>
              </w:rPr>
              <w:t>1</w:t>
            </w:r>
            <w:r w:rsidRPr="00006FCB">
              <w:rPr>
                <w:spacing w:val="-2"/>
                <w:sz w:val="20"/>
              </w:rPr>
              <w:t xml:space="preserve"> (4.8)</w:t>
            </w:r>
          </w:p>
        </w:tc>
        <w:tc>
          <w:tcPr>
            <w:tcW w:w="1688" w:type="dxa"/>
            <w:vAlign w:val="center"/>
          </w:tcPr>
          <w:p w14:paraId="77F0F113" w14:textId="77777777" w:rsidR="00CC3D51" w:rsidRPr="00006FCB" w:rsidRDefault="00CC3D51" w:rsidP="00DF3913">
            <w:pPr>
              <w:pStyle w:val="TableParagraph"/>
              <w:keepNext/>
              <w:widowControl/>
              <w:ind w:left="13" w:right="6"/>
              <w:jc w:val="center"/>
              <w:rPr>
                <w:sz w:val="20"/>
              </w:rPr>
            </w:pPr>
            <w:r w:rsidRPr="00006FCB">
              <w:rPr>
                <w:spacing w:val="-5"/>
                <w:sz w:val="20"/>
              </w:rPr>
              <w:t>NR</w:t>
            </w:r>
          </w:p>
        </w:tc>
        <w:tc>
          <w:tcPr>
            <w:tcW w:w="2032" w:type="dxa"/>
            <w:vAlign w:val="center"/>
          </w:tcPr>
          <w:p w14:paraId="715D57B7" w14:textId="77777777" w:rsidR="00CC3D51" w:rsidRPr="00006FCB" w:rsidRDefault="00CC3D51" w:rsidP="00DF3913">
            <w:pPr>
              <w:pStyle w:val="TableParagraph"/>
              <w:keepNext/>
              <w:widowControl/>
              <w:ind w:left="14" w:right="2"/>
              <w:jc w:val="center"/>
              <w:rPr>
                <w:sz w:val="20"/>
              </w:rPr>
            </w:pPr>
            <w:r w:rsidRPr="00006FCB">
              <w:rPr>
                <w:sz w:val="20"/>
              </w:rPr>
              <w:t>1</w:t>
            </w:r>
            <w:r w:rsidRPr="00006FCB">
              <w:rPr>
                <w:spacing w:val="-2"/>
                <w:sz w:val="20"/>
              </w:rPr>
              <w:t xml:space="preserve"> (1.3)</w:t>
            </w:r>
          </w:p>
        </w:tc>
      </w:tr>
      <w:tr w:rsidR="00CC3D51" w:rsidRPr="00006FCB" w14:paraId="51553472" w14:textId="77777777" w:rsidTr="00FF58A4">
        <w:trPr>
          <w:trHeight w:val="236"/>
        </w:trPr>
        <w:tc>
          <w:tcPr>
            <w:tcW w:w="2040" w:type="dxa"/>
            <w:vAlign w:val="center"/>
          </w:tcPr>
          <w:p w14:paraId="4CE41C03" w14:textId="77777777" w:rsidR="00CC3D51" w:rsidRPr="00006FCB" w:rsidRDefault="00CC3D51" w:rsidP="00D64984">
            <w:pPr>
              <w:pStyle w:val="TableParagraph"/>
              <w:keepNext/>
              <w:widowControl/>
              <w:rPr>
                <w:sz w:val="20"/>
              </w:rPr>
            </w:pPr>
            <w:r w:rsidRPr="00006FCB">
              <w:rPr>
                <w:sz w:val="20"/>
              </w:rPr>
              <w:t>TEAE</w:t>
            </w:r>
            <w:r w:rsidRPr="00006FCB">
              <w:rPr>
                <w:spacing w:val="-6"/>
                <w:sz w:val="20"/>
              </w:rPr>
              <w:t xml:space="preserve"> </w:t>
            </w:r>
            <w:r w:rsidRPr="00006FCB">
              <w:rPr>
                <w:sz w:val="20"/>
              </w:rPr>
              <w:t>leading</w:t>
            </w:r>
            <w:r w:rsidRPr="00006FCB">
              <w:rPr>
                <w:spacing w:val="-6"/>
                <w:sz w:val="20"/>
              </w:rPr>
              <w:t xml:space="preserve"> </w:t>
            </w:r>
            <w:r w:rsidRPr="00006FCB">
              <w:rPr>
                <w:sz w:val="20"/>
              </w:rPr>
              <w:t>to</w:t>
            </w:r>
            <w:r w:rsidRPr="00006FCB">
              <w:rPr>
                <w:spacing w:val="-6"/>
                <w:sz w:val="20"/>
              </w:rPr>
              <w:t xml:space="preserve"> </w:t>
            </w:r>
            <w:r w:rsidRPr="00006FCB">
              <w:rPr>
                <w:spacing w:val="-2"/>
                <w:sz w:val="20"/>
              </w:rPr>
              <w:t>death</w:t>
            </w:r>
          </w:p>
        </w:tc>
        <w:tc>
          <w:tcPr>
            <w:tcW w:w="1680" w:type="dxa"/>
            <w:vAlign w:val="center"/>
          </w:tcPr>
          <w:p w14:paraId="661374F5" w14:textId="77777777" w:rsidR="00CC3D51" w:rsidRPr="00006FCB" w:rsidRDefault="00CC3D51" w:rsidP="00DF3913">
            <w:pPr>
              <w:pStyle w:val="TableParagraph"/>
              <w:keepNext/>
              <w:widowControl/>
              <w:ind w:left="10"/>
              <w:jc w:val="center"/>
              <w:rPr>
                <w:sz w:val="13"/>
              </w:rPr>
            </w:pPr>
            <w:r w:rsidRPr="00006FCB">
              <w:rPr>
                <w:sz w:val="20"/>
              </w:rPr>
              <w:t>1</w:t>
            </w:r>
            <w:r w:rsidRPr="00006FCB">
              <w:rPr>
                <w:spacing w:val="-2"/>
                <w:sz w:val="20"/>
              </w:rPr>
              <w:t xml:space="preserve"> (1.6)</w:t>
            </w:r>
          </w:p>
        </w:tc>
        <w:tc>
          <w:tcPr>
            <w:tcW w:w="1680" w:type="dxa"/>
            <w:vAlign w:val="center"/>
          </w:tcPr>
          <w:p w14:paraId="137ABAFD" w14:textId="77777777" w:rsidR="00CC3D51" w:rsidRPr="00006FCB" w:rsidRDefault="00CC3D51" w:rsidP="00DF3913">
            <w:pPr>
              <w:pStyle w:val="TableParagraph"/>
              <w:keepNext/>
              <w:widowControl/>
              <w:ind w:left="19" w:right="31"/>
              <w:jc w:val="center"/>
              <w:rPr>
                <w:sz w:val="20"/>
              </w:rPr>
            </w:pPr>
            <w:r w:rsidRPr="00006FCB">
              <w:rPr>
                <w:spacing w:val="-10"/>
                <w:sz w:val="20"/>
              </w:rPr>
              <w:t>0</w:t>
            </w:r>
          </w:p>
        </w:tc>
        <w:tc>
          <w:tcPr>
            <w:tcW w:w="1688" w:type="dxa"/>
            <w:vAlign w:val="center"/>
          </w:tcPr>
          <w:p w14:paraId="66644989" w14:textId="77777777" w:rsidR="00CC3D51" w:rsidRPr="00006FCB" w:rsidRDefault="00CC3D51" w:rsidP="00DF3913">
            <w:pPr>
              <w:pStyle w:val="TableParagraph"/>
              <w:keepNext/>
              <w:widowControl/>
              <w:ind w:left="13" w:right="2"/>
              <w:jc w:val="center"/>
              <w:rPr>
                <w:sz w:val="20"/>
              </w:rPr>
            </w:pPr>
            <w:r w:rsidRPr="00006FCB">
              <w:rPr>
                <w:sz w:val="20"/>
              </w:rPr>
              <w:t>1</w:t>
            </w:r>
            <w:r w:rsidRPr="00006FCB">
              <w:rPr>
                <w:spacing w:val="-2"/>
                <w:sz w:val="20"/>
              </w:rPr>
              <w:t xml:space="preserve"> (1.3)</w:t>
            </w:r>
          </w:p>
        </w:tc>
        <w:tc>
          <w:tcPr>
            <w:tcW w:w="2032" w:type="dxa"/>
            <w:vAlign w:val="center"/>
          </w:tcPr>
          <w:p w14:paraId="3065ED81" w14:textId="77777777" w:rsidR="00CC3D51" w:rsidRPr="00006FCB" w:rsidRDefault="00CC3D51" w:rsidP="00DF3913">
            <w:pPr>
              <w:pStyle w:val="TableParagraph"/>
              <w:keepNext/>
              <w:widowControl/>
              <w:ind w:left="14"/>
              <w:jc w:val="center"/>
              <w:rPr>
                <w:sz w:val="20"/>
              </w:rPr>
            </w:pPr>
            <w:r w:rsidRPr="00006FCB">
              <w:rPr>
                <w:sz w:val="20"/>
              </w:rPr>
              <w:t>1</w:t>
            </w:r>
            <w:r w:rsidRPr="00006FCB">
              <w:rPr>
                <w:spacing w:val="-2"/>
                <w:sz w:val="20"/>
              </w:rPr>
              <w:t xml:space="preserve"> (1.3)</w:t>
            </w:r>
          </w:p>
        </w:tc>
      </w:tr>
      <w:tr w:rsidR="00CC3D51" w:rsidRPr="00006FCB" w14:paraId="765ECB04" w14:textId="77777777" w:rsidTr="00FF58A4">
        <w:trPr>
          <w:trHeight w:val="236"/>
        </w:trPr>
        <w:tc>
          <w:tcPr>
            <w:tcW w:w="2040" w:type="dxa"/>
            <w:vAlign w:val="center"/>
          </w:tcPr>
          <w:p w14:paraId="4CC9D74C" w14:textId="77777777" w:rsidR="00CC3D51" w:rsidRPr="00006FCB" w:rsidRDefault="00CC3D51" w:rsidP="00D64984">
            <w:pPr>
              <w:pStyle w:val="TableParagraph"/>
              <w:keepNext/>
              <w:widowControl/>
              <w:rPr>
                <w:sz w:val="20"/>
              </w:rPr>
            </w:pPr>
            <w:r w:rsidRPr="00006FCB">
              <w:rPr>
                <w:sz w:val="20"/>
              </w:rPr>
              <w:t>TEAE of special interest</w:t>
            </w:r>
          </w:p>
        </w:tc>
        <w:tc>
          <w:tcPr>
            <w:tcW w:w="1680" w:type="dxa"/>
            <w:vAlign w:val="center"/>
          </w:tcPr>
          <w:p w14:paraId="76556F4C" w14:textId="77777777" w:rsidR="00CC3D51" w:rsidRPr="00006FCB" w:rsidRDefault="00CC3D51" w:rsidP="00DF3913">
            <w:pPr>
              <w:pStyle w:val="TableParagraph"/>
              <w:keepNext/>
              <w:widowControl/>
              <w:ind w:left="10"/>
              <w:jc w:val="center"/>
              <w:rPr>
                <w:sz w:val="20"/>
              </w:rPr>
            </w:pPr>
            <w:r w:rsidRPr="00006FCB">
              <w:rPr>
                <w:sz w:val="20"/>
              </w:rPr>
              <w:t>8 (13.1)</w:t>
            </w:r>
          </w:p>
        </w:tc>
        <w:tc>
          <w:tcPr>
            <w:tcW w:w="1680" w:type="dxa"/>
            <w:vAlign w:val="center"/>
          </w:tcPr>
          <w:p w14:paraId="469BBE01" w14:textId="77777777" w:rsidR="00CC3D51" w:rsidRPr="00006FCB" w:rsidRDefault="00CC3D51" w:rsidP="00DF3913">
            <w:pPr>
              <w:pStyle w:val="TableParagraph"/>
              <w:keepNext/>
              <w:widowControl/>
              <w:ind w:left="19" w:right="31"/>
              <w:jc w:val="center"/>
              <w:rPr>
                <w:spacing w:val="-10"/>
                <w:sz w:val="20"/>
              </w:rPr>
            </w:pPr>
            <w:r w:rsidRPr="00006FCB">
              <w:rPr>
                <w:spacing w:val="-10"/>
                <w:sz w:val="20"/>
              </w:rPr>
              <w:t>0</w:t>
            </w:r>
          </w:p>
        </w:tc>
        <w:tc>
          <w:tcPr>
            <w:tcW w:w="1688" w:type="dxa"/>
            <w:vAlign w:val="center"/>
          </w:tcPr>
          <w:p w14:paraId="5FD50EE4" w14:textId="77777777" w:rsidR="00CC3D51" w:rsidRPr="00006FCB" w:rsidRDefault="00CC3D51" w:rsidP="00DF3913">
            <w:pPr>
              <w:pStyle w:val="TableParagraph"/>
              <w:keepNext/>
              <w:widowControl/>
              <w:ind w:left="13" w:right="2"/>
              <w:jc w:val="center"/>
              <w:rPr>
                <w:sz w:val="20"/>
              </w:rPr>
            </w:pPr>
            <w:r w:rsidRPr="00006FCB">
              <w:rPr>
                <w:sz w:val="20"/>
              </w:rPr>
              <w:t>NR</w:t>
            </w:r>
          </w:p>
        </w:tc>
        <w:tc>
          <w:tcPr>
            <w:tcW w:w="2032" w:type="dxa"/>
            <w:vAlign w:val="center"/>
          </w:tcPr>
          <w:p w14:paraId="0BA93B90" w14:textId="77777777" w:rsidR="00CC3D51" w:rsidRPr="00006FCB" w:rsidRDefault="00CC3D51" w:rsidP="00DF3913">
            <w:pPr>
              <w:pStyle w:val="TableParagraph"/>
              <w:keepNext/>
              <w:widowControl/>
              <w:ind w:left="14"/>
              <w:jc w:val="center"/>
              <w:rPr>
                <w:sz w:val="20"/>
              </w:rPr>
            </w:pPr>
            <w:r w:rsidRPr="00006FCB">
              <w:rPr>
                <w:sz w:val="20"/>
              </w:rPr>
              <w:t>NR</w:t>
            </w:r>
          </w:p>
        </w:tc>
      </w:tr>
    </w:tbl>
    <w:p w14:paraId="2D9F5223" w14:textId="77777777" w:rsidR="00CC3D51" w:rsidRPr="00006FCB" w:rsidRDefault="00CC3D51" w:rsidP="00265947">
      <w:pPr>
        <w:pStyle w:val="TableFigureFooter"/>
      </w:pPr>
      <w:r w:rsidRPr="00006FCB">
        <w:t xml:space="preserve">Source: Table 34 p84, Table 38 p88, of the submission. </w:t>
      </w:r>
    </w:p>
    <w:p w14:paraId="541EE1F4" w14:textId="1E20A71F" w:rsidR="00CC3D51" w:rsidRPr="00006FCB" w:rsidRDefault="00CC3D51" w:rsidP="00265947">
      <w:pPr>
        <w:pStyle w:val="TableFigureFooter"/>
      </w:pPr>
      <w:r w:rsidRPr="00006FCB">
        <w:t xml:space="preserve">ER = emergency room, </w:t>
      </w:r>
      <w:r w:rsidR="005E2EF1" w:rsidRPr="00006FCB">
        <w:t xml:space="preserve">n = number of participants with event, N = total participants in group, </w:t>
      </w:r>
      <w:r w:rsidRPr="00006FCB">
        <w:t xml:space="preserve">TEAE = treatment emergent adverse effect. </w:t>
      </w:r>
    </w:p>
    <w:p w14:paraId="3AE9C0E1" w14:textId="01AD0955" w:rsidR="00AE152F" w:rsidRPr="00151020" w:rsidRDefault="00AE152F" w:rsidP="00AE152F">
      <w:pPr>
        <w:pStyle w:val="3-BodyText"/>
        <w:rPr>
          <w:rFonts w:eastAsia="Calibri"/>
        </w:rPr>
      </w:pPr>
      <w:r w:rsidRPr="00151020">
        <w:rPr>
          <w:rFonts w:eastAsia="Calibri"/>
        </w:rPr>
        <w:t xml:space="preserve">A greater proportion of patients in the placebo arm experienced a related TEAE compared to placebo (49% vs 38%) and serious TEAEs at the 26-week blinded period. </w:t>
      </w:r>
      <w:r w:rsidR="00D40E5F" w:rsidRPr="00151020">
        <w:rPr>
          <w:rFonts w:eastAsia="Calibri"/>
        </w:rPr>
        <w:t>The ESC noted that t</w:t>
      </w:r>
      <w:r w:rsidRPr="00151020">
        <w:rPr>
          <w:rFonts w:eastAsia="Calibri"/>
        </w:rPr>
        <w:t>his may be</w:t>
      </w:r>
      <w:r w:rsidR="00BC3C2D" w:rsidRPr="00151020">
        <w:rPr>
          <w:rFonts w:eastAsia="Calibri"/>
        </w:rPr>
        <w:t>, at least partly,</w:t>
      </w:r>
      <w:r w:rsidRPr="00151020">
        <w:rPr>
          <w:rFonts w:eastAsia="Calibri"/>
        </w:rPr>
        <w:t xml:space="preserve"> explained by the fact that </w:t>
      </w:r>
      <w:r w:rsidR="000A57A5" w:rsidRPr="00151020">
        <w:rPr>
          <w:rFonts w:eastAsia="Calibri"/>
        </w:rPr>
        <w:t xml:space="preserve">placebo </w:t>
      </w:r>
      <w:r w:rsidRPr="00151020">
        <w:rPr>
          <w:rFonts w:eastAsia="Calibri"/>
        </w:rPr>
        <w:t xml:space="preserve">patients </w:t>
      </w:r>
      <w:r w:rsidR="000A57A5" w:rsidRPr="00151020">
        <w:rPr>
          <w:rFonts w:eastAsia="Calibri"/>
        </w:rPr>
        <w:t>with normal serum calcium levels</w:t>
      </w:r>
      <w:r w:rsidRPr="00151020">
        <w:rPr>
          <w:rFonts w:eastAsia="Calibri"/>
        </w:rPr>
        <w:t xml:space="preserve"> had their HPT treatments</w:t>
      </w:r>
      <w:r w:rsidR="000A57A5" w:rsidRPr="00151020">
        <w:rPr>
          <w:rFonts w:eastAsia="Calibri"/>
        </w:rPr>
        <w:t xml:space="preserve"> reduced</w:t>
      </w:r>
      <w:r w:rsidRPr="00151020">
        <w:rPr>
          <w:rFonts w:eastAsia="Calibri"/>
        </w:rPr>
        <w:t xml:space="preserve"> and replaced by placebo injections, and that hypocalcaemia </w:t>
      </w:r>
      <w:r w:rsidR="00E12503" w:rsidRPr="00151020">
        <w:rPr>
          <w:rFonts w:eastAsia="Calibri"/>
        </w:rPr>
        <w:t xml:space="preserve">was </w:t>
      </w:r>
      <w:r w:rsidRPr="00151020">
        <w:rPr>
          <w:rFonts w:eastAsia="Calibri"/>
        </w:rPr>
        <w:t>considered a TEAE rather than a symptom of the underlying condition.</w:t>
      </w:r>
    </w:p>
    <w:p w14:paraId="3FCF344B" w14:textId="539E4FDC" w:rsidR="008B7CA4" w:rsidRPr="00006FCB" w:rsidDel="00320C1E" w:rsidRDefault="00AE152F" w:rsidP="008B7CA4">
      <w:pPr>
        <w:pStyle w:val="3-BodyText"/>
        <w:rPr>
          <w:rFonts w:eastAsia="Calibri"/>
        </w:rPr>
      </w:pPr>
      <w:r w:rsidRPr="00006FCB">
        <w:rPr>
          <w:rFonts w:eastAsia="Calibri"/>
        </w:rPr>
        <w:t xml:space="preserve">Frequently reported TEAEs are presented in Table 11. </w:t>
      </w:r>
    </w:p>
    <w:p w14:paraId="646E16C0" w14:textId="7E4FEF0C" w:rsidR="00CC3D51" w:rsidRPr="00006FCB" w:rsidRDefault="00CC3D51" w:rsidP="00EB296D">
      <w:pPr>
        <w:pStyle w:val="Caption"/>
      </w:pPr>
      <w:bookmarkStart w:id="39" w:name="_Ref184730758"/>
      <w:r w:rsidRPr="4D2BAA30">
        <w:t xml:space="preserve">Table </w:t>
      </w:r>
      <w:r w:rsidRPr="4D2BAA30">
        <w:fldChar w:fldCharType="begin"/>
      </w:r>
      <w:r>
        <w:instrText xml:space="preserve"> SEQ Table \* ARABIC </w:instrText>
      </w:r>
      <w:r w:rsidRPr="4D2BAA30">
        <w:fldChar w:fldCharType="separate"/>
      </w:r>
      <w:r w:rsidR="00DA35E4">
        <w:rPr>
          <w:noProof/>
        </w:rPr>
        <w:t>11</w:t>
      </w:r>
      <w:r w:rsidRPr="4D2BAA30">
        <w:rPr>
          <w:noProof/>
        </w:rPr>
        <w:fldChar w:fldCharType="end"/>
      </w:r>
      <w:bookmarkEnd w:id="39"/>
      <w:r w:rsidRPr="4D2BAA30">
        <w:t>: Frequently occurring TEAEs in PaTHway at Week 26 (</w:t>
      </w:r>
      <w:r w:rsidR="00D64984" w:rsidRPr="4D2BAA30">
        <w:t>s</w:t>
      </w:r>
      <w:r w:rsidRPr="4D2BAA30">
        <w:t xml:space="preserve">afety </w:t>
      </w:r>
      <w:r w:rsidR="00D64984" w:rsidRPr="4D2BAA30">
        <w:t>a</w:t>
      </w:r>
      <w:r w:rsidRPr="4D2BAA30">
        <w:t xml:space="preserve">nalysis </w:t>
      </w:r>
      <w:r w:rsidR="00D64984" w:rsidRPr="4D2BAA30">
        <w:t>s</w:t>
      </w:r>
      <w:r w:rsidRPr="4D2BAA30">
        <w:t>et)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1: Frequently occurring TEAEs in PaTHway at Week 26 (safety analysis set)"/>
      </w:tblPr>
      <w:tblGrid>
        <w:gridCol w:w="4666"/>
        <w:gridCol w:w="2174"/>
        <w:gridCol w:w="2179"/>
      </w:tblGrid>
      <w:tr w:rsidR="00DB55BA" w:rsidRPr="00006FCB" w14:paraId="7E0A8706" w14:textId="77777777" w:rsidTr="00DB55BA">
        <w:trPr>
          <w:trHeight w:val="74"/>
        </w:trPr>
        <w:tc>
          <w:tcPr>
            <w:tcW w:w="4666" w:type="dxa"/>
            <w:vMerge w:val="restart"/>
            <w:shd w:val="clear" w:color="auto" w:fill="auto"/>
          </w:tcPr>
          <w:p w14:paraId="6E6BABAC" w14:textId="3F50BAC9" w:rsidR="00DB55BA" w:rsidRPr="00006FCB" w:rsidRDefault="00DB55BA" w:rsidP="00EB296D">
            <w:pPr>
              <w:pStyle w:val="TableParagraph"/>
              <w:keepNext/>
              <w:spacing w:line="228" w:lineRule="exact"/>
              <w:ind w:right="2267"/>
              <w:rPr>
                <w:rFonts w:ascii="Times New Roman"/>
                <w:sz w:val="16"/>
              </w:rPr>
            </w:pPr>
            <w:r w:rsidRPr="00006FCB">
              <w:rPr>
                <w:b/>
                <w:sz w:val="20"/>
              </w:rPr>
              <w:t>System</w:t>
            </w:r>
            <w:r w:rsidRPr="00006FCB">
              <w:rPr>
                <w:b/>
                <w:spacing w:val="-12"/>
                <w:sz w:val="20"/>
              </w:rPr>
              <w:t xml:space="preserve"> </w:t>
            </w:r>
            <w:r w:rsidRPr="00006FCB">
              <w:rPr>
                <w:b/>
                <w:sz w:val="20"/>
              </w:rPr>
              <w:t>Organ</w:t>
            </w:r>
            <w:r w:rsidRPr="00006FCB">
              <w:rPr>
                <w:b/>
                <w:spacing w:val="-11"/>
                <w:sz w:val="20"/>
              </w:rPr>
              <w:t xml:space="preserve"> </w:t>
            </w:r>
            <w:r w:rsidRPr="00006FCB">
              <w:rPr>
                <w:b/>
                <w:sz w:val="20"/>
              </w:rPr>
              <w:t>Class Preferred Term</w:t>
            </w:r>
          </w:p>
        </w:tc>
        <w:tc>
          <w:tcPr>
            <w:tcW w:w="4353" w:type="dxa"/>
            <w:gridSpan w:val="2"/>
            <w:shd w:val="clear" w:color="auto" w:fill="auto"/>
          </w:tcPr>
          <w:p w14:paraId="33A5E337" w14:textId="77777777" w:rsidR="00DB55BA" w:rsidRPr="00006FCB" w:rsidRDefault="00DB55BA" w:rsidP="00E20F49">
            <w:pPr>
              <w:pStyle w:val="TableParagraph"/>
              <w:keepNext/>
              <w:widowControl/>
              <w:ind w:left="0"/>
              <w:jc w:val="center"/>
              <w:rPr>
                <w:b/>
                <w:sz w:val="20"/>
              </w:rPr>
            </w:pPr>
            <w:r w:rsidRPr="00006FCB">
              <w:rPr>
                <w:b/>
                <w:sz w:val="20"/>
              </w:rPr>
              <w:t>26 weeks</w:t>
            </w:r>
          </w:p>
        </w:tc>
      </w:tr>
      <w:tr w:rsidR="00DB55BA" w:rsidRPr="00006FCB" w14:paraId="64E19B7E" w14:textId="77777777" w:rsidTr="00DB55BA">
        <w:trPr>
          <w:trHeight w:val="458"/>
        </w:trPr>
        <w:tc>
          <w:tcPr>
            <w:tcW w:w="4666" w:type="dxa"/>
            <w:vMerge/>
          </w:tcPr>
          <w:p w14:paraId="74EAED68" w14:textId="1C38EE73" w:rsidR="00DB55BA" w:rsidRPr="00006FCB" w:rsidRDefault="00DB55BA" w:rsidP="00EB296D">
            <w:pPr>
              <w:pStyle w:val="TableParagraph"/>
              <w:keepNext/>
              <w:widowControl/>
              <w:spacing w:line="228" w:lineRule="exact"/>
              <w:ind w:right="2267"/>
              <w:rPr>
                <w:b/>
                <w:sz w:val="20"/>
              </w:rPr>
            </w:pPr>
          </w:p>
        </w:tc>
        <w:tc>
          <w:tcPr>
            <w:tcW w:w="2174" w:type="dxa"/>
          </w:tcPr>
          <w:p w14:paraId="73A2B546" w14:textId="0AA85329" w:rsidR="00DB55BA" w:rsidRPr="00006FCB" w:rsidRDefault="00DB55BA" w:rsidP="00DB55BA">
            <w:pPr>
              <w:pStyle w:val="TableParagraph"/>
              <w:keepNext/>
              <w:widowControl/>
              <w:spacing w:line="228" w:lineRule="exact"/>
              <w:ind w:left="157"/>
              <w:jc w:val="center"/>
              <w:rPr>
                <w:b/>
                <w:sz w:val="20"/>
              </w:rPr>
            </w:pPr>
            <w:proofErr w:type="spellStart"/>
            <w:r w:rsidRPr="00006FCB">
              <w:rPr>
                <w:b/>
                <w:spacing w:val="-2"/>
                <w:sz w:val="20"/>
              </w:rPr>
              <w:t>Palopegteriparatide</w:t>
            </w:r>
            <w:proofErr w:type="spellEnd"/>
            <w:r w:rsidRPr="00006FCB">
              <w:rPr>
                <w:b/>
                <w:spacing w:val="-2"/>
                <w:sz w:val="20"/>
              </w:rPr>
              <w:t xml:space="preserve"> (N=61), </w:t>
            </w:r>
            <w:r w:rsidRPr="00006FCB">
              <w:rPr>
                <w:b/>
                <w:bCs/>
                <w:sz w:val="20"/>
              </w:rPr>
              <w:t>n (%)</w:t>
            </w:r>
          </w:p>
        </w:tc>
        <w:tc>
          <w:tcPr>
            <w:tcW w:w="2179" w:type="dxa"/>
          </w:tcPr>
          <w:p w14:paraId="10119475" w14:textId="768B1326" w:rsidR="00DB55BA" w:rsidRPr="00006FCB" w:rsidRDefault="00DB55BA" w:rsidP="00DB55BA">
            <w:pPr>
              <w:pStyle w:val="TableParagraph"/>
              <w:keepNext/>
              <w:widowControl/>
              <w:spacing w:line="228" w:lineRule="exact"/>
              <w:ind w:left="0"/>
              <w:jc w:val="center"/>
              <w:rPr>
                <w:b/>
                <w:spacing w:val="-2"/>
                <w:sz w:val="20"/>
              </w:rPr>
            </w:pPr>
            <w:r w:rsidRPr="00006FCB">
              <w:rPr>
                <w:b/>
                <w:spacing w:val="-2"/>
                <w:sz w:val="20"/>
              </w:rPr>
              <w:t>Placebo (N=21),</w:t>
            </w:r>
          </w:p>
          <w:p w14:paraId="4411406E" w14:textId="0D791244" w:rsidR="00DB55BA" w:rsidRPr="00006FCB" w:rsidRDefault="00DB55BA" w:rsidP="00DB55BA">
            <w:pPr>
              <w:pStyle w:val="TableParagraph"/>
              <w:keepNext/>
              <w:widowControl/>
              <w:spacing w:line="228" w:lineRule="exact"/>
              <w:ind w:left="0"/>
              <w:jc w:val="center"/>
              <w:rPr>
                <w:b/>
                <w:sz w:val="20"/>
              </w:rPr>
            </w:pPr>
            <w:r w:rsidRPr="00006FCB">
              <w:rPr>
                <w:b/>
                <w:bCs/>
                <w:sz w:val="20"/>
              </w:rPr>
              <w:t>n (%)</w:t>
            </w:r>
          </w:p>
        </w:tc>
      </w:tr>
      <w:tr w:rsidR="00CC3D51" w:rsidRPr="00006FCB" w14:paraId="0FA5061C" w14:textId="77777777" w:rsidTr="00DB55BA">
        <w:trPr>
          <w:trHeight w:val="230"/>
        </w:trPr>
        <w:tc>
          <w:tcPr>
            <w:tcW w:w="4666" w:type="dxa"/>
          </w:tcPr>
          <w:p w14:paraId="3E172151" w14:textId="77777777" w:rsidR="00CC3D51" w:rsidRPr="00006FCB" w:rsidRDefault="00CC3D51" w:rsidP="00EB296D">
            <w:pPr>
              <w:pStyle w:val="TableParagraph"/>
              <w:keepNext/>
              <w:widowControl/>
              <w:rPr>
                <w:b/>
                <w:sz w:val="20"/>
              </w:rPr>
            </w:pPr>
            <w:r w:rsidRPr="00006FCB">
              <w:rPr>
                <w:b/>
                <w:sz w:val="20"/>
              </w:rPr>
              <w:t>Subjects</w:t>
            </w:r>
            <w:r w:rsidRPr="00006FCB">
              <w:rPr>
                <w:b/>
                <w:spacing w:val="-6"/>
                <w:sz w:val="20"/>
              </w:rPr>
              <w:t xml:space="preserve"> </w:t>
            </w:r>
            <w:r w:rsidRPr="00006FCB">
              <w:rPr>
                <w:b/>
                <w:sz w:val="20"/>
              </w:rPr>
              <w:t>with</w:t>
            </w:r>
            <w:r w:rsidRPr="00006FCB">
              <w:rPr>
                <w:b/>
                <w:spacing w:val="-4"/>
                <w:sz w:val="20"/>
              </w:rPr>
              <w:t xml:space="preserve"> </w:t>
            </w:r>
            <w:r w:rsidRPr="00006FCB">
              <w:rPr>
                <w:b/>
                <w:sz w:val="20"/>
              </w:rPr>
              <w:t>at</w:t>
            </w:r>
            <w:r w:rsidRPr="00006FCB">
              <w:rPr>
                <w:b/>
                <w:spacing w:val="-4"/>
                <w:sz w:val="20"/>
              </w:rPr>
              <w:t xml:space="preserve"> </w:t>
            </w:r>
            <w:r w:rsidRPr="00006FCB">
              <w:rPr>
                <w:b/>
                <w:sz w:val="20"/>
              </w:rPr>
              <w:t>least</w:t>
            </w:r>
            <w:r w:rsidRPr="00006FCB">
              <w:rPr>
                <w:b/>
                <w:spacing w:val="-4"/>
                <w:sz w:val="20"/>
              </w:rPr>
              <w:t xml:space="preserve"> </w:t>
            </w:r>
            <w:r w:rsidRPr="00006FCB">
              <w:rPr>
                <w:b/>
                <w:sz w:val="20"/>
              </w:rPr>
              <w:t>one</w:t>
            </w:r>
            <w:r w:rsidRPr="00006FCB">
              <w:rPr>
                <w:b/>
                <w:spacing w:val="-7"/>
                <w:sz w:val="20"/>
              </w:rPr>
              <w:t xml:space="preserve"> </w:t>
            </w:r>
            <w:r w:rsidRPr="00006FCB">
              <w:rPr>
                <w:b/>
                <w:spacing w:val="-4"/>
                <w:sz w:val="20"/>
              </w:rPr>
              <w:t>TEAE</w:t>
            </w:r>
          </w:p>
        </w:tc>
        <w:tc>
          <w:tcPr>
            <w:tcW w:w="2174" w:type="dxa"/>
          </w:tcPr>
          <w:p w14:paraId="1865F386" w14:textId="77777777" w:rsidR="00CC3D51" w:rsidRPr="00006FCB" w:rsidRDefault="00CC3D51" w:rsidP="00EB296D">
            <w:pPr>
              <w:pStyle w:val="TableParagraph"/>
              <w:keepNext/>
              <w:widowControl/>
              <w:ind w:left="6" w:right="1"/>
              <w:jc w:val="center"/>
              <w:rPr>
                <w:b/>
                <w:sz w:val="20"/>
              </w:rPr>
            </w:pPr>
            <w:r w:rsidRPr="00006FCB">
              <w:rPr>
                <w:b/>
                <w:sz w:val="20"/>
              </w:rPr>
              <w:t>50</w:t>
            </w:r>
            <w:r w:rsidRPr="00006FCB">
              <w:rPr>
                <w:b/>
                <w:spacing w:val="-3"/>
                <w:sz w:val="20"/>
              </w:rPr>
              <w:t xml:space="preserve"> </w:t>
            </w:r>
            <w:r w:rsidRPr="00006FCB">
              <w:rPr>
                <w:b/>
                <w:spacing w:val="-2"/>
                <w:sz w:val="20"/>
              </w:rPr>
              <w:t>(82.0)</w:t>
            </w:r>
          </w:p>
        </w:tc>
        <w:tc>
          <w:tcPr>
            <w:tcW w:w="2179" w:type="dxa"/>
          </w:tcPr>
          <w:p w14:paraId="1A3C2004" w14:textId="77777777" w:rsidR="00CC3D51" w:rsidRPr="00006FCB" w:rsidRDefault="00CC3D51" w:rsidP="00EB296D">
            <w:pPr>
              <w:pStyle w:val="TableParagraph"/>
              <w:keepNext/>
              <w:widowControl/>
              <w:ind w:left="9" w:right="3"/>
              <w:jc w:val="center"/>
              <w:rPr>
                <w:b/>
                <w:sz w:val="20"/>
              </w:rPr>
            </w:pPr>
            <w:r w:rsidRPr="00006FCB">
              <w:rPr>
                <w:b/>
                <w:sz w:val="20"/>
              </w:rPr>
              <w:t>21</w:t>
            </w:r>
            <w:r w:rsidRPr="00006FCB">
              <w:rPr>
                <w:b/>
                <w:spacing w:val="-3"/>
                <w:sz w:val="20"/>
              </w:rPr>
              <w:t xml:space="preserve"> </w:t>
            </w:r>
            <w:r w:rsidRPr="00006FCB">
              <w:rPr>
                <w:b/>
                <w:spacing w:val="-2"/>
                <w:sz w:val="20"/>
              </w:rPr>
              <w:t>(100.0)</w:t>
            </w:r>
          </w:p>
        </w:tc>
      </w:tr>
      <w:tr w:rsidR="00CC3D51" w:rsidRPr="00006FCB" w14:paraId="59282AFC" w14:textId="77777777" w:rsidTr="00DB55BA">
        <w:trPr>
          <w:trHeight w:val="230"/>
        </w:trPr>
        <w:tc>
          <w:tcPr>
            <w:tcW w:w="4666" w:type="dxa"/>
          </w:tcPr>
          <w:p w14:paraId="48E80CAE" w14:textId="77777777" w:rsidR="00CC3D51" w:rsidRPr="00006FCB" w:rsidRDefault="00CC3D51" w:rsidP="00EB296D">
            <w:pPr>
              <w:pStyle w:val="TableParagraph"/>
              <w:keepNext/>
              <w:widowControl/>
              <w:rPr>
                <w:sz w:val="20"/>
              </w:rPr>
            </w:pPr>
            <w:r w:rsidRPr="00006FCB">
              <w:rPr>
                <w:sz w:val="20"/>
              </w:rPr>
              <w:t>General</w:t>
            </w:r>
            <w:r w:rsidRPr="00006FCB">
              <w:rPr>
                <w:spacing w:val="-9"/>
                <w:sz w:val="20"/>
              </w:rPr>
              <w:t xml:space="preserve"> </w:t>
            </w:r>
            <w:r w:rsidRPr="00006FCB">
              <w:rPr>
                <w:sz w:val="20"/>
              </w:rPr>
              <w:t>disorders</w:t>
            </w:r>
            <w:r w:rsidRPr="00006FCB">
              <w:rPr>
                <w:spacing w:val="-9"/>
                <w:sz w:val="20"/>
              </w:rPr>
              <w:t xml:space="preserve"> </w:t>
            </w:r>
            <w:r w:rsidRPr="00006FCB">
              <w:rPr>
                <w:sz w:val="20"/>
              </w:rPr>
              <w:t>and</w:t>
            </w:r>
            <w:r w:rsidRPr="00006FCB">
              <w:rPr>
                <w:spacing w:val="-9"/>
                <w:sz w:val="20"/>
              </w:rPr>
              <w:t xml:space="preserve"> </w:t>
            </w:r>
            <w:r w:rsidRPr="00006FCB">
              <w:rPr>
                <w:sz w:val="20"/>
              </w:rPr>
              <w:t>administration</w:t>
            </w:r>
            <w:r w:rsidRPr="00006FCB">
              <w:rPr>
                <w:spacing w:val="-9"/>
                <w:sz w:val="20"/>
              </w:rPr>
              <w:t xml:space="preserve"> </w:t>
            </w:r>
            <w:r w:rsidRPr="00006FCB">
              <w:rPr>
                <w:sz w:val="20"/>
              </w:rPr>
              <w:t>site</w:t>
            </w:r>
            <w:r w:rsidRPr="00006FCB">
              <w:rPr>
                <w:spacing w:val="-8"/>
                <w:sz w:val="20"/>
              </w:rPr>
              <w:t xml:space="preserve"> </w:t>
            </w:r>
            <w:r w:rsidRPr="00006FCB">
              <w:rPr>
                <w:spacing w:val="-2"/>
                <w:sz w:val="20"/>
              </w:rPr>
              <w:t>conditions</w:t>
            </w:r>
          </w:p>
        </w:tc>
        <w:tc>
          <w:tcPr>
            <w:tcW w:w="2174" w:type="dxa"/>
          </w:tcPr>
          <w:p w14:paraId="093B4502" w14:textId="77777777" w:rsidR="00CC3D51" w:rsidRPr="00006FCB" w:rsidRDefault="00CC3D51" w:rsidP="00EB296D">
            <w:pPr>
              <w:pStyle w:val="TableParagraph"/>
              <w:keepNext/>
              <w:widowControl/>
              <w:ind w:left="6" w:right="1"/>
              <w:jc w:val="center"/>
              <w:rPr>
                <w:sz w:val="20"/>
              </w:rPr>
            </w:pPr>
            <w:r w:rsidRPr="00006FCB">
              <w:rPr>
                <w:sz w:val="20"/>
              </w:rPr>
              <w:t>33</w:t>
            </w:r>
            <w:r w:rsidRPr="00006FCB">
              <w:rPr>
                <w:spacing w:val="-3"/>
                <w:sz w:val="20"/>
              </w:rPr>
              <w:t xml:space="preserve"> </w:t>
            </w:r>
            <w:r w:rsidRPr="00006FCB">
              <w:rPr>
                <w:spacing w:val="-2"/>
                <w:sz w:val="20"/>
              </w:rPr>
              <w:t>(54.1)</w:t>
            </w:r>
          </w:p>
        </w:tc>
        <w:tc>
          <w:tcPr>
            <w:tcW w:w="2179" w:type="dxa"/>
          </w:tcPr>
          <w:p w14:paraId="41D31061" w14:textId="77777777" w:rsidR="00CC3D51" w:rsidRPr="00006FCB" w:rsidRDefault="00CC3D51" w:rsidP="00EB296D">
            <w:pPr>
              <w:pStyle w:val="TableParagraph"/>
              <w:keepNext/>
              <w:widowControl/>
              <w:ind w:left="9" w:right="3"/>
              <w:jc w:val="center"/>
              <w:rPr>
                <w:sz w:val="20"/>
              </w:rPr>
            </w:pPr>
            <w:r w:rsidRPr="00006FCB">
              <w:rPr>
                <w:sz w:val="20"/>
              </w:rPr>
              <w:t>8</w:t>
            </w:r>
            <w:r w:rsidRPr="00006FCB">
              <w:rPr>
                <w:spacing w:val="-2"/>
                <w:sz w:val="20"/>
              </w:rPr>
              <w:t xml:space="preserve"> (38.1)</w:t>
            </w:r>
          </w:p>
        </w:tc>
      </w:tr>
      <w:tr w:rsidR="00CC3D51" w:rsidRPr="00006FCB" w14:paraId="175B121F" w14:textId="77777777" w:rsidTr="00DB55BA">
        <w:trPr>
          <w:trHeight w:val="229"/>
        </w:trPr>
        <w:tc>
          <w:tcPr>
            <w:tcW w:w="4666" w:type="dxa"/>
          </w:tcPr>
          <w:p w14:paraId="7505E5E7" w14:textId="77777777" w:rsidR="00CC3D51" w:rsidRPr="00006FCB" w:rsidRDefault="00CC3D51" w:rsidP="00EB296D">
            <w:pPr>
              <w:pStyle w:val="TableParagraph"/>
              <w:keepNext/>
              <w:widowControl/>
              <w:ind w:left="249"/>
              <w:rPr>
                <w:sz w:val="20"/>
              </w:rPr>
            </w:pPr>
            <w:r w:rsidRPr="00006FCB">
              <w:rPr>
                <w:sz w:val="20"/>
              </w:rPr>
              <w:t>Injection</w:t>
            </w:r>
            <w:r w:rsidRPr="00006FCB">
              <w:rPr>
                <w:spacing w:val="-10"/>
                <w:sz w:val="20"/>
              </w:rPr>
              <w:t xml:space="preserve"> </w:t>
            </w:r>
            <w:r w:rsidRPr="00006FCB">
              <w:rPr>
                <w:sz w:val="20"/>
              </w:rPr>
              <w:t>site</w:t>
            </w:r>
            <w:r w:rsidRPr="00006FCB">
              <w:rPr>
                <w:spacing w:val="-10"/>
                <w:sz w:val="20"/>
              </w:rPr>
              <w:t xml:space="preserve"> </w:t>
            </w:r>
            <w:r w:rsidRPr="00006FCB">
              <w:rPr>
                <w:spacing w:val="-2"/>
                <w:sz w:val="20"/>
              </w:rPr>
              <w:t>reaction</w:t>
            </w:r>
          </w:p>
        </w:tc>
        <w:tc>
          <w:tcPr>
            <w:tcW w:w="2174" w:type="dxa"/>
          </w:tcPr>
          <w:p w14:paraId="7E51BF62" w14:textId="77777777" w:rsidR="00CC3D51" w:rsidRPr="00006FCB" w:rsidRDefault="00CC3D51" w:rsidP="168826E2">
            <w:pPr>
              <w:pStyle w:val="TableParagraph"/>
              <w:keepNext/>
              <w:widowControl/>
              <w:ind w:left="6" w:right="1"/>
              <w:jc w:val="center"/>
              <w:rPr>
                <w:sz w:val="20"/>
                <w:szCs w:val="20"/>
              </w:rPr>
            </w:pPr>
            <w:r w:rsidRPr="00006FCB">
              <w:rPr>
                <w:sz w:val="20"/>
                <w:szCs w:val="20"/>
              </w:rPr>
              <w:t>19</w:t>
            </w:r>
            <w:r w:rsidRPr="00006FCB">
              <w:rPr>
                <w:spacing w:val="-2"/>
                <w:sz w:val="20"/>
                <w:szCs w:val="20"/>
              </w:rPr>
              <w:t xml:space="preserve"> (31.1)</w:t>
            </w:r>
          </w:p>
        </w:tc>
        <w:tc>
          <w:tcPr>
            <w:tcW w:w="2179" w:type="dxa"/>
          </w:tcPr>
          <w:p w14:paraId="2128052B" w14:textId="77777777" w:rsidR="00CC3D51" w:rsidRPr="00006FCB" w:rsidRDefault="00CC3D51" w:rsidP="00EB296D">
            <w:pPr>
              <w:pStyle w:val="TableParagraph"/>
              <w:keepNext/>
              <w:widowControl/>
              <w:ind w:left="9"/>
              <w:jc w:val="center"/>
              <w:rPr>
                <w:sz w:val="20"/>
              </w:rPr>
            </w:pPr>
            <w:r w:rsidRPr="00006FCB">
              <w:rPr>
                <w:spacing w:val="-10"/>
                <w:sz w:val="20"/>
              </w:rPr>
              <w:t>0</w:t>
            </w:r>
          </w:p>
        </w:tc>
      </w:tr>
      <w:tr w:rsidR="00CC3D51" w:rsidRPr="00006FCB" w14:paraId="2135EC1D" w14:textId="77777777" w:rsidTr="00DB55BA">
        <w:trPr>
          <w:trHeight w:val="230"/>
        </w:trPr>
        <w:tc>
          <w:tcPr>
            <w:tcW w:w="4666" w:type="dxa"/>
          </w:tcPr>
          <w:p w14:paraId="1BD2FE63" w14:textId="77777777" w:rsidR="00CC3D51" w:rsidRPr="00006FCB" w:rsidRDefault="00CC3D51" w:rsidP="00EB296D">
            <w:pPr>
              <w:pStyle w:val="TableParagraph"/>
              <w:keepNext/>
              <w:widowControl/>
              <w:ind w:left="249"/>
              <w:rPr>
                <w:sz w:val="20"/>
              </w:rPr>
            </w:pPr>
            <w:r w:rsidRPr="00006FCB">
              <w:rPr>
                <w:spacing w:val="-2"/>
                <w:sz w:val="20"/>
              </w:rPr>
              <w:t>Fatigue</w:t>
            </w:r>
          </w:p>
        </w:tc>
        <w:tc>
          <w:tcPr>
            <w:tcW w:w="2174" w:type="dxa"/>
          </w:tcPr>
          <w:p w14:paraId="0875EE9D" w14:textId="77777777" w:rsidR="00CC3D51" w:rsidRPr="00006FCB" w:rsidRDefault="00CC3D51" w:rsidP="00EB296D">
            <w:pPr>
              <w:pStyle w:val="TableParagraph"/>
              <w:keepNext/>
              <w:widowControl/>
              <w:ind w:left="6"/>
              <w:jc w:val="center"/>
              <w:rPr>
                <w:sz w:val="20"/>
              </w:rPr>
            </w:pPr>
            <w:r w:rsidRPr="00006FCB">
              <w:rPr>
                <w:sz w:val="20"/>
              </w:rPr>
              <w:t>9</w:t>
            </w:r>
            <w:r w:rsidRPr="00006FCB">
              <w:rPr>
                <w:spacing w:val="-2"/>
                <w:sz w:val="20"/>
              </w:rPr>
              <w:t xml:space="preserve"> (14.8)</w:t>
            </w:r>
          </w:p>
        </w:tc>
        <w:tc>
          <w:tcPr>
            <w:tcW w:w="2179" w:type="dxa"/>
          </w:tcPr>
          <w:p w14:paraId="2F4FBDED" w14:textId="77777777" w:rsidR="00CC3D51" w:rsidRPr="00006FCB" w:rsidRDefault="00CC3D51" w:rsidP="00EB296D">
            <w:pPr>
              <w:pStyle w:val="TableParagraph"/>
              <w:keepNext/>
              <w:widowControl/>
              <w:ind w:left="9" w:right="3"/>
              <w:jc w:val="center"/>
              <w:rPr>
                <w:sz w:val="20"/>
              </w:rPr>
            </w:pPr>
            <w:r w:rsidRPr="00006FCB">
              <w:rPr>
                <w:sz w:val="20"/>
              </w:rPr>
              <w:t>5</w:t>
            </w:r>
            <w:r w:rsidRPr="00006FCB">
              <w:rPr>
                <w:spacing w:val="-2"/>
                <w:sz w:val="20"/>
              </w:rPr>
              <w:t xml:space="preserve"> (23.8)</w:t>
            </w:r>
          </w:p>
        </w:tc>
      </w:tr>
      <w:tr w:rsidR="00CC3D51" w:rsidRPr="00006FCB" w14:paraId="0B4D5AB0" w14:textId="77777777" w:rsidTr="00DB55BA">
        <w:trPr>
          <w:trHeight w:val="227"/>
        </w:trPr>
        <w:tc>
          <w:tcPr>
            <w:tcW w:w="4666" w:type="dxa"/>
          </w:tcPr>
          <w:p w14:paraId="2CAFE529" w14:textId="77777777" w:rsidR="00CC3D51" w:rsidRPr="00006FCB" w:rsidRDefault="00CC3D51" w:rsidP="00EB296D">
            <w:pPr>
              <w:pStyle w:val="TableParagraph"/>
              <w:keepNext/>
              <w:widowControl/>
              <w:spacing w:line="208" w:lineRule="exact"/>
              <w:rPr>
                <w:sz w:val="20"/>
              </w:rPr>
            </w:pPr>
            <w:r w:rsidRPr="00006FCB">
              <w:rPr>
                <w:sz w:val="20"/>
              </w:rPr>
              <w:t>Nervous</w:t>
            </w:r>
            <w:r w:rsidRPr="00006FCB">
              <w:rPr>
                <w:spacing w:val="-11"/>
                <w:sz w:val="20"/>
              </w:rPr>
              <w:t xml:space="preserve"> </w:t>
            </w:r>
            <w:r w:rsidRPr="00006FCB">
              <w:rPr>
                <w:sz w:val="20"/>
              </w:rPr>
              <w:t>system</w:t>
            </w:r>
            <w:r w:rsidRPr="00006FCB">
              <w:rPr>
                <w:spacing w:val="-9"/>
                <w:sz w:val="20"/>
              </w:rPr>
              <w:t xml:space="preserve"> </w:t>
            </w:r>
            <w:r w:rsidRPr="00006FCB">
              <w:rPr>
                <w:spacing w:val="-2"/>
                <w:sz w:val="20"/>
              </w:rPr>
              <w:t>disorders</w:t>
            </w:r>
          </w:p>
        </w:tc>
        <w:tc>
          <w:tcPr>
            <w:tcW w:w="2174" w:type="dxa"/>
          </w:tcPr>
          <w:p w14:paraId="72F71A73" w14:textId="77777777" w:rsidR="00CC3D51" w:rsidRPr="00006FCB" w:rsidRDefault="00CC3D51" w:rsidP="00EB296D">
            <w:pPr>
              <w:pStyle w:val="TableParagraph"/>
              <w:keepNext/>
              <w:widowControl/>
              <w:spacing w:line="208" w:lineRule="exact"/>
              <w:ind w:left="6" w:right="1"/>
              <w:jc w:val="center"/>
              <w:rPr>
                <w:sz w:val="20"/>
              </w:rPr>
            </w:pPr>
            <w:r w:rsidRPr="00006FCB">
              <w:rPr>
                <w:sz w:val="20"/>
              </w:rPr>
              <w:t>26</w:t>
            </w:r>
            <w:r w:rsidRPr="00006FCB">
              <w:rPr>
                <w:spacing w:val="-3"/>
                <w:sz w:val="20"/>
              </w:rPr>
              <w:t xml:space="preserve"> </w:t>
            </w:r>
            <w:r w:rsidRPr="00006FCB">
              <w:rPr>
                <w:spacing w:val="-2"/>
                <w:sz w:val="20"/>
              </w:rPr>
              <w:t>(42.6)</w:t>
            </w:r>
          </w:p>
        </w:tc>
        <w:tc>
          <w:tcPr>
            <w:tcW w:w="2179" w:type="dxa"/>
          </w:tcPr>
          <w:p w14:paraId="0CBEB5B3" w14:textId="77777777" w:rsidR="00CC3D51" w:rsidRPr="00006FCB" w:rsidRDefault="00CC3D51" w:rsidP="00EB296D">
            <w:pPr>
              <w:pStyle w:val="TableParagraph"/>
              <w:keepNext/>
              <w:widowControl/>
              <w:spacing w:line="208" w:lineRule="exact"/>
              <w:ind w:left="9" w:right="3"/>
              <w:jc w:val="center"/>
              <w:rPr>
                <w:sz w:val="20"/>
              </w:rPr>
            </w:pPr>
            <w:r w:rsidRPr="00006FCB">
              <w:rPr>
                <w:sz w:val="20"/>
              </w:rPr>
              <w:t>5</w:t>
            </w:r>
            <w:r w:rsidRPr="00006FCB">
              <w:rPr>
                <w:spacing w:val="-2"/>
                <w:sz w:val="20"/>
              </w:rPr>
              <w:t xml:space="preserve"> (23.8)</w:t>
            </w:r>
          </w:p>
        </w:tc>
      </w:tr>
      <w:tr w:rsidR="00CC3D51" w:rsidRPr="00006FCB" w14:paraId="5BA7F47A" w14:textId="77777777" w:rsidTr="00DB55BA">
        <w:trPr>
          <w:trHeight w:val="230"/>
        </w:trPr>
        <w:tc>
          <w:tcPr>
            <w:tcW w:w="4666" w:type="dxa"/>
          </w:tcPr>
          <w:p w14:paraId="319CD06E" w14:textId="77777777" w:rsidR="00CC3D51" w:rsidRPr="00006FCB" w:rsidRDefault="00CC3D51" w:rsidP="00EB296D">
            <w:pPr>
              <w:pStyle w:val="TableParagraph"/>
              <w:keepNext/>
              <w:widowControl/>
              <w:ind w:left="278"/>
              <w:rPr>
                <w:sz w:val="20"/>
              </w:rPr>
            </w:pPr>
            <w:r w:rsidRPr="00006FCB">
              <w:rPr>
                <w:spacing w:val="-2"/>
                <w:sz w:val="20"/>
              </w:rPr>
              <w:t>Headache</w:t>
            </w:r>
          </w:p>
        </w:tc>
        <w:tc>
          <w:tcPr>
            <w:tcW w:w="2174" w:type="dxa"/>
          </w:tcPr>
          <w:p w14:paraId="67F4D22B" w14:textId="77777777" w:rsidR="00CC3D51" w:rsidRPr="00006FCB" w:rsidRDefault="00CC3D51" w:rsidP="00EB296D">
            <w:pPr>
              <w:pStyle w:val="TableParagraph"/>
              <w:keepNext/>
              <w:widowControl/>
              <w:ind w:left="6" w:right="1"/>
              <w:jc w:val="center"/>
              <w:rPr>
                <w:sz w:val="20"/>
              </w:rPr>
            </w:pPr>
            <w:r w:rsidRPr="00006FCB">
              <w:rPr>
                <w:sz w:val="20"/>
              </w:rPr>
              <w:t>13</w:t>
            </w:r>
            <w:r w:rsidRPr="00006FCB">
              <w:rPr>
                <w:spacing w:val="-3"/>
                <w:sz w:val="20"/>
              </w:rPr>
              <w:t xml:space="preserve"> </w:t>
            </w:r>
            <w:r w:rsidRPr="00006FCB">
              <w:rPr>
                <w:spacing w:val="-2"/>
                <w:sz w:val="20"/>
              </w:rPr>
              <w:t>(21.3)</w:t>
            </w:r>
          </w:p>
        </w:tc>
        <w:tc>
          <w:tcPr>
            <w:tcW w:w="2179" w:type="dxa"/>
          </w:tcPr>
          <w:p w14:paraId="362F9D07" w14:textId="77777777" w:rsidR="00CC3D51" w:rsidRPr="00006FCB" w:rsidRDefault="00CC3D51" w:rsidP="00EB296D">
            <w:pPr>
              <w:pStyle w:val="TableParagraph"/>
              <w:keepNext/>
              <w:widowControl/>
              <w:ind w:left="9" w:right="2"/>
              <w:jc w:val="center"/>
              <w:rPr>
                <w:sz w:val="20"/>
              </w:rPr>
            </w:pPr>
            <w:r w:rsidRPr="00006FCB">
              <w:rPr>
                <w:sz w:val="20"/>
              </w:rPr>
              <w:t>2</w:t>
            </w:r>
            <w:r w:rsidRPr="00006FCB">
              <w:rPr>
                <w:spacing w:val="-2"/>
                <w:sz w:val="20"/>
              </w:rPr>
              <w:t xml:space="preserve"> (9.5)</w:t>
            </w:r>
          </w:p>
        </w:tc>
      </w:tr>
      <w:tr w:rsidR="00CC3D51" w:rsidRPr="00006FCB" w14:paraId="15B860CD" w14:textId="77777777" w:rsidTr="00DB55BA">
        <w:trPr>
          <w:trHeight w:val="230"/>
        </w:trPr>
        <w:tc>
          <w:tcPr>
            <w:tcW w:w="4666" w:type="dxa"/>
          </w:tcPr>
          <w:p w14:paraId="555ACB7A" w14:textId="77777777" w:rsidR="00CC3D51" w:rsidRPr="00006FCB" w:rsidRDefault="00CC3D51" w:rsidP="00EB296D">
            <w:pPr>
              <w:pStyle w:val="TableParagraph"/>
              <w:keepNext/>
              <w:widowControl/>
              <w:ind w:left="278"/>
              <w:rPr>
                <w:sz w:val="20"/>
              </w:rPr>
            </w:pPr>
            <w:proofErr w:type="spellStart"/>
            <w:r w:rsidRPr="00006FCB">
              <w:rPr>
                <w:spacing w:val="-2"/>
                <w:sz w:val="20"/>
              </w:rPr>
              <w:t>Paraesthesia</w:t>
            </w:r>
            <w:proofErr w:type="spellEnd"/>
          </w:p>
        </w:tc>
        <w:tc>
          <w:tcPr>
            <w:tcW w:w="2174" w:type="dxa"/>
          </w:tcPr>
          <w:p w14:paraId="173CFB63" w14:textId="77777777" w:rsidR="00CC3D51" w:rsidRPr="00006FCB" w:rsidRDefault="00CC3D51" w:rsidP="00EB296D">
            <w:pPr>
              <w:pStyle w:val="TableParagraph"/>
              <w:keepNext/>
              <w:widowControl/>
              <w:ind w:left="6" w:right="1"/>
              <w:jc w:val="center"/>
              <w:rPr>
                <w:sz w:val="20"/>
              </w:rPr>
            </w:pPr>
            <w:r w:rsidRPr="00006FCB">
              <w:rPr>
                <w:sz w:val="20"/>
              </w:rPr>
              <w:t>11</w:t>
            </w:r>
            <w:r w:rsidRPr="00006FCB">
              <w:rPr>
                <w:spacing w:val="-3"/>
                <w:sz w:val="20"/>
              </w:rPr>
              <w:t xml:space="preserve"> </w:t>
            </w:r>
            <w:r w:rsidRPr="00006FCB">
              <w:rPr>
                <w:spacing w:val="-2"/>
                <w:sz w:val="20"/>
              </w:rPr>
              <w:t>(18.0)</w:t>
            </w:r>
          </w:p>
        </w:tc>
        <w:tc>
          <w:tcPr>
            <w:tcW w:w="2179" w:type="dxa"/>
          </w:tcPr>
          <w:p w14:paraId="1984C64E" w14:textId="77777777" w:rsidR="00CC3D51" w:rsidRPr="00006FCB" w:rsidRDefault="00CC3D51" w:rsidP="00EB296D">
            <w:pPr>
              <w:pStyle w:val="TableParagraph"/>
              <w:keepNext/>
              <w:widowControl/>
              <w:ind w:left="9" w:right="3"/>
              <w:jc w:val="center"/>
              <w:rPr>
                <w:sz w:val="20"/>
              </w:rPr>
            </w:pPr>
            <w:r w:rsidRPr="00006FCB">
              <w:rPr>
                <w:sz w:val="20"/>
              </w:rPr>
              <w:t>3</w:t>
            </w:r>
            <w:r w:rsidRPr="00006FCB">
              <w:rPr>
                <w:spacing w:val="-2"/>
                <w:sz w:val="20"/>
              </w:rPr>
              <w:t xml:space="preserve"> (14.3)</w:t>
            </w:r>
          </w:p>
        </w:tc>
      </w:tr>
      <w:tr w:rsidR="00CC3D51" w:rsidRPr="00006FCB" w14:paraId="54620B4F" w14:textId="77777777" w:rsidTr="00DB55BA">
        <w:trPr>
          <w:trHeight w:val="230"/>
        </w:trPr>
        <w:tc>
          <w:tcPr>
            <w:tcW w:w="4666" w:type="dxa"/>
          </w:tcPr>
          <w:p w14:paraId="5D66505E" w14:textId="77777777" w:rsidR="00CC3D51" w:rsidRPr="00006FCB" w:rsidRDefault="00CC3D51" w:rsidP="00EB296D">
            <w:pPr>
              <w:pStyle w:val="TableParagraph"/>
              <w:keepNext/>
              <w:widowControl/>
              <w:ind w:left="278"/>
              <w:rPr>
                <w:sz w:val="20"/>
              </w:rPr>
            </w:pPr>
            <w:r w:rsidRPr="00006FCB">
              <w:rPr>
                <w:spacing w:val="-2"/>
                <w:sz w:val="20"/>
              </w:rPr>
              <w:t>Dizziness</w:t>
            </w:r>
          </w:p>
        </w:tc>
        <w:tc>
          <w:tcPr>
            <w:tcW w:w="2174" w:type="dxa"/>
          </w:tcPr>
          <w:p w14:paraId="39261352" w14:textId="77777777" w:rsidR="00CC3D51" w:rsidRPr="00006FCB" w:rsidRDefault="00CC3D51" w:rsidP="00EB296D">
            <w:pPr>
              <w:pStyle w:val="TableParagraph"/>
              <w:keepNext/>
              <w:widowControl/>
              <w:ind w:left="6"/>
              <w:jc w:val="center"/>
              <w:rPr>
                <w:sz w:val="20"/>
              </w:rPr>
            </w:pPr>
            <w:r w:rsidRPr="00006FCB">
              <w:rPr>
                <w:sz w:val="20"/>
              </w:rPr>
              <w:t>4</w:t>
            </w:r>
            <w:r w:rsidRPr="00006FCB">
              <w:rPr>
                <w:spacing w:val="-2"/>
                <w:sz w:val="20"/>
              </w:rPr>
              <w:t xml:space="preserve"> (6.6)</w:t>
            </w:r>
          </w:p>
        </w:tc>
        <w:tc>
          <w:tcPr>
            <w:tcW w:w="2179" w:type="dxa"/>
          </w:tcPr>
          <w:p w14:paraId="04BFFD38" w14:textId="77777777" w:rsidR="00CC3D51" w:rsidRPr="00006FCB" w:rsidRDefault="00CC3D51" w:rsidP="00EB296D">
            <w:pPr>
              <w:pStyle w:val="TableParagraph"/>
              <w:keepNext/>
              <w:widowControl/>
              <w:ind w:left="9"/>
              <w:jc w:val="center"/>
              <w:rPr>
                <w:sz w:val="20"/>
              </w:rPr>
            </w:pPr>
            <w:r w:rsidRPr="00006FCB">
              <w:rPr>
                <w:spacing w:val="-10"/>
                <w:sz w:val="20"/>
              </w:rPr>
              <w:t>0</w:t>
            </w:r>
          </w:p>
        </w:tc>
      </w:tr>
      <w:tr w:rsidR="00CC3D51" w:rsidRPr="00006FCB" w14:paraId="45E13FCD" w14:textId="77777777" w:rsidTr="00DB55BA">
        <w:trPr>
          <w:trHeight w:val="230"/>
        </w:trPr>
        <w:tc>
          <w:tcPr>
            <w:tcW w:w="4666" w:type="dxa"/>
          </w:tcPr>
          <w:p w14:paraId="5058B7DB" w14:textId="77777777" w:rsidR="00CC3D51" w:rsidRPr="00006FCB" w:rsidRDefault="00CC3D51" w:rsidP="00EB296D">
            <w:pPr>
              <w:pStyle w:val="TableParagraph"/>
              <w:keepNext/>
              <w:widowControl/>
              <w:rPr>
                <w:sz w:val="20"/>
              </w:rPr>
            </w:pPr>
            <w:r w:rsidRPr="00006FCB">
              <w:rPr>
                <w:spacing w:val="-2"/>
                <w:sz w:val="20"/>
              </w:rPr>
              <w:t>Musculoskeletal</w:t>
            </w:r>
            <w:r w:rsidRPr="00006FCB">
              <w:rPr>
                <w:spacing w:val="4"/>
                <w:sz w:val="20"/>
              </w:rPr>
              <w:t xml:space="preserve"> </w:t>
            </w:r>
            <w:r w:rsidRPr="00006FCB">
              <w:rPr>
                <w:spacing w:val="-2"/>
                <w:sz w:val="20"/>
              </w:rPr>
              <w:t>and</w:t>
            </w:r>
            <w:r w:rsidRPr="00006FCB">
              <w:rPr>
                <w:spacing w:val="5"/>
                <w:sz w:val="20"/>
              </w:rPr>
              <w:t xml:space="preserve"> </w:t>
            </w:r>
            <w:r w:rsidRPr="00006FCB">
              <w:rPr>
                <w:spacing w:val="-2"/>
                <w:sz w:val="20"/>
              </w:rPr>
              <w:t>connective</w:t>
            </w:r>
            <w:r w:rsidRPr="00006FCB">
              <w:rPr>
                <w:spacing w:val="5"/>
                <w:sz w:val="20"/>
              </w:rPr>
              <w:t xml:space="preserve"> </w:t>
            </w:r>
            <w:r w:rsidRPr="00006FCB">
              <w:rPr>
                <w:spacing w:val="-2"/>
                <w:sz w:val="20"/>
              </w:rPr>
              <w:t>tissue</w:t>
            </w:r>
            <w:r w:rsidRPr="00006FCB">
              <w:rPr>
                <w:spacing w:val="6"/>
                <w:sz w:val="20"/>
              </w:rPr>
              <w:t xml:space="preserve"> </w:t>
            </w:r>
            <w:r w:rsidRPr="00006FCB">
              <w:rPr>
                <w:spacing w:val="-2"/>
                <w:sz w:val="20"/>
              </w:rPr>
              <w:t>disorders</w:t>
            </w:r>
          </w:p>
        </w:tc>
        <w:tc>
          <w:tcPr>
            <w:tcW w:w="2174" w:type="dxa"/>
          </w:tcPr>
          <w:p w14:paraId="76922472" w14:textId="77777777" w:rsidR="00CC3D51" w:rsidRPr="00006FCB" w:rsidRDefault="00CC3D51" w:rsidP="00EB296D">
            <w:pPr>
              <w:pStyle w:val="TableParagraph"/>
              <w:keepNext/>
              <w:widowControl/>
              <w:ind w:left="6" w:right="1"/>
              <w:jc w:val="center"/>
              <w:rPr>
                <w:sz w:val="20"/>
              </w:rPr>
            </w:pPr>
            <w:r w:rsidRPr="00006FCB">
              <w:rPr>
                <w:sz w:val="20"/>
              </w:rPr>
              <w:t>21</w:t>
            </w:r>
            <w:r w:rsidRPr="00006FCB">
              <w:rPr>
                <w:spacing w:val="-3"/>
                <w:sz w:val="20"/>
              </w:rPr>
              <w:t xml:space="preserve"> </w:t>
            </w:r>
            <w:r w:rsidRPr="00006FCB">
              <w:rPr>
                <w:spacing w:val="-2"/>
                <w:sz w:val="20"/>
              </w:rPr>
              <w:t>(34.4)</w:t>
            </w:r>
          </w:p>
        </w:tc>
        <w:tc>
          <w:tcPr>
            <w:tcW w:w="2179" w:type="dxa"/>
          </w:tcPr>
          <w:p w14:paraId="5F8D2C16" w14:textId="77777777" w:rsidR="00CC3D51" w:rsidRPr="00006FCB" w:rsidRDefault="00CC3D51" w:rsidP="00EB296D">
            <w:pPr>
              <w:pStyle w:val="TableParagraph"/>
              <w:keepNext/>
              <w:widowControl/>
              <w:ind w:left="9" w:right="3"/>
              <w:jc w:val="center"/>
              <w:rPr>
                <w:sz w:val="20"/>
              </w:rPr>
            </w:pPr>
            <w:r w:rsidRPr="00006FCB">
              <w:rPr>
                <w:sz w:val="20"/>
              </w:rPr>
              <w:t>6</w:t>
            </w:r>
            <w:r w:rsidRPr="00006FCB">
              <w:rPr>
                <w:spacing w:val="-2"/>
                <w:sz w:val="20"/>
              </w:rPr>
              <w:t xml:space="preserve"> (28.6)</w:t>
            </w:r>
          </w:p>
        </w:tc>
      </w:tr>
      <w:tr w:rsidR="00CC3D51" w:rsidRPr="00006FCB" w14:paraId="3A310410" w14:textId="77777777" w:rsidTr="00DB55BA">
        <w:trPr>
          <w:trHeight w:val="227"/>
        </w:trPr>
        <w:tc>
          <w:tcPr>
            <w:tcW w:w="4666" w:type="dxa"/>
          </w:tcPr>
          <w:p w14:paraId="6D598651" w14:textId="77777777" w:rsidR="00CC3D51" w:rsidRPr="00006FCB" w:rsidRDefault="00CC3D51" w:rsidP="00EB296D">
            <w:pPr>
              <w:pStyle w:val="TableParagraph"/>
              <w:keepNext/>
              <w:widowControl/>
              <w:spacing w:line="208" w:lineRule="exact"/>
              <w:ind w:left="278"/>
              <w:rPr>
                <w:sz w:val="20"/>
              </w:rPr>
            </w:pPr>
            <w:r w:rsidRPr="00006FCB">
              <w:rPr>
                <w:sz w:val="20"/>
              </w:rPr>
              <w:t>Muscle</w:t>
            </w:r>
            <w:r w:rsidRPr="00006FCB">
              <w:rPr>
                <w:spacing w:val="-11"/>
                <w:sz w:val="20"/>
              </w:rPr>
              <w:t xml:space="preserve"> </w:t>
            </w:r>
            <w:r w:rsidRPr="00006FCB">
              <w:rPr>
                <w:spacing w:val="-2"/>
                <w:sz w:val="20"/>
              </w:rPr>
              <w:t>spasms</w:t>
            </w:r>
          </w:p>
        </w:tc>
        <w:tc>
          <w:tcPr>
            <w:tcW w:w="2174" w:type="dxa"/>
          </w:tcPr>
          <w:p w14:paraId="1E82D261" w14:textId="77777777" w:rsidR="00CC3D51" w:rsidRPr="00006FCB" w:rsidRDefault="00CC3D51" w:rsidP="00EB296D">
            <w:pPr>
              <w:pStyle w:val="TableParagraph"/>
              <w:keepNext/>
              <w:widowControl/>
              <w:spacing w:line="208" w:lineRule="exact"/>
              <w:ind w:left="6" w:right="1"/>
              <w:jc w:val="center"/>
              <w:rPr>
                <w:sz w:val="20"/>
              </w:rPr>
            </w:pPr>
            <w:r w:rsidRPr="00006FCB">
              <w:rPr>
                <w:sz w:val="20"/>
              </w:rPr>
              <w:t>7</w:t>
            </w:r>
            <w:r w:rsidRPr="00006FCB">
              <w:rPr>
                <w:spacing w:val="-1"/>
                <w:sz w:val="20"/>
              </w:rPr>
              <w:t xml:space="preserve"> </w:t>
            </w:r>
            <w:r w:rsidRPr="00006FCB">
              <w:rPr>
                <w:spacing w:val="-2"/>
                <w:sz w:val="20"/>
              </w:rPr>
              <w:t>(11.5)</w:t>
            </w:r>
          </w:p>
        </w:tc>
        <w:tc>
          <w:tcPr>
            <w:tcW w:w="2179" w:type="dxa"/>
          </w:tcPr>
          <w:p w14:paraId="1BCD9DF2" w14:textId="77777777" w:rsidR="00CC3D51" w:rsidRPr="00006FCB" w:rsidRDefault="00CC3D51" w:rsidP="00EB296D">
            <w:pPr>
              <w:pStyle w:val="TableParagraph"/>
              <w:keepNext/>
              <w:widowControl/>
              <w:spacing w:line="208" w:lineRule="exact"/>
              <w:ind w:left="9" w:right="3"/>
              <w:jc w:val="center"/>
              <w:rPr>
                <w:sz w:val="20"/>
              </w:rPr>
            </w:pPr>
            <w:r w:rsidRPr="00006FCB">
              <w:rPr>
                <w:sz w:val="20"/>
              </w:rPr>
              <w:t>3</w:t>
            </w:r>
            <w:r w:rsidRPr="00006FCB">
              <w:rPr>
                <w:spacing w:val="-2"/>
                <w:sz w:val="20"/>
              </w:rPr>
              <w:t xml:space="preserve"> (14.3)</w:t>
            </w:r>
          </w:p>
        </w:tc>
      </w:tr>
      <w:tr w:rsidR="00CC3D51" w:rsidRPr="00006FCB" w14:paraId="3CC7156B" w14:textId="77777777" w:rsidTr="00DB55BA">
        <w:trPr>
          <w:trHeight w:val="230"/>
        </w:trPr>
        <w:tc>
          <w:tcPr>
            <w:tcW w:w="4666" w:type="dxa"/>
          </w:tcPr>
          <w:p w14:paraId="0575A7AB" w14:textId="77777777" w:rsidR="00CC3D51" w:rsidRPr="00006FCB" w:rsidRDefault="00CC3D51" w:rsidP="00EB296D">
            <w:pPr>
              <w:pStyle w:val="TableParagraph"/>
              <w:keepNext/>
              <w:widowControl/>
              <w:ind w:left="278"/>
              <w:rPr>
                <w:sz w:val="20"/>
              </w:rPr>
            </w:pPr>
            <w:r w:rsidRPr="00006FCB">
              <w:rPr>
                <w:spacing w:val="-2"/>
                <w:sz w:val="20"/>
              </w:rPr>
              <w:t>Arthralgia</w:t>
            </w:r>
          </w:p>
        </w:tc>
        <w:tc>
          <w:tcPr>
            <w:tcW w:w="2174" w:type="dxa"/>
          </w:tcPr>
          <w:p w14:paraId="0DADF409" w14:textId="77777777" w:rsidR="00CC3D51" w:rsidRPr="00006FCB" w:rsidRDefault="00CC3D51" w:rsidP="00EB296D">
            <w:pPr>
              <w:pStyle w:val="TableParagraph"/>
              <w:keepNext/>
              <w:widowControl/>
              <w:ind w:left="6"/>
              <w:jc w:val="center"/>
              <w:rPr>
                <w:sz w:val="20"/>
              </w:rPr>
            </w:pPr>
            <w:r w:rsidRPr="00006FCB">
              <w:rPr>
                <w:sz w:val="20"/>
              </w:rPr>
              <w:t>6</w:t>
            </w:r>
            <w:r w:rsidRPr="00006FCB">
              <w:rPr>
                <w:spacing w:val="-2"/>
                <w:sz w:val="20"/>
              </w:rPr>
              <w:t xml:space="preserve"> (9.8)</w:t>
            </w:r>
          </w:p>
        </w:tc>
        <w:tc>
          <w:tcPr>
            <w:tcW w:w="2179" w:type="dxa"/>
          </w:tcPr>
          <w:p w14:paraId="6577B77D" w14:textId="77777777" w:rsidR="00CC3D51" w:rsidRPr="00006FCB" w:rsidRDefault="00CC3D51" w:rsidP="00EB296D">
            <w:pPr>
              <w:pStyle w:val="TableParagraph"/>
              <w:keepNext/>
              <w:widowControl/>
              <w:ind w:left="9" w:right="3"/>
              <w:jc w:val="center"/>
              <w:rPr>
                <w:sz w:val="20"/>
              </w:rPr>
            </w:pPr>
            <w:r w:rsidRPr="00006FCB">
              <w:rPr>
                <w:sz w:val="20"/>
              </w:rPr>
              <w:t>3</w:t>
            </w:r>
            <w:r w:rsidRPr="00006FCB">
              <w:rPr>
                <w:spacing w:val="-2"/>
                <w:sz w:val="20"/>
              </w:rPr>
              <w:t xml:space="preserve"> (14.3)</w:t>
            </w:r>
          </w:p>
        </w:tc>
      </w:tr>
      <w:tr w:rsidR="00CC3D51" w:rsidRPr="00006FCB" w14:paraId="47BC5F69" w14:textId="77777777" w:rsidTr="00DB55BA">
        <w:trPr>
          <w:trHeight w:val="230"/>
        </w:trPr>
        <w:tc>
          <w:tcPr>
            <w:tcW w:w="4666" w:type="dxa"/>
          </w:tcPr>
          <w:p w14:paraId="3C8D9000" w14:textId="77777777" w:rsidR="00CC3D51" w:rsidRPr="00006FCB" w:rsidRDefault="00CC3D51" w:rsidP="00EB296D">
            <w:pPr>
              <w:pStyle w:val="TableParagraph"/>
              <w:keepNext/>
              <w:widowControl/>
              <w:rPr>
                <w:sz w:val="20"/>
              </w:rPr>
            </w:pPr>
            <w:r w:rsidRPr="00006FCB">
              <w:rPr>
                <w:spacing w:val="-2"/>
                <w:sz w:val="20"/>
              </w:rPr>
              <w:t>Gastrointestinal</w:t>
            </w:r>
            <w:r w:rsidRPr="00006FCB">
              <w:rPr>
                <w:spacing w:val="15"/>
                <w:sz w:val="20"/>
              </w:rPr>
              <w:t xml:space="preserve"> </w:t>
            </w:r>
            <w:r w:rsidRPr="00006FCB">
              <w:rPr>
                <w:spacing w:val="-2"/>
                <w:sz w:val="20"/>
              </w:rPr>
              <w:t>disorders</w:t>
            </w:r>
          </w:p>
        </w:tc>
        <w:tc>
          <w:tcPr>
            <w:tcW w:w="2174" w:type="dxa"/>
          </w:tcPr>
          <w:p w14:paraId="1DDA1995" w14:textId="77777777" w:rsidR="00CC3D51" w:rsidRPr="00006FCB" w:rsidRDefault="00CC3D51" w:rsidP="00EB296D">
            <w:pPr>
              <w:pStyle w:val="TableParagraph"/>
              <w:keepNext/>
              <w:widowControl/>
              <w:ind w:left="6" w:right="1"/>
              <w:jc w:val="center"/>
              <w:rPr>
                <w:sz w:val="20"/>
              </w:rPr>
            </w:pPr>
            <w:r w:rsidRPr="00006FCB">
              <w:rPr>
                <w:sz w:val="20"/>
              </w:rPr>
              <w:t>20</w:t>
            </w:r>
            <w:r w:rsidRPr="00006FCB">
              <w:rPr>
                <w:spacing w:val="-3"/>
                <w:sz w:val="20"/>
              </w:rPr>
              <w:t xml:space="preserve"> </w:t>
            </w:r>
            <w:r w:rsidRPr="00006FCB">
              <w:rPr>
                <w:spacing w:val="-2"/>
                <w:sz w:val="20"/>
              </w:rPr>
              <w:t>(32.8)</w:t>
            </w:r>
          </w:p>
        </w:tc>
        <w:tc>
          <w:tcPr>
            <w:tcW w:w="2179" w:type="dxa"/>
          </w:tcPr>
          <w:p w14:paraId="53142AD7" w14:textId="77777777" w:rsidR="00CC3D51" w:rsidRPr="00006FCB" w:rsidRDefault="00CC3D51" w:rsidP="00EB296D">
            <w:pPr>
              <w:pStyle w:val="TableParagraph"/>
              <w:keepNext/>
              <w:widowControl/>
              <w:ind w:left="9" w:right="3"/>
              <w:jc w:val="center"/>
              <w:rPr>
                <w:sz w:val="20"/>
              </w:rPr>
            </w:pPr>
            <w:r w:rsidRPr="00006FCB">
              <w:rPr>
                <w:sz w:val="20"/>
              </w:rPr>
              <w:t>5</w:t>
            </w:r>
            <w:r w:rsidRPr="00006FCB">
              <w:rPr>
                <w:spacing w:val="-2"/>
                <w:sz w:val="20"/>
              </w:rPr>
              <w:t xml:space="preserve"> (23.8)</w:t>
            </w:r>
          </w:p>
        </w:tc>
      </w:tr>
      <w:tr w:rsidR="00CC3D51" w:rsidRPr="00006FCB" w14:paraId="143BECCD" w14:textId="77777777" w:rsidTr="00DB55BA">
        <w:trPr>
          <w:trHeight w:val="230"/>
        </w:trPr>
        <w:tc>
          <w:tcPr>
            <w:tcW w:w="4666" w:type="dxa"/>
          </w:tcPr>
          <w:p w14:paraId="20A508CD" w14:textId="77777777" w:rsidR="00CC3D51" w:rsidRPr="00006FCB" w:rsidRDefault="00CC3D51" w:rsidP="00EB296D">
            <w:pPr>
              <w:pStyle w:val="TableParagraph"/>
              <w:keepNext/>
              <w:widowControl/>
              <w:ind w:left="278"/>
              <w:rPr>
                <w:sz w:val="20"/>
              </w:rPr>
            </w:pPr>
            <w:r w:rsidRPr="00006FCB">
              <w:rPr>
                <w:spacing w:val="-2"/>
                <w:sz w:val="20"/>
              </w:rPr>
              <w:t>Nausea</w:t>
            </w:r>
          </w:p>
        </w:tc>
        <w:tc>
          <w:tcPr>
            <w:tcW w:w="2174" w:type="dxa"/>
          </w:tcPr>
          <w:p w14:paraId="764F6926" w14:textId="77777777" w:rsidR="00CC3D51" w:rsidRPr="00006FCB" w:rsidRDefault="00CC3D51" w:rsidP="00EB296D">
            <w:pPr>
              <w:pStyle w:val="TableParagraph"/>
              <w:keepNext/>
              <w:widowControl/>
              <w:ind w:left="6"/>
              <w:jc w:val="center"/>
              <w:rPr>
                <w:sz w:val="20"/>
              </w:rPr>
            </w:pPr>
            <w:r w:rsidRPr="00006FCB">
              <w:rPr>
                <w:sz w:val="20"/>
              </w:rPr>
              <w:t>7</w:t>
            </w:r>
            <w:r w:rsidRPr="00006FCB">
              <w:rPr>
                <w:spacing w:val="-2"/>
                <w:sz w:val="20"/>
              </w:rPr>
              <w:t xml:space="preserve"> (11.5)</w:t>
            </w:r>
          </w:p>
        </w:tc>
        <w:tc>
          <w:tcPr>
            <w:tcW w:w="2179" w:type="dxa"/>
          </w:tcPr>
          <w:p w14:paraId="5F81DE59" w14:textId="77777777" w:rsidR="00CC3D51" w:rsidRPr="00006FCB" w:rsidRDefault="00CC3D51" w:rsidP="00EB296D">
            <w:pPr>
              <w:pStyle w:val="TableParagraph"/>
              <w:keepNext/>
              <w:widowControl/>
              <w:ind w:left="9" w:right="2"/>
              <w:jc w:val="center"/>
              <w:rPr>
                <w:sz w:val="20"/>
              </w:rPr>
            </w:pPr>
            <w:r w:rsidRPr="00006FCB">
              <w:rPr>
                <w:sz w:val="20"/>
              </w:rPr>
              <w:t>2</w:t>
            </w:r>
            <w:r w:rsidRPr="00006FCB">
              <w:rPr>
                <w:spacing w:val="-2"/>
                <w:sz w:val="20"/>
              </w:rPr>
              <w:t xml:space="preserve"> (9.5)</w:t>
            </w:r>
          </w:p>
        </w:tc>
      </w:tr>
      <w:tr w:rsidR="00CC3D51" w:rsidRPr="00006FCB" w14:paraId="0597EE0F" w14:textId="77777777" w:rsidTr="00DB55BA">
        <w:trPr>
          <w:trHeight w:val="230"/>
        </w:trPr>
        <w:tc>
          <w:tcPr>
            <w:tcW w:w="4666" w:type="dxa"/>
          </w:tcPr>
          <w:p w14:paraId="59F84099" w14:textId="77777777" w:rsidR="00CC3D51" w:rsidRPr="00006FCB" w:rsidRDefault="00CC3D51" w:rsidP="00EB296D">
            <w:pPr>
              <w:pStyle w:val="TableParagraph"/>
              <w:keepNext/>
              <w:widowControl/>
              <w:ind w:left="278"/>
              <w:rPr>
                <w:sz w:val="20"/>
              </w:rPr>
            </w:pPr>
            <w:proofErr w:type="spellStart"/>
            <w:r w:rsidRPr="00006FCB">
              <w:rPr>
                <w:spacing w:val="-2"/>
                <w:sz w:val="20"/>
              </w:rPr>
              <w:t>Diarrhoea</w:t>
            </w:r>
            <w:proofErr w:type="spellEnd"/>
          </w:p>
        </w:tc>
        <w:tc>
          <w:tcPr>
            <w:tcW w:w="2174" w:type="dxa"/>
          </w:tcPr>
          <w:p w14:paraId="23D31C67" w14:textId="77777777" w:rsidR="00CC3D51" w:rsidRPr="00006FCB" w:rsidRDefault="00CC3D51" w:rsidP="00EB296D">
            <w:pPr>
              <w:pStyle w:val="TableParagraph"/>
              <w:keepNext/>
              <w:widowControl/>
              <w:ind w:left="6"/>
              <w:jc w:val="center"/>
              <w:rPr>
                <w:sz w:val="20"/>
              </w:rPr>
            </w:pPr>
            <w:r w:rsidRPr="00006FCB">
              <w:rPr>
                <w:sz w:val="20"/>
              </w:rPr>
              <w:t>6</w:t>
            </w:r>
            <w:r w:rsidRPr="00006FCB">
              <w:rPr>
                <w:spacing w:val="-2"/>
                <w:sz w:val="20"/>
              </w:rPr>
              <w:t xml:space="preserve"> (9.8)</w:t>
            </w:r>
          </w:p>
        </w:tc>
        <w:tc>
          <w:tcPr>
            <w:tcW w:w="2179" w:type="dxa"/>
          </w:tcPr>
          <w:p w14:paraId="74F567B1" w14:textId="77777777" w:rsidR="00CC3D51" w:rsidRPr="00006FCB" w:rsidRDefault="00CC3D51" w:rsidP="00EB296D">
            <w:pPr>
              <w:pStyle w:val="TableParagraph"/>
              <w:keepNext/>
              <w:widowControl/>
              <w:ind w:left="9" w:right="2"/>
              <w:jc w:val="center"/>
              <w:rPr>
                <w:sz w:val="20"/>
              </w:rPr>
            </w:pPr>
            <w:r w:rsidRPr="00006FCB">
              <w:rPr>
                <w:sz w:val="20"/>
              </w:rPr>
              <w:t>1</w:t>
            </w:r>
            <w:r w:rsidRPr="00006FCB">
              <w:rPr>
                <w:spacing w:val="-2"/>
                <w:sz w:val="20"/>
              </w:rPr>
              <w:t xml:space="preserve"> (4.8)</w:t>
            </w:r>
          </w:p>
        </w:tc>
      </w:tr>
      <w:tr w:rsidR="00CC3D51" w:rsidRPr="00006FCB" w14:paraId="2E90FD3F" w14:textId="77777777" w:rsidTr="00DB55BA">
        <w:trPr>
          <w:trHeight w:val="228"/>
        </w:trPr>
        <w:tc>
          <w:tcPr>
            <w:tcW w:w="4666" w:type="dxa"/>
          </w:tcPr>
          <w:p w14:paraId="3094798F" w14:textId="77777777" w:rsidR="00CC3D51" w:rsidRPr="00006FCB" w:rsidRDefault="00CC3D51" w:rsidP="00EB296D">
            <w:pPr>
              <w:pStyle w:val="TableParagraph"/>
              <w:keepNext/>
              <w:widowControl/>
              <w:spacing w:line="208" w:lineRule="exact"/>
              <w:ind w:left="278"/>
              <w:rPr>
                <w:sz w:val="20"/>
              </w:rPr>
            </w:pPr>
            <w:r w:rsidRPr="00006FCB">
              <w:rPr>
                <w:spacing w:val="-2"/>
                <w:sz w:val="20"/>
              </w:rPr>
              <w:t>Constipation</w:t>
            </w:r>
          </w:p>
        </w:tc>
        <w:tc>
          <w:tcPr>
            <w:tcW w:w="2174" w:type="dxa"/>
          </w:tcPr>
          <w:p w14:paraId="4B08410F" w14:textId="77777777" w:rsidR="00CC3D51" w:rsidRPr="00006FCB" w:rsidRDefault="00CC3D51" w:rsidP="00EB296D">
            <w:pPr>
              <w:pStyle w:val="TableParagraph"/>
              <w:keepNext/>
              <w:widowControl/>
              <w:spacing w:line="208" w:lineRule="exact"/>
              <w:ind w:left="6"/>
              <w:jc w:val="center"/>
              <w:rPr>
                <w:sz w:val="20"/>
              </w:rPr>
            </w:pPr>
            <w:r w:rsidRPr="00006FCB">
              <w:rPr>
                <w:sz w:val="20"/>
              </w:rPr>
              <w:t>4</w:t>
            </w:r>
            <w:r w:rsidRPr="00006FCB">
              <w:rPr>
                <w:spacing w:val="-2"/>
                <w:sz w:val="20"/>
              </w:rPr>
              <w:t xml:space="preserve"> (6.6)</w:t>
            </w:r>
          </w:p>
        </w:tc>
        <w:tc>
          <w:tcPr>
            <w:tcW w:w="2179" w:type="dxa"/>
          </w:tcPr>
          <w:p w14:paraId="16B4BBB0" w14:textId="77777777" w:rsidR="00CC3D51" w:rsidRPr="00006FCB" w:rsidRDefault="00CC3D51" w:rsidP="00EB296D">
            <w:pPr>
              <w:pStyle w:val="TableParagraph"/>
              <w:keepNext/>
              <w:widowControl/>
              <w:spacing w:line="208" w:lineRule="exact"/>
              <w:ind w:left="9" w:right="2"/>
              <w:jc w:val="center"/>
              <w:rPr>
                <w:sz w:val="20"/>
              </w:rPr>
            </w:pPr>
            <w:r w:rsidRPr="00006FCB">
              <w:rPr>
                <w:sz w:val="20"/>
              </w:rPr>
              <w:t>1</w:t>
            </w:r>
            <w:r w:rsidRPr="00006FCB">
              <w:rPr>
                <w:spacing w:val="-2"/>
                <w:sz w:val="20"/>
              </w:rPr>
              <w:t xml:space="preserve"> (4.8)</w:t>
            </w:r>
          </w:p>
        </w:tc>
      </w:tr>
      <w:tr w:rsidR="00CC3D51" w:rsidRPr="00006FCB" w14:paraId="2595E0C7" w14:textId="77777777" w:rsidTr="00DB55BA">
        <w:trPr>
          <w:trHeight w:val="230"/>
        </w:trPr>
        <w:tc>
          <w:tcPr>
            <w:tcW w:w="4666" w:type="dxa"/>
          </w:tcPr>
          <w:p w14:paraId="0B50171B" w14:textId="77777777" w:rsidR="00CC3D51" w:rsidRPr="00006FCB" w:rsidRDefault="00CC3D51" w:rsidP="00EB296D">
            <w:pPr>
              <w:pStyle w:val="TableParagraph"/>
              <w:keepNext/>
              <w:widowControl/>
              <w:rPr>
                <w:sz w:val="20"/>
              </w:rPr>
            </w:pPr>
            <w:r w:rsidRPr="00006FCB">
              <w:rPr>
                <w:sz w:val="20"/>
              </w:rPr>
              <w:t>Metabolism</w:t>
            </w:r>
            <w:r w:rsidRPr="00006FCB">
              <w:rPr>
                <w:spacing w:val="-11"/>
                <w:sz w:val="20"/>
              </w:rPr>
              <w:t xml:space="preserve"> </w:t>
            </w:r>
            <w:r w:rsidRPr="00006FCB">
              <w:rPr>
                <w:sz w:val="20"/>
              </w:rPr>
              <w:t>and</w:t>
            </w:r>
            <w:r w:rsidRPr="00006FCB">
              <w:rPr>
                <w:spacing w:val="-10"/>
                <w:sz w:val="20"/>
              </w:rPr>
              <w:t xml:space="preserve"> </w:t>
            </w:r>
            <w:proofErr w:type="gramStart"/>
            <w:r w:rsidRPr="00006FCB">
              <w:rPr>
                <w:sz w:val="20"/>
              </w:rPr>
              <w:t>nutrition</w:t>
            </w:r>
            <w:proofErr w:type="gramEnd"/>
            <w:r w:rsidRPr="00006FCB">
              <w:rPr>
                <w:spacing w:val="-10"/>
                <w:sz w:val="20"/>
              </w:rPr>
              <w:t xml:space="preserve"> </w:t>
            </w:r>
            <w:r w:rsidRPr="00006FCB">
              <w:rPr>
                <w:spacing w:val="-2"/>
                <w:sz w:val="20"/>
              </w:rPr>
              <w:t>disorders</w:t>
            </w:r>
          </w:p>
        </w:tc>
        <w:tc>
          <w:tcPr>
            <w:tcW w:w="2174" w:type="dxa"/>
          </w:tcPr>
          <w:p w14:paraId="1A9329A6" w14:textId="77777777" w:rsidR="00CC3D51" w:rsidRPr="00006FCB" w:rsidRDefault="00CC3D51" w:rsidP="00EB296D">
            <w:pPr>
              <w:pStyle w:val="TableParagraph"/>
              <w:keepNext/>
              <w:widowControl/>
              <w:ind w:left="6" w:right="1"/>
              <w:jc w:val="center"/>
              <w:rPr>
                <w:sz w:val="20"/>
              </w:rPr>
            </w:pPr>
            <w:r w:rsidRPr="00006FCB">
              <w:rPr>
                <w:sz w:val="20"/>
              </w:rPr>
              <w:t>12</w:t>
            </w:r>
            <w:r w:rsidRPr="00006FCB">
              <w:rPr>
                <w:spacing w:val="-3"/>
                <w:sz w:val="20"/>
              </w:rPr>
              <w:t xml:space="preserve"> </w:t>
            </w:r>
            <w:r w:rsidRPr="00006FCB">
              <w:rPr>
                <w:spacing w:val="-2"/>
                <w:sz w:val="20"/>
              </w:rPr>
              <w:t>(19.7)</w:t>
            </w:r>
          </w:p>
        </w:tc>
        <w:tc>
          <w:tcPr>
            <w:tcW w:w="2179" w:type="dxa"/>
          </w:tcPr>
          <w:p w14:paraId="1AB179AF" w14:textId="77777777" w:rsidR="00CC3D51" w:rsidRPr="00006FCB" w:rsidRDefault="00CC3D51" w:rsidP="00EB296D">
            <w:pPr>
              <w:pStyle w:val="TableParagraph"/>
              <w:keepNext/>
              <w:widowControl/>
              <w:ind w:left="9" w:right="3"/>
              <w:jc w:val="center"/>
              <w:rPr>
                <w:sz w:val="20"/>
              </w:rPr>
            </w:pPr>
            <w:r w:rsidRPr="00006FCB">
              <w:rPr>
                <w:sz w:val="20"/>
              </w:rPr>
              <w:t>9</w:t>
            </w:r>
            <w:r w:rsidRPr="00006FCB">
              <w:rPr>
                <w:spacing w:val="-2"/>
                <w:sz w:val="20"/>
              </w:rPr>
              <w:t xml:space="preserve"> (42.9)</w:t>
            </w:r>
          </w:p>
        </w:tc>
      </w:tr>
      <w:tr w:rsidR="00CC3D51" w:rsidRPr="00006FCB" w14:paraId="2D16E00B" w14:textId="77777777" w:rsidTr="00DB55BA">
        <w:trPr>
          <w:trHeight w:val="230"/>
        </w:trPr>
        <w:tc>
          <w:tcPr>
            <w:tcW w:w="4666" w:type="dxa"/>
          </w:tcPr>
          <w:p w14:paraId="01DD0099" w14:textId="77777777" w:rsidR="00CC3D51" w:rsidRPr="00006FCB" w:rsidRDefault="00CC3D51" w:rsidP="00EB296D">
            <w:pPr>
              <w:pStyle w:val="TableParagraph"/>
              <w:keepNext/>
              <w:widowControl/>
              <w:ind w:left="278"/>
              <w:rPr>
                <w:sz w:val="20"/>
              </w:rPr>
            </w:pPr>
            <w:proofErr w:type="spellStart"/>
            <w:r w:rsidRPr="00006FCB">
              <w:rPr>
                <w:spacing w:val="-2"/>
                <w:sz w:val="20"/>
              </w:rPr>
              <w:t>Hypocalcaemia</w:t>
            </w:r>
            <w:proofErr w:type="spellEnd"/>
          </w:p>
        </w:tc>
        <w:tc>
          <w:tcPr>
            <w:tcW w:w="2174" w:type="dxa"/>
          </w:tcPr>
          <w:p w14:paraId="166C99F1" w14:textId="77777777" w:rsidR="00CC3D51" w:rsidRPr="00006FCB" w:rsidRDefault="00CC3D51" w:rsidP="00EB296D">
            <w:pPr>
              <w:pStyle w:val="TableParagraph"/>
              <w:keepNext/>
              <w:widowControl/>
              <w:ind w:left="6"/>
              <w:jc w:val="center"/>
              <w:rPr>
                <w:sz w:val="20"/>
              </w:rPr>
            </w:pPr>
            <w:r w:rsidRPr="00006FCB">
              <w:rPr>
                <w:sz w:val="20"/>
              </w:rPr>
              <w:t>6</w:t>
            </w:r>
            <w:r w:rsidRPr="00006FCB">
              <w:rPr>
                <w:spacing w:val="-2"/>
                <w:sz w:val="20"/>
              </w:rPr>
              <w:t xml:space="preserve"> (9.8)</w:t>
            </w:r>
          </w:p>
        </w:tc>
        <w:tc>
          <w:tcPr>
            <w:tcW w:w="2179" w:type="dxa"/>
          </w:tcPr>
          <w:p w14:paraId="5F5A7A68" w14:textId="77777777" w:rsidR="00CC3D51" w:rsidRPr="00006FCB" w:rsidRDefault="00CC3D51" w:rsidP="00EB296D">
            <w:pPr>
              <w:pStyle w:val="TableParagraph"/>
              <w:keepNext/>
              <w:widowControl/>
              <w:ind w:left="9" w:right="3"/>
              <w:jc w:val="center"/>
              <w:rPr>
                <w:sz w:val="20"/>
              </w:rPr>
            </w:pPr>
            <w:r w:rsidRPr="00006FCB">
              <w:rPr>
                <w:sz w:val="20"/>
              </w:rPr>
              <w:t>9</w:t>
            </w:r>
            <w:r w:rsidRPr="00006FCB">
              <w:rPr>
                <w:spacing w:val="-1"/>
                <w:sz w:val="20"/>
              </w:rPr>
              <w:t xml:space="preserve"> </w:t>
            </w:r>
            <w:r w:rsidRPr="00006FCB">
              <w:rPr>
                <w:spacing w:val="-2"/>
                <w:sz w:val="20"/>
              </w:rPr>
              <w:t>(42.9)</w:t>
            </w:r>
          </w:p>
        </w:tc>
      </w:tr>
      <w:tr w:rsidR="00CC3D51" w:rsidRPr="00006FCB" w14:paraId="0644EA79" w14:textId="77777777" w:rsidTr="00DB55BA">
        <w:trPr>
          <w:trHeight w:val="230"/>
        </w:trPr>
        <w:tc>
          <w:tcPr>
            <w:tcW w:w="4666" w:type="dxa"/>
          </w:tcPr>
          <w:p w14:paraId="619DCDED" w14:textId="77777777" w:rsidR="00CC3D51" w:rsidRPr="00006FCB" w:rsidRDefault="00CC3D51" w:rsidP="00EB296D">
            <w:pPr>
              <w:pStyle w:val="TableParagraph"/>
              <w:keepNext/>
              <w:widowControl/>
              <w:ind w:left="278"/>
              <w:rPr>
                <w:sz w:val="20"/>
              </w:rPr>
            </w:pPr>
            <w:proofErr w:type="spellStart"/>
            <w:r w:rsidRPr="00006FCB">
              <w:rPr>
                <w:spacing w:val="-2"/>
                <w:sz w:val="20"/>
              </w:rPr>
              <w:t>Hypercalcaemia</w:t>
            </w:r>
            <w:proofErr w:type="spellEnd"/>
          </w:p>
        </w:tc>
        <w:tc>
          <w:tcPr>
            <w:tcW w:w="2174" w:type="dxa"/>
          </w:tcPr>
          <w:p w14:paraId="7DF1E552" w14:textId="77777777" w:rsidR="00CC3D51" w:rsidRPr="00006FCB" w:rsidRDefault="00CC3D51" w:rsidP="00EB296D">
            <w:pPr>
              <w:pStyle w:val="TableParagraph"/>
              <w:keepNext/>
              <w:widowControl/>
              <w:ind w:left="6"/>
              <w:jc w:val="center"/>
              <w:rPr>
                <w:sz w:val="20"/>
              </w:rPr>
            </w:pPr>
            <w:r w:rsidRPr="00006FCB">
              <w:rPr>
                <w:sz w:val="20"/>
              </w:rPr>
              <w:t>6</w:t>
            </w:r>
            <w:r w:rsidRPr="00006FCB">
              <w:rPr>
                <w:spacing w:val="-2"/>
                <w:sz w:val="20"/>
              </w:rPr>
              <w:t xml:space="preserve"> (9.8)</w:t>
            </w:r>
          </w:p>
        </w:tc>
        <w:tc>
          <w:tcPr>
            <w:tcW w:w="2179" w:type="dxa"/>
          </w:tcPr>
          <w:p w14:paraId="43F76E07" w14:textId="77777777" w:rsidR="00CC3D51" w:rsidRPr="00006FCB" w:rsidRDefault="00CC3D51" w:rsidP="00EB296D">
            <w:pPr>
              <w:pStyle w:val="TableParagraph"/>
              <w:keepNext/>
              <w:widowControl/>
              <w:ind w:left="9"/>
              <w:jc w:val="center"/>
              <w:rPr>
                <w:sz w:val="20"/>
              </w:rPr>
            </w:pPr>
            <w:r w:rsidRPr="00006FCB">
              <w:rPr>
                <w:spacing w:val="-10"/>
                <w:sz w:val="20"/>
              </w:rPr>
              <w:t>0</w:t>
            </w:r>
          </w:p>
        </w:tc>
      </w:tr>
      <w:tr w:rsidR="00CC3D51" w:rsidRPr="00006FCB" w14:paraId="3E95D214" w14:textId="77777777" w:rsidTr="00DB55BA">
        <w:trPr>
          <w:trHeight w:val="227"/>
        </w:trPr>
        <w:tc>
          <w:tcPr>
            <w:tcW w:w="4666" w:type="dxa"/>
          </w:tcPr>
          <w:p w14:paraId="1CE3D4F6" w14:textId="77777777" w:rsidR="00CC3D51" w:rsidRPr="00006FCB" w:rsidRDefault="00CC3D51" w:rsidP="00EB296D">
            <w:pPr>
              <w:pStyle w:val="TableParagraph"/>
              <w:keepNext/>
              <w:widowControl/>
              <w:spacing w:line="208" w:lineRule="exact"/>
              <w:rPr>
                <w:sz w:val="20"/>
              </w:rPr>
            </w:pPr>
            <w:r w:rsidRPr="00006FCB">
              <w:rPr>
                <w:spacing w:val="-2"/>
                <w:sz w:val="20"/>
              </w:rPr>
              <w:t>Investigations</w:t>
            </w:r>
          </w:p>
        </w:tc>
        <w:tc>
          <w:tcPr>
            <w:tcW w:w="2174" w:type="dxa"/>
          </w:tcPr>
          <w:p w14:paraId="6B6DB343" w14:textId="77777777" w:rsidR="00CC3D51" w:rsidRPr="00006FCB" w:rsidRDefault="00CC3D51" w:rsidP="00EB296D">
            <w:pPr>
              <w:pStyle w:val="TableParagraph"/>
              <w:keepNext/>
              <w:widowControl/>
              <w:spacing w:line="208" w:lineRule="exact"/>
              <w:ind w:left="6"/>
              <w:jc w:val="center"/>
              <w:rPr>
                <w:sz w:val="20"/>
              </w:rPr>
            </w:pPr>
            <w:r w:rsidRPr="00006FCB">
              <w:rPr>
                <w:sz w:val="20"/>
              </w:rPr>
              <w:t>9</w:t>
            </w:r>
            <w:r w:rsidRPr="00006FCB">
              <w:rPr>
                <w:spacing w:val="-2"/>
                <w:sz w:val="20"/>
              </w:rPr>
              <w:t xml:space="preserve"> (14.8)</w:t>
            </w:r>
          </w:p>
        </w:tc>
        <w:tc>
          <w:tcPr>
            <w:tcW w:w="2179" w:type="dxa"/>
          </w:tcPr>
          <w:p w14:paraId="6A82FFA2" w14:textId="77777777" w:rsidR="00CC3D51" w:rsidRPr="00006FCB" w:rsidRDefault="00CC3D51" w:rsidP="00EB296D">
            <w:pPr>
              <w:pStyle w:val="TableParagraph"/>
              <w:keepNext/>
              <w:widowControl/>
              <w:spacing w:line="208" w:lineRule="exact"/>
              <w:ind w:left="9" w:right="3"/>
              <w:jc w:val="center"/>
              <w:rPr>
                <w:sz w:val="20"/>
              </w:rPr>
            </w:pPr>
            <w:r w:rsidRPr="00006FCB">
              <w:rPr>
                <w:sz w:val="20"/>
              </w:rPr>
              <w:t>3</w:t>
            </w:r>
            <w:r w:rsidRPr="00006FCB">
              <w:rPr>
                <w:spacing w:val="-2"/>
                <w:sz w:val="20"/>
              </w:rPr>
              <w:t xml:space="preserve"> (14.3)</w:t>
            </w:r>
          </w:p>
        </w:tc>
      </w:tr>
      <w:tr w:rsidR="00CC3D51" w:rsidRPr="00006FCB" w14:paraId="5996D00C" w14:textId="77777777" w:rsidTr="00DB55BA">
        <w:trPr>
          <w:trHeight w:val="230"/>
        </w:trPr>
        <w:tc>
          <w:tcPr>
            <w:tcW w:w="4666" w:type="dxa"/>
          </w:tcPr>
          <w:p w14:paraId="14A91625" w14:textId="77777777" w:rsidR="00CC3D51" w:rsidRPr="00006FCB" w:rsidRDefault="00CC3D51" w:rsidP="00EB296D">
            <w:pPr>
              <w:pStyle w:val="TableParagraph"/>
              <w:keepNext/>
              <w:widowControl/>
              <w:ind w:left="278"/>
              <w:rPr>
                <w:sz w:val="20"/>
              </w:rPr>
            </w:pPr>
            <w:r w:rsidRPr="00006FCB">
              <w:rPr>
                <w:spacing w:val="-2"/>
                <w:sz w:val="20"/>
              </w:rPr>
              <w:t>Blood</w:t>
            </w:r>
            <w:r w:rsidRPr="00006FCB">
              <w:rPr>
                <w:spacing w:val="8"/>
                <w:sz w:val="20"/>
              </w:rPr>
              <w:t xml:space="preserve"> </w:t>
            </w:r>
            <w:r w:rsidRPr="00006FCB">
              <w:rPr>
                <w:spacing w:val="-2"/>
                <w:sz w:val="20"/>
              </w:rPr>
              <w:t>thyroid-stimulating</w:t>
            </w:r>
            <w:r w:rsidRPr="00006FCB">
              <w:rPr>
                <w:spacing w:val="9"/>
                <w:sz w:val="20"/>
              </w:rPr>
              <w:t xml:space="preserve"> </w:t>
            </w:r>
            <w:r w:rsidRPr="00006FCB">
              <w:rPr>
                <w:spacing w:val="-2"/>
                <w:sz w:val="20"/>
              </w:rPr>
              <w:t>hormone</w:t>
            </w:r>
            <w:r w:rsidRPr="00006FCB">
              <w:rPr>
                <w:spacing w:val="8"/>
                <w:sz w:val="20"/>
              </w:rPr>
              <w:t xml:space="preserve"> </w:t>
            </w:r>
            <w:r w:rsidRPr="00006FCB">
              <w:rPr>
                <w:spacing w:val="-2"/>
                <w:sz w:val="20"/>
              </w:rPr>
              <w:t>decreased</w:t>
            </w:r>
          </w:p>
        </w:tc>
        <w:tc>
          <w:tcPr>
            <w:tcW w:w="2174" w:type="dxa"/>
          </w:tcPr>
          <w:p w14:paraId="35C34ADB" w14:textId="77777777" w:rsidR="00CC3D51" w:rsidRPr="00006FCB" w:rsidRDefault="00CC3D51" w:rsidP="00EB296D">
            <w:pPr>
              <w:pStyle w:val="TableParagraph"/>
              <w:keepNext/>
              <w:widowControl/>
              <w:ind w:left="6"/>
              <w:jc w:val="center"/>
              <w:rPr>
                <w:sz w:val="20"/>
              </w:rPr>
            </w:pPr>
            <w:r w:rsidRPr="00006FCB">
              <w:rPr>
                <w:sz w:val="20"/>
              </w:rPr>
              <w:t>2</w:t>
            </w:r>
            <w:r w:rsidRPr="00006FCB">
              <w:rPr>
                <w:spacing w:val="-2"/>
                <w:sz w:val="20"/>
              </w:rPr>
              <w:t xml:space="preserve"> (3.3)</w:t>
            </w:r>
          </w:p>
        </w:tc>
        <w:tc>
          <w:tcPr>
            <w:tcW w:w="2179" w:type="dxa"/>
          </w:tcPr>
          <w:p w14:paraId="201B7CFE" w14:textId="77777777" w:rsidR="00CC3D51" w:rsidRPr="00006FCB" w:rsidRDefault="00CC3D51" w:rsidP="00EB296D">
            <w:pPr>
              <w:pStyle w:val="TableParagraph"/>
              <w:keepNext/>
              <w:widowControl/>
              <w:ind w:left="9" w:right="2"/>
              <w:jc w:val="center"/>
              <w:rPr>
                <w:sz w:val="20"/>
              </w:rPr>
            </w:pPr>
            <w:r w:rsidRPr="00006FCB">
              <w:rPr>
                <w:sz w:val="20"/>
              </w:rPr>
              <w:t>2</w:t>
            </w:r>
            <w:r w:rsidRPr="00006FCB">
              <w:rPr>
                <w:spacing w:val="-2"/>
                <w:sz w:val="20"/>
              </w:rPr>
              <w:t xml:space="preserve"> (9.5)</w:t>
            </w:r>
          </w:p>
        </w:tc>
      </w:tr>
      <w:tr w:rsidR="00CC3D51" w:rsidRPr="00006FCB" w14:paraId="648D87EC" w14:textId="77777777" w:rsidTr="00DB55BA">
        <w:trPr>
          <w:trHeight w:val="230"/>
        </w:trPr>
        <w:tc>
          <w:tcPr>
            <w:tcW w:w="4666" w:type="dxa"/>
          </w:tcPr>
          <w:p w14:paraId="09B849E8" w14:textId="77777777" w:rsidR="00CC3D51" w:rsidRPr="00006FCB" w:rsidRDefault="00CC3D51" w:rsidP="00EB296D">
            <w:pPr>
              <w:pStyle w:val="TableParagraph"/>
              <w:keepNext/>
              <w:widowControl/>
              <w:rPr>
                <w:sz w:val="20"/>
              </w:rPr>
            </w:pPr>
            <w:r w:rsidRPr="00006FCB">
              <w:rPr>
                <w:sz w:val="20"/>
              </w:rPr>
              <w:t>Psychiatric</w:t>
            </w:r>
            <w:r w:rsidRPr="00006FCB">
              <w:rPr>
                <w:spacing w:val="-10"/>
                <w:sz w:val="20"/>
              </w:rPr>
              <w:t xml:space="preserve"> </w:t>
            </w:r>
            <w:r w:rsidRPr="00006FCB">
              <w:rPr>
                <w:spacing w:val="-2"/>
                <w:sz w:val="20"/>
              </w:rPr>
              <w:t>disorders</w:t>
            </w:r>
          </w:p>
        </w:tc>
        <w:tc>
          <w:tcPr>
            <w:tcW w:w="2174" w:type="dxa"/>
          </w:tcPr>
          <w:p w14:paraId="7DF8122F" w14:textId="77777777" w:rsidR="00CC3D51" w:rsidRPr="00006FCB" w:rsidRDefault="00CC3D51" w:rsidP="00EB296D">
            <w:pPr>
              <w:pStyle w:val="TableParagraph"/>
              <w:keepNext/>
              <w:widowControl/>
              <w:ind w:left="6"/>
              <w:jc w:val="center"/>
              <w:rPr>
                <w:sz w:val="20"/>
              </w:rPr>
            </w:pPr>
            <w:r w:rsidRPr="00006FCB">
              <w:rPr>
                <w:sz w:val="20"/>
              </w:rPr>
              <w:t>7</w:t>
            </w:r>
            <w:r w:rsidRPr="00006FCB">
              <w:rPr>
                <w:spacing w:val="-2"/>
                <w:sz w:val="20"/>
              </w:rPr>
              <w:t xml:space="preserve"> (11.5)</w:t>
            </w:r>
          </w:p>
        </w:tc>
        <w:tc>
          <w:tcPr>
            <w:tcW w:w="2179" w:type="dxa"/>
          </w:tcPr>
          <w:p w14:paraId="30DE8B2A" w14:textId="77777777" w:rsidR="00CC3D51" w:rsidRPr="00006FCB" w:rsidRDefault="00CC3D51" w:rsidP="00EB296D">
            <w:pPr>
              <w:pStyle w:val="TableParagraph"/>
              <w:keepNext/>
              <w:widowControl/>
              <w:ind w:left="9" w:right="2"/>
              <w:jc w:val="center"/>
              <w:rPr>
                <w:sz w:val="20"/>
              </w:rPr>
            </w:pPr>
            <w:r w:rsidRPr="00006FCB">
              <w:rPr>
                <w:sz w:val="20"/>
              </w:rPr>
              <w:t>1</w:t>
            </w:r>
            <w:r w:rsidRPr="00006FCB">
              <w:rPr>
                <w:spacing w:val="-2"/>
                <w:sz w:val="20"/>
              </w:rPr>
              <w:t xml:space="preserve"> (4.8)</w:t>
            </w:r>
          </w:p>
        </w:tc>
      </w:tr>
      <w:tr w:rsidR="00CC3D51" w:rsidRPr="00006FCB" w14:paraId="6061035D" w14:textId="77777777" w:rsidTr="00DB55BA">
        <w:trPr>
          <w:trHeight w:val="229"/>
        </w:trPr>
        <w:tc>
          <w:tcPr>
            <w:tcW w:w="4666" w:type="dxa"/>
          </w:tcPr>
          <w:p w14:paraId="24A45562" w14:textId="77777777" w:rsidR="00CC3D51" w:rsidRPr="00006FCB" w:rsidRDefault="00CC3D51" w:rsidP="00EB296D">
            <w:pPr>
              <w:pStyle w:val="TableParagraph"/>
              <w:keepNext/>
              <w:widowControl/>
              <w:ind w:left="278"/>
              <w:rPr>
                <w:sz w:val="20"/>
              </w:rPr>
            </w:pPr>
            <w:r w:rsidRPr="00006FCB">
              <w:rPr>
                <w:spacing w:val="-2"/>
                <w:sz w:val="20"/>
              </w:rPr>
              <w:t>Insomnia</w:t>
            </w:r>
          </w:p>
        </w:tc>
        <w:tc>
          <w:tcPr>
            <w:tcW w:w="2174" w:type="dxa"/>
          </w:tcPr>
          <w:p w14:paraId="4F6C529D" w14:textId="77777777" w:rsidR="00CC3D51" w:rsidRPr="00006FCB" w:rsidRDefault="00CC3D51" w:rsidP="00EB296D">
            <w:pPr>
              <w:pStyle w:val="TableParagraph"/>
              <w:keepNext/>
              <w:widowControl/>
              <w:ind w:left="6"/>
              <w:jc w:val="center"/>
              <w:rPr>
                <w:sz w:val="20"/>
              </w:rPr>
            </w:pPr>
            <w:r w:rsidRPr="00006FCB">
              <w:rPr>
                <w:sz w:val="20"/>
              </w:rPr>
              <w:t>4</w:t>
            </w:r>
            <w:r w:rsidRPr="00006FCB">
              <w:rPr>
                <w:spacing w:val="-2"/>
                <w:sz w:val="20"/>
              </w:rPr>
              <w:t xml:space="preserve"> (6.6)</w:t>
            </w:r>
          </w:p>
        </w:tc>
        <w:tc>
          <w:tcPr>
            <w:tcW w:w="2179" w:type="dxa"/>
          </w:tcPr>
          <w:p w14:paraId="09AA2BDA" w14:textId="77777777" w:rsidR="00CC3D51" w:rsidRPr="00006FCB" w:rsidRDefault="00CC3D51" w:rsidP="00EB296D">
            <w:pPr>
              <w:pStyle w:val="TableParagraph"/>
              <w:keepNext/>
              <w:widowControl/>
              <w:ind w:left="9" w:right="2"/>
              <w:jc w:val="center"/>
              <w:rPr>
                <w:sz w:val="20"/>
              </w:rPr>
            </w:pPr>
            <w:r w:rsidRPr="00006FCB">
              <w:rPr>
                <w:sz w:val="20"/>
              </w:rPr>
              <w:t>1</w:t>
            </w:r>
            <w:r w:rsidRPr="00006FCB">
              <w:rPr>
                <w:spacing w:val="-2"/>
                <w:sz w:val="20"/>
              </w:rPr>
              <w:t xml:space="preserve"> (4.8)</w:t>
            </w:r>
          </w:p>
        </w:tc>
      </w:tr>
      <w:tr w:rsidR="00CC3D51" w:rsidRPr="00006FCB" w14:paraId="78D38C29" w14:textId="77777777" w:rsidTr="00DB55BA">
        <w:trPr>
          <w:trHeight w:val="230"/>
        </w:trPr>
        <w:tc>
          <w:tcPr>
            <w:tcW w:w="4666" w:type="dxa"/>
          </w:tcPr>
          <w:p w14:paraId="04CAF755" w14:textId="77777777" w:rsidR="00CC3D51" w:rsidRPr="00006FCB" w:rsidRDefault="00CC3D51" w:rsidP="00EB296D">
            <w:pPr>
              <w:pStyle w:val="TableParagraph"/>
              <w:keepNext/>
              <w:widowControl/>
              <w:rPr>
                <w:sz w:val="20"/>
              </w:rPr>
            </w:pPr>
            <w:r w:rsidRPr="00006FCB">
              <w:rPr>
                <w:sz w:val="20"/>
              </w:rPr>
              <w:t>Respiratory,</w:t>
            </w:r>
            <w:r w:rsidRPr="00006FCB">
              <w:rPr>
                <w:spacing w:val="-10"/>
                <w:sz w:val="20"/>
              </w:rPr>
              <w:t xml:space="preserve"> </w:t>
            </w:r>
            <w:r w:rsidRPr="00006FCB">
              <w:rPr>
                <w:sz w:val="20"/>
              </w:rPr>
              <w:t>thoracic</w:t>
            </w:r>
            <w:r w:rsidRPr="00006FCB">
              <w:rPr>
                <w:spacing w:val="-9"/>
                <w:sz w:val="20"/>
              </w:rPr>
              <w:t xml:space="preserve"> </w:t>
            </w:r>
            <w:r w:rsidRPr="00006FCB">
              <w:rPr>
                <w:sz w:val="20"/>
              </w:rPr>
              <w:t>and</w:t>
            </w:r>
            <w:r w:rsidRPr="00006FCB">
              <w:rPr>
                <w:spacing w:val="-10"/>
                <w:sz w:val="20"/>
              </w:rPr>
              <w:t xml:space="preserve"> </w:t>
            </w:r>
            <w:r w:rsidRPr="00006FCB">
              <w:rPr>
                <w:sz w:val="20"/>
              </w:rPr>
              <w:t>mediastinal</w:t>
            </w:r>
            <w:r w:rsidRPr="00006FCB">
              <w:rPr>
                <w:spacing w:val="-9"/>
                <w:sz w:val="20"/>
              </w:rPr>
              <w:t xml:space="preserve"> </w:t>
            </w:r>
            <w:r w:rsidRPr="00006FCB">
              <w:rPr>
                <w:spacing w:val="-2"/>
                <w:sz w:val="20"/>
              </w:rPr>
              <w:t>disorders</w:t>
            </w:r>
          </w:p>
        </w:tc>
        <w:tc>
          <w:tcPr>
            <w:tcW w:w="2174" w:type="dxa"/>
          </w:tcPr>
          <w:p w14:paraId="797F249C" w14:textId="77777777" w:rsidR="00CC3D51" w:rsidRPr="00006FCB" w:rsidRDefault="00CC3D51" w:rsidP="00EB296D">
            <w:pPr>
              <w:pStyle w:val="TableParagraph"/>
              <w:keepNext/>
              <w:widowControl/>
              <w:ind w:left="6" w:right="1"/>
              <w:jc w:val="center"/>
              <w:rPr>
                <w:sz w:val="20"/>
              </w:rPr>
            </w:pPr>
            <w:r w:rsidRPr="00006FCB">
              <w:rPr>
                <w:sz w:val="20"/>
              </w:rPr>
              <w:t>8</w:t>
            </w:r>
            <w:r w:rsidRPr="00006FCB">
              <w:rPr>
                <w:spacing w:val="-1"/>
                <w:sz w:val="20"/>
              </w:rPr>
              <w:t xml:space="preserve"> </w:t>
            </w:r>
            <w:r w:rsidRPr="00006FCB">
              <w:rPr>
                <w:spacing w:val="-2"/>
                <w:sz w:val="20"/>
              </w:rPr>
              <w:t>(13.1)</w:t>
            </w:r>
          </w:p>
        </w:tc>
        <w:tc>
          <w:tcPr>
            <w:tcW w:w="2179" w:type="dxa"/>
          </w:tcPr>
          <w:p w14:paraId="1DAC5F5F" w14:textId="77777777" w:rsidR="00CC3D51" w:rsidRPr="00006FCB" w:rsidRDefault="00CC3D51" w:rsidP="00EB296D">
            <w:pPr>
              <w:pStyle w:val="TableParagraph"/>
              <w:keepNext/>
              <w:widowControl/>
              <w:ind w:left="9"/>
              <w:jc w:val="center"/>
              <w:rPr>
                <w:sz w:val="20"/>
              </w:rPr>
            </w:pPr>
            <w:r w:rsidRPr="00006FCB">
              <w:rPr>
                <w:spacing w:val="-10"/>
                <w:sz w:val="20"/>
              </w:rPr>
              <w:t>0</w:t>
            </w:r>
          </w:p>
        </w:tc>
      </w:tr>
      <w:tr w:rsidR="00CC3D51" w:rsidRPr="00006FCB" w14:paraId="7E007A02" w14:textId="77777777" w:rsidTr="00DB55BA">
        <w:trPr>
          <w:trHeight w:val="230"/>
        </w:trPr>
        <w:tc>
          <w:tcPr>
            <w:tcW w:w="4666" w:type="dxa"/>
          </w:tcPr>
          <w:p w14:paraId="66B4FA20" w14:textId="77777777" w:rsidR="00CC3D51" w:rsidRPr="00006FCB" w:rsidRDefault="00CC3D51" w:rsidP="00EB296D">
            <w:pPr>
              <w:pStyle w:val="TableParagraph"/>
              <w:keepNext/>
              <w:widowControl/>
              <w:ind w:left="278"/>
              <w:rPr>
                <w:sz w:val="20"/>
              </w:rPr>
            </w:pPr>
            <w:r w:rsidRPr="00006FCB">
              <w:rPr>
                <w:spacing w:val="-2"/>
                <w:sz w:val="20"/>
              </w:rPr>
              <w:t>Oropharyngeal</w:t>
            </w:r>
            <w:r w:rsidRPr="00006FCB">
              <w:rPr>
                <w:spacing w:val="9"/>
                <w:sz w:val="20"/>
              </w:rPr>
              <w:t xml:space="preserve"> </w:t>
            </w:r>
            <w:r w:rsidRPr="00006FCB">
              <w:rPr>
                <w:spacing w:val="-4"/>
                <w:sz w:val="20"/>
              </w:rPr>
              <w:t>pain</w:t>
            </w:r>
          </w:p>
        </w:tc>
        <w:tc>
          <w:tcPr>
            <w:tcW w:w="2174" w:type="dxa"/>
          </w:tcPr>
          <w:p w14:paraId="47EC99EE" w14:textId="77777777" w:rsidR="00CC3D51" w:rsidRPr="00006FCB" w:rsidRDefault="00CC3D51" w:rsidP="00EB296D">
            <w:pPr>
              <w:pStyle w:val="TableParagraph"/>
              <w:keepNext/>
              <w:widowControl/>
              <w:ind w:left="6"/>
              <w:jc w:val="center"/>
              <w:rPr>
                <w:sz w:val="20"/>
              </w:rPr>
            </w:pPr>
            <w:r w:rsidRPr="00006FCB">
              <w:rPr>
                <w:sz w:val="20"/>
              </w:rPr>
              <w:t>4</w:t>
            </w:r>
            <w:r w:rsidRPr="00006FCB">
              <w:rPr>
                <w:spacing w:val="-2"/>
                <w:sz w:val="20"/>
              </w:rPr>
              <w:t xml:space="preserve"> (6.6)</w:t>
            </w:r>
          </w:p>
        </w:tc>
        <w:tc>
          <w:tcPr>
            <w:tcW w:w="2179" w:type="dxa"/>
          </w:tcPr>
          <w:p w14:paraId="5ADA2669" w14:textId="77777777" w:rsidR="00CC3D51" w:rsidRPr="00006FCB" w:rsidRDefault="00CC3D51" w:rsidP="00EB296D">
            <w:pPr>
              <w:pStyle w:val="TableParagraph"/>
              <w:keepNext/>
              <w:widowControl/>
              <w:ind w:left="9"/>
              <w:jc w:val="center"/>
              <w:rPr>
                <w:sz w:val="20"/>
              </w:rPr>
            </w:pPr>
            <w:r w:rsidRPr="00006FCB">
              <w:rPr>
                <w:spacing w:val="-10"/>
                <w:sz w:val="20"/>
              </w:rPr>
              <w:t>0</w:t>
            </w:r>
          </w:p>
        </w:tc>
      </w:tr>
    </w:tbl>
    <w:p w14:paraId="7355A632" w14:textId="77777777" w:rsidR="00CC3D51" w:rsidRPr="00006FCB" w:rsidRDefault="00CC3D51" w:rsidP="00265947">
      <w:pPr>
        <w:pStyle w:val="TableFigureFooter"/>
      </w:pPr>
      <w:bookmarkStart w:id="40" w:name="_Hlk184730732"/>
      <w:r w:rsidRPr="00006FCB">
        <w:t xml:space="preserve">Source: Table 34 p84, Table 38 p88, of the submission. </w:t>
      </w:r>
    </w:p>
    <w:p w14:paraId="37D5B597" w14:textId="362C22E7" w:rsidR="00CC3D51" w:rsidRPr="00006FCB" w:rsidRDefault="001C594E" w:rsidP="00265947">
      <w:pPr>
        <w:pStyle w:val="TableFigureFooter"/>
      </w:pPr>
      <w:r w:rsidRPr="00006FCB">
        <w:t xml:space="preserve">n = number of participants with event, N = total participants in group, </w:t>
      </w:r>
      <w:r w:rsidR="00CC3D51" w:rsidRPr="00006FCB">
        <w:t xml:space="preserve">TEAE = treatment emergent adverse effect. </w:t>
      </w:r>
    </w:p>
    <w:bookmarkEnd w:id="40"/>
    <w:p w14:paraId="4D4FDBD6" w14:textId="71D04A78" w:rsidR="00320C1E" w:rsidRPr="00151020" w:rsidRDefault="00D5025D" w:rsidP="4D2BAA30">
      <w:pPr>
        <w:pStyle w:val="3-BodyText"/>
        <w:rPr>
          <w:rFonts w:eastAsia="Calibri"/>
        </w:rPr>
      </w:pPr>
      <w:r w:rsidRPr="00151020">
        <w:rPr>
          <w:rFonts w:eastAsia="Calibri"/>
        </w:rPr>
        <w:t>The ESC noted that a</w:t>
      </w:r>
      <w:r w:rsidR="00320C1E" w:rsidRPr="00151020">
        <w:rPr>
          <w:rFonts w:eastAsia="Calibri"/>
        </w:rPr>
        <w:t xml:space="preserve">pproximately one-third of patients in the palopegteriparatide arm experienced injection site reactions compared to none in the placebo arm. </w:t>
      </w:r>
      <w:r w:rsidR="00877DA5">
        <w:rPr>
          <w:rFonts w:eastAsia="Calibri"/>
        </w:rPr>
        <w:t xml:space="preserve">The pre-PBAC response stated that </w:t>
      </w:r>
      <w:r w:rsidR="001F1271">
        <w:rPr>
          <w:rFonts w:eastAsia="Calibri"/>
        </w:rPr>
        <w:t xml:space="preserve">injection site reactions </w:t>
      </w:r>
      <w:r w:rsidR="00BD3A1B">
        <w:rPr>
          <w:rFonts w:eastAsia="Calibri"/>
        </w:rPr>
        <w:t xml:space="preserve">associated with palopegteriparatide </w:t>
      </w:r>
      <w:r w:rsidR="001F1271">
        <w:rPr>
          <w:rFonts w:eastAsia="Calibri"/>
        </w:rPr>
        <w:t>were transient.</w:t>
      </w:r>
      <w:r w:rsidR="00320C1E" w:rsidRPr="00151020">
        <w:rPr>
          <w:rFonts w:eastAsia="Calibri"/>
        </w:rPr>
        <w:t xml:space="preserve"> During the blinded period treatment compliance was &gt; 90% for both arms</w:t>
      </w:r>
      <w:r w:rsidR="001E3EA6">
        <w:rPr>
          <w:rFonts w:eastAsia="Calibri"/>
        </w:rPr>
        <w:t xml:space="preserve">. </w:t>
      </w:r>
    </w:p>
    <w:p w14:paraId="0BB178F0" w14:textId="1157A258" w:rsidR="00320C1E" w:rsidRPr="00151020" w:rsidRDefault="00D5025D" w:rsidP="4D2BAA30">
      <w:pPr>
        <w:pStyle w:val="3-BodyText"/>
        <w:rPr>
          <w:rFonts w:eastAsia="Calibri"/>
        </w:rPr>
      </w:pPr>
      <w:r w:rsidRPr="00151020">
        <w:rPr>
          <w:rFonts w:eastAsia="Calibri"/>
        </w:rPr>
        <w:t>The ESC noted that a</w:t>
      </w:r>
      <w:r w:rsidR="00320C1E" w:rsidRPr="00151020">
        <w:rPr>
          <w:rFonts w:eastAsia="Calibri"/>
        </w:rPr>
        <w:t xml:space="preserve"> greater proportion of patients in the placebo arm experienced hypocalcaemia</w:t>
      </w:r>
      <w:r w:rsidR="007F65A4" w:rsidRPr="00151020">
        <w:rPr>
          <w:rFonts w:eastAsia="Calibri"/>
        </w:rPr>
        <w:t xml:space="preserve">, which </w:t>
      </w:r>
      <w:r w:rsidR="00BD3A1B">
        <w:rPr>
          <w:rFonts w:eastAsia="Calibri"/>
        </w:rPr>
        <w:t>could</w:t>
      </w:r>
      <w:r w:rsidR="00BD3A1B" w:rsidRPr="00151020">
        <w:rPr>
          <w:rFonts w:eastAsia="Calibri"/>
        </w:rPr>
        <w:t xml:space="preserve"> </w:t>
      </w:r>
      <w:r w:rsidR="007F65A4" w:rsidRPr="00151020">
        <w:rPr>
          <w:rFonts w:eastAsia="Calibri"/>
        </w:rPr>
        <w:t xml:space="preserve">be explained by the fact that patients in the placebo arm had their calcium and active vitamin D doses titrated in the presence of serum calcium in the normal range. </w:t>
      </w:r>
      <w:r w:rsidR="00320C1E" w:rsidRPr="00151020">
        <w:rPr>
          <w:rFonts w:eastAsia="Calibri"/>
        </w:rPr>
        <w:t xml:space="preserve">This </w:t>
      </w:r>
      <w:r w:rsidR="00BD3A1B">
        <w:rPr>
          <w:rFonts w:eastAsia="Calibri"/>
        </w:rPr>
        <w:t xml:space="preserve">could </w:t>
      </w:r>
      <w:r w:rsidR="00320C1E" w:rsidRPr="00151020">
        <w:rPr>
          <w:rFonts w:eastAsia="Calibri"/>
        </w:rPr>
        <w:t>also explain why a greater proportion of patients in the placebo arm had an emergency room/urgent care visits/hospitalisation that was related to hypocalcaemia. No patients in the placebo arm experienced hypercalcaemia, while it was experienced by 9.8% of patients in the palopegteriparatide arm. Hypercalcaemia was reported only in the first 3 months of the blinded period, suggesting that serum calcium increased initially during study drug titration before returning to baseline levels.</w:t>
      </w:r>
    </w:p>
    <w:p w14:paraId="611A89C9" w14:textId="5503B7E6" w:rsidR="00CC3D51" w:rsidRPr="00006FCB" w:rsidRDefault="4D72FECA" w:rsidP="00DF3913">
      <w:pPr>
        <w:pStyle w:val="3-BodyText"/>
      </w:pPr>
      <w:r w:rsidRPr="383E5602">
        <w:t>The submission presented the results of the 84-week and 110-week OLE follow up for PaTH Forward to support the long-term safety claim</w:t>
      </w:r>
      <w:r w:rsidR="0AF94AE5" w:rsidRPr="383E5602">
        <w:t xml:space="preserve">. </w:t>
      </w:r>
      <w:r w:rsidR="3601ACF2" w:rsidRPr="383E5602">
        <w:t>Within that study, t</w:t>
      </w:r>
      <w:r w:rsidRPr="383E5602">
        <w:t>he proportion of patients who experienced a TEAE steadily increased over time</w:t>
      </w:r>
      <w:r w:rsidR="3A733922" w:rsidRPr="383E5602">
        <w:t>, from 40.0% after the 4-week double-blind period, to 94.9% at the 110 OLE period</w:t>
      </w:r>
      <w:r w:rsidRPr="383E5602">
        <w:t xml:space="preserve">. The majority of TEAEs were Grade 1 or Grade 2. At 110 weeks about one-third (28.8%) of patients experienced a Grade 3 TEAE and 6.8% experienced a Grade 4 TEAE. There were no TEAEs leading to discontinuation of study drug, withdrawal or death. The most commonly reported TEAEs (occurring in ≥ 5% of patients) </w:t>
      </w:r>
      <w:r w:rsidR="0DFF79CC" w:rsidRPr="383E5602">
        <w:t xml:space="preserve">were </w:t>
      </w:r>
      <w:r w:rsidRPr="383E5602">
        <w:t xml:space="preserve">headache (22.0%), fatigue </w:t>
      </w:r>
      <w:r w:rsidR="0DFF79CC" w:rsidRPr="383E5602">
        <w:t>(</w:t>
      </w:r>
      <w:r w:rsidRPr="383E5602">
        <w:t>11.9%), muscle spasms (11.9%), paraesthesia (10.2%), hypertension (10.2%) and nausea (10.2%). The remaining TEAEs occurred in 5 or fewer patients.</w:t>
      </w:r>
    </w:p>
    <w:p w14:paraId="5224D5AF" w14:textId="77777777" w:rsidR="00CC3D51" w:rsidRPr="0098262F" w:rsidRDefault="00CC3D51" w:rsidP="00CC3D51">
      <w:pPr>
        <w:pStyle w:val="4-SubsectionHeading"/>
      </w:pPr>
      <w:bookmarkStart w:id="41" w:name="_Toc22897643"/>
      <w:bookmarkStart w:id="42" w:name="_Toc187766416"/>
      <w:r w:rsidRPr="0098262F">
        <w:t>Benefits/harms</w:t>
      </w:r>
      <w:bookmarkEnd w:id="41"/>
      <w:bookmarkEnd w:id="42"/>
    </w:p>
    <w:p w14:paraId="6A268977" w14:textId="010665EA" w:rsidR="00CC3D51" w:rsidRPr="00006FCB" w:rsidRDefault="00CC3D51" w:rsidP="4D2BAA30">
      <w:pPr>
        <w:pStyle w:val="3-BodyText"/>
        <w:rPr>
          <w:rStyle w:val="CommentReference"/>
          <w:color w:val="0066FF"/>
        </w:rPr>
      </w:pPr>
      <w:r w:rsidRPr="4D2BAA30">
        <w:t xml:space="preserve">A summary of the comparative benefits and harms for palopegteriparatide versus placebo is presented in </w:t>
      </w:r>
      <w:r>
        <w:fldChar w:fldCharType="begin"/>
      </w:r>
      <w:r>
        <w:instrText xml:space="preserve"> REF _Ref104805037 \h  \* MERGEFORMAT </w:instrText>
      </w:r>
      <w:r>
        <w:fldChar w:fldCharType="separate"/>
      </w:r>
      <w:r w:rsidR="00DA35E4" w:rsidRPr="4D2BAA30">
        <w:t xml:space="preserve">Table </w:t>
      </w:r>
      <w:r w:rsidR="00DA35E4">
        <w:rPr>
          <w:noProof/>
        </w:rPr>
        <w:t>12</w:t>
      </w:r>
      <w:r>
        <w:fldChar w:fldCharType="end"/>
      </w:r>
      <w:r w:rsidRPr="4D2BAA30">
        <w:t>.</w:t>
      </w:r>
    </w:p>
    <w:p w14:paraId="637493D6" w14:textId="2943B60D" w:rsidR="00CC3D51" w:rsidRPr="00006FCB" w:rsidRDefault="00CC3D51" w:rsidP="4D2BAA30">
      <w:pPr>
        <w:pStyle w:val="Caption"/>
        <w:rPr>
          <w:rStyle w:val="CommentReference"/>
          <w:b/>
        </w:rPr>
      </w:pPr>
      <w:bookmarkStart w:id="43" w:name="_Ref104805037"/>
      <w:r w:rsidRPr="4D2BAA30">
        <w:t xml:space="preserve">Table </w:t>
      </w:r>
      <w:r w:rsidRPr="4D2BAA30">
        <w:fldChar w:fldCharType="begin"/>
      </w:r>
      <w:r>
        <w:instrText xml:space="preserve"> SEQ Table \* ARABIC </w:instrText>
      </w:r>
      <w:r w:rsidRPr="4D2BAA30">
        <w:fldChar w:fldCharType="separate"/>
      </w:r>
      <w:r w:rsidR="00DA35E4">
        <w:rPr>
          <w:noProof/>
        </w:rPr>
        <w:t>12</w:t>
      </w:r>
      <w:r w:rsidRPr="4D2BAA30">
        <w:rPr>
          <w:noProof/>
        </w:rPr>
        <w:fldChar w:fldCharType="end"/>
      </w:r>
      <w:bookmarkEnd w:id="43"/>
      <w:r w:rsidRPr="4D2BAA30">
        <w:t xml:space="preserve">: </w:t>
      </w:r>
      <w:r w:rsidRPr="4D2BAA30">
        <w:rPr>
          <w:rStyle w:val="CommentReference"/>
          <w:b/>
        </w:rPr>
        <w:t>Summary of comparative benefits and harms for palopegteriparatide and placebo</w:t>
      </w:r>
    </w:p>
    <w:tbl>
      <w:tblPr>
        <w:tblW w:w="5000" w:type="pct"/>
        <w:tblLayout w:type="fixed"/>
        <w:tblCellMar>
          <w:left w:w="28" w:type="dxa"/>
          <w:right w:w="28" w:type="dxa"/>
        </w:tblCellMar>
        <w:tblLook w:val="04A0" w:firstRow="1" w:lastRow="0" w:firstColumn="1" w:lastColumn="0" w:noHBand="0" w:noVBand="1"/>
        <w:tblCaption w:val="Table 12: Summary of comparative benefits and harms for palopegteriparatide and placebo"/>
      </w:tblPr>
      <w:tblGrid>
        <w:gridCol w:w="1141"/>
        <w:gridCol w:w="13"/>
        <w:gridCol w:w="1143"/>
        <w:gridCol w:w="1284"/>
        <w:gridCol w:w="1555"/>
        <w:gridCol w:w="1133"/>
        <w:gridCol w:w="90"/>
        <w:gridCol w:w="1127"/>
        <w:gridCol w:w="29"/>
        <w:gridCol w:w="1502"/>
      </w:tblGrid>
      <w:tr w:rsidR="00CC3D51" w:rsidRPr="00006FCB" w14:paraId="20F7E97C" w14:textId="77777777" w:rsidTr="009037AB">
        <w:trPr>
          <w:cantSplit/>
          <w:trHeight w:val="150"/>
          <w:tblHeader/>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587161" w14:textId="77777777" w:rsidR="00CC3D51" w:rsidRPr="00006FCB" w:rsidRDefault="00CC3D51" w:rsidP="000A57A5">
            <w:pPr>
              <w:pStyle w:val="In-tableHeading"/>
              <w:framePr w:wrap="around"/>
            </w:pPr>
            <w:r w:rsidRPr="00006FCB">
              <w:t>Trial</w:t>
            </w:r>
          </w:p>
        </w:tc>
        <w:tc>
          <w:tcPr>
            <w:tcW w:w="641" w:type="pct"/>
            <w:gridSpan w:val="2"/>
            <w:vMerge w:val="restart"/>
            <w:tcBorders>
              <w:top w:val="single" w:sz="4" w:space="0" w:color="auto"/>
              <w:left w:val="single" w:sz="4" w:space="0" w:color="auto"/>
              <w:bottom w:val="single" w:sz="4" w:space="0" w:color="auto"/>
              <w:right w:val="single" w:sz="4" w:space="0" w:color="auto"/>
            </w:tcBorders>
            <w:vAlign w:val="center"/>
          </w:tcPr>
          <w:p w14:paraId="7E025AA5" w14:textId="7271A5D8" w:rsidR="00CC3D51" w:rsidRPr="00006FCB" w:rsidRDefault="00536BDA" w:rsidP="000A57A5">
            <w:pPr>
              <w:pStyle w:val="In-tableHeading"/>
              <w:framePr w:wrap="around"/>
              <w:jc w:val="center"/>
            </w:pPr>
            <w:r w:rsidRPr="00006FCB">
              <w:t>PPT</w:t>
            </w:r>
          </w:p>
          <w:p w14:paraId="3B5C65ED" w14:textId="73B54D99" w:rsidR="00CC3D51" w:rsidRPr="00006FCB" w:rsidRDefault="008707A7" w:rsidP="000A57A5">
            <w:pPr>
              <w:pStyle w:val="In-tableHeading"/>
              <w:framePr w:wrap="around"/>
              <w:jc w:val="center"/>
            </w:pPr>
            <w:r w:rsidRPr="00006FCB">
              <w:t>n/N</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62BF03D8" w14:textId="77777777" w:rsidR="00CC3D51" w:rsidRPr="00006FCB" w:rsidRDefault="00CC3D51" w:rsidP="000A57A5">
            <w:pPr>
              <w:pStyle w:val="In-tableHeading"/>
              <w:framePr w:wrap="around"/>
              <w:jc w:val="center"/>
            </w:pPr>
            <w:r w:rsidRPr="00006FCB">
              <w:t>Placebo</w:t>
            </w:r>
          </w:p>
          <w:p w14:paraId="55037200" w14:textId="57C2EBA1" w:rsidR="00CC3D51" w:rsidRPr="00006FCB" w:rsidRDefault="008707A7" w:rsidP="00A64AED">
            <w:pPr>
              <w:pStyle w:val="In-tableHeading"/>
              <w:framePr w:wrap="around"/>
              <w:jc w:val="center"/>
            </w:pPr>
            <w:r w:rsidRPr="00006FCB">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00393F7F" w14:textId="77777777" w:rsidR="00CC3D51" w:rsidRPr="00006FCB" w:rsidRDefault="00CC3D51" w:rsidP="000A57A5">
            <w:pPr>
              <w:pStyle w:val="In-tableHeading"/>
              <w:framePr w:wrap="around"/>
              <w:jc w:val="center"/>
            </w:pPr>
            <w:r w:rsidRPr="00006FCB">
              <w:t>RR</w:t>
            </w:r>
          </w:p>
          <w:p w14:paraId="2F45A848" w14:textId="77777777" w:rsidR="00CC3D51" w:rsidRPr="00006FCB" w:rsidRDefault="00CC3D51" w:rsidP="000A57A5">
            <w:pPr>
              <w:pStyle w:val="In-tableHeading"/>
              <w:framePr w:wrap="around"/>
              <w:jc w:val="center"/>
            </w:pPr>
            <w:r w:rsidRPr="00006FCB">
              <w:t>(95% CI)</w:t>
            </w:r>
          </w:p>
        </w:tc>
        <w:tc>
          <w:tcPr>
            <w:tcW w:w="1319" w:type="pct"/>
            <w:gridSpan w:val="4"/>
            <w:tcBorders>
              <w:top w:val="single" w:sz="4" w:space="0" w:color="auto"/>
              <w:left w:val="single" w:sz="4" w:space="0" w:color="auto"/>
              <w:bottom w:val="single" w:sz="4" w:space="0" w:color="auto"/>
              <w:right w:val="single" w:sz="4" w:space="0" w:color="auto"/>
            </w:tcBorders>
            <w:vAlign w:val="center"/>
          </w:tcPr>
          <w:p w14:paraId="1E558E07" w14:textId="009CACB2" w:rsidR="00CC3D51" w:rsidRPr="00006FCB" w:rsidRDefault="00CC3D51" w:rsidP="000A57A5">
            <w:pPr>
              <w:pStyle w:val="In-tableHeading"/>
              <w:framePr w:wrap="around"/>
              <w:jc w:val="center"/>
            </w:pPr>
            <w:r w:rsidRPr="00006FCB">
              <w:t>Event rate/100 patients</w:t>
            </w:r>
          </w:p>
        </w:tc>
        <w:tc>
          <w:tcPr>
            <w:tcW w:w="833" w:type="pct"/>
            <w:vMerge w:val="restart"/>
            <w:tcBorders>
              <w:top w:val="single" w:sz="4" w:space="0" w:color="auto"/>
              <w:left w:val="single" w:sz="4" w:space="0" w:color="auto"/>
              <w:bottom w:val="single" w:sz="4" w:space="0" w:color="auto"/>
              <w:right w:val="single" w:sz="4" w:space="0" w:color="auto"/>
            </w:tcBorders>
            <w:vAlign w:val="center"/>
          </w:tcPr>
          <w:p w14:paraId="5336696D" w14:textId="77777777" w:rsidR="00CC3D51" w:rsidRPr="00006FCB" w:rsidRDefault="00CC3D51" w:rsidP="000A57A5">
            <w:pPr>
              <w:pStyle w:val="In-tableHeading"/>
              <w:framePr w:wrap="around"/>
              <w:jc w:val="center"/>
            </w:pPr>
            <w:r w:rsidRPr="00006FCB">
              <w:t>RD</w:t>
            </w:r>
          </w:p>
          <w:p w14:paraId="69774DFE" w14:textId="77777777" w:rsidR="00CC3D51" w:rsidRPr="00006FCB" w:rsidRDefault="00CC3D51" w:rsidP="000A57A5">
            <w:pPr>
              <w:pStyle w:val="In-tableHeading"/>
              <w:framePr w:wrap="around"/>
              <w:jc w:val="center"/>
            </w:pPr>
            <w:r w:rsidRPr="00006FCB">
              <w:t>(95% CI)</w:t>
            </w:r>
          </w:p>
        </w:tc>
      </w:tr>
      <w:tr w:rsidR="00CC3D51" w:rsidRPr="00006FCB" w14:paraId="607E5E7A" w14:textId="77777777" w:rsidTr="009037AB">
        <w:trPr>
          <w:cantSplit/>
          <w:trHeight w:val="56"/>
        </w:trPr>
        <w:tc>
          <w:tcPr>
            <w:tcW w:w="633" w:type="pct"/>
            <w:vMerge/>
            <w:tcBorders>
              <w:top w:val="single" w:sz="4" w:space="0" w:color="auto"/>
              <w:left w:val="single" w:sz="4" w:space="0" w:color="auto"/>
              <w:bottom w:val="single" w:sz="4" w:space="0" w:color="auto"/>
              <w:right w:val="single" w:sz="4" w:space="0" w:color="auto"/>
            </w:tcBorders>
            <w:vAlign w:val="center"/>
          </w:tcPr>
          <w:p w14:paraId="61C4F636" w14:textId="77777777" w:rsidR="00CC3D51" w:rsidRPr="00006FCB" w:rsidRDefault="00CC3D51" w:rsidP="000A57A5">
            <w:pPr>
              <w:pStyle w:val="In-tableHeading"/>
              <w:framePr w:wrap="around"/>
            </w:pPr>
          </w:p>
        </w:tc>
        <w:tc>
          <w:tcPr>
            <w:tcW w:w="641" w:type="pct"/>
            <w:gridSpan w:val="2"/>
            <w:vMerge/>
            <w:tcBorders>
              <w:top w:val="single" w:sz="4" w:space="0" w:color="auto"/>
              <w:left w:val="single" w:sz="4" w:space="0" w:color="auto"/>
              <w:bottom w:val="single" w:sz="4" w:space="0" w:color="auto"/>
              <w:right w:val="single" w:sz="4" w:space="0" w:color="auto"/>
            </w:tcBorders>
            <w:vAlign w:val="center"/>
          </w:tcPr>
          <w:p w14:paraId="5C267059" w14:textId="77777777" w:rsidR="00CC3D51" w:rsidRPr="00006FCB" w:rsidRDefault="00CC3D51" w:rsidP="000A57A5">
            <w:pPr>
              <w:pStyle w:val="In-tableHeading"/>
              <w:framePr w:wrap="around"/>
            </w:pPr>
          </w:p>
        </w:tc>
        <w:tc>
          <w:tcPr>
            <w:tcW w:w="712" w:type="pct"/>
            <w:vMerge/>
            <w:tcBorders>
              <w:top w:val="single" w:sz="4" w:space="0" w:color="auto"/>
              <w:left w:val="single" w:sz="4" w:space="0" w:color="auto"/>
              <w:bottom w:val="single" w:sz="4" w:space="0" w:color="auto"/>
              <w:right w:val="single" w:sz="4" w:space="0" w:color="auto"/>
            </w:tcBorders>
            <w:vAlign w:val="center"/>
          </w:tcPr>
          <w:p w14:paraId="49B0F467" w14:textId="77777777" w:rsidR="00CC3D51" w:rsidRPr="00006FCB" w:rsidRDefault="00CC3D51" w:rsidP="000A57A5">
            <w:pPr>
              <w:pStyle w:val="In-tableHeading"/>
              <w:framePr w:wrap="around"/>
            </w:pPr>
          </w:p>
        </w:tc>
        <w:tc>
          <w:tcPr>
            <w:tcW w:w="862" w:type="pct"/>
            <w:vMerge/>
            <w:tcBorders>
              <w:top w:val="single" w:sz="4" w:space="0" w:color="auto"/>
              <w:left w:val="single" w:sz="4" w:space="0" w:color="auto"/>
              <w:bottom w:val="single" w:sz="4" w:space="0" w:color="auto"/>
              <w:right w:val="single" w:sz="4" w:space="0" w:color="auto"/>
            </w:tcBorders>
            <w:vAlign w:val="center"/>
          </w:tcPr>
          <w:p w14:paraId="249CE6BD" w14:textId="77777777" w:rsidR="00CC3D51" w:rsidRPr="00006FCB" w:rsidRDefault="00CC3D51" w:rsidP="000A57A5">
            <w:pPr>
              <w:pStyle w:val="In-tableHeading"/>
              <w:framePr w:wrap="around"/>
            </w:pP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324CB9E7" w14:textId="0CF43693" w:rsidR="00CC3D51" w:rsidRPr="00006FCB" w:rsidRDefault="00536BDA" w:rsidP="000A57A5">
            <w:pPr>
              <w:pStyle w:val="In-tableHeading"/>
              <w:framePr w:wrap="around"/>
              <w:jc w:val="center"/>
            </w:pPr>
            <w:r w:rsidRPr="00006FCB">
              <w:t>PPT</w:t>
            </w: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44849335" w14:textId="77777777" w:rsidR="00CC3D51" w:rsidRPr="00006FCB" w:rsidRDefault="00CC3D51" w:rsidP="000A57A5">
            <w:pPr>
              <w:pStyle w:val="In-tableHeading"/>
              <w:framePr w:wrap="around"/>
              <w:jc w:val="center"/>
            </w:pPr>
            <w:r w:rsidRPr="00006FCB">
              <w:t>Placebo</w:t>
            </w:r>
          </w:p>
        </w:tc>
        <w:tc>
          <w:tcPr>
            <w:tcW w:w="833" w:type="pct"/>
            <w:vMerge/>
            <w:vAlign w:val="center"/>
          </w:tcPr>
          <w:p w14:paraId="2D102C40" w14:textId="77777777" w:rsidR="00CC3D51" w:rsidRPr="00006FCB" w:rsidRDefault="00CC3D51" w:rsidP="000A57A5">
            <w:pPr>
              <w:pStyle w:val="In-tableHeading"/>
              <w:framePr w:wrap="around"/>
            </w:pPr>
          </w:p>
        </w:tc>
      </w:tr>
      <w:tr w:rsidR="00CC3D51" w:rsidRPr="00006FCB" w14:paraId="47288641" w14:textId="77777777" w:rsidTr="4D2BAA30">
        <w:trPr>
          <w:cantSplit/>
        </w:trPr>
        <w:tc>
          <w:tcPr>
            <w:tcW w:w="5000" w:type="pct"/>
            <w:gridSpan w:val="10"/>
            <w:tcBorders>
              <w:top w:val="single" w:sz="4" w:space="0" w:color="auto"/>
              <w:left w:val="single" w:sz="4" w:space="0" w:color="auto"/>
              <w:bottom w:val="double" w:sz="4" w:space="0" w:color="auto"/>
              <w:right w:val="single" w:sz="4" w:space="0" w:color="auto"/>
            </w:tcBorders>
            <w:shd w:val="clear" w:color="auto" w:fill="auto"/>
            <w:vAlign w:val="center"/>
          </w:tcPr>
          <w:p w14:paraId="6AFB563E" w14:textId="77777777" w:rsidR="00CC3D51" w:rsidRPr="00006FCB" w:rsidRDefault="00CC3D51" w:rsidP="000A57A5">
            <w:pPr>
              <w:pStyle w:val="In-tableHeading"/>
              <w:framePr w:wrap="around"/>
            </w:pPr>
            <w:r w:rsidRPr="00006FCB">
              <w:t>Benefits</w:t>
            </w:r>
          </w:p>
        </w:tc>
      </w:tr>
      <w:tr w:rsidR="00CC3D51" w:rsidRPr="00006FCB" w14:paraId="0F515244" w14:textId="77777777" w:rsidTr="4D2BAA30">
        <w:trPr>
          <w:cantSplit/>
        </w:trPr>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14:paraId="78B33DA8" w14:textId="6AA9B82D" w:rsidR="00CC3D51" w:rsidRPr="00006FCB" w:rsidRDefault="00EB296D" w:rsidP="000A57A5">
            <w:pPr>
              <w:pStyle w:val="In-tableHeading"/>
              <w:framePr w:wrap="around"/>
            </w:pPr>
            <w:r w:rsidRPr="00006FCB">
              <w:t>Achieving the primary endpoint (response to treatment) at 26 weeks</w:t>
            </w:r>
          </w:p>
        </w:tc>
      </w:tr>
      <w:tr w:rsidR="00CC3D51" w:rsidRPr="00006FCB" w14:paraId="09D732F7" w14:textId="77777777" w:rsidTr="009037AB">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DCDB479" w14:textId="0DB3356B" w:rsidR="00CC3D51" w:rsidRPr="00006FCB" w:rsidRDefault="00EB296D" w:rsidP="4D2BAA30">
            <w:pPr>
              <w:pStyle w:val="TableText0"/>
              <w:framePr w:wrap="around"/>
            </w:pPr>
            <w:r w:rsidRPr="4D2BAA30">
              <w:t>PaTHway</w:t>
            </w: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17916186" w14:textId="77777777" w:rsidR="00CC3D51" w:rsidRPr="00006FCB" w:rsidRDefault="00CC3D51" w:rsidP="000A57A5">
            <w:pPr>
              <w:pStyle w:val="TableText0"/>
              <w:framePr w:wrap="around"/>
              <w:jc w:val="center"/>
            </w:pPr>
            <w:r w:rsidRPr="00006FCB">
              <w:t>48/61</w:t>
            </w:r>
          </w:p>
        </w:tc>
        <w:tc>
          <w:tcPr>
            <w:tcW w:w="712" w:type="pct"/>
            <w:tcBorders>
              <w:top w:val="single" w:sz="4" w:space="0" w:color="auto"/>
              <w:left w:val="single" w:sz="4" w:space="0" w:color="auto"/>
              <w:bottom w:val="single" w:sz="4" w:space="0" w:color="auto"/>
              <w:right w:val="single" w:sz="4" w:space="0" w:color="auto"/>
            </w:tcBorders>
            <w:vAlign w:val="center"/>
          </w:tcPr>
          <w:p w14:paraId="3F5703CF" w14:textId="77777777" w:rsidR="00CC3D51" w:rsidRPr="00006FCB" w:rsidRDefault="00CC3D51" w:rsidP="000A57A5">
            <w:pPr>
              <w:pStyle w:val="TableText0"/>
              <w:framePr w:wrap="around"/>
              <w:jc w:val="center"/>
            </w:pPr>
            <w:r w:rsidRPr="00006FCB">
              <w:t>1/21</w:t>
            </w:r>
          </w:p>
        </w:tc>
        <w:tc>
          <w:tcPr>
            <w:tcW w:w="862" w:type="pct"/>
            <w:tcBorders>
              <w:top w:val="single" w:sz="4" w:space="0" w:color="auto"/>
              <w:left w:val="single" w:sz="4" w:space="0" w:color="auto"/>
              <w:bottom w:val="single" w:sz="4" w:space="0" w:color="auto"/>
              <w:right w:val="single" w:sz="4" w:space="0" w:color="auto"/>
            </w:tcBorders>
            <w:vAlign w:val="center"/>
          </w:tcPr>
          <w:p w14:paraId="2FDAAF40" w14:textId="03C73377" w:rsidR="00A81472" w:rsidRPr="00006FCB" w:rsidRDefault="00A81472" w:rsidP="000A57A5">
            <w:pPr>
              <w:pStyle w:val="TableText0"/>
              <w:framePr w:wrap="around"/>
              <w:jc w:val="center"/>
            </w:pPr>
            <w:r w:rsidRPr="00006FCB">
              <w:t>1</w:t>
            </w:r>
            <w:r w:rsidR="00DD331A" w:rsidRPr="00006FCB">
              <w:t>6</w:t>
            </w:r>
            <w:r w:rsidRPr="00006FCB">
              <w:t>.52 (2.43, 112.4)</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7381F1BB" w14:textId="77777777" w:rsidR="00CC3D51" w:rsidRPr="00006FCB" w:rsidRDefault="00CC3D51" w:rsidP="000A57A5">
            <w:pPr>
              <w:pStyle w:val="TableText0"/>
              <w:framePr w:wrap="around"/>
              <w:jc w:val="center"/>
            </w:pPr>
            <w:r w:rsidRPr="00006FCB">
              <w:t>78.7</w:t>
            </w:r>
          </w:p>
        </w:tc>
        <w:tc>
          <w:tcPr>
            <w:tcW w:w="625" w:type="pct"/>
            <w:tcBorders>
              <w:top w:val="single" w:sz="4" w:space="0" w:color="auto"/>
              <w:left w:val="single" w:sz="4" w:space="0" w:color="auto"/>
              <w:bottom w:val="single" w:sz="4" w:space="0" w:color="auto"/>
              <w:right w:val="single" w:sz="4" w:space="0" w:color="auto"/>
            </w:tcBorders>
            <w:vAlign w:val="center"/>
          </w:tcPr>
          <w:p w14:paraId="5B2377B6" w14:textId="77777777" w:rsidR="00CC3D51" w:rsidRPr="00006FCB" w:rsidRDefault="00CC3D51" w:rsidP="000A57A5">
            <w:pPr>
              <w:pStyle w:val="TableText0"/>
              <w:framePr w:wrap="around"/>
              <w:jc w:val="center"/>
            </w:pPr>
            <w:r w:rsidRPr="00006FCB">
              <w:t>4.8</w:t>
            </w:r>
          </w:p>
        </w:tc>
        <w:tc>
          <w:tcPr>
            <w:tcW w:w="849" w:type="pct"/>
            <w:gridSpan w:val="2"/>
            <w:tcBorders>
              <w:top w:val="single" w:sz="4" w:space="0" w:color="auto"/>
              <w:left w:val="single" w:sz="4" w:space="0" w:color="auto"/>
              <w:bottom w:val="single" w:sz="4" w:space="0" w:color="auto"/>
              <w:right w:val="single" w:sz="4" w:space="0" w:color="auto"/>
            </w:tcBorders>
            <w:vAlign w:val="center"/>
          </w:tcPr>
          <w:p w14:paraId="75D8663D" w14:textId="3ED4FC8E" w:rsidR="00CC3D51" w:rsidRPr="00006FCB" w:rsidRDefault="00A81472" w:rsidP="000A57A5">
            <w:pPr>
              <w:pStyle w:val="TableText0"/>
              <w:framePr w:wrap="around"/>
              <w:jc w:val="center"/>
            </w:pPr>
            <w:r w:rsidRPr="00006FCB">
              <w:t xml:space="preserve"> 0.74 (0.60, 0.88)</w:t>
            </w:r>
          </w:p>
        </w:tc>
      </w:tr>
      <w:tr w:rsidR="00CC3D51" w:rsidRPr="00006FCB" w14:paraId="4470459C" w14:textId="77777777" w:rsidTr="4D2BAA30">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14:paraId="0FD39E65" w14:textId="4C6B9AE9" w:rsidR="00CC3D51" w:rsidRPr="00006FCB" w:rsidRDefault="00CC3D51" w:rsidP="000A57A5">
            <w:pPr>
              <w:pStyle w:val="In-tableHeading"/>
              <w:framePr w:wrap="around"/>
            </w:pPr>
            <w:r w:rsidRPr="00006FCB">
              <w:t xml:space="preserve">Harms </w:t>
            </w:r>
            <w:r w:rsidR="00EB296D" w:rsidRPr="00006FCB">
              <w:t>at 26 weeks</w:t>
            </w:r>
          </w:p>
        </w:tc>
      </w:tr>
      <w:tr w:rsidR="00CC3D51" w:rsidRPr="00006FCB" w14:paraId="282201A3" w14:textId="77777777" w:rsidTr="009037AB">
        <w:trPr>
          <w:trHeight w:val="70"/>
        </w:trPr>
        <w:tc>
          <w:tcPr>
            <w:tcW w:w="64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2B3F00" w14:textId="77777777" w:rsidR="00CC3D51" w:rsidRPr="00006FCB" w:rsidRDefault="00CC3D51" w:rsidP="000A57A5">
            <w:pPr>
              <w:pStyle w:val="In-tableHeading"/>
              <w:framePr w:wrap="around"/>
            </w:pPr>
          </w:p>
        </w:tc>
        <w:tc>
          <w:tcPr>
            <w:tcW w:w="634" w:type="pct"/>
            <w:vMerge w:val="restart"/>
            <w:tcBorders>
              <w:top w:val="single" w:sz="4" w:space="0" w:color="auto"/>
              <w:left w:val="single" w:sz="4" w:space="0" w:color="auto"/>
              <w:bottom w:val="single" w:sz="4" w:space="0" w:color="auto"/>
              <w:right w:val="single" w:sz="4" w:space="0" w:color="auto"/>
            </w:tcBorders>
            <w:vAlign w:val="center"/>
          </w:tcPr>
          <w:p w14:paraId="166079FE" w14:textId="3EDDB982" w:rsidR="00CC3D51" w:rsidRPr="00006FCB" w:rsidRDefault="00536BDA" w:rsidP="000A57A5">
            <w:pPr>
              <w:pStyle w:val="In-tableHeading"/>
              <w:framePr w:wrap="around"/>
              <w:jc w:val="center"/>
            </w:pPr>
            <w:proofErr w:type="spellStart"/>
            <w:r w:rsidRPr="00006FCB">
              <w:t>PPT</w:t>
            </w:r>
            <w:r w:rsidR="008707A7" w:rsidRPr="00006FCB">
              <w:t>n</w:t>
            </w:r>
            <w:proofErr w:type="spellEnd"/>
            <w:r w:rsidR="008707A7" w:rsidRPr="00006FCB">
              <w:t>/N</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0E34BB73" w14:textId="77777777" w:rsidR="00CC3D51" w:rsidRPr="00006FCB" w:rsidRDefault="00CC3D51" w:rsidP="000A57A5">
            <w:pPr>
              <w:pStyle w:val="In-tableHeading"/>
              <w:framePr w:wrap="around"/>
              <w:jc w:val="center"/>
            </w:pPr>
            <w:r w:rsidRPr="00006FCB">
              <w:t>Placebo</w:t>
            </w:r>
          </w:p>
          <w:p w14:paraId="1807EAC5" w14:textId="1D532FEC" w:rsidR="00CC3D51" w:rsidRPr="00006FCB" w:rsidRDefault="008707A7" w:rsidP="000A57A5">
            <w:pPr>
              <w:pStyle w:val="In-tableHeading"/>
              <w:framePr w:wrap="around"/>
              <w:jc w:val="center"/>
            </w:pPr>
            <w:r w:rsidRPr="00006FCB">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02C63FB1" w14:textId="77777777" w:rsidR="00CC3D51" w:rsidRPr="00006FCB" w:rsidRDefault="00CC3D51" w:rsidP="000A57A5">
            <w:pPr>
              <w:pStyle w:val="In-tableHeading"/>
              <w:framePr w:wrap="around"/>
              <w:jc w:val="center"/>
            </w:pPr>
            <w:r w:rsidRPr="00006FCB">
              <w:t>RR</w:t>
            </w:r>
          </w:p>
          <w:p w14:paraId="0A861EA7" w14:textId="77777777" w:rsidR="00CC3D51" w:rsidRPr="00006FCB" w:rsidRDefault="00CC3D51" w:rsidP="000A57A5">
            <w:pPr>
              <w:pStyle w:val="In-tableHeading"/>
              <w:framePr w:wrap="around"/>
              <w:jc w:val="center"/>
            </w:pPr>
            <w:r w:rsidRPr="00006FCB">
              <w:t>(95% CI)</w:t>
            </w:r>
          </w:p>
        </w:tc>
        <w:tc>
          <w:tcPr>
            <w:tcW w:w="1319" w:type="pct"/>
            <w:gridSpan w:val="4"/>
            <w:tcBorders>
              <w:top w:val="single" w:sz="4" w:space="0" w:color="auto"/>
              <w:left w:val="single" w:sz="4" w:space="0" w:color="auto"/>
              <w:bottom w:val="single" w:sz="4" w:space="0" w:color="auto"/>
              <w:right w:val="single" w:sz="4" w:space="0" w:color="auto"/>
            </w:tcBorders>
            <w:vAlign w:val="center"/>
          </w:tcPr>
          <w:p w14:paraId="5652ACBC" w14:textId="1B6223B0" w:rsidR="00CC3D51" w:rsidRPr="00006FCB" w:rsidRDefault="00CC3D51" w:rsidP="000A57A5">
            <w:pPr>
              <w:pStyle w:val="In-tableHeading"/>
              <w:framePr w:wrap="around"/>
              <w:jc w:val="center"/>
            </w:pPr>
            <w:r w:rsidRPr="00006FCB">
              <w:t>Event rate/100 patients</w:t>
            </w:r>
          </w:p>
        </w:tc>
        <w:tc>
          <w:tcPr>
            <w:tcW w:w="833" w:type="pct"/>
            <w:vMerge w:val="restart"/>
            <w:tcBorders>
              <w:top w:val="single" w:sz="4" w:space="0" w:color="auto"/>
              <w:left w:val="single" w:sz="4" w:space="0" w:color="auto"/>
              <w:bottom w:val="single" w:sz="4" w:space="0" w:color="auto"/>
              <w:right w:val="single" w:sz="4" w:space="0" w:color="auto"/>
            </w:tcBorders>
            <w:vAlign w:val="center"/>
          </w:tcPr>
          <w:p w14:paraId="3CB97E61" w14:textId="77777777" w:rsidR="00CC3D51" w:rsidRPr="00006FCB" w:rsidRDefault="00CC3D51" w:rsidP="000A57A5">
            <w:pPr>
              <w:pStyle w:val="In-tableHeading"/>
              <w:framePr w:wrap="around"/>
              <w:jc w:val="center"/>
            </w:pPr>
            <w:r w:rsidRPr="00006FCB">
              <w:t>RD</w:t>
            </w:r>
          </w:p>
          <w:p w14:paraId="333234D8" w14:textId="77777777" w:rsidR="00CC3D51" w:rsidRPr="00006FCB" w:rsidRDefault="00CC3D51" w:rsidP="000A57A5">
            <w:pPr>
              <w:pStyle w:val="In-tableHeading"/>
              <w:framePr w:wrap="around"/>
              <w:jc w:val="center"/>
            </w:pPr>
            <w:r w:rsidRPr="00006FCB">
              <w:t>(95% CI)</w:t>
            </w:r>
          </w:p>
        </w:tc>
      </w:tr>
      <w:tr w:rsidR="00CC3D51" w:rsidRPr="00006FCB" w14:paraId="57357DDC" w14:textId="77777777" w:rsidTr="009037AB">
        <w:trPr>
          <w:trHeight w:val="56"/>
        </w:trPr>
        <w:tc>
          <w:tcPr>
            <w:tcW w:w="640" w:type="pct"/>
            <w:gridSpan w:val="2"/>
            <w:vMerge/>
            <w:tcBorders>
              <w:top w:val="single" w:sz="4" w:space="0" w:color="auto"/>
              <w:left w:val="single" w:sz="4" w:space="0" w:color="auto"/>
              <w:bottom w:val="single" w:sz="4" w:space="0" w:color="auto"/>
              <w:right w:val="single" w:sz="4" w:space="0" w:color="auto"/>
            </w:tcBorders>
            <w:vAlign w:val="center"/>
          </w:tcPr>
          <w:p w14:paraId="3BA58269" w14:textId="77777777" w:rsidR="00CC3D51" w:rsidRPr="00006FCB" w:rsidRDefault="00CC3D51" w:rsidP="000A57A5">
            <w:pPr>
              <w:pStyle w:val="In-tableHeading"/>
              <w:framePr w:wrap="around"/>
            </w:pPr>
          </w:p>
        </w:tc>
        <w:tc>
          <w:tcPr>
            <w:tcW w:w="634" w:type="pct"/>
            <w:vMerge/>
            <w:tcBorders>
              <w:top w:val="single" w:sz="4" w:space="0" w:color="auto"/>
              <w:left w:val="single" w:sz="4" w:space="0" w:color="auto"/>
              <w:bottom w:val="single" w:sz="4" w:space="0" w:color="auto"/>
              <w:right w:val="single" w:sz="4" w:space="0" w:color="auto"/>
            </w:tcBorders>
            <w:vAlign w:val="center"/>
          </w:tcPr>
          <w:p w14:paraId="5788D8D3" w14:textId="77777777" w:rsidR="00CC3D51" w:rsidRPr="00006FCB" w:rsidRDefault="00CC3D51" w:rsidP="000A57A5">
            <w:pPr>
              <w:pStyle w:val="In-tableHeading"/>
              <w:framePr w:wrap="around"/>
            </w:pPr>
          </w:p>
        </w:tc>
        <w:tc>
          <w:tcPr>
            <w:tcW w:w="712" w:type="pct"/>
            <w:vMerge/>
            <w:tcBorders>
              <w:top w:val="single" w:sz="4" w:space="0" w:color="auto"/>
              <w:left w:val="single" w:sz="4" w:space="0" w:color="auto"/>
              <w:bottom w:val="single" w:sz="4" w:space="0" w:color="auto"/>
              <w:right w:val="single" w:sz="4" w:space="0" w:color="auto"/>
            </w:tcBorders>
            <w:vAlign w:val="center"/>
          </w:tcPr>
          <w:p w14:paraId="37F2F8F6" w14:textId="77777777" w:rsidR="00CC3D51" w:rsidRPr="00006FCB" w:rsidRDefault="00CC3D51" w:rsidP="000A57A5">
            <w:pPr>
              <w:pStyle w:val="In-tableHeading"/>
              <w:framePr w:wrap="around"/>
            </w:pPr>
          </w:p>
        </w:tc>
        <w:tc>
          <w:tcPr>
            <w:tcW w:w="862" w:type="pct"/>
            <w:vMerge/>
            <w:tcBorders>
              <w:top w:val="single" w:sz="4" w:space="0" w:color="auto"/>
              <w:left w:val="single" w:sz="4" w:space="0" w:color="auto"/>
              <w:bottom w:val="single" w:sz="4" w:space="0" w:color="auto"/>
              <w:right w:val="single" w:sz="4" w:space="0" w:color="auto"/>
            </w:tcBorders>
            <w:vAlign w:val="center"/>
          </w:tcPr>
          <w:p w14:paraId="7F45B4D4" w14:textId="77777777" w:rsidR="00CC3D51" w:rsidRPr="00006FCB" w:rsidRDefault="00CC3D51" w:rsidP="000A57A5">
            <w:pPr>
              <w:pStyle w:val="In-tableHeading"/>
              <w:framePr w:wrap="around"/>
            </w:pPr>
          </w:p>
        </w:tc>
        <w:tc>
          <w:tcPr>
            <w:tcW w:w="628" w:type="pct"/>
            <w:tcBorders>
              <w:top w:val="single" w:sz="4" w:space="0" w:color="auto"/>
              <w:left w:val="single" w:sz="4" w:space="0" w:color="auto"/>
              <w:bottom w:val="single" w:sz="4" w:space="0" w:color="auto"/>
              <w:right w:val="single" w:sz="4" w:space="0" w:color="auto"/>
            </w:tcBorders>
            <w:vAlign w:val="center"/>
          </w:tcPr>
          <w:p w14:paraId="30372373" w14:textId="5B227994" w:rsidR="00CC3D51" w:rsidRPr="00006FCB" w:rsidRDefault="00536BDA" w:rsidP="000A57A5">
            <w:pPr>
              <w:pStyle w:val="In-tableHeading"/>
              <w:framePr w:wrap="around"/>
              <w:jc w:val="center"/>
            </w:pPr>
            <w:r w:rsidRPr="00006FCB">
              <w:t>PPT</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4E57C51F" w14:textId="77777777" w:rsidR="00CC3D51" w:rsidRPr="00006FCB" w:rsidRDefault="00CC3D51" w:rsidP="000A57A5">
            <w:pPr>
              <w:pStyle w:val="In-tableHeading"/>
              <w:framePr w:wrap="around"/>
              <w:jc w:val="center"/>
            </w:pPr>
            <w:r w:rsidRPr="00006FCB">
              <w:t>Placebo</w:t>
            </w:r>
          </w:p>
        </w:tc>
        <w:tc>
          <w:tcPr>
            <w:tcW w:w="833" w:type="pct"/>
            <w:vMerge/>
            <w:vAlign w:val="center"/>
          </w:tcPr>
          <w:p w14:paraId="18322801" w14:textId="77777777" w:rsidR="00CC3D51" w:rsidRPr="00006FCB" w:rsidRDefault="00CC3D51" w:rsidP="000A57A5">
            <w:pPr>
              <w:pStyle w:val="In-tableHeading"/>
              <w:framePr w:wrap="around"/>
            </w:pPr>
          </w:p>
        </w:tc>
      </w:tr>
      <w:tr w:rsidR="00CC3D51" w:rsidRPr="00006FCB" w14:paraId="40CCCAB3" w14:textId="77777777" w:rsidTr="4D2BAA30">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D112D9" w14:textId="77777777" w:rsidR="00CC3D51" w:rsidRPr="00006FCB" w:rsidRDefault="00CC3D51" w:rsidP="000A57A5">
            <w:pPr>
              <w:pStyle w:val="In-tableHeading"/>
              <w:framePr w:wrap="around"/>
            </w:pPr>
            <w:r w:rsidRPr="00006FCB">
              <w:t>Serious TEAEs</w:t>
            </w:r>
          </w:p>
        </w:tc>
      </w:tr>
      <w:tr w:rsidR="00CC3D51" w:rsidRPr="00006FCB" w14:paraId="39DF2977" w14:textId="77777777" w:rsidTr="009037AB">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913E4" w14:textId="77777777" w:rsidR="00CC3D51" w:rsidRPr="00006FCB" w:rsidRDefault="00CC3D51" w:rsidP="4D2BAA30">
            <w:pPr>
              <w:pStyle w:val="TableText0"/>
              <w:framePr w:wrap="around"/>
            </w:pPr>
            <w:r w:rsidRPr="4D2BAA30">
              <w:t>PaTHway</w:t>
            </w:r>
          </w:p>
        </w:tc>
        <w:tc>
          <w:tcPr>
            <w:tcW w:w="634" w:type="pct"/>
            <w:tcBorders>
              <w:top w:val="single" w:sz="4" w:space="0" w:color="auto"/>
              <w:left w:val="single" w:sz="4" w:space="0" w:color="auto"/>
              <w:bottom w:val="single" w:sz="4" w:space="0" w:color="auto"/>
              <w:right w:val="single" w:sz="4" w:space="0" w:color="auto"/>
            </w:tcBorders>
            <w:vAlign w:val="center"/>
          </w:tcPr>
          <w:p w14:paraId="24CCC3A8" w14:textId="7DF2FD5E" w:rsidR="00CC3D51" w:rsidRPr="00006FCB" w:rsidRDefault="00CC3D51" w:rsidP="000A57A5">
            <w:pPr>
              <w:pStyle w:val="TableText0"/>
              <w:framePr w:wrap="around"/>
              <w:jc w:val="center"/>
            </w:pPr>
            <w:r w:rsidRPr="00006FCB">
              <w:t>5</w:t>
            </w:r>
            <w:r w:rsidR="008707A7" w:rsidRPr="00006FCB">
              <w:t>/61</w:t>
            </w:r>
          </w:p>
        </w:tc>
        <w:tc>
          <w:tcPr>
            <w:tcW w:w="712" w:type="pct"/>
            <w:tcBorders>
              <w:top w:val="single" w:sz="4" w:space="0" w:color="auto"/>
              <w:left w:val="single" w:sz="4" w:space="0" w:color="auto"/>
              <w:bottom w:val="single" w:sz="4" w:space="0" w:color="auto"/>
              <w:right w:val="single" w:sz="4" w:space="0" w:color="auto"/>
            </w:tcBorders>
            <w:vAlign w:val="center"/>
          </w:tcPr>
          <w:p w14:paraId="5E7AD5DA" w14:textId="5750C448" w:rsidR="00CC3D51" w:rsidRPr="00006FCB" w:rsidRDefault="00CC3D51" w:rsidP="000A57A5">
            <w:pPr>
              <w:pStyle w:val="TableText0"/>
              <w:framePr w:wrap="around"/>
              <w:jc w:val="center"/>
            </w:pPr>
            <w:r w:rsidRPr="00006FCB">
              <w:t>3</w:t>
            </w:r>
            <w:r w:rsidR="008707A7" w:rsidRPr="00006FCB">
              <w:t>/21</w:t>
            </w:r>
          </w:p>
        </w:tc>
        <w:tc>
          <w:tcPr>
            <w:tcW w:w="862" w:type="pct"/>
            <w:tcBorders>
              <w:top w:val="single" w:sz="4" w:space="0" w:color="auto"/>
              <w:left w:val="single" w:sz="4" w:space="0" w:color="auto"/>
              <w:bottom w:val="single" w:sz="4" w:space="0" w:color="auto"/>
              <w:right w:val="single" w:sz="4" w:space="0" w:color="auto"/>
            </w:tcBorders>
            <w:vAlign w:val="center"/>
          </w:tcPr>
          <w:p w14:paraId="296AF386" w14:textId="4DC2CB88" w:rsidR="00CC3D51" w:rsidRPr="00006FCB" w:rsidRDefault="00A81472" w:rsidP="000A57A5">
            <w:pPr>
              <w:pStyle w:val="TableText0"/>
              <w:framePr w:wrap="around"/>
              <w:jc w:val="center"/>
            </w:pPr>
            <w:r w:rsidRPr="00006FCB">
              <w:t>0.57 (0.15</w:t>
            </w:r>
            <w:r w:rsidR="00DF3105">
              <w:t xml:space="preserve">, </w:t>
            </w:r>
            <w:r w:rsidRPr="00006FCB">
              <w:t>2.20)</w:t>
            </w:r>
          </w:p>
        </w:tc>
        <w:tc>
          <w:tcPr>
            <w:tcW w:w="628" w:type="pct"/>
            <w:tcBorders>
              <w:top w:val="single" w:sz="4" w:space="0" w:color="auto"/>
              <w:left w:val="single" w:sz="4" w:space="0" w:color="auto"/>
              <w:bottom w:val="single" w:sz="4" w:space="0" w:color="auto"/>
              <w:right w:val="single" w:sz="4" w:space="0" w:color="auto"/>
            </w:tcBorders>
            <w:vAlign w:val="center"/>
          </w:tcPr>
          <w:p w14:paraId="070D21AB" w14:textId="77777777" w:rsidR="00CC3D51" w:rsidRPr="00006FCB" w:rsidRDefault="00CC3D51" w:rsidP="000A57A5">
            <w:pPr>
              <w:pStyle w:val="TableText0"/>
              <w:framePr w:wrap="around"/>
              <w:jc w:val="center"/>
              <w:rPr>
                <w:b/>
              </w:rPr>
            </w:pPr>
            <w:r w:rsidRPr="00006FCB">
              <w:t>8.2</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1DD14343" w14:textId="77777777" w:rsidR="00CC3D51" w:rsidRPr="00006FCB" w:rsidRDefault="00CC3D51" w:rsidP="000A57A5">
            <w:pPr>
              <w:pStyle w:val="TableText0"/>
              <w:framePr w:wrap="around"/>
              <w:jc w:val="center"/>
              <w:rPr>
                <w:b/>
              </w:rPr>
            </w:pPr>
            <w:r w:rsidRPr="00006FCB">
              <w:t>14.3</w:t>
            </w:r>
          </w:p>
        </w:tc>
        <w:tc>
          <w:tcPr>
            <w:tcW w:w="833" w:type="pct"/>
            <w:tcBorders>
              <w:top w:val="single" w:sz="4" w:space="0" w:color="auto"/>
              <w:left w:val="single" w:sz="4" w:space="0" w:color="auto"/>
              <w:bottom w:val="single" w:sz="4" w:space="0" w:color="auto"/>
              <w:right w:val="single" w:sz="4" w:space="0" w:color="auto"/>
            </w:tcBorders>
            <w:vAlign w:val="center"/>
          </w:tcPr>
          <w:p w14:paraId="000E2647" w14:textId="54C19237" w:rsidR="00CC3D51" w:rsidRPr="00006FCB" w:rsidRDefault="00A81472" w:rsidP="000A57A5">
            <w:pPr>
              <w:pStyle w:val="TableText0"/>
              <w:framePr w:wrap="around"/>
              <w:jc w:val="center"/>
            </w:pPr>
            <w:r w:rsidRPr="00006FCB">
              <w:t>-0.06 (-0.23, 0.10)</w:t>
            </w:r>
          </w:p>
        </w:tc>
      </w:tr>
      <w:tr w:rsidR="00CC3D51" w:rsidRPr="00006FCB" w14:paraId="4B6EF890" w14:textId="77777777" w:rsidTr="4D2BAA30">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46927F" w14:textId="77777777" w:rsidR="00CC3D51" w:rsidRPr="00006FCB" w:rsidRDefault="00CC3D51" w:rsidP="000A57A5">
            <w:pPr>
              <w:pStyle w:val="In-tableHeading"/>
              <w:framePr w:wrap="around"/>
              <w:rPr>
                <w:lang w:val="en-AU"/>
              </w:rPr>
            </w:pPr>
            <w:r w:rsidRPr="00006FCB">
              <w:t>TEAE</w:t>
            </w:r>
            <w:r w:rsidRPr="00006FCB">
              <w:rPr>
                <w:spacing w:val="-10"/>
              </w:rPr>
              <w:t xml:space="preserve"> </w:t>
            </w:r>
            <w:r w:rsidRPr="00006FCB">
              <w:t>related</w:t>
            </w:r>
            <w:r w:rsidRPr="00006FCB">
              <w:rPr>
                <w:spacing w:val="-8"/>
              </w:rPr>
              <w:t xml:space="preserve"> </w:t>
            </w:r>
            <w:r w:rsidRPr="00006FCB">
              <w:t>to</w:t>
            </w:r>
            <w:r w:rsidRPr="00006FCB">
              <w:rPr>
                <w:spacing w:val="-8"/>
              </w:rPr>
              <w:t xml:space="preserve"> </w:t>
            </w:r>
            <w:r w:rsidRPr="00006FCB">
              <w:t>hyper-</w:t>
            </w:r>
            <w:r w:rsidRPr="00006FCB">
              <w:rPr>
                <w:spacing w:val="-8"/>
              </w:rPr>
              <w:t xml:space="preserve"> </w:t>
            </w:r>
            <w:r w:rsidRPr="00006FCB">
              <w:t>or</w:t>
            </w:r>
            <w:r w:rsidRPr="00006FCB">
              <w:rPr>
                <w:spacing w:val="-7"/>
              </w:rPr>
              <w:t xml:space="preserve"> </w:t>
            </w:r>
            <w:proofErr w:type="spellStart"/>
            <w:r w:rsidRPr="00006FCB">
              <w:t>hypocalcaemia</w:t>
            </w:r>
            <w:proofErr w:type="spellEnd"/>
            <w:r w:rsidRPr="00006FCB">
              <w:t xml:space="preserve"> leading to ER/urgent care visit and/or </w:t>
            </w:r>
            <w:proofErr w:type="spellStart"/>
            <w:r w:rsidRPr="00006FCB">
              <w:rPr>
                <w:spacing w:val="-2"/>
              </w:rPr>
              <w:t>hospitalisation</w:t>
            </w:r>
            <w:proofErr w:type="spellEnd"/>
          </w:p>
        </w:tc>
      </w:tr>
      <w:tr w:rsidR="00CC3D51" w:rsidRPr="00006FCB" w14:paraId="0B34ED56" w14:textId="77777777" w:rsidTr="009037AB">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291C3" w14:textId="77777777" w:rsidR="00CC3D51" w:rsidRPr="00006FCB" w:rsidRDefault="00CC3D51" w:rsidP="4D2BAA30">
            <w:pPr>
              <w:pStyle w:val="TableText0"/>
              <w:framePr w:wrap="around"/>
            </w:pPr>
            <w:r w:rsidRPr="4D2BAA30">
              <w:t>PaTHway</w:t>
            </w:r>
          </w:p>
        </w:tc>
        <w:tc>
          <w:tcPr>
            <w:tcW w:w="634" w:type="pct"/>
            <w:tcBorders>
              <w:top w:val="single" w:sz="4" w:space="0" w:color="auto"/>
              <w:left w:val="single" w:sz="4" w:space="0" w:color="auto"/>
              <w:bottom w:val="single" w:sz="4" w:space="0" w:color="auto"/>
              <w:right w:val="single" w:sz="4" w:space="0" w:color="auto"/>
            </w:tcBorders>
            <w:vAlign w:val="center"/>
          </w:tcPr>
          <w:p w14:paraId="43DEE3CB" w14:textId="0D6EDE9F" w:rsidR="00CC3D51" w:rsidRPr="00006FCB" w:rsidRDefault="00CC3D51" w:rsidP="000A57A5">
            <w:pPr>
              <w:pStyle w:val="TableText0"/>
              <w:framePr w:wrap="around"/>
              <w:jc w:val="center"/>
            </w:pPr>
            <w:r w:rsidRPr="00006FCB">
              <w:t>4</w:t>
            </w:r>
            <w:r w:rsidR="00DF6561" w:rsidRPr="00006FCB">
              <w:t>/</w:t>
            </w:r>
            <w:r w:rsidR="008707A7" w:rsidRPr="00006FCB">
              <w:t>61</w:t>
            </w:r>
          </w:p>
        </w:tc>
        <w:tc>
          <w:tcPr>
            <w:tcW w:w="712" w:type="pct"/>
            <w:tcBorders>
              <w:top w:val="single" w:sz="4" w:space="0" w:color="auto"/>
              <w:left w:val="single" w:sz="4" w:space="0" w:color="auto"/>
              <w:bottom w:val="single" w:sz="4" w:space="0" w:color="auto"/>
              <w:right w:val="single" w:sz="4" w:space="0" w:color="auto"/>
            </w:tcBorders>
            <w:vAlign w:val="center"/>
          </w:tcPr>
          <w:p w14:paraId="58D5C99F" w14:textId="403456C8" w:rsidR="00CC3D51" w:rsidRPr="00006FCB" w:rsidRDefault="00CC3D51" w:rsidP="000A57A5">
            <w:pPr>
              <w:pStyle w:val="TableText0"/>
              <w:framePr w:wrap="around"/>
              <w:jc w:val="center"/>
            </w:pPr>
            <w:r w:rsidRPr="00006FCB">
              <w:t>2</w:t>
            </w:r>
            <w:r w:rsidR="008707A7" w:rsidRPr="00006FCB">
              <w:t>/21</w:t>
            </w:r>
          </w:p>
        </w:tc>
        <w:tc>
          <w:tcPr>
            <w:tcW w:w="862" w:type="pct"/>
            <w:tcBorders>
              <w:top w:val="single" w:sz="4" w:space="0" w:color="auto"/>
              <w:left w:val="single" w:sz="4" w:space="0" w:color="auto"/>
              <w:bottom w:val="single" w:sz="4" w:space="0" w:color="auto"/>
              <w:right w:val="single" w:sz="4" w:space="0" w:color="auto"/>
            </w:tcBorders>
            <w:vAlign w:val="center"/>
          </w:tcPr>
          <w:p w14:paraId="1CA4C1AA" w14:textId="2FF7A010" w:rsidR="00CC3D51" w:rsidRPr="00006FCB" w:rsidRDefault="00AB316B" w:rsidP="000A57A5">
            <w:pPr>
              <w:pStyle w:val="TableText0"/>
              <w:framePr w:wrap="around"/>
              <w:jc w:val="center"/>
            </w:pPr>
            <w:r w:rsidRPr="00006FCB">
              <w:t>0.69 (0.14, 3.</w:t>
            </w:r>
            <w:r w:rsidR="00F87A30" w:rsidRPr="00006FCB">
              <w:t>49</w:t>
            </w:r>
            <w:r w:rsidRPr="00006FCB">
              <w:t>)</w:t>
            </w:r>
          </w:p>
        </w:tc>
        <w:tc>
          <w:tcPr>
            <w:tcW w:w="628" w:type="pct"/>
            <w:tcBorders>
              <w:top w:val="single" w:sz="4" w:space="0" w:color="auto"/>
              <w:left w:val="single" w:sz="4" w:space="0" w:color="auto"/>
              <w:bottom w:val="single" w:sz="4" w:space="0" w:color="auto"/>
              <w:right w:val="single" w:sz="4" w:space="0" w:color="auto"/>
            </w:tcBorders>
            <w:vAlign w:val="center"/>
          </w:tcPr>
          <w:p w14:paraId="77A6559F" w14:textId="77777777" w:rsidR="00CC3D51" w:rsidRPr="00006FCB" w:rsidRDefault="00CC3D51" w:rsidP="000A57A5">
            <w:pPr>
              <w:pStyle w:val="TableText0"/>
              <w:framePr w:wrap="around"/>
              <w:jc w:val="center"/>
              <w:rPr>
                <w:b/>
              </w:rPr>
            </w:pPr>
            <w:r w:rsidRPr="00006FCB">
              <w:t>6.6</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432F9DD0" w14:textId="77777777" w:rsidR="00CC3D51" w:rsidRPr="00006FCB" w:rsidRDefault="00CC3D51" w:rsidP="000A57A5">
            <w:pPr>
              <w:pStyle w:val="TableText0"/>
              <w:framePr w:wrap="around"/>
              <w:jc w:val="center"/>
              <w:rPr>
                <w:b/>
              </w:rPr>
            </w:pPr>
            <w:r w:rsidRPr="00006FCB">
              <w:t>9.5</w:t>
            </w:r>
          </w:p>
        </w:tc>
        <w:tc>
          <w:tcPr>
            <w:tcW w:w="833" w:type="pct"/>
            <w:tcBorders>
              <w:top w:val="single" w:sz="4" w:space="0" w:color="auto"/>
              <w:left w:val="single" w:sz="4" w:space="0" w:color="auto"/>
              <w:bottom w:val="single" w:sz="4" w:space="0" w:color="auto"/>
              <w:right w:val="single" w:sz="4" w:space="0" w:color="auto"/>
            </w:tcBorders>
            <w:vAlign w:val="center"/>
          </w:tcPr>
          <w:p w14:paraId="14C60184" w14:textId="34818CAB" w:rsidR="00CC3D51" w:rsidRPr="00006FCB" w:rsidRDefault="00AB316B" w:rsidP="000A57A5">
            <w:pPr>
              <w:pStyle w:val="TableText0"/>
              <w:framePr w:wrap="around"/>
              <w:jc w:val="center"/>
            </w:pPr>
            <w:r w:rsidRPr="00006FCB">
              <w:t>-0.03 (-0.17, 0.11)</w:t>
            </w:r>
          </w:p>
        </w:tc>
      </w:tr>
      <w:tr w:rsidR="009037AB" w:rsidRPr="00006FCB" w14:paraId="22C80D4C" w14:textId="77777777" w:rsidTr="009037AB">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7F03F9" w14:textId="1EFB203A" w:rsidR="009037AB" w:rsidRPr="005B7F99" w:rsidRDefault="009037AB" w:rsidP="009037AB">
            <w:pPr>
              <w:pStyle w:val="TableText0"/>
              <w:framePr w:wrap="around"/>
              <w:rPr>
                <w:b/>
                <w:bCs w:val="0"/>
              </w:rPr>
            </w:pPr>
            <w:r w:rsidRPr="005B7F99">
              <w:rPr>
                <w:b/>
                <w:bCs w:val="0"/>
              </w:rPr>
              <w:t>Hypercalcaemia</w:t>
            </w:r>
          </w:p>
        </w:tc>
      </w:tr>
      <w:tr w:rsidR="009037AB" w:rsidRPr="00006FCB" w14:paraId="19BDE1A0" w14:textId="77777777" w:rsidTr="009037AB">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6361A" w14:textId="32C3E18D" w:rsidR="009037AB" w:rsidRPr="005B7F99" w:rsidRDefault="009037AB" w:rsidP="4D2BAA30">
            <w:pPr>
              <w:pStyle w:val="TableText0"/>
              <w:framePr w:wrap="around"/>
            </w:pPr>
            <w:r w:rsidRPr="005B7F99">
              <w:t>PaTHway</w:t>
            </w:r>
          </w:p>
        </w:tc>
        <w:tc>
          <w:tcPr>
            <w:tcW w:w="634" w:type="pct"/>
            <w:tcBorders>
              <w:top w:val="single" w:sz="4" w:space="0" w:color="auto"/>
              <w:left w:val="single" w:sz="4" w:space="0" w:color="auto"/>
              <w:bottom w:val="single" w:sz="4" w:space="0" w:color="auto"/>
              <w:right w:val="single" w:sz="4" w:space="0" w:color="auto"/>
            </w:tcBorders>
            <w:vAlign w:val="center"/>
          </w:tcPr>
          <w:p w14:paraId="7F363D83" w14:textId="67829A66" w:rsidR="009037AB" w:rsidRPr="005B7F99" w:rsidRDefault="009037AB" w:rsidP="000A57A5">
            <w:pPr>
              <w:pStyle w:val="TableText0"/>
              <w:framePr w:wrap="around"/>
              <w:jc w:val="center"/>
            </w:pPr>
            <w:r w:rsidRPr="005B7F99">
              <w:t>6/61</w:t>
            </w:r>
          </w:p>
        </w:tc>
        <w:tc>
          <w:tcPr>
            <w:tcW w:w="712" w:type="pct"/>
            <w:tcBorders>
              <w:top w:val="single" w:sz="4" w:space="0" w:color="auto"/>
              <w:left w:val="single" w:sz="4" w:space="0" w:color="auto"/>
              <w:bottom w:val="single" w:sz="4" w:space="0" w:color="auto"/>
              <w:right w:val="single" w:sz="4" w:space="0" w:color="auto"/>
            </w:tcBorders>
            <w:vAlign w:val="center"/>
          </w:tcPr>
          <w:p w14:paraId="5EE2C206" w14:textId="48288251" w:rsidR="009037AB" w:rsidRPr="005B7F99" w:rsidRDefault="009037AB" w:rsidP="000A57A5">
            <w:pPr>
              <w:pStyle w:val="TableText0"/>
              <w:framePr w:wrap="around"/>
              <w:jc w:val="center"/>
            </w:pPr>
            <w:r w:rsidRPr="005B7F99">
              <w:t>0</w:t>
            </w:r>
            <w:r w:rsidR="00B3134D">
              <w:t>/21</w:t>
            </w:r>
          </w:p>
        </w:tc>
        <w:tc>
          <w:tcPr>
            <w:tcW w:w="862" w:type="pct"/>
            <w:tcBorders>
              <w:top w:val="single" w:sz="4" w:space="0" w:color="auto"/>
              <w:left w:val="single" w:sz="4" w:space="0" w:color="auto"/>
              <w:bottom w:val="single" w:sz="4" w:space="0" w:color="auto"/>
              <w:right w:val="single" w:sz="4" w:space="0" w:color="auto"/>
            </w:tcBorders>
            <w:vAlign w:val="center"/>
          </w:tcPr>
          <w:p w14:paraId="3C3A4EB3" w14:textId="63F0A148" w:rsidR="009037AB" w:rsidRPr="005B7F99" w:rsidRDefault="00D56F5A" w:rsidP="000A57A5">
            <w:pPr>
              <w:pStyle w:val="TableText0"/>
              <w:framePr w:wrap="around"/>
              <w:jc w:val="center"/>
            </w:pPr>
            <w:r w:rsidRPr="005B7F99">
              <w:t>4.</w:t>
            </w:r>
            <w:r w:rsidR="001D2D39" w:rsidRPr="005B7F99">
              <w:t xml:space="preserve">61 (0.27, </w:t>
            </w:r>
            <w:r w:rsidR="00DB2E81" w:rsidRPr="005B7F99">
              <w:t>78.57)</w:t>
            </w:r>
          </w:p>
        </w:tc>
        <w:tc>
          <w:tcPr>
            <w:tcW w:w="628" w:type="pct"/>
            <w:tcBorders>
              <w:top w:val="single" w:sz="4" w:space="0" w:color="auto"/>
              <w:left w:val="single" w:sz="4" w:space="0" w:color="auto"/>
              <w:bottom w:val="single" w:sz="4" w:space="0" w:color="auto"/>
              <w:right w:val="single" w:sz="4" w:space="0" w:color="auto"/>
            </w:tcBorders>
            <w:vAlign w:val="center"/>
          </w:tcPr>
          <w:p w14:paraId="23E9FFCC" w14:textId="26B2C5DE" w:rsidR="009037AB" w:rsidRPr="005B7F99" w:rsidRDefault="00DB2E81" w:rsidP="000A57A5">
            <w:pPr>
              <w:pStyle w:val="TableText0"/>
              <w:framePr w:wrap="around"/>
              <w:jc w:val="center"/>
            </w:pPr>
            <w:r w:rsidRPr="005B7F99">
              <w:t>9.8</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6306F59F" w14:textId="333166EA" w:rsidR="009037AB" w:rsidRPr="005B7F99" w:rsidRDefault="00DB2E81" w:rsidP="000A57A5">
            <w:pPr>
              <w:pStyle w:val="TableText0"/>
              <w:framePr w:wrap="around"/>
              <w:jc w:val="center"/>
            </w:pPr>
            <w:r w:rsidRPr="005B7F99">
              <w:t>0</w:t>
            </w:r>
          </w:p>
        </w:tc>
        <w:tc>
          <w:tcPr>
            <w:tcW w:w="833" w:type="pct"/>
            <w:tcBorders>
              <w:top w:val="single" w:sz="4" w:space="0" w:color="auto"/>
              <w:left w:val="single" w:sz="4" w:space="0" w:color="auto"/>
              <w:bottom w:val="single" w:sz="4" w:space="0" w:color="auto"/>
              <w:right w:val="single" w:sz="4" w:space="0" w:color="auto"/>
            </w:tcBorders>
            <w:vAlign w:val="center"/>
          </w:tcPr>
          <w:p w14:paraId="1D09BDAA" w14:textId="4057159E" w:rsidR="009037AB" w:rsidRPr="005B7F99" w:rsidRDefault="005E5755" w:rsidP="000A57A5">
            <w:pPr>
              <w:pStyle w:val="TableText0"/>
              <w:framePr w:wrap="around"/>
              <w:jc w:val="center"/>
            </w:pPr>
            <w:r>
              <w:t>0.</w:t>
            </w:r>
            <w:r w:rsidR="006B2A60">
              <w:t>10</w:t>
            </w:r>
            <w:r w:rsidR="00DA4032" w:rsidRPr="005B7F99">
              <w:t xml:space="preserve"> </w:t>
            </w:r>
            <w:r w:rsidR="00414A9F" w:rsidRPr="005B7F99">
              <w:t>(</w:t>
            </w:r>
            <w:r w:rsidR="006B2A60">
              <w:t>0.0</w:t>
            </w:r>
            <w:r w:rsidR="00D54E45" w:rsidRPr="005B7F99">
              <w:t xml:space="preserve">2, </w:t>
            </w:r>
            <w:r w:rsidR="006B2A60">
              <w:t>0.</w:t>
            </w:r>
            <w:r w:rsidR="00110265" w:rsidRPr="005B7F99">
              <w:t>17)</w:t>
            </w:r>
          </w:p>
        </w:tc>
      </w:tr>
    </w:tbl>
    <w:p w14:paraId="0881C18E" w14:textId="77777777" w:rsidR="00CC3D51" w:rsidRPr="00006FCB" w:rsidRDefault="00CC3D51" w:rsidP="00265947">
      <w:pPr>
        <w:pStyle w:val="TableFigureFooter"/>
      </w:pPr>
      <w:r w:rsidRPr="00006FCB">
        <w:t xml:space="preserve">Source: Table 34 p84, Table 38 p88, of the submission. </w:t>
      </w:r>
    </w:p>
    <w:p w14:paraId="74EB18BC" w14:textId="2D793F11" w:rsidR="00CC3D51" w:rsidRPr="00006FCB" w:rsidRDefault="00CC3D51" w:rsidP="00265947">
      <w:pPr>
        <w:pStyle w:val="TableFigureFooter"/>
      </w:pPr>
      <w:r w:rsidRPr="4D2BAA30">
        <w:t xml:space="preserve">CI = confidence interval, ER = emergency room, </w:t>
      </w:r>
      <w:r w:rsidR="00536BDA" w:rsidRPr="4D2BAA30">
        <w:t xml:space="preserve">PPT = palopegteriparatide, </w:t>
      </w:r>
      <w:r w:rsidRPr="4D2BAA30">
        <w:t xml:space="preserve">RD = risk difference, RR = relative risk, TEAE = treatment emergent adverse effect. </w:t>
      </w:r>
    </w:p>
    <w:p w14:paraId="5797FA87" w14:textId="715F2CEF" w:rsidR="00CC3D51" w:rsidRPr="00006FCB" w:rsidRDefault="4D72FECA" w:rsidP="00AD5863">
      <w:pPr>
        <w:pStyle w:val="3-BodyText"/>
      </w:pPr>
      <w:r w:rsidRPr="383E5602">
        <w:t>On the basis of direct compar</w:t>
      </w:r>
      <w:r w:rsidR="70A111CE" w:rsidRPr="383E5602">
        <w:t>ative</w:t>
      </w:r>
      <w:r w:rsidRPr="383E5602">
        <w:t xml:space="preserve"> evidence presented by the submission, for every 100 patients treated with palopegteriparatide in comparison with placebo over a 26-week period:</w:t>
      </w:r>
    </w:p>
    <w:p w14:paraId="7C72E5AE" w14:textId="7BDCB32C" w:rsidR="00CC3D51" w:rsidRPr="00006FCB" w:rsidRDefault="4D72FECA" w:rsidP="00AD5863">
      <w:pPr>
        <w:pStyle w:val="ListParagraph"/>
        <w:ind w:left="1134"/>
        <w:jc w:val="both"/>
      </w:pPr>
      <w:r w:rsidRPr="383E5602">
        <w:t>Approximately 74 additional patients will achieve the primary endpoint</w:t>
      </w:r>
      <w:r w:rsidR="3A733922" w:rsidRPr="383E5602">
        <w:t xml:space="preserve"> i.e., achieve a response to treatment based on serum calcium within the normal range, reduction in calcium dose (to </w:t>
      </w:r>
      <w:r w:rsidR="3A733922" w:rsidRPr="383E5602">
        <w:rPr>
          <w:rFonts w:cstheme="minorBidi"/>
        </w:rPr>
        <w:t>≤</w:t>
      </w:r>
      <w:r w:rsidR="3A733922" w:rsidRPr="383E5602">
        <w:t xml:space="preserve"> 600 mg/day), cessation of active vitamin D dose and no increase in study drug within the 4 previous weeks.</w:t>
      </w:r>
    </w:p>
    <w:p w14:paraId="38530A83" w14:textId="661A406B" w:rsidR="00CC3D51" w:rsidRPr="00006FCB" w:rsidRDefault="00E12503" w:rsidP="008712D9">
      <w:pPr>
        <w:pStyle w:val="ListParagraph"/>
        <w:ind w:left="1134"/>
        <w:jc w:val="both"/>
      </w:pPr>
      <w:r w:rsidRPr="005B7F99">
        <w:t>Approximately 10 more patients would experience hypercalcaemia.</w:t>
      </w:r>
    </w:p>
    <w:p w14:paraId="64C71915" w14:textId="77777777" w:rsidR="00CC3D51" w:rsidRPr="0098262F" w:rsidRDefault="00CC3D51" w:rsidP="00CC3D51">
      <w:pPr>
        <w:pStyle w:val="4-SubsectionHeading"/>
      </w:pPr>
      <w:bookmarkStart w:id="44" w:name="_Toc22897644"/>
      <w:bookmarkStart w:id="45" w:name="_Toc187766417"/>
      <w:r w:rsidRPr="0098262F">
        <w:t>Clinical claim</w:t>
      </w:r>
      <w:bookmarkEnd w:id="44"/>
      <w:bookmarkEnd w:id="45"/>
    </w:p>
    <w:p w14:paraId="50B771AF" w14:textId="1E06A17A" w:rsidR="00663A2D" w:rsidRPr="005B7F99" w:rsidRDefault="00663A2D" w:rsidP="4D2BAA30">
      <w:pPr>
        <w:pStyle w:val="3-BodyText"/>
      </w:pPr>
      <w:r w:rsidRPr="005B7F99">
        <w:t xml:space="preserve">The submission described palopegteriparatide as superior in terms of effectiveness compared with conventional therapy. </w:t>
      </w:r>
    </w:p>
    <w:p w14:paraId="55CF4959" w14:textId="3D9EE1A6" w:rsidR="00CC57A8" w:rsidRPr="005B7F99" w:rsidRDefault="280D42DA" w:rsidP="383E5602">
      <w:pPr>
        <w:pStyle w:val="3-BodyText"/>
        <w:rPr>
          <w:rFonts w:eastAsia="Calibri"/>
        </w:rPr>
      </w:pPr>
      <w:r w:rsidRPr="005B7F99">
        <w:t xml:space="preserve">The </w:t>
      </w:r>
      <w:r w:rsidR="212CDEFE" w:rsidRPr="005B7F99">
        <w:t xml:space="preserve">ESC noted that the </w:t>
      </w:r>
      <w:r w:rsidRPr="005B7F99">
        <w:t>trial demonstrated that most patients who commenced palopegteriparatide were able to achieve independence from active vitamin D and therapeutic doses of calcium while maintaining normal serum calcium levels (as measured by the primary outcome of the trial). However,</w:t>
      </w:r>
      <w:r w:rsidR="11BDD012" w:rsidRPr="005B7F99">
        <w:t xml:space="preserve"> the ESC considered</w:t>
      </w:r>
      <w:r w:rsidRPr="005B7F99">
        <w:t xml:space="preserve"> the submission did not provide sufficient clinical evidence that supported the use of this outcome as a surrogate for efficacy. There is uncertainty with translating this into longer-term mortality, morbidity and quality of life improvements, particularly as compared with conventional therapy.</w:t>
      </w:r>
      <w:r w:rsidR="7C827EE1" w:rsidRPr="005B7F99">
        <w:t xml:space="preserve"> </w:t>
      </w:r>
      <w:r w:rsidR="00636C04">
        <w:t xml:space="preserve">The pre-PBAC response </w:t>
      </w:r>
      <w:r w:rsidR="003316EF">
        <w:t xml:space="preserve">stated that the primary outcome in the PaTHway trial is a multi-component efficacy endpoint whereby being a responder means a patient achieves </w:t>
      </w:r>
      <w:proofErr w:type="spellStart"/>
      <w:r w:rsidR="003316EF">
        <w:t>normocalcaemia</w:t>
      </w:r>
      <w:proofErr w:type="spellEnd"/>
      <w:r w:rsidR="003316EF">
        <w:t xml:space="preserve"> independent of treatment with conventional therapy</w:t>
      </w:r>
      <w:r w:rsidR="00F934D0">
        <w:t>, which is consistent with the goal of HPT management</w:t>
      </w:r>
      <w:r w:rsidR="00FD2D32">
        <w:t xml:space="preserve">. Further, current research demonstrates that </w:t>
      </w:r>
      <w:r w:rsidR="009C2B78">
        <w:t xml:space="preserve">patients </w:t>
      </w:r>
      <w:r w:rsidR="00030A3E">
        <w:t xml:space="preserve">on conventional therapy </w:t>
      </w:r>
      <w:r w:rsidR="009C2B78">
        <w:t>have an increased risk of nephrolithiasis, nephrocalcinosis and impaired renal function</w:t>
      </w:r>
      <w:r w:rsidR="00030A3E">
        <w:t>. Hence, the pre-PBAC response state</w:t>
      </w:r>
      <w:r w:rsidR="00244469">
        <w:t>d</w:t>
      </w:r>
      <w:r w:rsidR="00030A3E">
        <w:t xml:space="preserve"> that being independent of conventional therapy </w:t>
      </w:r>
      <w:r w:rsidR="00BB04B1">
        <w:t>will have beneficial effects on a patient’s kidney function over time</w:t>
      </w:r>
      <w:r w:rsidR="00244469">
        <w:t>. The pre-PBAC response stated that the PaTHway trial provides direct evidence informing the clinical therap</w:t>
      </w:r>
      <w:r w:rsidR="00C009EA">
        <w:t>eutic conclusion in the target population in terms of response, quality of life, biochemistry and kidney function</w:t>
      </w:r>
      <w:r w:rsidR="00821DBE">
        <w:t xml:space="preserve">. </w:t>
      </w:r>
    </w:p>
    <w:p w14:paraId="4B8E7787" w14:textId="559DA69C" w:rsidR="005A1535" w:rsidRPr="005B7F99" w:rsidRDefault="5D1C2E41" w:rsidP="383E5602">
      <w:pPr>
        <w:pStyle w:val="3-BodyText"/>
        <w:rPr>
          <w:rFonts w:eastAsia="Calibri"/>
        </w:rPr>
      </w:pPr>
      <w:r w:rsidRPr="005B7F99">
        <w:t>The ESC noted that patients</w:t>
      </w:r>
      <w:r w:rsidR="24D41AC6" w:rsidRPr="005B7F99">
        <w:t xml:space="preserve"> in the </w:t>
      </w:r>
      <w:r w:rsidR="66215B52" w:rsidRPr="005B7F99">
        <w:t xml:space="preserve">placebo </w:t>
      </w:r>
      <w:r w:rsidR="24D41AC6" w:rsidRPr="005B7F99">
        <w:t>arm</w:t>
      </w:r>
      <w:r w:rsidRPr="005B7F99">
        <w:t xml:space="preserve"> who achieved normal serum calcium levels had their active vitamin D and calcium supplements reduced which did not represent standard of care </w:t>
      </w:r>
      <w:r w:rsidR="60345A60" w:rsidRPr="005B7F99">
        <w:t>for patients with normal serum calcium levels</w:t>
      </w:r>
      <w:r w:rsidR="63D72501" w:rsidRPr="005B7F99">
        <w:t xml:space="preserve">. The ESC further noted that this </w:t>
      </w:r>
      <w:r w:rsidRPr="005B7F99">
        <w:t>was associated with an increase in hypocalcaemia</w:t>
      </w:r>
      <w:r w:rsidR="66215B52" w:rsidRPr="005B7F99">
        <w:t xml:space="preserve"> and TEAE’s</w:t>
      </w:r>
      <w:r w:rsidRPr="005B7F99">
        <w:t>.</w:t>
      </w:r>
      <w:r w:rsidR="280D42DA" w:rsidRPr="005B7F99">
        <w:t xml:space="preserve"> </w:t>
      </w:r>
    </w:p>
    <w:p w14:paraId="784AFC49" w14:textId="23FC1E56" w:rsidR="00663A2D" w:rsidRPr="00050887" w:rsidRDefault="00B7519E" w:rsidP="00050887">
      <w:pPr>
        <w:pStyle w:val="3-BodyText"/>
        <w:rPr>
          <w:rFonts w:eastAsia="Calibri"/>
        </w:rPr>
      </w:pPr>
      <w:r w:rsidRPr="005B7F99">
        <w:t>The ESC noted that the interpretation of the ITT results is subject to qualification given the small sample size in the placebo arm (n=21).</w:t>
      </w:r>
      <w:r w:rsidR="00050887">
        <w:rPr>
          <w:rFonts w:eastAsia="Calibri"/>
        </w:rPr>
        <w:t xml:space="preserve"> </w:t>
      </w:r>
      <w:r w:rsidR="008C0656" w:rsidRPr="00050887">
        <w:rPr>
          <w:rFonts w:eastAsia="Calibri"/>
        </w:rPr>
        <w:t xml:space="preserve">Further, </w:t>
      </w:r>
      <w:r w:rsidR="00050887" w:rsidRPr="00050887">
        <w:rPr>
          <w:rFonts w:eastAsia="Calibri"/>
        </w:rPr>
        <w:t>the e</w:t>
      </w:r>
      <w:r w:rsidR="280D42DA" w:rsidRPr="00050887">
        <w:rPr>
          <w:rFonts w:eastAsia="Calibri"/>
        </w:rPr>
        <w:t>vidence for the use of palopegteriparatide in patients who were inadequately controlled on conventional therapy, as per the</w:t>
      </w:r>
      <w:r w:rsidR="1001218E" w:rsidRPr="00050887">
        <w:rPr>
          <w:rFonts w:eastAsia="Calibri"/>
        </w:rPr>
        <w:t xml:space="preserve"> proposed</w:t>
      </w:r>
      <w:r w:rsidR="280D42DA" w:rsidRPr="00050887">
        <w:rPr>
          <w:rFonts w:eastAsia="Calibri"/>
        </w:rPr>
        <w:t xml:space="preserve"> PBS restriction, was based on a </w:t>
      </w:r>
      <w:r w:rsidR="280D42DA" w:rsidRPr="00050887">
        <w:rPr>
          <w:rFonts w:eastAsia="Calibri"/>
          <w:i/>
          <w:iCs/>
        </w:rPr>
        <w:t>post-hoc</w:t>
      </w:r>
      <w:r w:rsidR="280D42DA" w:rsidRPr="00050887">
        <w:rPr>
          <w:rFonts w:eastAsia="Calibri"/>
        </w:rPr>
        <w:t xml:space="preserve"> subgroup analysis, which was further limited by the number of patients in the placebo arm</w:t>
      </w:r>
      <w:r w:rsidR="46A65D54" w:rsidRPr="00050887">
        <w:rPr>
          <w:rFonts w:eastAsia="Calibri"/>
        </w:rPr>
        <w:t xml:space="preserve"> (n = 16)</w:t>
      </w:r>
      <w:r w:rsidR="280D42DA" w:rsidRPr="00050887">
        <w:rPr>
          <w:rFonts w:eastAsia="Calibri"/>
        </w:rPr>
        <w:t xml:space="preserve">. While results of the subgroup were similar to the wider trial results, </w:t>
      </w:r>
      <w:r w:rsidR="3FE45D01" w:rsidRPr="00050887">
        <w:rPr>
          <w:rFonts w:eastAsia="Calibri"/>
        </w:rPr>
        <w:t xml:space="preserve">the ESC considered </w:t>
      </w:r>
      <w:r w:rsidR="1001218E" w:rsidRPr="00050887">
        <w:rPr>
          <w:rFonts w:eastAsia="Calibri"/>
        </w:rPr>
        <w:t xml:space="preserve">that the results </w:t>
      </w:r>
      <w:r w:rsidR="3FE45D01" w:rsidRPr="00050887">
        <w:rPr>
          <w:rFonts w:eastAsia="Calibri"/>
        </w:rPr>
        <w:t xml:space="preserve">should </w:t>
      </w:r>
      <w:r w:rsidR="280D42DA" w:rsidRPr="00050887">
        <w:rPr>
          <w:rFonts w:eastAsia="Calibri"/>
        </w:rPr>
        <w:t xml:space="preserve">be interpreted with caution.  </w:t>
      </w:r>
    </w:p>
    <w:p w14:paraId="4B7A9F3C" w14:textId="063BEA25" w:rsidR="00681B4B" w:rsidRPr="00640594" w:rsidRDefault="1ED402FD" w:rsidP="383E5602">
      <w:pPr>
        <w:pStyle w:val="3-BodyText"/>
        <w:rPr>
          <w:rFonts w:eastAsia="Calibri"/>
        </w:rPr>
      </w:pPr>
      <w:bookmarkStart w:id="46" w:name="_Ref190948940"/>
      <w:r w:rsidRPr="005B7F99">
        <w:t xml:space="preserve">Overall, the ESC considered that </w:t>
      </w:r>
      <w:r w:rsidR="6FF00B69" w:rsidRPr="005B7F99">
        <w:t xml:space="preserve">the claim that palopegteriparatide was superior in terms of effectiveness was supported by the </w:t>
      </w:r>
      <w:r w:rsidR="46CC10E3" w:rsidRPr="005B7F99">
        <w:t>evidence presented in the submission; however, the magnitude of the benefit was highly uncertain due to the reasons outlined above.</w:t>
      </w:r>
      <w:bookmarkEnd w:id="46"/>
    </w:p>
    <w:p w14:paraId="21743B34" w14:textId="63A5B64A" w:rsidR="00640594" w:rsidRPr="00CE42B4" w:rsidRDefault="00640594" w:rsidP="00640594">
      <w:pPr>
        <w:pStyle w:val="3-BodyText"/>
        <w:rPr>
          <w:snapToGrid w:val="0"/>
        </w:rPr>
      </w:pPr>
      <w:r w:rsidRPr="00CE42B4">
        <w:rPr>
          <w:iCs/>
          <w:snapToGrid w:val="0"/>
        </w:rPr>
        <w:t>The</w:t>
      </w:r>
      <w:r w:rsidRPr="00CE42B4">
        <w:rPr>
          <w:snapToGrid w:val="0"/>
        </w:rPr>
        <w:t xml:space="preserve"> PBAC considered that the claim </w:t>
      </w:r>
      <w:r w:rsidR="00360B4B">
        <w:rPr>
          <w:snapToGrid w:val="0"/>
        </w:rPr>
        <w:t xml:space="preserve">that palopegteriparatide was </w:t>
      </w:r>
      <w:r w:rsidRPr="00640594">
        <w:rPr>
          <w:snapToGrid w:val="0"/>
        </w:rPr>
        <w:t>superior</w:t>
      </w:r>
      <w:r w:rsidRPr="00CE42B4">
        <w:rPr>
          <w:snapToGrid w:val="0"/>
        </w:rPr>
        <w:t xml:space="preserve"> </w:t>
      </w:r>
      <w:r w:rsidR="00360B4B">
        <w:rPr>
          <w:snapToGrid w:val="0"/>
        </w:rPr>
        <w:t xml:space="preserve">in terms of </w:t>
      </w:r>
      <w:r w:rsidRPr="00CE42B4">
        <w:rPr>
          <w:snapToGrid w:val="0"/>
        </w:rPr>
        <w:t xml:space="preserve">effectiveness </w:t>
      </w:r>
      <w:r w:rsidR="00360B4B">
        <w:rPr>
          <w:snapToGrid w:val="0"/>
        </w:rPr>
        <w:t xml:space="preserve">compared to </w:t>
      </w:r>
      <w:r w:rsidR="004A43CA">
        <w:rPr>
          <w:snapToGrid w:val="0"/>
        </w:rPr>
        <w:t xml:space="preserve">conventional therapy </w:t>
      </w:r>
      <w:r w:rsidRPr="00CE42B4">
        <w:rPr>
          <w:snapToGrid w:val="0"/>
        </w:rPr>
        <w:t>was reasonable.</w:t>
      </w:r>
    </w:p>
    <w:p w14:paraId="508997DB" w14:textId="624E2A74" w:rsidR="00663A2D" w:rsidRPr="005B7F99" w:rsidRDefault="280D42DA" w:rsidP="383E5602">
      <w:pPr>
        <w:pStyle w:val="3-BodyText"/>
        <w:rPr>
          <w:rFonts w:eastAsia="Calibri"/>
        </w:rPr>
      </w:pPr>
      <w:r w:rsidRPr="005B7F99">
        <w:rPr>
          <w:rFonts w:eastAsia="Calibri"/>
        </w:rPr>
        <w:t xml:space="preserve">The submission described palopegteriparatide as non-inferior in terms of safety compared to </w:t>
      </w:r>
      <w:r w:rsidR="007C018D">
        <w:rPr>
          <w:rFonts w:eastAsia="Calibri"/>
        </w:rPr>
        <w:t>conventional therapy</w:t>
      </w:r>
      <w:r w:rsidRPr="005B7F99">
        <w:rPr>
          <w:rFonts w:eastAsia="Calibri"/>
        </w:rPr>
        <w:t xml:space="preserve">. </w:t>
      </w:r>
      <w:r w:rsidR="327E14FA" w:rsidRPr="005B7F99">
        <w:rPr>
          <w:rFonts w:eastAsia="Calibri"/>
        </w:rPr>
        <w:t xml:space="preserve">The ESC considered </w:t>
      </w:r>
      <w:r w:rsidR="3102A0C9" w:rsidRPr="005B7F99">
        <w:rPr>
          <w:rFonts w:eastAsia="Calibri"/>
        </w:rPr>
        <w:t xml:space="preserve">that </w:t>
      </w:r>
      <w:r w:rsidR="327E14FA" w:rsidRPr="005B7F99">
        <w:rPr>
          <w:rFonts w:eastAsia="Calibri"/>
        </w:rPr>
        <w:t>t</w:t>
      </w:r>
      <w:r w:rsidRPr="005B7F99">
        <w:rPr>
          <w:rFonts w:eastAsia="Calibri"/>
        </w:rPr>
        <w:t xml:space="preserve">his claim was not adequately supported </w:t>
      </w:r>
      <w:r w:rsidR="503568B3" w:rsidRPr="005B7F99">
        <w:rPr>
          <w:rFonts w:eastAsia="Calibri"/>
        </w:rPr>
        <w:t>by the evidence presented</w:t>
      </w:r>
      <w:r w:rsidR="00733DF3" w:rsidRPr="005B7F99">
        <w:rPr>
          <w:rFonts w:eastAsia="Calibri"/>
        </w:rPr>
        <w:t xml:space="preserve">. </w:t>
      </w:r>
      <w:r w:rsidR="007C018D">
        <w:rPr>
          <w:rFonts w:eastAsia="Calibri"/>
        </w:rPr>
        <w:t>T</w:t>
      </w:r>
      <w:r w:rsidR="02C9EF15" w:rsidRPr="005B7F99">
        <w:rPr>
          <w:rFonts w:eastAsia="Calibri"/>
        </w:rPr>
        <w:t xml:space="preserve">he ESC noted that </w:t>
      </w:r>
      <w:r w:rsidR="55888B83" w:rsidRPr="005B7F99">
        <w:rPr>
          <w:rFonts w:eastAsia="Calibri"/>
        </w:rPr>
        <w:t>(i) i</w:t>
      </w:r>
      <w:r w:rsidRPr="005B7F99">
        <w:rPr>
          <w:rFonts w:eastAsia="Calibri"/>
        </w:rPr>
        <w:t>njection site reactions were higher in the palopegteriparatide arm compared to the placebo arm</w:t>
      </w:r>
      <w:r w:rsidR="55888B83" w:rsidRPr="005B7F99">
        <w:rPr>
          <w:rFonts w:eastAsia="Calibri"/>
        </w:rPr>
        <w:t xml:space="preserve">; </w:t>
      </w:r>
      <w:r w:rsidR="66215B52" w:rsidRPr="005B7F99">
        <w:rPr>
          <w:rFonts w:eastAsia="Calibri"/>
        </w:rPr>
        <w:t xml:space="preserve">(ii) gastrointestinal adverse events were more common in the </w:t>
      </w:r>
      <w:r w:rsidR="09407103" w:rsidRPr="005B7F99">
        <w:rPr>
          <w:rFonts w:eastAsia="Calibri"/>
        </w:rPr>
        <w:t>palopegteriparatide</w:t>
      </w:r>
      <w:r w:rsidR="66215B52" w:rsidRPr="005B7F99">
        <w:rPr>
          <w:rFonts w:eastAsia="Calibri"/>
        </w:rPr>
        <w:t xml:space="preserve"> arm and (iii) the incidence of hypercalcaemia was more common on the </w:t>
      </w:r>
      <w:r w:rsidR="0EDCDB01" w:rsidRPr="005B7F99">
        <w:rPr>
          <w:rFonts w:eastAsia="Calibri"/>
        </w:rPr>
        <w:t>palopeg</w:t>
      </w:r>
      <w:r w:rsidR="66215B52" w:rsidRPr="005B7F99">
        <w:rPr>
          <w:rFonts w:eastAsia="Calibri"/>
        </w:rPr>
        <w:t>ter</w:t>
      </w:r>
      <w:r w:rsidR="0EDCDB01" w:rsidRPr="005B7F99">
        <w:rPr>
          <w:rFonts w:eastAsia="Calibri"/>
        </w:rPr>
        <w:t>i</w:t>
      </w:r>
      <w:r w:rsidR="66215B52" w:rsidRPr="005B7F99">
        <w:rPr>
          <w:rFonts w:eastAsia="Calibri"/>
        </w:rPr>
        <w:t>par</w:t>
      </w:r>
      <w:r w:rsidR="00DF3105" w:rsidRPr="005B7F99">
        <w:rPr>
          <w:rFonts w:eastAsia="Calibri"/>
        </w:rPr>
        <w:t>a</w:t>
      </w:r>
      <w:r w:rsidR="66215B52" w:rsidRPr="005B7F99">
        <w:rPr>
          <w:rFonts w:eastAsia="Calibri"/>
        </w:rPr>
        <w:t xml:space="preserve">tide arm.  The ESC also felt that </w:t>
      </w:r>
      <w:r w:rsidR="1F21FCA7" w:rsidRPr="005B7F99">
        <w:rPr>
          <w:rFonts w:eastAsia="Calibri"/>
        </w:rPr>
        <w:t>t</w:t>
      </w:r>
      <w:r w:rsidRPr="005B7F99">
        <w:rPr>
          <w:rFonts w:eastAsia="Calibri"/>
        </w:rPr>
        <w:t xml:space="preserve">he claim of superior safety in the long-term was not supported as the OLE periods of PaTHway were </w:t>
      </w:r>
      <w:r w:rsidR="66215B52" w:rsidRPr="005B7F99">
        <w:rPr>
          <w:rFonts w:eastAsia="Calibri"/>
        </w:rPr>
        <w:t>non</w:t>
      </w:r>
      <w:r w:rsidR="16315908" w:rsidRPr="005B7F99">
        <w:rPr>
          <w:rFonts w:eastAsia="Calibri"/>
        </w:rPr>
        <w:t>-</w:t>
      </w:r>
      <w:r w:rsidRPr="005B7F99">
        <w:rPr>
          <w:rFonts w:eastAsia="Calibri"/>
        </w:rPr>
        <w:t>comparative.</w:t>
      </w:r>
      <w:r w:rsidR="00EA4F38">
        <w:rPr>
          <w:rFonts w:eastAsia="Calibri"/>
        </w:rPr>
        <w:t xml:space="preserve"> The pre-PBAC response stated that </w:t>
      </w:r>
      <w:r w:rsidR="00650934">
        <w:rPr>
          <w:rFonts w:eastAsia="Calibri"/>
        </w:rPr>
        <w:t>the injection site reactions associated with palopegteriparatide were transient in nature</w:t>
      </w:r>
      <w:r w:rsidR="00BD5BAD">
        <w:rPr>
          <w:rFonts w:eastAsia="Calibri"/>
        </w:rPr>
        <w:t>.</w:t>
      </w:r>
    </w:p>
    <w:p w14:paraId="0328B104" w14:textId="065963FC" w:rsidR="00F05DCD" w:rsidRPr="00F05DCD" w:rsidRDefault="00F05DCD" w:rsidP="00F05DCD">
      <w:pPr>
        <w:pStyle w:val="3-BodyText"/>
        <w:rPr>
          <w:snapToGrid w:val="0"/>
        </w:rPr>
      </w:pPr>
      <w:bookmarkStart w:id="47" w:name="_Hlk76376200"/>
      <w:r w:rsidRPr="00CE42B4">
        <w:rPr>
          <w:snapToGrid w:val="0"/>
        </w:rPr>
        <w:t xml:space="preserve">The PBAC considered that the claim </w:t>
      </w:r>
      <w:r w:rsidR="007C018D">
        <w:rPr>
          <w:snapToGrid w:val="0"/>
        </w:rPr>
        <w:t>that palopegteriparatide was</w:t>
      </w:r>
      <w:r w:rsidR="008735FD">
        <w:rPr>
          <w:snapToGrid w:val="0"/>
        </w:rPr>
        <w:t xml:space="preserve"> </w:t>
      </w:r>
      <w:r w:rsidRPr="00E95A38">
        <w:rPr>
          <w:snapToGrid w:val="0"/>
        </w:rPr>
        <w:t>non-inferior</w:t>
      </w:r>
      <w:r w:rsidRPr="00CE42B4">
        <w:rPr>
          <w:snapToGrid w:val="0"/>
        </w:rPr>
        <w:t xml:space="preserve"> </w:t>
      </w:r>
      <w:r w:rsidR="008735FD">
        <w:rPr>
          <w:snapToGrid w:val="0"/>
        </w:rPr>
        <w:t xml:space="preserve">in terms of </w:t>
      </w:r>
      <w:r w:rsidRPr="00CE42B4">
        <w:rPr>
          <w:snapToGrid w:val="0"/>
        </w:rPr>
        <w:t xml:space="preserve">safety </w:t>
      </w:r>
      <w:r w:rsidR="008735FD">
        <w:rPr>
          <w:snapToGrid w:val="0"/>
        </w:rPr>
        <w:t xml:space="preserve">compared to conventional therapy </w:t>
      </w:r>
      <w:r w:rsidRPr="00CE42B4">
        <w:rPr>
          <w:snapToGrid w:val="0"/>
        </w:rPr>
        <w:t xml:space="preserve">was </w:t>
      </w:r>
      <w:r w:rsidR="00661DAD">
        <w:rPr>
          <w:snapToGrid w:val="0"/>
        </w:rPr>
        <w:t xml:space="preserve">not adequately supported given the differences outlined, the small numbers of patients </w:t>
      </w:r>
      <w:r w:rsidR="002767D1">
        <w:rPr>
          <w:snapToGrid w:val="0"/>
        </w:rPr>
        <w:t>and the lack of long</w:t>
      </w:r>
      <w:r w:rsidR="00260BAD">
        <w:rPr>
          <w:snapToGrid w:val="0"/>
        </w:rPr>
        <w:t>-</w:t>
      </w:r>
      <w:r w:rsidR="002767D1">
        <w:rPr>
          <w:snapToGrid w:val="0"/>
        </w:rPr>
        <w:t>term comparative data</w:t>
      </w:r>
      <w:r w:rsidRPr="00CE42B4">
        <w:rPr>
          <w:snapToGrid w:val="0"/>
        </w:rPr>
        <w:t>.</w:t>
      </w:r>
      <w:bookmarkEnd w:id="47"/>
      <w:r w:rsidR="00B070FD">
        <w:rPr>
          <w:snapToGrid w:val="0"/>
        </w:rPr>
        <w:t xml:space="preserve"> Overall, the PBAC considered that </w:t>
      </w:r>
      <w:r w:rsidR="00EE21A5">
        <w:rPr>
          <w:snapToGrid w:val="0"/>
        </w:rPr>
        <w:t>palopegteriparatide was likely compara</w:t>
      </w:r>
      <w:r w:rsidR="002D6085">
        <w:rPr>
          <w:snapToGrid w:val="0"/>
        </w:rPr>
        <w:t xml:space="preserve">ble to </w:t>
      </w:r>
      <w:r w:rsidR="00260BAD">
        <w:rPr>
          <w:snapToGrid w:val="0"/>
        </w:rPr>
        <w:t>conventional therapy.</w:t>
      </w:r>
    </w:p>
    <w:p w14:paraId="0B74F24B" w14:textId="5D6CE0A9" w:rsidR="00962079" w:rsidRPr="0098262F" w:rsidRDefault="00962079" w:rsidP="00962079">
      <w:pPr>
        <w:pStyle w:val="4-SubsectionHeading"/>
      </w:pPr>
      <w:bookmarkStart w:id="48" w:name="_Toc187766418"/>
      <w:bookmarkEnd w:id="16"/>
      <w:r w:rsidRPr="0098262F">
        <w:t>Economic analysis</w:t>
      </w:r>
      <w:bookmarkEnd w:id="48"/>
      <w:r w:rsidRPr="0098262F">
        <w:t xml:space="preserve"> </w:t>
      </w:r>
    </w:p>
    <w:p w14:paraId="207FE643" w14:textId="2C10430E" w:rsidR="00962079" w:rsidRPr="005B7F99" w:rsidRDefault="00962079" w:rsidP="4D2BAA30">
      <w:pPr>
        <w:pStyle w:val="3-BodyText"/>
        <w:rPr>
          <w:b/>
          <w:bCs/>
        </w:rPr>
      </w:pPr>
      <w:bookmarkStart w:id="49" w:name="_Ref190949553"/>
      <w:r w:rsidRPr="005B7F99">
        <w:t>The submission presented a stepped economic evaluation and a cost-utility analysis comparing palopegteriparatide with conventional therapy in patients with chronic HPT. The economic evaluation used data from the PaTHway trial and published literature to extrapolate the clinical outcomes beyond the study duration to estimate the costs and benefits of treatment over time in both arms. The outcomes presented in the model were CKD and end-stage kidney disease (ESKD).</w:t>
      </w:r>
      <w:bookmarkEnd w:id="49"/>
      <w:r w:rsidRPr="005B7F99">
        <w:t xml:space="preserve"> </w:t>
      </w:r>
    </w:p>
    <w:p w14:paraId="314233A3" w14:textId="52785762" w:rsidR="00CC40DC" w:rsidRDefault="545A7299" w:rsidP="00EF07FD">
      <w:pPr>
        <w:pStyle w:val="3-BodyText"/>
        <w:spacing w:after="120"/>
      </w:pPr>
      <w:r w:rsidRPr="005B7F99">
        <w:t xml:space="preserve">The </w:t>
      </w:r>
      <w:r w:rsidR="04A1F801" w:rsidRPr="005B7F99">
        <w:t xml:space="preserve">ESC noted that the </w:t>
      </w:r>
      <w:r w:rsidRPr="005B7F99">
        <w:t xml:space="preserve">model </w:t>
      </w:r>
      <w:r w:rsidR="008735FD">
        <w:t>did</w:t>
      </w:r>
      <w:r w:rsidR="008735FD" w:rsidRPr="005B7F99">
        <w:t xml:space="preserve"> </w:t>
      </w:r>
      <w:r w:rsidRPr="005B7F99">
        <w:t xml:space="preserve">not assess all outcomes associated with HPT deemed important by clinicians and patients. Other </w:t>
      </w:r>
      <w:r w:rsidR="3D46D829" w:rsidRPr="005B7F99">
        <w:t xml:space="preserve">potential </w:t>
      </w:r>
      <w:r w:rsidRPr="005B7F99">
        <w:t>patient relevant long-term effects of HPT include basal ganglia calcification (prevalence of 12%), neuromuscular manifestations including seizures, tetany and muscle stiffness (prevalence of 40% - 60%) and cataract</w:t>
      </w:r>
      <w:r w:rsidR="668CF381" w:rsidRPr="005B7F99">
        <w:t>s</w:t>
      </w:r>
      <w:r w:rsidRPr="005B7F99">
        <w:t xml:space="preserve"> (prevalence of 17%). </w:t>
      </w:r>
      <w:r w:rsidR="00081138">
        <w:t xml:space="preserve">The pre-PBAC response stated that the </w:t>
      </w:r>
      <w:r w:rsidR="002A1736">
        <w:t xml:space="preserve">model structure explicitly captured two patient </w:t>
      </w:r>
      <w:r w:rsidR="00BD76CA">
        <w:t>relevant treatment benefits demonstrated in PaTHway, improved quality of life and improved kidney function</w:t>
      </w:r>
      <w:r w:rsidR="00F87675">
        <w:t>. The pre-PBAC response also stated that</w:t>
      </w:r>
      <w:r w:rsidR="002767D1">
        <w:t>,</w:t>
      </w:r>
      <w:r w:rsidR="00F87675">
        <w:t xml:space="preserve"> whilst the model does attribute quality of life </w:t>
      </w:r>
      <w:r w:rsidR="00945816">
        <w:t>gain</w:t>
      </w:r>
      <w:r w:rsidR="007C60CD">
        <w:t>s to comparative effectiveness in kidney function, it also captures the benefits of palopegteriparatide on HPT symptoms</w:t>
      </w:r>
      <w:r w:rsidR="00945816">
        <w:t xml:space="preserve"> via treatment specific utility values.</w:t>
      </w:r>
      <w:r w:rsidR="006224F5">
        <w:t xml:space="preserve"> Further, the </w:t>
      </w:r>
      <w:r w:rsidR="00646706">
        <w:t>pre-PBAC response stated that whilst it is conceivable th</w:t>
      </w:r>
      <w:r w:rsidR="008735FD">
        <w:t>at</w:t>
      </w:r>
      <w:r w:rsidR="00646706">
        <w:t xml:space="preserve"> </w:t>
      </w:r>
      <w:r w:rsidR="0023470D">
        <w:t>palopegteriparatide could reduce the rate of other patient relevant long-term effects of HPT</w:t>
      </w:r>
      <w:r w:rsidR="0058297D">
        <w:t>, inclusion of additional outcomes would require the economic model to depart from the underlying evidence base</w:t>
      </w:r>
      <w:r w:rsidR="005956D2">
        <w:t>.</w:t>
      </w:r>
    </w:p>
    <w:p w14:paraId="58CE04E1" w14:textId="38967C7E" w:rsidR="008C6003" w:rsidRPr="005B7F99" w:rsidRDefault="545A7299" w:rsidP="00EF07FD">
      <w:pPr>
        <w:pStyle w:val="3-BodyText"/>
        <w:spacing w:after="120"/>
      </w:pPr>
      <w:r w:rsidRPr="005B7F99">
        <w:t xml:space="preserve">The model structure </w:t>
      </w:r>
      <w:r w:rsidR="52B41EA2" w:rsidRPr="005B7F99">
        <w:t>is</w:t>
      </w:r>
      <w:r w:rsidRPr="005B7F99">
        <w:t xml:space="preserve"> summarised in </w:t>
      </w:r>
      <w:r w:rsidR="008C6003" w:rsidRPr="005B7F99">
        <w:fldChar w:fldCharType="begin"/>
      </w:r>
      <w:r w:rsidR="008C6003" w:rsidRPr="005B7F99">
        <w:instrText xml:space="preserve"> REF _Ref187767271 \h  \* MERGEFORMAT </w:instrText>
      </w:r>
      <w:r w:rsidR="008C6003" w:rsidRPr="005B7F99">
        <w:fldChar w:fldCharType="separate"/>
      </w:r>
      <w:r w:rsidR="00DA35E4" w:rsidRPr="383E5602">
        <w:t xml:space="preserve">Table </w:t>
      </w:r>
      <w:r w:rsidR="00DA35E4">
        <w:rPr>
          <w:noProof/>
        </w:rPr>
        <w:t>13</w:t>
      </w:r>
      <w:r w:rsidR="008C6003" w:rsidRPr="005B7F99">
        <w:fldChar w:fldCharType="end"/>
      </w:r>
      <w:r w:rsidR="3DE0A91B" w:rsidRPr="005B7F99">
        <w:t>.</w:t>
      </w:r>
    </w:p>
    <w:p w14:paraId="089B8DDF" w14:textId="5A0B20E6" w:rsidR="00962079" w:rsidRPr="00006FCB" w:rsidRDefault="57F8F9CE" w:rsidP="003640C0">
      <w:pPr>
        <w:pStyle w:val="Caption"/>
        <w:widowControl w:val="0"/>
        <w:jc w:val="left"/>
        <w:rPr>
          <w:rStyle w:val="CommentReference"/>
          <w:b/>
        </w:rPr>
      </w:pPr>
      <w:bookmarkStart w:id="50" w:name="_Ref184582844"/>
      <w:bookmarkStart w:id="51" w:name="_Ref187767271"/>
      <w:r w:rsidRPr="383E5602">
        <w:t xml:space="preserve">Table </w:t>
      </w:r>
      <w:r w:rsidR="00962079" w:rsidRPr="383E5602">
        <w:fldChar w:fldCharType="begin"/>
      </w:r>
      <w:r w:rsidR="00962079">
        <w:instrText xml:space="preserve"> SEQ Table \* ARABIC </w:instrText>
      </w:r>
      <w:r w:rsidR="00962079" w:rsidRPr="383E5602">
        <w:fldChar w:fldCharType="separate"/>
      </w:r>
      <w:r w:rsidR="00DA35E4">
        <w:rPr>
          <w:noProof/>
        </w:rPr>
        <w:t>13</w:t>
      </w:r>
      <w:r w:rsidR="00962079" w:rsidRPr="383E5602">
        <w:rPr>
          <w:noProof/>
        </w:rPr>
        <w:fldChar w:fldCharType="end"/>
      </w:r>
      <w:bookmarkEnd w:id="50"/>
      <w:bookmarkEnd w:id="51"/>
      <w:r w:rsidRPr="383E5602">
        <w:t>:</w:t>
      </w:r>
      <w:r w:rsidRPr="383E5602">
        <w:rPr>
          <w:rStyle w:val="CommentReference"/>
          <w:b/>
        </w:rPr>
        <w:t xml:space="preserve"> Summary of model structure, key inputs and rationale</w:t>
      </w:r>
    </w:p>
    <w:tbl>
      <w:tblPr>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3: Summary of model structure, key inputs and rationale"/>
      </w:tblPr>
      <w:tblGrid>
        <w:gridCol w:w="1315"/>
        <w:gridCol w:w="8144"/>
      </w:tblGrid>
      <w:tr w:rsidR="00962079" w:rsidRPr="00006FCB" w14:paraId="5832A7A3" w14:textId="77777777" w:rsidTr="003640C0">
        <w:trPr>
          <w:cantSplit/>
          <w:trHeight w:val="229"/>
          <w:tblHeader/>
        </w:trPr>
        <w:tc>
          <w:tcPr>
            <w:tcW w:w="695" w:type="pct"/>
            <w:shd w:val="clear" w:color="auto" w:fill="auto"/>
            <w:vAlign w:val="center"/>
          </w:tcPr>
          <w:p w14:paraId="529E4C19" w14:textId="77777777" w:rsidR="00962079" w:rsidRPr="00006FCB" w:rsidRDefault="00962079" w:rsidP="003640C0">
            <w:pPr>
              <w:pStyle w:val="TableText0"/>
              <w:framePr w:hSpace="0" w:wrap="auto" w:vAnchor="margin" w:yAlign="inline"/>
              <w:widowControl w:val="0"/>
              <w:suppressOverlap w:val="0"/>
              <w:rPr>
                <w:b/>
                <w:bCs w:val="0"/>
              </w:rPr>
            </w:pPr>
            <w:r w:rsidRPr="00006FCB">
              <w:rPr>
                <w:b/>
                <w:bCs w:val="0"/>
              </w:rPr>
              <w:t>Element</w:t>
            </w:r>
          </w:p>
        </w:tc>
        <w:tc>
          <w:tcPr>
            <w:tcW w:w="4305" w:type="pct"/>
            <w:shd w:val="clear" w:color="auto" w:fill="auto"/>
            <w:vAlign w:val="center"/>
          </w:tcPr>
          <w:p w14:paraId="1DDA3BBE" w14:textId="77777777" w:rsidR="00962079" w:rsidRPr="00006FCB" w:rsidRDefault="00962079" w:rsidP="003640C0">
            <w:pPr>
              <w:pStyle w:val="TableText0"/>
              <w:framePr w:hSpace="0" w:wrap="auto" w:vAnchor="margin" w:yAlign="inline"/>
              <w:widowControl w:val="0"/>
              <w:suppressOverlap w:val="0"/>
              <w:rPr>
                <w:b/>
                <w:bCs w:val="0"/>
              </w:rPr>
            </w:pPr>
            <w:r w:rsidRPr="00006FCB">
              <w:rPr>
                <w:b/>
                <w:bCs w:val="0"/>
              </w:rPr>
              <w:t>Description</w:t>
            </w:r>
          </w:p>
        </w:tc>
      </w:tr>
      <w:tr w:rsidR="00962079" w:rsidRPr="00006FCB" w14:paraId="597105F2" w14:textId="77777777" w:rsidTr="003640C0">
        <w:trPr>
          <w:cantSplit/>
          <w:trHeight w:val="229"/>
        </w:trPr>
        <w:tc>
          <w:tcPr>
            <w:tcW w:w="695" w:type="pct"/>
            <w:shd w:val="clear" w:color="auto" w:fill="auto"/>
            <w:vAlign w:val="center"/>
          </w:tcPr>
          <w:p w14:paraId="2A55FA39" w14:textId="77777777" w:rsidR="00962079" w:rsidRPr="00006FCB" w:rsidRDefault="00962079" w:rsidP="003640C0">
            <w:pPr>
              <w:pStyle w:val="TableText0"/>
              <w:framePr w:hSpace="0" w:wrap="auto" w:vAnchor="margin" w:yAlign="inline"/>
              <w:widowControl w:val="0"/>
              <w:suppressOverlap w:val="0"/>
              <w:rPr>
                <w:b/>
              </w:rPr>
            </w:pPr>
            <w:r w:rsidRPr="00006FCB">
              <w:t>Treatments</w:t>
            </w:r>
          </w:p>
        </w:tc>
        <w:tc>
          <w:tcPr>
            <w:tcW w:w="4305" w:type="pct"/>
            <w:shd w:val="clear" w:color="auto" w:fill="auto"/>
            <w:vAlign w:val="center"/>
          </w:tcPr>
          <w:p w14:paraId="3F6D26A9" w14:textId="77777777" w:rsidR="00962079" w:rsidRPr="00006FCB" w:rsidRDefault="00962079" w:rsidP="003640C0">
            <w:pPr>
              <w:pStyle w:val="TableText0"/>
              <w:framePr w:hSpace="0" w:wrap="auto" w:vAnchor="margin" w:yAlign="inline"/>
              <w:widowControl w:val="0"/>
              <w:suppressOverlap w:val="0"/>
              <w:rPr>
                <w:b/>
              </w:rPr>
            </w:pPr>
            <w:r w:rsidRPr="4D2BAA30">
              <w:t>Palopegteriparatide vs conventional therapy (calcium and vitamin D supplements)</w:t>
            </w:r>
          </w:p>
        </w:tc>
      </w:tr>
      <w:tr w:rsidR="00962079" w:rsidRPr="00006FCB" w14:paraId="13BDD0C5" w14:textId="77777777" w:rsidTr="003640C0">
        <w:trPr>
          <w:cantSplit/>
          <w:trHeight w:val="689"/>
        </w:trPr>
        <w:tc>
          <w:tcPr>
            <w:tcW w:w="695" w:type="pct"/>
            <w:shd w:val="clear" w:color="auto" w:fill="auto"/>
            <w:vAlign w:val="center"/>
          </w:tcPr>
          <w:p w14:paraId="5FFE0BF9" w14:textId="77777777" w:rsidR="00962079" w:rsidRPr="00006FCB" w:rsidRDefault="00962079" w:rsidP="003640C0">
            <w:pPr>
              <w:pStyle w:val="TableText0"/>
              <w:framePr w:hSpace="0" w:wrap="auto" w:vAnchor="margin" w:yAlign="inline"/>
              <w:widowControl w:val="0"/>
              <w:suppressOverlap w:val="0"/>
              <w:rPr>
                <w:b/>
              </w:rPr>
            </w:pPr>
            <w:r w:rsidRPr="00006FCB">
              <w:t>Time horizon</w:t>
            </w:r>
          </w:p>
        </w:tc>
        <w:tc>
          <w:tcPr>
            <w:tcW w:w="4305" w:type="pct"/>
            <w:shd w:val="clear" w:color="auto" w:fill="auto"/>
            <w:vAlign w:val="center"/>
          </w:tcPr>
          <w:p w14:paraId="301E4159" w14:textId="66943D40" w:rsidR="00962079" w:rsidRPr="00006FCB" w:rsidRDefault="00962079" w:rsidP="003640C0">
            <w:pPr>
              <w:pStyle w:val="TableText0"/>
              <w:framePr w:hSpace="0" w:wrap="auto" w:vAnchor="margin" w:yAlign="inline"/>
              <w:widowControl w:val="0"/>
              <w:suppressOverlap w:val="0"/>
              <w:rPr>
                <w:b/>
              </w:rPr>
            </w:pPr>
            <w:r w:rsidRPr="4D2BAA30">
              <w:t>51 years in the model base case versus 26 weeks in the PaTHway trial. Given the trial duration (26 weeks vs 51-year time horizon) and the lack of direct evidence on kidney function and mortality</w:t>
            </w:r>
            <w:r w:rsidR="005748CE" w:rsidRPr="4D2BAA30">
              <w:t xml:space="preserve">, </w:t>
            </w:r>
            <w:r w:rsidR="005748CE" w:rsidRPr="00A4167F">
              <w:t>the ESC considered</w:t>
            </w:r>
            <w:r w:rsidR="00CE1B56" w:rsidRPr="00A4167F">
              <w:t xml:space="preserve"> that</w:t>
            </w:r>
            <w:r w:rsidRPr="4D2BAA30">
              <w:t xml:space="preserve"> this was optimistic and favoured palopegteriparatide.</w:t>
            </w:r>
          </w:p>
        </w:tc>
      </w:tr>
      <w:tr w:rsidR="00962079" w:rsidRPr="00006FCB" w14:paraId="4ABFA744" w14:textId="77777777" w:rsidTr="003640C0">
        <w:trPr>
          <w:cantSplit/>
          <w:trHeight w:val="229"/>
        </w:trPr>
        <w:tc>
          <w:tcPr>
            <w:tcW w:w="695" w:type="pct"/>
            <w:shd w:val="clear" w:color="auto" w:fill="auto"/>
            <w:vAlign w:val="center"/>
          </w:tcPr>
          <w:p w14:paraId="73FEDC72" w14:textId="77777777" w:rsidR="00962079" w:rsidRPr="00006FCB" w:rsidRDefault="00962079" w:rsidP="003640C0">
            <w:pPr>
              <w:pStyle w:val="TableText0"/>
              <w:framePr w:hSpace="0" w:wrap="auto" w:vAnchor="margin" w:yAlign="inline"/>
              <w:widowControl w:val="0"/>
              <w:suppressOverlap w:val="0"/>
              <w:rPr>
                <w:b/>
              </w:rPr>
            </w:pPr>
            <w:r w:rsidRPr="00006FCB">
              <w:t>Outcomes</w:t>
            </w:r>
          </w:p>
        </w:tc>
        <w:tc>
          <w:tcPr>
            <w:tcW w:w="4305" w:type="pct"/>
            <w:shd w:val="clear" w:color="auto" w:fill="auto"/>
            <w:vAlign w:val="center"/>
          </w:tcPr>
          <w:p w14:paraId="135BFB2D" w14:textId="77777777" w:rsidR="00962079" w:rsidRPr="00006FCB" w:rsidRDefault="00962079" w:rsidP="003640C0">
            <w:pPr>
              <w:pStyle w:val="TableText0"/>
              <w:framePr w:hSpace="0" w:wrap="auto" w:vAnchor="margin" w:yAlign="inline"/>
              <w:widowControl w:val="0"/>
              <w:suppressOverlap w:val="0"/>
              <w:rPr>
                <w:b/>
              </w:rPr>
            </w:pPr>
            <w:r w:rsidRPr="00006FCB">
              <w:t>LYs and QALYs</w:t>
            </w:r>
          </w:p>
        </w:tc>
      </w:tr>
      <w:tr w:rsidR="00962079" w:rsidRPr="00006FCB" w14:paraId="0F1C292A" w14:textId="77777777" w:rsidTr="003640C0">
        <w:trPr>
          <w:cantSplit/>
          <w:trHeight w:val="229"/>
        </w:trPr>
        <w:tc>
          <w:tcPr>
            <w:tcW w:w="695" w:type="pct"/>
            <w:shd w:val="clear" w:color="auto" w:fill="auto"/>
            <w:vAlign w:val="center"/>
          </w:tcPr>
          <w:p w14:paraId="3580C534" w14:textId="77777777" w:rsidR="00962079" w:rsidRPr="00006FCB" w:rsidRDefault="00962079" w:rsidP="003640C0">
            <w:pPr>
              <w:pStyle w:val="TableText0"/>
              <w:framePr w:hSpace="0" w:wrap="auto" w:vAnchor="margin" w:yAlign="inline"/>
              <w:widowControl w:val="0"/>
              <w:suppressOverlap w:val="0"/>
              <w:rPr>
                <w:b/>
              </w:rPr>
            </w:pPr>
            <w:r w:rsidRPr="00006FCB">
              <w:t>Methods used to generate results</w:t>
            </w:r>
          </w:p>
        </w:tc>
        <w:tc>
          <w:tcPr>
            <w:tcW w:w="4305" w:type="pct"/>
            <w:shd w:val="clear" w:color="auto" w:fill="auto"/>
            <w:vAlign w:val="center"/>
          </w:tcPr>
          <w:p w14:paraId="281A2C24" w14:textId="77777777" w:rsidR="00962079" w:rsidRPr="00006FCB" w:rsidRDefault="00962079" w:rsidP="003640C0">
            <w:pPr>
              <w:pStyle w:val="TableText0"/>
              <w:framePr w:hSpace="0" w:wrap="auto" w:vAnchor="margin" w:yAlign="inline"/>
              <w:widowControl w:val="0"/>
              <w:suppressOverlap w:val="0"/>
              <w:rPr>
                <w:b/>
              </w:rPr>
            </w:pPr>
            <w:r w:rsidRPr="00006FCB">
              <w:t>Markov cohort model</w:t>
            </w:r>
          </w:p>
        </w:tc>
      </w:tr>
      <w:tr w:rsidR="00962079" w:rsidRPr="00006FCB" w14:paraId="29D53381" w14:textId="77777777" w:rsidTr="003640C0">
        <w:trPr>
          <w:cantSplit/>
          <w:trHeight w:val="1481"/>
        </w:trPr>
        <w:tc>
          <w:tcPr>
            <w:tcW w:w="695" w:type="pct"/>
            <w:shd w:val="clear" w:color="auto" w:fill="auto"/>
            <w:vAlign w:val="center"/>
          </w:tcPr>
          <w:p w14:paraId="4663D9B1" w14:textId="77777777" w:rsidR="00962079" w:rsidRPr="00006FCB" w:rsidRDefault="00962079" w:rsidP="003640C0">
            <w:pPr>
              <w:pStyle w:val="TableText0"/>
              <w:framePr w:hSpace="0" w:wrap="auto" w:vAnchor="margin" w:yAlign="inline"/>
              <w:widowControl w:val="0"/>
              <w:suppressOverlap w:val="0"/>
              <w:rPr>
                <w:b/>
              </w:rPr>
            </w:pPr>
            <w:r w:rsidRPr="00006FCB">
              <w:t>Health states</w:t>
            </w:r>
          </w:p>
        </w:tc>
        <w:tc>
          <w:tcPr>
            <w:tcW w:w="4305" w:type="pct"/>
            <w:shd w:val="clear" w:color="auto" w:fill="auto"/>
            <w:vAlign w:val="center"/>
          </w:tcPr>
          <w:p w14:paraId="7FA3464B" w14:textId="27CD6B7B" w:rsidR="00962079" w:rsidRPr="00947F1A" w:rsidRDefault="009E0F55" w:rsidP="003640C0">
            <w:pPr>
              <w:keepNext/>
              <w:keepLines/>
              <w:rPr>
                <w:rFonts w:ascii="Arial Narrow" w:hAnsi="Arial Narrow"/>
                <w:sz w:val="20"/>
                <w:szCs w:val="20"/>
              </w:rPr>
            </w:pPr>
            <w:r w:rsidRPr="00947F1A">
              <w:rPr>
                <w:rFonts w:ascii="Arial Narrow" w:hAnsi="Arial Narrow"/>
                <w:sz w:val="20"/>
                <w:szCs w:val="20"/>
              </w:rPr>
              <w:t>H</w:t>
            </w:r>
            <w:r w:rsidR="00962079" w:rsidRPr="00947F1A">
              <w:rPr>
                <w:rFonts w:ascii="Arial Narrow" w:hAnsi="Arial Narrow"/>
                <w:sz w:val="20"/>
                <w:szCs w:val="20"/>
              </w:rPr>
              <w:t>ealth states:</w:t>
            </w:r>
          </w:p>
          <w:p w14:paraId="35CCBA23" w14:textId="77777777" w:rsidR="009E0F55" w:rsidRPr="00947F1A" w:rsidRDefault="00962079" w:rsidP="00995674">
            <w:pPr>
              <w:pStyle w:val="TableLeft"/>
              <w:keepNext/>
              <w:keepLines/>
              <w:widowControl w:val="0"/>
              <w:numPr>
                <w:ilvl w:val="0"/>
                <w:numId w:val="13"/>
              </w:numPr>
              <w:ind w:left="100" w:hanging="100"/>
              <w:rPr>
                <w:rFonts w:ascii="Arial Narrow" w:hAnsi="Arial Narrow"/>
                <w:bCs/>
              </w:rPr>
            </w:pPr>
            <w:r w:rsidRPr="00947F1A">
              <w:rPr>
                <w:rFonts w:ascii="Arial Narrow" w:hAnsi="Arial Narrow"/>
                <w:bCs/>
              </w:rPr>
              <w:t>On PPT: CKD 1/2; CKD 3; CKD 4; CKD 5 (CM).</w:t>
            </w:r>
          </w:p>
          <w:p w14:paraId="0A0D932E" w14:textId="77777777" w:rsidR="00962079" w:rsidRPr="00947F1A" w:rsidRDefault="00962079" w:rsidP="00995674">
            <w:pPr>
              <w:pStyle w:val="TableLeft"/>
              <w:keepNext/>
              <w:keepLines/>
              <w:widowControl w:val="0"/>
              <w:numPr>
                <w:ilvl w:val="0"/>
                <w:numId w:val="13"/>
              </w:numPr>
              <w:ind w:left="100" w:hanging="100"/>
              <w:rPr>
                <w:rFonts w:ascii="Arial Narrow" w:hAnsi="Arial Narrow"/>
                <w:bCs/>
              </w:rPr>
            </w:pPr>
            <w:r w:rsidRPr="00947F1A">
              <w:rPr>
                <w:rFonts w:ascii="Arial Narrow" w:hAnsi="Arial Narrow"/>
                <w:bCs/>
              </w:rPr>
              <w:t>On</w:t>
            </w:r>
            <w:r w:rsidRPr="00947F1A">
              <w:rPr>
                <w:rFonts w:ascii="Arial Narrow" w:hAnsi="Arial Narrow"/>
                <w:bCs/>
                <w:spacing w:val="-12"/>
              </w:rPr>
              <w:t xml:space="preserve"> </w:t>
            </w:r>
            <w:r w:rsidRPr="00947F1A">
              <w:rPr>
                <w:rFonts w:ascii="Arial Narrow" w:hAnsi="Arial Narrow"/>
                <w:bCs/>
              </w:rPr>
              <w:t>CT:</w:t>
            </w:r>
            <w:r w:rsidRPr="00947F1A">
              <w:rPr>
                <w:rFonts w:ascii="Arial Narrow" w:hAnsi="Arial Narrow"/>
                <w:bCs/>
                <w:spacing w:val="-11"/>
              </w:rPr>
              <w:t xml:space="preserve"> </w:t>
            </w:r>
            <w:r w:rsidRPr="00947F1A">
              <w:rPr>
                <w:rFonts w:ascii="Arial Narrow" w:hAnsi="Arial Narrow"/>
                <w:bCs/>
              </w:rPr>
              <w:t>CKD</w:t>
            </w:r>
            <w:r w:rsidRPr="00947F1A">
              <w:rPr>
                <w:rFonts w:ascii="Arial Narrow" w:hAnsi="Arial Narrow"/>
                <w:bCs/>
                <w:spacing w:val="-12"/>
              </w:rPr>
              <w:t xml:space="preserve"> </w:t>
            </w:r>
            <w:r w:rsidRPr="00947F1A">
              <w:rPr>
                <w:rFonts w:ascii="Arial Narrow" w:hAnsi="Arial Narrow"/>
                <w:bCs/>
              </w:rPr>
              <w:t>1/2; CKD 3; CKD 4;</w:t>
            </w:r>
            <w:r w:rsidRPr="00947F1A">
              <w:rPr>
                <w:rFonts w:ascii="Arial Narrow" w:hAnsi="Arial Narrow"/>
                <w:bCs/>
                <w:spacing w:val="-4"/>
              </w:rPr>
              <w:t xml:space="preserve"> </w:t>
            </w:r>
            <w:r w:rsidRPr="00947F1A">
              <w:rPr>
                <w:rFonts w:ascii="Arial Narrow" w:hAnsi="Arial Narrow"/>
                <w:bCs/>
              </w:rPr>
              <w:t>CKD</w:t>
            </w:r>
            <w:r w:rsidRPr="00947F1A">
              <w:rPr>
                <w:rFonts w:ascii="Arial Narrow" w:hAnsi="Arial Narrow"/>
                <w:bCs/>
                <w:spacing w:val="-2"/>
              </w:rPr>
              <w:t xml:space="preserve"> </w:t>
            </w:r>
            <w:r w:rsidRPr="00947F1A">
              <w:rPr>
                <w:rFonts w:ascii="Arial Narrow" w:hAnsi="Arial Narrow"/>
                <w:bCs/>
              </w:rPr>
              <w:t>5</w:t>
            </w:r>
            <w:r w:rsidRPr="00947F1A">
              <w:rPr>
                <w:rFonts w:ascii="Arial Narrow" w:hAnsi="Arial Narrow"/>
                <w:bCs/>
                <w:spacing w:val="-4"/>
              </w:rPr>
              <w:t xml:space="preserve"> (CM).</w:t>
            </w:r>
          </w:p>
          <w:p w14:paraId="45D4039B" w14:textId="77777777" w:rsidR="00962079" w:rsidRPr="00947F1A" w:rsidRDefault="00962079" w:rsidP="00995674">
            <w:pPr>
              <w:pStyle w:val="TableLeft"/>
              <w:keepNext/>
              <w:keepLines/>
              <w:widowControl w:val="0"/>
              <w:numPr>
                <w:ilvl w:val="0"/>
                <w:numId w:val="13"/>
              </w:numPr>
              <w:ind w:left="100" w:hanging="100"/>
              <w:rPr>
                <w:rFonts w:ascii="Arial Narrow" w:hAnsi="Arial Narrow"/>
                <w:bCs/>
              </w:rPr>
            </w:pPr>
            <w:r w:rsidRPr="00947F1A">
              <w:rPr>
                <w:rFonts w:ascii="Arial Narrow" w:hAnsi="Arial Narrow"/>
                <w:bCs/>
              </w:rPr>
              <w:t>CKD 5 (dialysis)</w:t>
            </w:r>
          </w:p>
          <w:p w14:paraId="719B3E7A" w14:textId="77777777" w:rsidR="00962079" w:rsidRPr="00947F1A" w:rsidRDefault="00962079" w:rsidP="00995674">
            <w:pPr>
              <w:pStyle w:val="TableText0"/>
              <w:framePr w:hSpace="0" w:wrap="auto" w:vAnchor="margin" w:yAlign="inline"/>
              <w:widowControl w:val="0"/>
              <w:numPr>
                <w:ilvl w:val="0"/>
                <w:numId w:val="13"/>
              </w:numPr>
              <w:ind w:left="100" w:hanging="100"/>
              <w:suppressOverlap w:val="0"/>
              <w:rPr>
                <w:b/>
              </w:rPr>
            </w:pPr>
            <w:r w:rsidRPr="00947F1A">
              <w:t>CKD 5 (post-transplant)</w:t>
            </w:r>
          </w:p>
          <w:p w14:paraId="6BB8C11C" w14:textId="77777777" w:rsidR="00962079" w:rsidRPr="00006FCB" w:rsidRDefault="00962079" w:rsidP="00995674">
            <w:pPr>
              <w:pStyle w:val="TableText0"/>
              <w:framePr w:hSpace="0" w:wrap="auto" w:vAnchor="margin" w:yAlign="inline"/>
              <w:widowControl w:val="0"/>
              <w:numPr>
                <w:ilvl w:val="0"/>
                <w:numId w:val="13"/>
              </w:numPr>
              <w:ind w:left="100" w:hanging="100"/>
              <w:suppressOverlap w:val="0"/>
              <w:rPr>
                <w:b/>
              </w:rPr>
            </w:pPr>
            <w:r w:rsidRPr="00947F1A">
              <w:t>Death</w:t>
            </w:r>
          </w:p>
        </w:tc>
      </w:tr>
      <w:tr w:rsidR="00962079" w:rsidRPr="00006FCB" w14:paraId="5CDCA716" w14:textId="77777777" w:rsidTr="003640C0">
        <w:trPr>
          <w:cantSplit/>
          <w:trHeight w:val="229"/>
        </w:trPr>
        <w:tc>
          <w:tcPr>
            <w:tcW w:w="695" w:type="pct"/>
            <w:shd w:val="clear" w:color="auto" w:fill="auto"/>
            <w:vAlign w:val="center"/>
          </w:tcPr>
          <w:p w14:paraId="732597BA" w14:textId="77777777" w:rsidR="00962079" w:rsidRPr="00006FCB" w:rsidRDefault="00962079">
            <w:pPr>
              <w:pStyle w:val="TableText0"/>
              <w:keepNext w:val="0"/>
              <w:keepLines w:val="0"/>
              <w:framePr w:hSpace="0" w:wrap="auto" w:vAnchor="margin" w:yAlign="inline"/>
              <w:widowControl w:val="0"/>
              <w:suppressOverlap w:val="0"/>
              <w:rPr>
                <w:b/>
              </w:rPr>
            </w:pPr>
            <w:r w:rsidRPr="00006FCB">
              <w:t>Cycle length</w:t>
            </w:r>
          </w:p>
        </w:tc>
        <w:tc>
          <w:tcPr>
            <w:tcW w:w="4305" w:type="pct"/>
            <w:shd w:val="clear" w:color="auto" w:fill="auto"/>
            <w:vAlign w:val="center"/>
          </w:tcPr>
          <w:p w14:paraId="043ABFCC" w14:textId="77777777" w:rsidR="00962079" w:rsidRPr="00006FCB" w:rsidRDefault="00962079">
            <w:pPr>
              <w:pStyle w:val="TableText0"/>
              <w:keepNext w:val="0"/>
              <w:keepLines w:val="0"/>
              <w:framePr w:hSpace="0" w:wrap="auto" w:vAnchor="margin" w:yAlign="inline"/>
              <w:widowControl w:val="0"/>
              <w:suppressOverlap w:val="0"/>
              <w:rPr>
                <w:b/>
              </w:rPr>
            </w:pPr>
            <w:r w:rsidRPr="00006FCB">
              <w:t xml:space="preserve">6 months (26 weeks) </w:t>
            </w:r>
          </w:p>
        </w:tc>
      </w:tr>
      <w:tr w:rsidR="00962079" w:rsidRPr="00006FCB" w14:paraId="745681E3" w14:textId="77777777" w:rsidTr="003640C0">
        <w:trPr>
          <w:cantSplit/>
          <w:trHeight w:val="1635"/>
        </w:trPr>
        <w:tc>
          <w:tcPr>
            <w:tcW w:w="695" w:type="pct"/>
            <w:shd w:val="clear" w:color="auto" w:fill="auto"/>
            <w:vAlign w:val="center"/>
          </w:tcPr>
          <w:p w14:paraId="1802D6C1" w14:textId="77777777" w:rsidR="00962079" w:rsidRPr="00006FCB" w:rsidRDefault="00962079">
            <w:pPr>
              <w:pStyle w:val="TableText0"/>
              <w:keepNext w:val="0"/>
              <w:keepLines w:val="0"/>
              <w:framePr w:hSpace="0" w:wrap="auto" w:vAnchor="margin" w:yAlign="inline"/>
              <w:widowControl w:val="0"/>
              <w:suppressOverlap w:val="0"/>
              <w:rPr>
                <w:b/>
              </w:rPr>
            </w:pPr>
            <w:r w:rsidRPr="00006FCB">
              <w:t>Transition probabilities</w:t>
            </w:r>
          </w:p>
          <w:p w14:paraId="3FF562D6" w14:textId="77777777" w:rsidR="00962079" w:rsidRPr="00006FCB" w:rsidRDefault="00962079">
            <w:pPr>
              <w:pStyle w:val="TableText0"/>
              <w:keepNext w:val="0"/>
              <w:keepLines w:val="0"/>
              <w:framePr w:hSpace="0" w:wrap="auto" w:vAnchor="margin" w:yAlign="inline"/>
              <w:widowControl w:val="0"/>
              <w:suppressOverlap w:val="0"/>
            </w:pPr>
          </w:p>
        </w:tc>
        <w:tc>
          <w:tcPr>
            <w:tcW w:w="4305" w:type="pct"/>
            <w:shd w:val="clear" w:color="auto" w:fill="auto"/>
            <w:vAlign w:val="center"/>
          </w:tcPr>
          <w:p w14:paraId="43DD7279" w14:textId="77777777" w:rsidR="00962079" w:rsidRPr="00006FCB" w:rsidRDefault="00962079">
            <w:pPr>
              <w:pStyle w:val="TableText0"/>
              <w:keepNext w:val="0"/>
              <w:keepLines w:val="0"/>
              <w:framePr w:hSpace="0" w:wrap="auto" w:vAnchor="margin" w:yAlign="inline"/>
              <w:widowControl w:val="0"/>
              <w:suppressOverlap w:val="0"/>
              <w:rPr>
                <w:b/>
              </w:rPr>
            </w:pPr>
            <w:r w:rsidRPr="00006FCB">
              <w:t>11 health states.</w:t>
            </w:r>
          </w:p>
          <w:p w14:paraId="217D77C8" w14:textId="77777777" w:rsidR="00962079" w:rsidRPr="00006FCB" w:rsidRDefault="00962079" w:rsidP="00995674">
            <w:pPr>
              <w:pStyle w:val="TableText0"/>
              <w:keepNext w:val="0"/>
              <w:keepLines w:val="0"/>
              <w:framePr w:hSpace="0" w:wrap="auto" w:vAnchor="margin" w:yAlign="inline"/>
              <w:widowControl w:val="0"/>
              <w:numPr>
                <w:ilvl w:val="0"/>
                <w:numId w:val="14"/>
              </w:numPr>
              <w:ind w:left="100" w:hanging="100"/>
              <w:suppressOverlap w:val="0"/>
              <w:rPr>
                <w:b/>
              </w:rPr>
            </w:pPr>
            <w:r w:rsidRPr="00006FCB">
              <w:t>CKD 1 to CKD 5 transitions</w:t>
            </w:r>
          </w:p>
          <w:p w14:paraId="6568F5BE" w14:textId="77777777" w:rsidR="00962079" w:rsidRPr="00006FCB" w:rsidRDefault="00962079" w:rsidP="00995674">
            <w:pPr>
              <w:pStyle w:val="TableText0"/>
              <w:keepNext w:val="0"/>
              <w:keepLines w:val="0"/>
              <w:framePr w:hSpace="0" w:wrap="auto" w:vAnchor="margin" w:yAlign="inline"/>
              <w:widowControl w:val="0"/>
              <w:numPr>
                <w:ilvl w:val="0"/>
                <w:numId w:val="15"/>
              </w:numPr>
              <w:ind w:left="460" w:hanging="100"/>
              <w:suppressOverlap w:val="0"/>
              <w:rPr>
                <w:b/>
              </w:rPr>
            </w:pPr>
            <w:r w:rsidRPr="4D2BAA30">
              <w:t xml:space="preserve">Cycle 1: PaTHway trial. </w:t>
            </w:r>
          </w:p>
          <w:p w14:paraId="06A85BCF" w14:textId="77777777" w:rsidR="00962079" w:rsidRPr="00006FCB" w:rsidRDefault="00962079" w:rsidP="00995674">
            <w:pPr>
              <w:pStyle w:val="TableText0"/>
              <w:keepNext w:val="0"/>
              <w:keepLines w:val="0"/>
              <w:framePr w:hSpace="0" w:wrap="auto" w:vAnchor="margin" w:yAlign="inline"/>
              <w:widowControl w:val="0"/>
              <w:numPr>
                <w:ilvl w:val="1"/>
                <w:numId w:val="15"/>
              </w:numPr>
              <w:ind w:left="1080"/>
              <w:suppressOverlap w:val="0"/>
              <w:rPr>
                <w:b/>
              </w:rPr>
            </w:pPr>
            <w:r w:rsidRPr="00006FCB">
              <w:t>CKD 1/2 to CKD 1/2 risk per cycle. CT: 100%, PPT: 100%.</w:t>
            </w:r>
          </w:p>
          <w:p w14:paraId="03D6C941" w14:textId="77777777" w:rsidR="00962079" w:rsidRPr="00006FCB" w:rsidRDefault="00962079" w:rsidP="00995674">
            <w:pPr>
              <w:pStyle w:val="TableText0"/>
              <w:keepNext w:val="0"/>
              <w:keepLines w:val="0"/>
              <w:framePr w:hSpace="0" w:wrap="auto" w:vAnchor="margin" w:yAlign="inline"/>
              <w:widowControl w:val="0"/>
              <w:numPr>
                <w:ilvl w:val="1"/>
                <w:numId w:val="15"/>
              </w:numPr>
              <w:ind w:left="1080"/>
              <w:suppressOverlap w:val="0"/>
              <w:rPr>
                <w:b/>
              </w:rPr>
            </w:pPr>
            <w:r w:rsidRPr="00006FCB">
              <w:t>CKD 1/2 to CKD 3 risk per cycle. CT: 0%, PPT: 0%.</w:t>
            </w:r>
          </w:p>
          <w:p w14:paraId="61F366CD" w14:textId="77777777" w:rsidR="00962079" w:rsidRPr="00006FCB" w:rsidRDefault="00962079" w:rsidP="00995674">
            <w:pPr>
              <w:pStyle w:val="TableText0"/>
              <w:keepNext w:val="0"/>
              <w:keepLines w:val="0"/>
              <w:framePr w:hSpace="0" w:wrap="auto" w:vAnchor="margin" w:yAlign="inline"/>
              <w:widowControl w:val="0"/>
              <w:numPr>
                <w:ilvl w:val="1"/>
                <w:numId w:val="15"/>
              </w:numPr>
              <w:ind w:left="1080"/>
              <w:suppressOverlap w:val="0"/>
              <w:rPr>
                <w:b/>
              </w:rPr>
            </w:pPr>
            <w:r w:rsidRPr="00006FCB">
              <w:t xml:space="preserve">CKD 3 to CKD 1/2 risk per cycle. CT: 0%, PPT: 61%. </w:t>
            </w:r>
          </w:p>
          <w:p w14:paraId="51BBBC69" w14:textId="4BEC43A1" w:rsidR="00962079" w:rsidRPr="00006FCB" w:rsidRDefault="57F8F9CE" w:rsidP="00995674">
            <w:pPr>
              <w:pStyle w:val="TableText0"/>
              <w:keepNext w:val="0"/>
              <w:keepLines w:val="0"/>
              <w:framePr w:hSpace="0" w:wrap="auto" w:vAnchor="margin" w:yAlign="inline"/>
              <w:widowControl w:val="0"/>
              <w:numPr>
                <w:ilvl w:val="0"/>
                <w:numId w:val="15"/>
              </w:numPr>
              <w:ind w:left="720"/>
              <w:suppressOverlap w:val="0"/>
              <w:rPr>
                <w:b/>
              </w:rPr>
            </w:pPr>
            <w:r w:rsidRPr="383E5602">
              <w:t>From Cycle 2: published natural history studies (Rejnmark 2022</w:t>
            </w:r>
            <w:bookmarkStart w:id="52" w:name="_Ref185241975"/>
            <w:r w:rsidR="00962079" w:rsidRPr="383E5602">
              <w:rPr>
                <w:rStyle w:val="FootnoteReference"/>
              </w:rPr>
              <w:footnoteReference w:id="8"/>
            </w:r>
            <w:bookmarkEnd w:id="52"/>
            <w:r w:rsidRPr="383E5602">
              <w:t xml:space="preserve">; </w:t>
            </w:r>
            <w:proofErr w:type="spellStart"/>
            <w:r w:rsidRPr="383E5602">
              <w:t>Gosmanova</w:t>
            </w:r>
            <w:proofErr w:type="spellEnd"/>
            <w:r w:rsidRPr="383E5602">
              <w:t xml:space="preserve"> 2021a</w:t>
            </w:r>
            <w:bookmarkStart w:id="53" w:name="_Ref185242128"/>
            <w:r w:rsidR="00962079" w:rsidRPr="383E5602">
              <w:rPr>
                <w:rStyle w:val="FootnoteReference"/>
              </w:rPr>
              <w:footnoteReference w:id="9"/>
            </w:r>
            <w:bookmarkEnd w:id="53"/>
            <w:r w:rsidRPr="383E5602">
              <w:t>).</w:t>
            </w:r>
          </w:p>
          <w:p w14:paraId="2A37DE3D" w14:textId="77777777" w:rsidR="00962079" w:rsidRPr="00006FCB" w:rsidRDefault="00962079" w:rsidP="00995674">
            <w:pPr>
              <w:pStyle w:val="TableText0"/>
              <w:keepNext w:val="0"/>
              <w:keepLines w:val="0"/>
              <w:framePr w:hSpace="0" w:wrap="auto" w:vAnchor="margin" w:yAlign="inline"/>
              <w:widowControl w:val="0"/>
              <w:numPr>
                <w:ilvl w:val="1"/>
                <w:numId w:val="15"/>
              </w:numPr>
              <w:ind w:left="1080"/>
              <w:suppressOverlap w:val="0"/>
              <w:rPr>
                <w:b/>
              </w:rPr>
            </w:pPr>
            <w:r w:rsidRPr="00006FCB">
              <w:t>CKD1/2 to CKD 3 risk per cycle (Rejnmark 2022). CT: 3.6%, PPT: 1.7% (HR PPT vs CT = 0.47).</w:t>
            </w:r>
          </w:p>
          <w:p w14:paraId="3C5598B0" w14:textId="41931DFC" w:rsidR="00962079" w:rsidRPr="00006FCB" w:rsidRDefault="57F8F9CE" w:rsidP="00995674">
            <w:pPr>
              <w:pStyle w:val="TableText0"/>
              <w:keepNext w:val="0"/>
              <w:keepLines w:val="0"/>
              <w:framePr w:hSpace="0" w:wrap="auto" w:vAnchor="margin" w:yAlign="inline"/>
              <w:widowControl w:val="0"/>
              <w:numPr>
                <w:ilvl w:val="1"/>
                <w:numId w:val="15"/>
              </w:numPr>
              <w:ind w:left="1080"/>
              <w:suppressOverlap w:val="0"/>
              <w:rPr>
                <w:b/>
              </w:rPr>
            </w:pPr>
            <w:r w:rsidRPr="383E5602">
              <w:t>CKD 3 to CKD 4 and CKD 4 to CKD 5 risks per cycle (</w:t>
            </w:r>
            <w:proofErr w:type="spellStart"/>
            <w:r w:rsidRPr="383E5602">
              <w:t>Gosmanova</w:t>
            </w:r>
            <w:proofErr w:type="spellEnd"/>
            <w:r w:rsidRPr="383E5602">
              <w:t xml:space="preserve"> 2021a). CT: 3.8%, PPT: 2.4% (HR PPT vs CT = 0.63).</w:t>
            </w:r>
          </w:p>
          <w:p w14:paraId="3F9DDB62" w14:textId="5E370970" w:rsidR="00962079" w:rsidRPr="00006FCB" w:rsidRDefault="00962079" w:rsidP="00995674">
            <w:pPr>
              <w:pStyle w:val="TableText0"/>
              <w:keepNext w:val="0"/>
              <w:keepLines w:val="0"/>
              <w:framePr w:hSpace="0" w:wrap="auto" w:vAnchor="margin" w:yAlign="inline"/>
              <w:widowControl w:val="0"/>
              <w:numPr>
                <w:ilvl w:val="0"/>
                <w:numId w:val="14"/>
              </w:numPr>
              <w:ind w:left="100" w:hanging="100"/>
              <w:suppressOverlap w:val="0"/>
              <w:rPr>
                <w:b/>
              </w:rPr>
            </w:pPr>
            <w:r w:rsidRPr="00006FCB">
              <w:t>Uptake of dialysis or transplant: AIHW Chronic Kidney Disease: Australian facts. An age-based risk of renal replacement therapy was applied.</w:t>
            </w:r>
          </w:p>
          <w:p w14:paraId="25F620FC" w14:textId="77777777" w:rsidR="00962079" w:rsidRPr="00006FCB" w:rsidRDefault="00962079" w:rsidP="00995674">
            <w:pPr>
              <w:pStyle w:val="TableText0"/>
              <w:keepNext w:val="0"/>
              <w:keepLines w:val="0"/>
              <w:framePr w:hSpace="0" w:wrap="auto" w:vAnchor="margin" w:yAlign="inline"/>
              <w:widowControl w:val="0"/>
              <w:numPr>
                <w:ilvl w:val="0"/>
                <w:numId w:val="14"/>
              </w:numPr>
              <w:ind w:left="100" w:hanging="100"/>
              <w:suppressOverlap w:val="0"/>
              <w:rPr>
                <w:b/>
              </w:rPr>
            </w:pPr>
            <w:r w:rsidRPr="00006FCB">
              <w:t>Distribution of dialysis and transplant: ANZDATA 46</w:t>
            </w:r>
            <w:r w:rsidRPr="00006FCB">
              <w:rPr>
                <w:vertAlign w:val="superscript"/>
              </w:rPr>
              <w:t>th</w:t>
            </w:r>
            <w:r w:rsidRPr="00006FCB">
              <w:t xml:space="preserve"> Annual Report 2023. Dialysis: 97.3%, transplant: 2.7%.</w:t>
            </w:r>
          </w:p>
          <w:p w14:paraId="6E5C29FA" w14:textId="77777777" w:rsidR="00962079" w:rsidRPr="00006FCB" w:rsidRDefault="00962079" w:rsidP="00995674">
            <w:pPr>
              <w:pStyle w:val="TableText0"/>
              <w:keepNext w:val="0"/>
              <w:keepLines w:val="0"/>
              <w:framePr w:hSpace="0" w:wrap="auto" w:vAnchor="margin" w:yAlign="inline"/>
              <w:widowControl w:val="0"/>
              <w:numPr>
                <w:ilvl w:val="0"/>
                <w:numId w:val="14"/>
              </w:numPr>
              <w:ind w:left="100" w:hanging="100"/>
              <w:suppressOverlap w:val="0"/>
              <w:rPr>
                <w:b/>
              </w:rPr>
            </w:pPr>
            <w:r w:rsidRPr="00006FCB">
              <w:t>Transition from dialysis to transplant: ANZDATA 46</w:t>
            </w:r>
            <w:r w:rsidRPr="00006FCB">
              <w:rPr>
                <w:vertAlign w:val="superscript"/>
              </w:rPr>
              <w:t>th</w:t>
            </w:r>
            <w:r w:rsidRPr="00006FCB">
              <w:t xml:space="preserve"> Annual Report 2023. Age-based transitions were applied.</w:t>
            </w:r>
          </w:p>
          <w:p w14:paraId="60C35221" w14:textId="77777777" w:rsidR="00962079" w:rsidRPr="00006FCB" w:rsidRDefault="00962079" w:rsidP="00995674">
            <w:pPr>
              <w:pStyle w:val="TableText0"/>
              <w:keepNext w:val="0"/>
              <w:keepLines w:val="0"/>
              <w:framePr w:hSpace="0" w:wrap="auto" w:vAnchor="margin" w:yAlign="inline"/>
              <w:widowControl w:val="0"/>
              <w:numPr>
                <w:ilvl w:val="0"/>
                <w:numId w:val="14"/>
              </w:numPr>
              <w:ind w:left="100" w:hanging="100"/>
              <w:suppressOverlap w:val="0"/>
              <w:rPr>
                <w:b/>
              </w:rPr>
            </w:pPr>
            <w:r w:rsidRPr="00006FCB">
              <w:t>Probability of death given CKD health state:  CDC Kidney Disease Surveillance System.</w:t>
            </w:r>
          </w:p>
          <w:p w14:paraId="4032B4FF" w14:textId="4F98FDA8" w:rsidR="00962079" w:rsidRPr="005B7F99" w:rsidRDefault="00674D40">
            <w:pPr>
              <w:pStyle w:val="TableText0"/>
              <w:keepNext w:val="0"/>
              <w:keepLines w:val="0"/>
              <w:framePr w:hSpace="0" w:wrap="auto" w:vAnchor="margin" w:yAlign="inline"/>
              <w:widowControl w:val="0"/>
              <w:suppressOverlap w:val="0"/>
              <w:rPr>
                <w:b/>
              </w:rPr>
            </w:pPr>
            <w:r w:rsidRPr="005B7F99">
              <w:t xml:space="preserve">The ESC </w:t>
            </w:r>
            <w:r w:rsidR="000C1B39" w:rsidRPr="005B7F99">
              <w:t>noted</w:t>
            </w:r>
            <w:r w:rsidRPr="005B7F99">
              <w:t xml:space="preserve"> that s</w:t>
            </w:r>
            <w:r w:rsidR="00962079" w:rsidRPr="005B7F99">
              <w:t>everal transitions were derived from the literature with uncertain applicability to the intended population.</w:t>
            </w:r>
          </w:p>
        </w:tc>
      </w:tr>
      <w:tr w:rsidR="00962079" w:rsidRPr="00006FCB" w14:paraId="42DC96CB" w14:textId="77777777" w:rsidTr="003640C0">
        <w:trPr>
          <w:cantSplit/>
          <w:trHeight w:val="794"/>
        </w:trPr>
        <w:tc>
          <w:tcPr>
            <w:tcW w:w="695" w:type="pct"/>
            <w:shd w:val="clear" w:color="auto" w:fill="auto"/>
            <w:vAlign w:val="center"/>
          </w:tcPr>
          <w:p w14:paraId="35C1C6D8" w14:textId="77777777" w:rsidR="00962079" w:rsidRPr="000E2B4C" w:rsidRDefault="00962079">
            <w:pPr>
              <w:pStyle w:val="TableText0"/>
              <w:keepNext w:val="0"/>
              <w:keepLines w:val="0"/>
              <w:framePr w:hSpace="0" w:wrap="auto" w:vAnchor="margin" w:yAlign="inline"/>
              <w:widowControl w:val="0"/>
              <w:suppressOverlap w:val="0"/>
            </w:pPr>
            <w:r w:rsidRPr="000E2B4C">
              <w:t>Health related quality of life</w:t>
            </w:r>
          </w:p>
        </w:tc>
        <w:tc>
          <w:tcPr>
            <w:tcW w:w="4305" w:type="pct"/>
            <w:shd w:val="clear" w:color="auto" w:fill="auto"/>
            <w:vAlign w:val="center"/>
          </w:tcPr>
          <w:p w14:paraId="65F61D2A" w14:textId="77777777" w:rsidR="00962079" w:rsidRPr="000E2B4C" w:rsidRDefault="00962079" w:rsidP="00995674">
            <w:pPr>
              <w:pStyle w:val="TableText0"/>
              <w:keepNext w:val="0"/>
              <w:keepLines w:val="0"/>
              <w:framePr w:hSpace="0" w:wrap="auto" w:vAnchor="margin" w:yAlign="inline"/>
              <w:widowControl w:val="0"/>
              <w:numPr>
                <w:ilvl w:val="0"/>
                <w:numId w:val="16"/>
              </w:numPr>
              <w:ind w:left="100" w:hanging="100"/>
              <w:suppressOverlap w:val="0"/>
            </w:pPr>
            <w:r w:rsidRPr="4D2BAA30">
              <w:t xml:space="preserve">Baseline utility values from the PaTHway trial. </w:t>
            </w:r>
          </w:p>
          <w:p w14:paraId="2DC9C626" w14:textId="77777777" w:rsidR="00962079" w:rsidRPr="000E2B4C" w:rsidRDefault="00962079" w:rsidP="00995674">
            <w:pPr>
              <w:pStyle w:val="TableText0"/>
              <w:keepNext w:val="0"/>
              <w:keepLines w:val="0"/>
              <w:framePr w:hSpace="0" w:wrap="auto" w:vAnchor="margin" w:yAlign="inline"/>
              <w:widowControl w:val="0"/>
              <w:numPr>
                <w:ilvl w:val="0"/>
                <w:numId w:val="16"/>
              </w:numPr>
              <w:ind w:left="100" w:hanging="100"/>
              <w:suppressOverlap w:val="0"/>
            </w:pPr>
            <w:r w:rsidRPr="4D2BAA30">
              <w:t>Treatment specific utility decrement/increment sourced from the PaTHway trial and applied for the model duration.</w:t>
            </w:r>
          </w:p>
          <w:p w14:paraId="30C37D3E" w14:textId="77777777" w:rsidR="00962079" w:rsidRPr="000E2B4C" w:rsidRDefault="00962079" w:rsidP="00995674">
            <w:pPr>
              <w:pStyle w:val="TableText0"/>
              <w:keepNext w:val="0"/>
              <w:keepLines w:val="0"/>
              <w:framePr w:hSpace="0" w:wrap="auto" w:vAnchor="margin" w:yAlign="inline"/>
              <w:widowControl w:val="0"/>
              <w:numPr>
                <w:ilvl w:val="0"/>
                <w:numId w:val="16"/>
              </w:numPr>
              <w:ind w:left="100" w:hanging="100"/>
              <w:suppressOverlap w:val="0"/>
            </w:pPr>
            <w:r w:rsidRPr="000E2B4C">
              <w:t>CKD stage related utility decrements were sourced from a Deloitte (2023) report of chronic kidney disease in the Australian population.</w:t>
            </w:r>
          </w:p>
          <w:p w14:paraId="56A87A68" w14:textId="77777777" w:rsidR="00962079" w:rsidRPr="000E2B4C" w:rsidRDefault="00962079">
            <w:pPr>
              <w:pStyle w:val="TableText0"/>
              <w:keepNext w:val="0"/>
              <w:keepLines w:val="0"/>
              <w:framePr w:hSpace="0" w:wrap="auto" w:vAnchor="margin" w:yAlign="inline"/>
              <w:widowControl w:val="0"/>
              <w:suppressOverlap w:val="0"/>
            </w:pPr>
          </w:p>
          <w:p w14:paraId="186CBB2E" w14:textId="77777777" w:rsidR="00962079" w:rsidRPr="00E56B36" w:rsidRDefault="00962079">
            <w:pPr>
              <w:pStyle w:val="TableText0"/>
              <w:keepNext w:val="0"/>
              <w:keepLines w:val="0"/>
              <w:framePr w:hSpace="0" w:wrap="auto" w:vAnchor="margin" w:yAlign="inline"/>
              <w:widowControl w:val="0"/>
              <w:suppressOverlap w:val="0"/>
            </w:pPr>
            <w:r w:rsidRPr="000E2B4C">
              <w:t xml:space="preserve">Cycle 1 </w:t>
            </w:r>
            <w:r w:rsidRPr="00E56B36">
              <w:t>all utilities for all health states were: 0.831</w:t>
            </w:r>
          </w:p>
          <w:p w14:paraId="1E558D8F" w14:textId="77777777" w:rsidR="00962079" w:rsidRPr="00E56B36" w:rsidRDefault="00962079">
            <w:pPr>
              <w:pStyle w:val="TableText0"/>
              <w:keepNext w:val="0"/>
              <w:keepLines w:val="0"/>
              <w:framePr w:hSpace="0" w:wrap="auto" w:vAnchor="margin" w:yAlign="inline"/>
              <w:widowControl w:val="0"/>
              <w:suppressOverlap w:val="0"/>
            </w:pPr>
            <w:r w:rsidRPr="00E56B36">
              <w:t>From Cycle 2:</w:t>
            </w:r>
          </w:p>
          <w:p w14:paraId="173DCBAF" w14:textId="22475B15" w:rsidR="000E2B4C" w:rsidRPr="00E56B36" w:rsidRDefault="000E2B4C" w:rsidP="000E2B4C">
            <w:pPr>
              <w:pStyle w:val="TableText0"/>
              <w:framePr w:hSpace="0" w:wrap="auto" w:vAnchor="margin" w:yAlign="inline"/>
              <w:widowControl w:val="0"/>
              <w:suppressOverlap w:val="0"/>
            </w:pPr>
            <w:r w:rsidRPr="00E56B36">
              <w:t>On PPT: CKD 1/2 = 0.906</w:t>
            </w:r>
          </w:p>
          <w:p w14:paraId="38BBB33E" w14:textId="77777777" w:rsidR="000E2B4C" w:rsidRPr="00E56B36" w:rsidRDefault="000E2B4C" w:rsidP="000E2B4C">
            <w:pPr>
              <w:pStyle w:val="TableText0"/>
              <w:framePr w:hSpace="0" w:wrap="auto" w:vAnchor="margin" w:yAlign="inline"/>
              <w:widowControl w:val="0"/>
              <w:suppressOverlap w:val="0"/>
            </w:pPr>
            <w:r w:rsidRPr="00E56B36">
              <w:t>On PPT: CKD 3 = 0.856</w:t>
            </w:r>
          </w:p>
          <w:p w14:paraId="13D833FB" w14:textId="77777777" w:rsidR="000E2B4C" w:rsidRPr="00E56B36" w:rsidRDefault="000E2B4C" w:rsidP="000E2B4C">
            <w:pPr>
              <w:pStyle w:val="TableText0"/>
              <w:framePr w:hSpace="0" w:wrap="auto" w:vAnchor="margin" w:yAlign="inline"/>
              <w:widowControl w:val="0"/>
              <w:suppressOverlap w:val="0"/>
            </w:pPr>
            <w:r w:rsidRPr="00E56B36">
              <w:t>On PPT: CKD 4 = 0.796</w:t>
            </w:r>
          </w:p>
          <w:p w14:paraId="684EF195" w14:textId="77777777" w:rsidR="000E2B4C" w:rsidRPr="00E56B36" w:rsidRDefault="000E2B4C" w:rsidP="000E2B4C">
            <w:pPr>
              <w:pStyle w:val="TableText0"/>
              <w:framePr w:hSpace="0" w:wrap="auto" w:vAnchor="margin" w:yAlign="inline"/>
              <w:widowControl w:val="0"/>
              <w:suppressOverlap w:val="0"/>
            </w:pPr>
            <w:r w:rsidRPr="00E56B36">
              <w:t>On PPT: CKD 5 (CM) = 0.596</w:t>
            </w:r>
          </w:p>
          <w:p w14:paraId="3796D352" w14:textId="77777777" w:rsidR="000E2B4C" w:rsidRPr="00E56B36" w:rsidRDefault="000E2B4C" w:rsidP="000E2B4C">
            <w:pPr>
              <w:pStyle w:val="TableText0"/>
              <w:framePr w:hSpace="0" w:wrap="auto" w:vAnchor="margin" w:yAlign="inline"/>
              <w:widowControl w:val="0"/>
              <w:suppressOverlap w:val="0"/>
            </w:pPr>
            <w:r w:rsidRPr="00E56B36">
              <w:t>On CT: CKD 1/2 = 0.788</w:t>
            </w:r>
          </w:p>
          <w:p w14:paraId="3035C3BC" w14:textId="77777777" w:rsidR="000E2B4C" w:rsidRPr="00E56B36" w:rsidRDefault="000E2B4C" w:rsidP="000E2B4C">
            <w:pPr>
              <w:pStyle w:val="TableText0"/>
              <w:framePr w:hSpace="0" w:wrap="auto" w:vAnchor="margin" w:yAlign="inline"/>
              <w:widowControl w:val="0"/>
              <w:suppressOverlap w:val="0"/>
            </w:pPr>
            <w:r w:rsidRPr="00E56B36">
              <w:t>On CT: CKD 3 = 0.738</w:t>
            </w:r>
          </w:p>
          <w:p w14:paraId="19A2E010" w14:textId="77777777" w:rsidR="000E2B4C" w:rsidRPr="00E56B36" w:rsidRDefault="000E2B4C" w:rsidP="000E2B4C">
            <w:pPr>
              <w:pStyle w:val="TableText0"/>
              <w:framePr w:hSpace="0" w:wrap="auto" w:vAnchor="margin" w:yAlign="inline"/>
              <w:widowControl w:val="0"/>
              <w:suppressOverlap w:val="0"/>
            </w:pPr>
            <w:r w:rsidRPr="00E56B36">
              <w:t>On CT: CKD 4 = 0.678</w:t>
            </w:r>
          </w:p>
          <w:p w14:paraId="01CFB680" w14:textId="187A7459" w:rsidR="00C15136" w:rsidRDefault="000E2B4C" w:rsidP="000E2B4C">
            <w:pPr>
              <w:pStyle w:val="TableText0"/>
              <w:keepNext w:val="0"/>
              <w:keepLines w:val="0"/>
              <w:framePr w:hSpace="0" w:wrap="auto" w:vAnchor="margin" w:yAlign="inline"/>
              <w:widowControl w:val="0"/>
              <w:suppressOverlap w:val="0"/>
            </w:pPr>
            <w:r w:rsidRPr="00E56B36">
              <w:t>On CT: CKD 5 (CM) = 0.478</w:t>
            </w:r>
          </w:p>
          <w:p w14:paraId="5610FEB8" w14:textId="77777777" w:rsidR="000E2B4C" w:rsidRPr="000E2B4C" w:rsidRDefault="000E2B4C" w:rsidP="000E2B4C">
            <w:pPr>
              <w:pStyle w:val="TableText0"/>
              <w:keepNext w:val="0"/>
              <w:keepLines w:val="0"/>
              <w:framePr w:hSpace="0" w:wrap="auto" w:vAnchor="margin" w:yAlign="inline"/>
              <w:widowControl w:val="0"/>
              <w:suppressOverlap w:val="0"/>
              <w:rPr>
                <w:spacing w:val="-2"/>
              </w:rPr>
            </w:pPr>
          </w:p>
          <w:p w14:paraId="3ED66B3B" w14:textId="1BB08E5F" w:rsidR="000E2B4C" w:rsidRPr="000E2B4C" w:rsidRDefault="000E2B4C" w:rsidP="000E2B4C">
            <w:pPr>
              <w:pStyle w:val="TableText0"/>
              <w:keepNext w:val="0"/>
              <w:keepLines w:val="0"/>
              <w:framePr w:hSpace="0" w:wrap="auto" w:vAnchor="margin" w:yAlign="inline"/>
              <w:widowControl w:val="0"/>
              <w:suppressOverlap w:val="0"/>
            </w:pPr>
            <w:r w:rsidRPr="000E2B4C">
              <w:t>The submission assumed that treatment effects are sustained while on treatment.</w:t>
            </w:r>
          </w:p>
        </w:tc>
      </w:tr>
    </w:tbl>
    <w:p w14:paraId="2391B3DA" w14:textId="77777777" w:rsidR="00962079" w:rsidRPr="00006FCB" w:rsidRDefault="00962079" w:rsidP="00962079">
      <w:pPr>
        <w:pStyle w:val="FooterTableFigure"/>
        <w:widowControl w:val="0"/>
        <w:rPr>
          <w:szCs w:val="18"/>
        </w:rPr>
      </w:pPr>
      <w:r w:rsidRPr="00006FCB">
        <w:rPr>
          <w:szCs w:val="18"/>
        </w:rPr>
        <w:t>Source: Table 52, p121, Table 78, p149 and Table 82, p150, Table 94, p164 of the submission.</w:t>
      </w:r>
    </w:p>
    <w:p w14:paraId="27AD7E53" w14:textId="77777777" w:rsidR="00962079" w:rsidRPr="00006FCB" w:rsidRDefault="00962079" w:rsidP="00962079">
      <w:pPr>
        <w:pStyle w:val="FooterTableFigure"/>
        <w:widowControl w:val="0"/>
      </w:pPr>
      <w:r w:rsidRPr="4D2BAA30">
        <w:t>AIHW = Australian Institute of Health and Welfare, ANZDATA = Australia and New Zealand Dialysis and Transplant Registry, CDC = Centre for Disease Control, CKD = chronic kidney disease, CM = conservative management, CT = conventional therapy, HR = hazard rate, LYs = life years, PPT = palopegteriparatide, QALYs = quality adjusted life years.</w:t>
      </w:r>
    </w:p>
    <w:p w14:paraId="23BF89DC" w14:textId="436568D7" w:rsidR="00625943" w:rsidRPr="00006FCB" w:rsidRDefault="12BC06F7" w:rsidP="383E5602">
      <w:pPr>
        <w:pStyle w:val="3-BodyText"/>
        <w:rPr>
          <w:color w:val="0066FF"/>
        </w:rPr>
      </w:pPr>
      <w:r w:rsidRPr="383E5602">
        <w:t xml:space="preserve">The submission presented a Markov cohort analysis of palopegteriparatide compared with conventional therapy. </w:t>
      </w:r>
      <w:r w:rsidR="3AA3939C" w:rsidRPr="383E5602">
        <w:t>P</w:t>
      </w:r>
      <w:r w:rsidRPr="383E5602">
        <w:t xml:space="preserve">atients began the model with various levels of renal impairment (CKD 1/2 or CKD 3). During each cycle of the Markov model, patients could remain in their current health state, experience progression/regression of renal impairment (among CKD 1/2, CKD 3, CKD 4 or CKD 5 (conservative management [CM]), initiate dialysis or transplantation, or die. Transition probabilities among CKD 1/2, CKD 3, CKD 4 and CKD 5 (CM) were treatment specific. </w:t>
      </w:r>
    </w:p>
    <w:p w14:paraId="06187233" w14:textId="6F8C68EF" w:rsidR="00625943" w:rsidRPr="00006FCB" w:rsidRDefault="12BC06F7" w:rsidP="383E5602">
      <w:pPr>
        <w:pStyle w:val="3-BodyText"/>
        <w:rPr>
          <w:color w:val="0066FF"/>
        </w:rPr>
      </w:pPr>
      <w:r w:rsidRPr="383E5602">
        <w:t>In Cycle 1 transition probabilities were based on PaTHway.</w:t>
      </w:r>
      <w:r w:rsidR="4EE9A027" w:rsidRPr="383E5602">
        <w:t xml:space="preserve"> These data were</w:t>
      </w:r>
      <w:r w:rsidR="47A4F8FE" w:rsidRPr="383E5602">
        <w:t xml:space="preserve"> derived from patients with eGFR data for CKD staging available at baseline and Week 26. </w:t>
      </w:r>
      <w:r w:rsidRPr="383E5602">
        <w:t>From Cycle 2 transition probabilities in both the palopegteriparatide arm and conventional therapy arm were based on published literature, with uncertain applicability to the intended population. Patients initiating dialysis/transplantation transitioned to a corresponding chronic disease state in the next cycle. Patients in the palopegteriparatide arm could discontinue treatment in any cycle and adopt the same risks/utilities as the conventional therapy arm.</w:t>
      </w:r>
    </w:p>
    <w:p w14:paraId="06A72583" w14:textId="67CEFD2D" w:rsidR="00F1723A" w:rsidRPr="00F1723A" w:rsidRDefault="00625943" w:rsidP="00F1723A">
      <w:pPr>
        <w:pStyle w:val="3-BodyText"/>
        <w:rPr>
          <w:color w:val="0066FF"/>
        </w:rPr>
      </w:pPr>
      <w:bookmarkStart w:id="54" w:name="_Ref194563698"/>
      <w:r w:rsidRPr="00006FCB">
        <w:t>The model structure relied on the assumption that HPT</w:t>
      </w:r>
      <w:r w:rsidRPr="00006FCB">
        <w:rPr>
          <w:spacing w:val="-6"/>
        </w:rPr>
        <w:t xml:space="preserve"> </w:t>
      </w:r>
      <w:r w:rsidRPr="00006FCB">
        <w:t>symptoms</w:t>
      </w:r>
      <w:r w:rsidRPr="00006FCB">
        <w:rPr>
          <w:spacing w:val="-4"/>
        </w:rPr>
        <w:t xml:space="preserve"> </w:t>
      </w:r>
      <w:r w:rsidRPr="00006FCB">
        <w:t>and the side effects of conventional therapy (i.e., calcium and vitamin D) are captured via CKD stage related health states. The reported estimated prevalence of CKD in HPT patients varies widely. A systematic review reported that across 8 included studies in HPT, the prevalence of CKD ranged from 5.0% to 41.0%</w:t>
      </w:r>
      <w:r w:rsidRPr="00006FCB">
        <w:rPr>
          <w:rStyle w:val="FootnoteReference"/>
        </w:rPr>
        <w:footnoteReference w:id="10"/>
      </w:r>
      <w:r w:rsidRPr="00006FCB">
        <w:t xml:space="preserve">. </w:t>
      </w:r>
      <w:r w:rsidRPr="00813BE0">
        <w:t xml:space="preserve">The </w:t>
      </w:r>
      <w:r w:rsidR="00A05AA9" w:rsidRPr="00813BE0">
        <w:t>ESC considered that</w:t>
      </w:r>
      <w:r w:rsidR="00A05AA9">
        <w:t xml:space="preserve"> the </w:t>
      </w:r>
      <w:r w:rsidRPr="00006FCB">
        <w:t>wide range of estimated rates and the confounders present across the studies ma</w:t>
      </w:r>
      <w:r w:rsidR="00A05AA9">
        <w:t>d</w:t>
      </w:r>
      <w:r w:rsidRPr="00006FCB">
        <w:t>e it difficult to accurately describe the relationship between HPT and CKD.</w:t>
      </w:r>
      <w:bookmarkEnd w:id="54"/>
    </w:p>
    <w:p w14:paraId="5AB40856" w14:textId="1D76E9BD" w:rsidR="00824EA5" w:rsidRPr="00FE2059" w:rsidRDefault="5AC6C41E" w:rsidP="383E5602">
      <w:pPr>
        <w:pStyle w:val="3-BodyText"/>
        <w:rPr>
          <w:color w:val="0066FF"/>
        </w:rPr>
      </w:pPr>
      <w:bookmarkStart w:id="55" w:name="_Ref190949498"/>
      <w:r w:rsidRPr="00FE2059">
        <w:t>The economic model relied on the claim presented by the submission that palopegteriparatide had superior effectiveness in kidney function compared to conventional therapy</w:t>
      </w:r>
      <w:r w:rsidR="7D8B0B2C" w:rsidRPr="00FE2059">
        <w:t>. Although</w:t>
      </w:r>
      <w:r w:rsidR="5DB06E44" w:rsidRPr="00FE2059">
        <w:t xml:space="preserve"> </w:t>
      </w:r>
      <w:r w:rsidRPr="00FE2059">
        <w:t>the PaTHway trial demonstrat</w:t>
      </w:r>
      <w:r w:rsidR="7D8B0B2C" w:rsidRPr="00FE2059">
        <w:t>ed</w:t>
      </w:r>
      <w:r w:rsidRPr="00FE2059">
        <w:t xml:space="preserve"> a statistically significant improvement in eGFR for patients using palopegteriparatide compared with placebo (conventional therapy arm)</w:t>
      </w:r>
      <w:r w:rsidR="7D8B0B2C" w:rsidRPr="00FE2059">
        <w:t>, t</w:t>
      </w:r>
      <w:r w:rsidR="3F011C87" w:rsidRPr="00FE2059">
        <w:t>he ESC considered that t</w:t>
      </w:r>
      <w:r w:rsidRPr="00FE2059">
        <w:t>his claim was uncertain for several reasons. Firstly, the PaTHway trial was small</w:t>
      </w:r>
      <w:r w:rsidR="2B4FC36D" w:rsidRPr="00FE2059">
        <w:t>,</w:t>
      </w:r>
      <w:r w:rsidRPr="00FE2059">
        <w:t xml:space="preserve"> and comparative data was only available for 26 weeks. Secondly, the magnitude of any improvement is uncertain, given that the comparator arm in the trial was an inaccurate representation of standard of care.  Thirdly, the change from baseline in eGFR was assessed in PaTHway based on a </w:t>
      </w:r>
      <w:r w:rsidRPr="00813BE0">
        <w:rPr>
          <w:i/>
          <w:iCs/>
        </w:rPr>
        <w:t>post-hoc</w:t>
      </w:r>
      <w:r w:rsidRPr="00FE2059">
        <w:t xml:space="preserve"> analysis and on the change </w:t>
      </w:r>
      <w:r w:rsidR="3A3B76DB" w:rsidRPr="00FE2059">
        <w:t xml:space="preserve">over </w:t>
      </w:r>
      <w:r w:rsidRPr="00FE2059">
        <w:t>a single cycle</w:t>
      </w:r>
      <w:r w:rsidR="3A3B76DB" w:rsidRPr="00FE2059">
        <w:t xml:space="preserve"> (i.e. 26 weeks)</w:t>
      </w:r>
      <w:r w:rsidR="7D8B0B2C" w:rsidRPr="00FE2059">
        <w:t>. A</w:t>
      </w:r>
      <w:r w:rsidRPr="00FE2059">
        <w:t>lthough the submission</w:t>
      </w:r>
      <w:r w:rsidR="29A1E158" w:rsidRPr="00FE2059">
        <w:t>’s nominated</w:t>
      </w:r>
      <w:r w:rsidRPr="00FE2059">
        <w:t xml:space="preserve"> MCID was met, this MCID was not relevant to the population </w:t>
      </w:r>
      <w:r w:rsidR="13D8112B" w:rsidRPr="00FE2059">
        <w:t>in the PaTH</w:t>
      </w:r>
      <w:r w:rsidR="40E50C9B" w:rsidRPr="00FE2059">
        <w:t>way trial</w:t>
      </w:r>
      <w:r w:rsidR="107E3CAB" w:rsidRPr="00FE2059">
        <w:t xml:space="preserve">. Therefore, </w:t>
      </w:r>
      <w:r w:rsidRPr="00FE2059">
        <w:t xml:space="preserve">the clinical relevance of the change in eGFR was uncertain. Finally, the submission did not provide a study translating the primary composite endpoint of PaTHway to kidney function. The plausibility of the results of the model relied on the assumption that any benefits of palopegteriparatide are sustained in the long-term. </w:t>
      </w:r>
      <w:r w:rsidR="7CA70FC3" w:rsidRPr="00FE2059">
        <w:t>The ESC considered that t</w:t>
      </w:r>
      <w:r w:rsidRPr="00FE2059">
        <w:t xml:space="preserve">his was not supported by the clinical evidence provided by the submission which provided </w:t>
      </w:r>
      <w:r w:rsidR="3455C2D6" w:rsidRPr="00FE2059">
        <w:t xml:space="preserve">open-label </w:t>
      </w:r>
      <w:r w:rsidRPr="00FE2059">
        <w:t>data up to 104 weeks</w:t>
      </w:r>
      <w:r w:rsidR="4AE84FBE" w:rsidRPr="00FE2059">
        <w:t xml:space="preserve"> (and up to 156 weeks in the PSCR)</w:t>
      </w:r>
      <w:r w:rsidR="12BC06F7" w:rsidRPr="00FE2059">
        <w:t>.</w:t>
      </w:r>
      <w:bookmarkEnd w:id="55"/>
    </w:p>
    <w:p w14:paraId="35E885FA" w14:textId="7D094BC8" w:rsidR="00625943" w:rsidRPr="00006FCB" w:rsidRDefault="12BC06F7" w:rsidP="383E5602">
      <w:pPr>
        <w:pStyle w:val="3-BodyText"/>
        <w:rPr>
          <w:rFonts w:ascii="Arial Narrow" w:hAnsi="Arial Narrow"/>
          <w:color w:val="0066FF"/>
          <w:sz w:val="18"/>
          <w:szCs w:val="18"/>
        </w:rPr>
      </w:pPr>
      <w:r w:rsidRPr="383E5602">
        <w:t xml:space="preserve">The submission stated that the lifetime horizon (51 years) was used to capture the long-term downstream implications of treatment with palopegteriparatide compared to conventional therapy in chronic HPT and the impact of the treatments on the long-term progression to ESKD and mortality. </w:t>
      </w:r>
      <w:r w:rsidR="3455C2D6" w:rsidRPr="383E5602">
        <w:t>The submission stated that</w:t>
      </w:r>
      <w:r w:rsidR="002767D1">
        <w:t>,</w:t>
      </w:r>
      <w:r w:rsidR="2B135CC1" w:rsidRPr="383E5602">
        <w:rPr>
          <w:i/>
          <w:iCs/>
        </w:rPr>
        <w:t xml:space="preserve"> </w:t>
      </w:r>
      <w:r w:rsidR="2B135CC1" w:rsidRPr="383E5602">
        <w:t>g</w:t>
      </w:r>
      <w:r w:rsidRPr="383E5602">
        <w:t xml:space="preserve">iven the trial duration of 26 weeks </w:t>
      </w:r>
      <w:r w:rsidR="33BF24C7" w:rsidRPr="383E5602">
        <w:t>wa</w:t>
      </w:r>
      <w:r w:rsidRPr="383E5602">
        <w:t xml:space="preserve">s too short to observe most effects of the treatment, it was </w:t>
      </w:r>
      <w:r w:rsidR="08E04CE7" w:rsidRPr="383E5602">
        <w:t xml:space="preserve">necessary </w:t>
      </w:r>
      <w:r w:rsidRPr="383E5602">
        <w:t xml:space="preserve">to extrapolate effects to a longer time horizon. However, </w:t>
      </w:r>
      <w:r w:rsidR="33BF24C7" w:rsidRPr="00813BE0">
        <w:t>the ESC considered</w:t>
      </w:r>
      <w:r w:rsidR="33BF24C7" w:rsidRPr="383E5602">
        <w:rPr>
          <w:i/>
          <w:iCs/>
        </w:rPr>
        <w:t xml:space="preserve"> </w:t>
      </w:r>
      <w:r w:rsidRPr="383E5602">
        <w:t xml:space="preserve">the modelled effectiveness of palopegteriparatide </w:t>
      </w:r>
      <w:r w:rsidR="3455C2D6" w:rsidRPr="383E5602">
        <w:t xml:space="preserve">was </w:t>
      </w:r>
      <w:r w:rsidRPr="383E5602">
        <w:t xml:space="preserve">perpetuated over </w:t>
      </w:r>
      <w:r w:rsidR="3455C2D6" w:rsidRPr="383E5602">
        <w:t xml:space="preserve">the </w:t>
      </w:r>
      <w:r w:rsidRPr="383E5602">
        <w:t>long time horizon without supportive clinical evidence</w:t>
      </w:r>
      <w:r w:rsidR="475D3813" w:rsidRPr="383E5602">
        <w:t xml:space="preserve"> and</w:t>
      </w:r>
      <w:r w:rsidRPr="383E5602">
        <w:t xml:space="preserve"> </w:t>
      </w:r>
      <w:r w:rsidR="2B4FC36D" w:rsidRPr="383E5602">
        <w:t xml:space="preserve">this </w:t>
      </w:r>
      <w:r w:rsidRPr="383E5602">
        <w:t>bias</w:t>
      </w:r>
      <w:r w:rsidR="3455C2D6" w:rsidRPr="383E5602">
        <w:t xml:space="preserve">ed the results </w:t>
      </w:r>
      <w:r w:rsidRPr="383E5602">
        <w:t xml:space="preserve">in favour of palopegteriparatide. </w:t>
      </w:r>
    </w:p>
    <w:p w14:paraId="2C314C07" w14:textId="14738021" w:rsidR="00625943" w:rsidRPr="00BA0B52" w:rsidRDefault="5BE89099" w:rsidP="383E5602">
      <w:pPr>
        <w:pStyle w:val="3-BodyText"/>
        <w:rPr>
          <w:color w:val="0066FF"/>
        </w:rPr>
      </w:pPr>
      <w:r w:rsidRPr="383E5602">
        <w:t xml:space="preserve">In Cycle 1 of the model, transitions were derived from patients in PaTHway with eGFR data for CKD staging available at baseline and Week 26 (3 patients had missing CKD staging at baseline). The model allowed for 61% of patients in the palopegteriparatide arm to improve from CKD 3 to CKD 1/2 at Week 26. 100% of patients in CKD 1/2 at baseline remained in CKD 1/2 at Week 26. In the conventional therapy arm, all patients remained in their respective health states between baseline and Week 26. These data were based on individual patient data not presented in the </w:t>
      </w:r>
      <w:r w:rsidR="24B627D4" w:rsidRPr="383E5602">
        <w:t xml:space="preserve">Clinical Study Report </w:t>
      </w:r>
      <w:r w:rsidRPr="383E5602">
        <w:t>and were unable to be verified. While the proportion of CKD 3 patients who improved to CKD 1/2 at Week 26 was 61%, this was based on 11</w:t>
      </w:r>
      <w:r w:rsidR="1DBC22DD" w:rsidRPr="383E5602">
        <w:t xml:space="preserve">/18 </w:t>
      </w:r>
      <w:r w:rsidR="3660BC42" w:rsidRPr="383E5602">
        <w:t xml:space="preserve">patients </w:t>
      </w:r>
      <w:r w:rsidR="1DBC22DD" w:rsidRPr="383E5602">
        <w:t>with</w:t>
      </w:r>
      <w:r w:rsidRPr="383E5602">
        <w:t xml:space="preserve"> CKD 3</w:t>
      </w:r>
      <w:r w:rsidR="6C14EDF5" w:rsidRPr="383E5602">
        <w:t xml:space="preserve"> at baseline. </w:t>
      </w:r>
      <w:r w:rsidR="6C14EDF5" w:rsidRPr="00BA0B52">
        <w:t xml:space="preserve">The </w:t>
      </w:r>
      <w:r w:rsidR="471F1426" w:rsidRPr="00BA0B52">
        <w:t xml:space="preserve">ESC considered </w:t>
      </w:r>
      <w:r w:rsidR="6C14EDF5" w:rsidRPr="00BA0B52">
        <w:t>that th</w:t>
      </w:r>
      <w:r w:rsidR="67AA2D28" w:rsidRPr="00BA0B52">
        <w:t xml:space="preserve">e modelled improvement </w:t>
      </w:r>
      <w:r w:rsidR="471F1426" w:rsidRPr="00BA0B52">
        <w:t>was</w:t>
      </w:r>
      <w:r w:rsidR="1FC302B0" w:rsidRPr="00BA0B52">
        <w:t xml:space="preserve"> </w:t>
      </w:r>
      <w:r w:rsidRPr="00BA0B52">
        <w:t xml:space="preserve">highly uncertain. </w:t>
      </w:r>
      <w:r w:rsidR="12BC06F7" w:rsidRPr="00BA0B52">
        <w:t xml:space="preserve"> </w:t>
      </w:r>
    </w:p>
    <w:p w14:paraId="7A3E65FB" w14:textId="244FE159" w:rsidR="00625943" w:rsidRPr="00006FCB" w:rsidRDefault="12BC06F7" w:rsidP="00625943">
      <w:pPr>
        <w:pStyle w:val="3-BodyText"/>
      </w:pPr>
      <w:r w:rsidRPr="383E5602">
        <w:t>After Cycle 1, the risk of CKD progression from CKD 1/2 to CKD 3 in both the palopegteriparatide and conventional therapy arms was based on Rejnmark (2022)</w:t>
      </w:r>
      <w:bookmarkStart w:id="56" w:name="_Ref184822814"/>
      <w:r w:rsidR="00625943" w:rsidRPr="00006FCB">
        <w:rPr>
          <w:vertAlign w:val="superscript"/>
        </w:rPr>
        <w:fldChar w:fldCharType="begin"/>
      </w:r>
      <w:r w:rsidR="00625943" w:rsidRPr="00006FCB">
        <w:rPr>
          <w:vertAlign w:val="superscript"/>
        </w:rPr>
        <w:instrText xml:space="preserve"> NOTEREF _Ref185241975 \h  \* MERGEFORMAT </w:instrText>
      </w:r>
      <w:r w:rsidR="00625943" w:rsidRPr="00006FCB">
        <w:rPr>
          <w:vertAlign w:val="superscript"/>
        </w:rPr>
      </w:r>
      <w:r w:rsidR="00625943" w:rsidRPr="00006FCB">
        <w:rPr>
          <w:vertAlign w:val="superscript"/>
        </w:rPr>
        <w:fldChar w:fldCharType="separate"/>
      </w:r>
      <w:r w:rsidR="00DA35E4">
        <w:rPr>
          <w:vertAlign w:val="superscript"/>
        </w:rPr>
        <w:t>7</w:t>
      </w:r>
      <w:r w:rsidR="00625943" w:rsidRPr="00006FCB">
        <w:rPr>
          <w:vertAlign w:val="superscript"/>
        </w:rPr>
        <w:fldChar w:fldCharType="end"/>
      </w:r>
      <w:bookmarkEnd w:id="56"/>
      <w:r w:rsidR="3AC7E953" w:rsidRPr="383E5602">
        <w:t xml:space="preserve">. Rejnmark (2022) </w:t>
      </w:r>
      <w:r w:rsidRPr="383E5602">
        <w:t>evaluated the incidence of CKD in HPT patients treated with recombinant human (rh)</w:t>
      </w:r>
      <w:r w:rsidRPr="383E5602" w:rsidDel="00193833">
        <w:t xml:space="preserve"> </w:t>
      </w:r>
      <w:r w:rsidRPr="383E5602">
        <w:t xml:space="preserve">PTH (1-84) (n=118) compared to those treated with calcium and vitamin D supplementation (n=497) using regression models. This was a retrospective study with significant differences in baseline characteristics between the two groups, almost all favouring the </w:t>
      </w:r>
      <w:proofErr w:type="spellStart"/>
      <w:r w:rsidRPr="383E5602">
        <w:t>rhPTH</w:t>
      </w:r>
      <w:proofErr w:type="spellEnd"/>
      <w:r w:rsidRPr="383E5602">
        <w:t xml:space="preserve"> group. The </w:t>
      </w:r>
      <w:proofErr w:type="spellStart"/>
      <w:r w:rsidRPr="383E5602">
        <w:t>rhPTH</w:t>
      </w:r>
      <w:proofErr w:type="spellEnd"/>
      <w:r w:rsidRPr="383E5602">
        <w:t xml:space="preserve"> cohort were all clinical trial participants, while the comparator ‘standard treatment’ group was drawn from real world U.S. patient data. Further, the applicability of this study is uncertain given no comparative studies have been reported comparing </w:t>
      </w:r>
      <w:proofErr w:type="spellStart"/>
      <w:r w:rsidRPr="383E5602">
        <w:t>rhPTH</w:t>
      </w:r>
      <w:proofErr w:type="spellEnd"/>
      <w:r w:rsidRPr="383E5602">
        <w:t xml:space="preserve"> (1-84) with palopegteriparatide. </w:t>
      </w:r>
    </w:p>
    <w:p w14:paraId="46DB4C4A" w14:textId="462757F9" w:rsidR="00625943" w:rsidRPr="00006FCB" w:rsidRDefault="00625943" w:rsidP="00625943">
      <w:pPr>
        <w:pStyle w:val="3-BodyText"/>
      </w:pPr>
      <w:r w:rsidRPr="4D2BAA30">
        <w:t>The submission applied a risk per cycle (for CKD 1/2 to CKD 3 progression) for the duration of the model, based on the estimated 5-year risk of CKD from Rejnmark (2002)</w:t>
      </w:r>
      <w:r w:rsidRPr="00006FCB">
        <w:rPr>
          <w:vertAlign w:val="superscript"/>
        </w:rPr>
        <w:fldChar w:fldCharType="begin"/>
      </w:r>
      <w:r w:rsidRPr="00006FCB">
        <w:rPr>
          <w:vertAlign w:val="superscript"/>
        </w:rPr>
        <w:instrText xml:space="preserve"> NOTEREF _Ref185241975 \h  \* MERGEFORMAT </w:instrText>
      </w:r>
      <w:r w:rsidRPr="00006FCB">
        <w:rPr>
          <w:vertAlign w:val="superscript"/>
        </w:rPr>
      </w:r>
      <w:r w:rsidRPr="00006FCB">
        <w:rPr>
          <w:vertAlign w:val="superscript"/>
        </w:rPr>
        <w:fldChar w:fldCharType="separate"/>
      </w:r>
      <w:r w:rsidR="00DA35E4">
        <w:rPr>
          <w:vertAlign w:val="superscript"/>
        </w:rPr>
        <w:t>7</w:t>
      </w:r>
      <w:r w:rsidRPr="00006FCB">
        <w:rPr>
          <w:vertAlign w:val="superscript"/>
        </w:rPr>
        <w:fldChar w:fldCharType="end"/>
      </w:r>
      <w:r w:rsidRPr="4D2BAA30">
        <w:t>. This was not consistent with Figure 2 of Rejnmark (2022)</w:t>
      </w:r>
      <w:r w:rsidRPr="00006FCB">
        <w:rPr>
          <w:vertAlign w:val="superscript"/>
        </w:rPr>
        <w:fldChar w:fldCharType="begin"/>
      </w:r>
      <w:r w:rsidRPr="00006FCB">
        <w:rPr>
          <w:vertAlign w:val="superscript"/>
        </w:rPr>
        <w:instrText xml:space="preserve"> NOTEREF _Ref185241975 \h  \* MERGEFORMAT </w:instrText>
      </w:r>
      <w:r w:rsidRPr="00006FCB">
        <w:rPr>
          <w:vertAlign w:val="superscript"/>
        </w:rPr>
      </w:r>
      <w:r w:rsidRPr="00006FCB">
        <w:rPr>
          <w:vertAlign w:val="superscript"/>
        </w:rPr>
        <w:fldChar w:fldCharType="separate"/>
      </w:r>
      <w:r w:rsidR="00DA35E4">
        <w:rPr>
          <w:vertAlign w:val="superscript"/>
        </w:rPr>
        <w:t>7</w:t>
      </w:r>
      <w:r w:rsidRPr="00006FCB">
        <w:rPr>
          <w:vertAlign w:val="superscript"/>
        </w:rPr>
        <w:fldChar w:fldCharType="end"/>
      </w:r>
      <w:r w:rsidRPr="4D2BAA30">
        <w:t xml:space="preserve"> which show</w:t>
      </w:r>
      <w:r w:rsidR="00C41184" w:rsidRPr="4D2BAA30">
        <w:t>ed</w:t>
      </w:r>
      <w:r w:rsidRPr="4D2BAA30">
        <w:t xml:space="preserve"> a plateauing from approximately 2 years in the percentage of patients developing CKD (i.e. transitioning from CKD 1/2 to CKD 3). There are no long-term estimates to support the application of the risk of CKD for the duration of the model and therefore this assumption </w:t>
      </w:r>
      <w:r w:rsidR="00C41184" w:rsidRPr="4D2BAA30">
        <w:t xml:space="preserve">was </w:t>
      </w:r>
      <w:r w:rsidRPr="4D2BAA30">
        <w:t>uncertain and may overestimate the number of patients progressing to CKD 3 in the model. Application of the hazard rate (0.47) from Rejnmark (2022)</w:t>
      </w:r>
      <w:r w:rsidRPr="00006FCB">
        <w:rPr>
          <w:vertAlign w:val="superscript"/>
        </w:rPr>
        <w:fldChar w:fldCharType="begin"/>
      </w:r>
      <w:r w:rsidRPr="00006FCB">
        <w:rPr>
          <w:vertAlign w:val="superscript"/>
        </w:rPr>
        <w:instrText xml:space="preserve"> NOTEREF _Ref185241975 \h  \* MERGEFORMAT </w:instrText>
      </w:r>
      <w:r w:rsidRPr="00006FCB">
        <w:rPr>
          <w:vertAlign w:val="superscript"/>
        </w:rPr>
      </w:r>
      <w:r w:rsidRPr="00006FCB">
        <w:rPr>
          <w:vertAlign w:val="superscript"/>
        </w:rPr>
        <w:fldChar w:fldCharType="separate"/>
      </w:r>
      <w:r w:rsidR="00DA35E4">
        <w:rPr>
          <w:vertAlign w:val="superscript"/>
        </w:rPr>
        <w:t>7</w:t>
      </w:r>
      <w:r w:rsidRPr="00006FCB">
        <w:rPr>
          <w:vertAlign w:val="superscript"/>
        </w:rPr>
        <w:fldChar w:fldCharType="end"/>
      </w:r>
      <w:r w:rsidRPr="4D2BAA30">
        <w:t xml:space="preserve"> to the palopegteriparatide arm (CKD 1/2 to CKD 3) of the model also assumes treatment effects are sustained over the model time horizon. This assumption was not supported by the clinical evidence presented in the submission. Removing the modelled benefit (hazard rate = 1) increased the ICER to </w:t>
      </w:r>
      <w:r w:rsidR="00402B57" w:rsidRPr="00402B57">
        <w:t>$115,000 to &lt; $135,000</w:t>
      </w:r>
      <w:r w:rsidRPr="4D2BAA30">
        <w:t>/QALY gained.</w:t>
      </w:r>
    </w:p>
    <w:p w14:paraId="660A8155" w14:textId="64C08DF6" w:rsidR="00625943" w:rsidRPr="00006FCB" w:rsidRDefault="12BC06F7" w:rsidP="00625943">
      <w:pPr>
        <w:pStyle w:val="3-BodyText"/>
      </w:pPr>
      <w:r w:rsidRPr="383E5602">
        <w:t xml:space="preserve">The transition probabilities from CKD 3 to CKD 5 (CM) health states were based on </w:t>
      </w:r>
      <w:proofErr w:type="spellStart"/>
      <w:r w:rsidRPr="383E5602">
        <w:t>Gosmanova</w:t>
      </w:r>
      <w:proofErr w:type="spellEnd"/>
      <w:r w:rsidRPr="383E5602">
        <w:t xml:space="preserve"> (2021a)</w:t>
      </w:r>
      <w:bookmarkStart w:id="57" w:name="_Ref184822956"/>
      <w:r w:rsidR="00625943" w:rsidRPr="00006FCB">
        <w:rPr>
          <w:vertAlign w:val="superscript"/>
        </w:rPr>
        <w:fldChar w:fldCharType="begin"/>
      </w:r>
      <w:r w:rsidR="00625943" w:rsidRPr="00006FCB">
        <w:rPr>
          <w:vertAlign w:val="superscript"/>
        </w:rPr>
        <w:instrText xml:space="preserve"> NOTEREF _Ref185242128 \h  \* MERGEFORMAT </w:instrText>
      </w:r>
      <w:r w:rsidR="00625943" w:rsidRPr="00006FCB">
        <w:rPr>
          <w:vertAlign w:val="superscript"/>
        </w:rPr>
      </w:r>
      <w:r w:rsidR="00625943" w:rsidRPr="00006FCB">
        <w:rPr>
          <w:vertAlign w:val="superscript"/>
        </w:rPr>
        <w:fldChar w:fldCharType="separate"/>
      </w:r>
      <w:r w:rsidR="00DA35E4">
        <w:rPr>
          <w:vertAlign w:val="superscript"/>
        </w:rPr>
        <w:t>8</w:t>
      </w:r>
      <w:r w:rsidR="00625943" w:rsidRPr="00006FCB">
        <w:rPr>
          <w:vertAlign w:val="superscript"/>
        </w:rPr>
        <w:fldChar w:fldCharType="end"/>
      </w:r>
      <w:bookmarkEnd w:id="57"/>
      <w:r w:rsidRPr="383E5602">
        <w:t>. The submission stated that this was because Rejnmark (2022)</w:t>
      </w:r>
      <w:r w:rsidR="00625943" w:rsidRPr="00006FCB">
        <w:rPr>
          <w:vertAlign w:val="superscript"/>
        </w:rPr>
        <w:fldChar w:fldCharType="begin"/>
      </w:r>
      <w:r w:rsidR="00625943" w:rsidRPr="00006FCB">
        <w:rPr>
          <w:vertAlign w:val="superscript"/>
        </w:rPr>
        <w:instrText xml:space="preserve"> NOTEREF _Ref185241975 \h  \* MERGEFORMAT </w:instrText>
      </w:r>
      <w:r w:rsidR="00625943" w:rsidRPr="00006FCB">
        <w:rPr>
          <w:vertAlign w:val="superscript"/>
        </w:rPr>
      </w:r>
      <w:r w:rsidR="00625943" w:rsidRPr="00006FCB">
        <w:rPr>
          <w:vertAlign w:val="superscript"/>
        </w:rPr>
        <w:fldChar w:fldCharType="separate"/>
      </w:r>
      <w:r w:rsidR="00DA35E4">
        <w:rPr>
          <w:vertAlign w:val="superscript"/>
        </w:rPr>
        <w:t>7</w:t>
      </w:r>
      <w:r w:rsidR="00625943" w:rsidRPr="00006FCB">
        <w:rPr>
          <w:vertAlign w:val="superscript"/>
        </w:rPr>
        <w:fldChar w:fldCharType="end"/>
      </w:r>
      <w:r w:rsidRPr="383E5602">
        <w:rPr>
          <w:vertAlign w:val="superscript"/>
        </w:rPr>
        <w:t xml:space="preserve">  </w:t>
      </w:r>
      <w:r w:rsidRPr="383E5602">
        <w:t xml:space="preserve">was limited to the incidence of CKD (stages 3-5), whereas </w:t>
      </w:r>
      <w:proofErr w:type="spellStart"/>
      <w:r w:rsidRPr="383E5602">
        <w:t>Gosmanova</w:t>
      </w:r>
      <w:proofErr w:type="spellEnd"/>
      <w:r w:rsidRPr="383E5602">
        <w:t xml:space="preserve"> (2021a)</w:t>
      </w:r>
      <w:r w:rsidR="00625943" w:rsidRPr="00006FCB">
        <w:rPr>
          <w:vertAlign w:val="superscript"/>
        </w:rPr>
        <w:fldChar w:fldCharType="begin"/>
      </w:r>
      <w:r w:rsidR="00625943" w:rsidRPr="00006FCB">
        <w:rPr>
          <w:vertAlign w:val="superscript"/>
        </w:rPr>
        <w:instrText xml:space="preserve"> NOTEREF _Ref185242128 \h  \* MERGEFORMAT </w:instrText>
      </w:r>
      <w:r w:rsidR="00625943" w:rsidRPr="00006FCB">
        <w:rPr>
          <w:vertAlign w:val="superscript"/>
        </w:rPr>
      </w:r>
      <w:r w:rsidR="00625943" w:rsidRPr="00006FCB">
        <w:rPr>
          <w:vertAlign w:val="superscript"/>
        </w:rPr>
        <w:fldChar w:fldCharType="separate"/>
      </w:r>
      <w:r w:rsidR="00DA35E4">
        <w:rPr>
          <w:vertAlign w:val="superscript"/>
        </w:rPr>
        <w:t>8</w:t>
      </w:r>
      <w:r w:rsidR="00625943" w:rsidRPr="00006FCB">
        <w:rPr>
          <w:vertAlign w:val="superscript"/>
        </w:rPr>
        <w:fldChar w:fldCharType="end"/>
      </w:r>
      <w:r w:rsidRPr="383E5602">
        <w:t xml:space="preserve"> reported time to CKD progression (among stages 3-5). </w:t>
      </w:r>
      <w:proofErr w:type="spellStart"/>
      <w:r w:rsidRPr="383E5602">
        <w:t>Gosmanova</w:t>
      </w:r>
      <w:proofErr w:type="spellEnd"/>
      <w:r w:rsidRPr="383E5602">
        <w:t xml:space="preserve"> (2021a)</w:t>
      </w:r>
      <w:r w:rsidR="00625943" w:rsidRPr="00006FCB">
        <w:rPr>
          <w:vertAlign w:val="superscript"/>
        </w:rPr>
        <w:fldChar w:fldCharType="begin"/>
      </w:r>
      <w:r w:rsidR="00625943" w:rsidRPr="00006FCB">
        <w:rPr>
          <w:vertAlign w:val="superscript"/>
        </w:rPr>
        <w:instrText xml:space="preserve"> NOTEREF _Ref185242128 \h  \* MERGEFORMAT </w:instrText>
      </w:r>
      <w:r w:rsidR="00625943" w:rsidRPr="00006FCB">
        <w:rPr>
          <w:vertAlign w:val="superscript"/>
        </w:rPr>
      </w:r>
      <w:r w:rsidR="00625943" w:rsidRPr="00006FCB">
        <w:rPr>
          <w:vertAlign w:val="superscript"/>
        </w:rPr>
        <w:fldChar w:fldCharType="separate"/>
      </w:r>
      <w:r w:rsidR="00DA35E4">
        <w:rPr>
          <w:vertAlign w:val="superscript"/>
        </w:rPr>
        <w:t>8</w:t>
      </w:r>
      <w:r w:rsidR="00625943" w:rsidRPr="00006FCB">
        <w:rPr>
          <w:vertAlign w:val="superscript"/>
        </w:rPr>
        <w:fldChar w:fldCharType="end"/>
      </w:r>
      <w:r w:rsidRPr="383E5602">
        <w:t xml:space="preserve"> was a retrospective cohort study with 5-year follow-up of 8,097 adults with chronic HPT and 40,485 adults without HPT. The submission applied a risk per cycle of CKD 3 to CKD 4 or CKD 4 to CKD 5 (CM) progression based on the 5-year risk of CKD in the historical cohort and then applied a hazard rate to derive the risk per cycle of progression from CKD 3 to CKD 4 or CKD 4 to CKD 5 (CM) in the palopegteriparatide arm. Given </w:t>
      </w:r>
      <w:proofErr w:type="spellStart"/>
      <w:r w:rsidRPr="383E5602">
        <w:t>Gosmanova</w:t>
      </w:r>
      <w:proofErr w:type="spellEnd"/>
      <w:r w:rsidRPr="383E5602">
        <w:t xml:space="preserve"> (2021a)</w:t>
      </w:r>
      <w:r w:rsidRPr="383E5602">
        <w:rPr>
          <w:vertAlign w:val="superscript"/>
        </w:rPr>
        <w:t xml:space="preserve"> </w:t>
      </w:r>
      <w:r w:rsidR="00625943" w:rsidRPr="00006FCB">
        <w:rPr>
          <w:vertAlign w:val="superscript"/>
        </w:rPr>
        <w:fldChar w:fldCharType="begin"/>
      </w:r>
      <w:r w:rsidR="00625943" w:rsidRPr="00006FCB">
        <w:rPr>
          <w:vertAlign w:val="superscript"/>
        </w:rPr>
        <w:instrText xml:space="preserve"> NOTEREF _Ref185242128 \h  \* MERGEFORMAT </w:instrText>
      </w:r>
      <w:r w:rsidR="00625943" w:rsidRPr="00006FCB">
        <w:rPr>
          <w:vertAlign w:val="superscript"/>
        </w:rPr>
      </w:r>
      <w:r w:rsidR="00625943" w:rsidRPr="00006FCB">
        <w:rPr>
          <w:vertAlign w:val="superscript"/>
        </w:rPr>
        <w:fldChar w:fldCharType="separate"/>
      </w:r>
      <w:r w:rsidR="00DA35E4">
        <w:rPr>
          <w:vertAlign w:val="superscript"/>
        </w:rPr>
        <w:t>8</w:t>
      </w:r>
      <w:r w:rsidR="00625943" w:rsidRPr="00006FCB">
        <w:rPr>
          <w:vertAlign w:val="superscript"/>
        </w:rPr>
        <w:fldChar w:fldCharType="end"/>
      </w:r>
      <w:r w:rsidRPr="383E5602">
        <w:t xml:space="preserve"> compared HPT patients with controls </w:t>
      </w:r>
      <w:r w:rsidR="5C5B9D1B" w:rsidRPr="383E5602">
        <w:t xml:space="preserve">who </w:t>
      </w:r>
      <w:r w:rsidRPr="383E5602">
        <w:t>did not have HPT the application of this hazard rate was not appropriate and infers that patients treated with palopegteriparatide are effectively cured (in terms of outcomes captured in the model</w:t>
      </w:r>
      <w:r w:rsidRPr="00FE2059">
        <w:t xml:space="preserve">). </w:t>
      </w:r>
      <w:r w:rsidR="0FECD9F6" w:rsidRPr="00FE2059">
        <w:t xml:space="preserve">The ESC considered this was implausible </w:t>
      </w:r>
      <w:r w:rsidR="5C5B9D1B" w:rsidRPr="00FE2059">
        <w:t xml:space="preserve">and greatly increased the </w:t>
      </w:r>
      <w:r w:rsidR="0FECD9F6" w:rsidRPr="00FE2059">
        <w:t>uncertainty</w:t>
      </w:r>
      <w:r w:rsidR="5C5B9D1B" w:rsidRPr="00FE2059">
        <w:t xml:space="preserve"> associated with the model</w:t>
      </w:r>
      <w:r w:rsidR="0FECD9F6" w:rsidRPr="00FE2059">
        <w:t xml:space="preserve">. </w:t>
      </w:r>
      <w:r w:rsidRPr="00FE2059">
        <w:t>Further, this was a retrospective study with significant differences in baseline characteristics between the two groups, which may have confounded the resultant hazard rate.</w:t>
      </w:r>
      <w:r w:rsidRPr="383E5602">
        <w:t xml:space="preserve"> </w:t>
      </w:r>
    </w:p>
    <w:p w14:paraId="3C107A89" w14:textId="48AD5AB4" w:rsidR="00625943" w:rsidRPr="00FE2059" w:rsidRDefault="12BC06F7" w:rsidP="00625943">
      <w:pPr>
        <w:pStyle w:val="3-BodyText"/>
      </w:pPr>
      <w:r w:rsidRPr="00FE2059">
        <w:t xml:space="preserve">ESKD treatment distribution and ESKD transitions were derived from the overall kidney disease population rather than the HPT population. </w:t>
      </w:r>
      <w:r w:rsidR="27D758E9" w:rsidRPr="00FE2059">
        <w:t>The ESC noted that this</w:t>
      </w:r>
      <w:r w:rsidRPr="00FE2059">
        <w:t xml:space="preserve"> likely overestimated the burden of disease, as most ESKD has significant comorbid associations, such as advanced diabetes or cardiovascular disease. The submission did not provide any evidence to suggest a significant proportion of HPT patients progress to dialysis or transplant due to HPT alone. The proportion of HPT patients receiving dialysis or transplant may differ from the overall kidney disease population given thiazides are commonly administered when hypercalciuria persists and HPT patients may experience differing rates of comorbidities. Other large studies on the long-term effect of </w:t>
      </w:r>
      <w:r w:rsidR="15E25ACC" w:rsidRPr="00FE2059">
        <w:t xml:space="preserve">HPT </w:t>
      </w:r>
      <w:r w:rsidRPr="00FE2059">
        <w:t>on CKD have found no risk of developing ESKD in HPT patient</w:t>
      </w:r>
      <w:r w:rsidR="69441938" w:rsidRPr="00FE2059">
        <w:t>s</w:t>
      </w:r>
      <w:r w:rsidRPr="00FE2059">
        <w:t xml:space="preserve"> compared to control patients</w:t>
      </w:r>
      <w:r w:rsidR="00625943" w:rsidRPr="00FE2059">
        <w:rPr>
          <w:rStyle w:val="FootnoteReference"/>
        </w:rPr>
        <w:footnoteReference w:id="11"/>
      </w:r>
      <w:r w:rsidRPr="00FE2059">
        <w:rPr>
          <w:vertAlign w:val="superscript"/>
        </w:rPr>
        <w:t xml:space="preserve">, </w:t>
      </w:r>
      <w:bookmarkStart w:id="58" w:name="_Ref185249628"/>
      <w:r w:rsidR="00625943" w:rsidRPr="00FE2059">
        <w:rPr>
          <w:rStyle w:val="FootnoteReference"/>
        </w:rPr>
        <w:footnoteReference w:id="12"/>
      </w:r>
      <w:bookmarkEnd w:id="58"/>
      <w:r w:rsidRPr="00FE2059">
        <w:t>. The model was not sensitive to the uptake of renal replacement therapy (RRT), the treatment distribution of dialysis/transplant amongst RRT initiators or dialysis to transplant transitions.</w:t>
      </w:r>
    </w:p>
    <w:p w14:paraId="5F39BFBF" w14:textId="57926504" w:rsidR="00625943" w:rsidRPr="00006FCB" w:rsidRDefault="12BC06F7" w:rsidP="4D2BAA30">
      <w:pPr>
        <w:pStyle w:val="3-BodyText"/>
      </w:pPr>
      <w:r w:rsidRPr="383E5602">
        <w:t>Mortality hazard rates were derived from the overall kidney disease population, which had uncertain applicability to the HPT population. The submission did not provide any evidence to demonstrate that there is an increased mortality risk associated with HPT. Underbjerg (2013)</w:t>
      </w:r>
      <w:r w:rsidR="00625943" w:rsidRPr="00006FCB">
        <w:rPr>
          <w:vertAlign w:val="superscript"/>
        </w:rPr>
        <w:fldChar w:fldCharType="begin"/>
      </w:r>
      <w:r w:rsidR="00625943" w:rsidRPr="00006FCB">
        <w:rPr>
          <w:vertAlign w:val="superscript"/>
        </w:rPr>
        <w:instrText xml:space="preserve"> NOTEREF _Ref185249628 \h  \* MERGEFORMAT </w:instrText>
      </w:r>
      <w:r w:rsidR="00625943" w:rsidRPr="00006FCB">
        <w:rPr>
          <w:vertAlign w:val="superscript"/>
        </w:rPr>
      </w:r>
      <w:r w:rsidR="00625943" w:rsidRPr="00006FCB">
        <w:rPr>
          <w:vertAlign w:val="superscript"/>
        </w:rPr>
        <w:fldChar w:fldCharType="separate"/>
      </w:r>
      <w:r w:rsidR="00DA35E4">
        <w:rPr>
          <w:vertAlign w:val="superscript"/>
        </w:rPr>
        <w:t>11</w:t>
      </w:r>
      <w:r w:rsidR="00625943" w:rsidRPr="00006FCB">
        <w:rPr>
          <w:vertAlign w:val="superscript"/>
        </w:rPr>
        <w:fldChar w:fldCharType="end"/>
      </w:r>
      <w:r w:rsidRPr="383E5602">
        <w:t xml:space="preserve"> found no difference in survival after 22 years of follow-up of 688 Danish patients with post-surgical HPT, compared to 2,064 controls. A recent meta-analysis also found no effect on mortality risk due to HPT</w:t>
      </w:r>
      <w:r w:rsidR="00625943" w:rsidRPr="383E5602">
        <w:rPr>
          <w:rStyle w:val="FootnoteReference"/>
        </w:rPr>
        <w:footnoteReference w:id="13"/>
      </w:r>
      <w:r w:rsidRPr="383E5602">
        <w:t>. A further study found that only non-surgical HPT is associated with increased mortality</w:t>
      </w:r>
      <w:r w:rsidR="00625943" w:rsidRPr="383E5602">
        <w:rPr>
          <w:rStyle w:val="FootnoteReference"/>
        </w:rPr>
        <w:footnoteReference w:id="14"/>
      </w:r>
      <w:r w:rsidRPr="383E5602">
        <w:t xml:space="preserve">.  </w:t>
      </w:r>
    </w:p>
    <w:p w14:paraId="65F78D7F" w14:textId="782009DB" w:rsidR="00111CDD" w:rsidRDefault="00625943" w:rsidP="00111CDD">
      <w:pPr>
        <w:pStyle w:val="3-BodyText"/>
      </w:pPr>
      <w:bookmarkStart w:id="59" w:name="_Ref195258878"/>
      <w:r w:rsidRPr="00006FCB">
        <w:t>Baseline utility was applied to all patients in the first cycle of the model, based on the mean baseline</w:t>
      </w:r>
      <w:r w:rsidRPr="00006FCB">
        <w:rPr>
          <w:spacing w:val="-5"/>
        </w:rPr>
        <w:t xml:space="preserve"> </w:t>
      </w:r>
      <w:r w:rsidRPr="00006FCB">
        <w:t>utility</w:t>
      </w:r>
      <w:r w:rsidRPr="00006FCB">
        <w:rPr>
          <w:spacing w:val="-5"/>
        </w:rPr>
        <w:t xml:space="preserve"> </w:t>
      </w:r>
      <w:r w:rsidRPr="00006FCB">
        <w:t>from</w:t>
      </w:r>
      <w:r w:rsidRPr="00006FCB">
        <w:rPr>
          <w:spacing w:val="-5"/>
        </w:rPr>
        <w:t xml:space="preserve"> </w:t>
      </w:r>
      <w:r w:rsidRPr="00006FCB">
        <w:t>PaTHway using results from the EQ-5D-5L. EQ-5D-5L</w:t>
      </w:r>
      <w:r w:rsidRPr="00006FCB">
        <w:rPr>
          <w:spacing w:val="-13"/>
        </w:rPr>
        <w:t xml:space="preserve"> </w:t>
      </w:r>
      <w:r w:rsidRPr="00006FCB">
        <w:t>data</w:t>
      </w:r>
      <w:r w:rsidRPr="00006FCB">
        <w:rPr>
          <w:spacing w:val="-12"/>
        </w:rPr>
        <w:t xml:space="preserve"> </w:t>
      </w:r>
      <w:r w:rsidRPr="00006FCB">
        <w:t>were</w:t>
      </w:r>
      <w:r w:rsidRPr="00006FCB">
        <w:rPr>
          <w:spacing w:val="-13"/>
        </w:rPr>
        <w:t xml:space="preserve"> </w:t>
      </w:r>
      <w:r w:rsidRPr="00006FCB">
        <w:t>transformed</w:t>
      </w:r>
      <w:r w:rsidRPr="00006FCB">
        <w:rPr>
          <w:spacing w:val="-12"/>
        </w:rPr>
        <w:t xml:space="preserve"> </w:t>
      </w:r>
      <w:r w:rsidRPr="00006FCB">
        <w:t>to</w:t>
      </w:r>
      <w:r w:rsidRPr="00006FCB">
        <w:rPr>
          <w:spacing w:val="-13"/>
        </w:rPr>
        <w:t xml:space="preserve"> </w:t>
      </w:r>
      <w:r w:rsidRPr="00E56B36">
        <w:t>utility</w:t>
      </w:r>
      <w:r w:rsidRPr="00E56B36">
        <w:rPr>
          <w:spacing w:val="-12"/>
        </w:rPr>
        <w:t xml:space="preserve"> </w:t>
      </w:r>
      <w:r w:rsidRPr="00E56B36">
        <w:t>values</w:t>
      </w:r>
      <w:r w:rsidRPr="00E56B36">
        <w:rPr>
          <w:spacing w:val="-13"/>
        </w:rPr>
        <w:t xml:space="preserve"> </w:t>
      </w:r>
      <w:r w:rsidRPr="00E56B36">
        <w:t>using</w:t>
      </w:r>
      <w:r w:rsidRPr="00E56B36">
        <w:rPr>
          <w:spacing w:val="-12"/>
        </w:rPr>
        <w:t xml:space="preserve"> </w:t>
      </w:r>
      <w:r w:rsidRPr="00E56B36">
        <w:t>the</w:t>
      </w:r>
      <w:r w:rsidRPr="00E56B36">
        <w:rPr>
          <w:spacing w:val="-12"/>
        </w:rPr>
        <w:t xml:space="preserve"> </w:t>
      </w:r>
      <w:r w:rsidRPr="00E56B36">
        <w:t>Australian</w:t>
      </w:r>
      <w:r w:rsidRPr="00E56B36">
        <w:rPr>
          <w:spacing w:val="-13"/>
        </w:rPr>
        <w:t xml:space="preserve"> </w:t>
      </w:r>
      <w:r w:rsidRPr="00E56B36">
        <w:t>value</w:t>
      </w:r>
      <w:r w:rsidRPr="00E56B36">
        <w:rPr>
          <w:spacing w:val="-12"/>
        </w:rPr>
        <w:t xml:space="preserve"> </w:t>
      </w:r>
      <w:r w:rsidRPr="00E56B36">
        <w:t>set</w:t>
      </w:r>
      <w:r w:rsidR="00070127" w:rsidRPr="00E56B36">
        <w:rPr>
          <w:vertAlign w:val="superscript"/>
        </w:rPr>
        <w:fldChar w:fldCharType="begin"/>
      </w:r>
      <w:r w:rsidR="00070127" w:rsidRPr="00E56B36">
        <w:rPr>
          <w:vertAlign w:val="superscript"/>
        </w:rPr>
        <w:instrText xml:space="preserve"> NOTEREF _Ref187768471 \h  \* MERGEFORMAT </w:instrText>
      </w:r>
      <w:r w:rsidR="00070127" w:rsidRPr="00E56B36">
        <w:rPr>
          <w:vertAlign w:val="superscript"/>
        </w:rPr>
      </w:r>
      <w:r w:rsidR="00070127" w:rsidRPr="00E56B36">
        <w:rPr>
          <w:vertAlign w:val="superscript"/>
        </w:rPr>
        <w:fldChar w:fldCharType="separate"/>
      </w:r>
      <w:r w:rsidR="00DA35E4">
        <w:rPr>
          <w:vertAlign w:val="superscript"/>
        </w:rPr>
        <w:t>5</w:t>
      </w:r>
      <w:r w:rsidR="00070127" w:rsidRPr="00E56B36">
        <w:rPr>
          <w:vertAlign w:val="superscript"/>
        </w:rPr>
        <w:fldChar w:fldCharType="end"/>
      </w:r>
      <w:r w:rsidRPr="00E56B36">
        <w:t>.</w:t>
      </w:r>
      <w:r w:rsidRPr="00E56B36">
        <w:rPr>
          <w:spacing w:val="-13"/>
        </w:rPr>
        <w:t xml:space="preserve"> </w:t>
      </w:r>
      <w:r w:rsidRPr="00E56B36">
        <w:t>The</w:t>
      </w:r>
      <w:r w:rsidRPr="00E56B36">
        <w:rPr>
          <w:spacing w:val="-12"/>
        </w:rPr>
        <w:t xml:space="preserve"> </w:t>
      </w:r>
      <w:r w:rsidRPr="00E56B36">
        <w:t>mean baseline utility across the trial was 0.831. Treatment specific utilities were applied based on EQ-5D-5L data from the PaTHway trial from Cycle 2 onwards. An ANCOVA model on results at Week 26 resulted in least square mean change from baseline utilities of 0.075 in the palopegteriparatide arm and a decrement of -0.043 in the conventional</w:t>
      </w:r>
      <w:r w:rsidRPr="00006FCB">
        <w:t xml:space="preserve"> therapy arm. </w:t>
      </w:r>
      <w:r w:rsidR="0001552F" w:rsidRPr="00BF712C">
        <w:t>The ESC noted that</w:t>
      </w:r>
      <w:r w:rsidR="0001552F">
        <w:rPr>
          <w:i/>
          <w:iCs/>
        </w:rPr>
        <w:t xml:space="preserve"> </w:t>
      </w:r>
      <w:r w:rsidR="0001552F">
        <w:t>t</w:t>
      </w:r>
      <w:r w:rsidRPr="00006FCB">
        <w:t xml:space="preserve">his meant that palopegteriparatide patients in CKD 1/2 from Cycle 2 were applied a utility value </w:t>
      </w:r>
      <w:r w:rsidRPr="00E56B36">
        <w:t xml:space="preserve">of 0.906 (0.831+0.075), </w:t>
      </w:r>
      <w:r w:rsidR="00635AC5" w:rsidRPr="00E56B36">
        <w:t>which</w:t>
      </w:r>
      <w:r w:rsidR="00635AC5">
        <w:t xml:space="preserve"> is </w:t>
      </w:r>
      <w:r w:rsidRPr="00006FCB">
        <w:t>higher than population norms of 0.86 (standard deviation 0.19) for Australia</w:t>
      </w:r>
      <w:bookmarkStart w:id="60" w:name="_Ref185249721"/>
      <w:r w:rsidRPr="00006FCB">
        <w:rPr>
          <w:rStyle w:val="FootnoteReference"/>
        </w:rPr>
        <w:footnoteReference w:id="15"/>
      </w:r>
      <w:r w:rsidR="00077DF4" w:rsidRPr="00006FCB">
        <w:rPr>
          <w:vertAlign w:val="superscript"/>
        </w:rPr>
        <w:t>,</w:t>
      </w:r>
      <w:r w:rsidRPr="00006FCB">
        <w:rPr>
          <w:vertAlign w:val="superscript"/>
        </w:rPr>
        <w:fldChar w:fldCharType="begin"/>
      </w:r>
      <w:r w:rsidRPr="00006FCB">
        <w:rPr>
          <w:vertAlign w:val="superscript"/>
        </w:rPr>
        <w:instrText xml:space="preserve"> NOTEREF _Ref185249721 \h  \* MERGEFORMAT </w:instrText>
      </w:r>
      <w:r w:rsidRPr="00006FCB">
        <w:rPr>
          <w:vertAlign w:val="superscript"/>
        </w:rPr>
      </w:r>
      <w:r w:rsidRPr="00006FCB">
        <w:rPr>
          <w:vertAlign w:val="superscript"/>
        </w:rPr>
        <w:fldChar w:fldCharType="separate"/>
      </w:r>
      <w:r w:rsidR="00DA35E4" w:rsidRPr="00DA35E4">
        <w:rPr>
          <w:b/>
          <w:bCs/>
          <w:vertAlign w:val="superscript"/>
          <w:lang w:val="en-US"/>
        </w:rPr>
        <w:t>14</w:t>
      </w:r>
      <w:r w:rsidRPr="00006FCB">
        <w:rPr>
          <w:vertAlign w:val="superscript"/>
        </w:rPr>
        <w:fldChar w:fldCharType="end"/>
      </w:r>
      <w:bookmarkEnd w:id="60"/>
      <w:r w:rsidRPr="00006FCB">
        <w:t>.</w:t>
      </w:r>
      <w:bookmarkEnd w:id="59"/>
      <w:r w:rsidRPr="00006FCB">
        <w:t xml:space="preserve"> </w:t>
      </w:r>
    </w:p>
    <w:p w14:paraId="09AFC0A6" w14:textId="6BD73B1F" w:rsidR="00625943" w:rsidRPr="00FE2059" w:rsidRDefault="12BC06F7" w:rsidP="383E5602">
      <w:pPr>
        <w:pStyle w:val="3-BodyText"/>
      </w:pPr>
      <w:bookmarkStart w:id="61" w:name="_Ref190948232"/>
      <w:r w:rsidRPr="00FE2059">
        <w:t xml:space="preserve">The submission applied </w:t>
      </w:r>
      <w:r w:rsidR="1898DFB7" w:rsidRPr="00FE2059">
        <w:t xml:space="preserve">the </w:t>
      </w:r>
      <w:r w:rsidRPr="00FE2059">
        <w:t>utility value</w:t>
      </w:r>
      <w:r w:rsidR="1898DFB7" w:rsidRPr="00FE2059">
        <w:t>s</w:t>
      </w:r>
      <w:r w:rsidRPr="00FE2059">
        <w:t xml:space="preserve"> </w:t>
      </w:r>
      <w:r w:rsidR="1898DFB7" w:rsidRPr="00FE2059">
        <w:t xml:space="preserve">to </w:t>
      </w:r>
      <w:r w:rsidRPr="00FE2059">
        <w:t>each cycle</w:t>
      </w:r>
      <w:r w:rsidR="1898DFB7" w:rsidRPr="00FE2059">
        <w:t xml:space="preserve">, therefore </w:t>
      </w:r>
      <w:r w:rsidR="29B0EFA9" w:rsidRPr="00FE2059">
        <w:t xml:space="preserve">it was </w:t>
      </w:r>
      <w:r w:rsidRPr="00FE2059">
        <w:t xml:space="preserve">assumed that the treatment specific increment and decrement were constant </w:t>
      </w:r>
      <w:r w:rsidR="29B0EFA9" w:rsidRPr="00FE2059">
        <w:t>and</w:t>
      </w:r>
      <w:r w:rsidRPr="00FE2059">
        <w:t xml:space="preserve"> that </w:t>
      </w:r>
      <w:r w:rsidR="29B0EFA9" w:rsidRPr="00FE2059">
        <w:t xml:space="preserve">the </w:t>
      </w:r>
      <w:r w:rsidRPr="00FE2059">
        <w:t>treatment effects are sustained while on treatment</w:t>
      </w:r>
      <w:r w:rsidR="29B0EFA9" w:rsidRPr="00FE2059">
        <w:t>. This</w:t>
      </w:r>
      <w:r w:rsidRPr="00FE2059">
        <w:t xml:space="preserve"> likely </w:t>
      </w:r>
      <w:r w:rsidR="29B0EFA9" w:rsidRPr="00FE2059">
        <w:t xml:space="preserve">overestimated </w:t>
      </w:r>
      <w:r w:rsidRPr="00FE2059">
        <w:t>the benefits in the palopegteriparatide arm</w:t>
      </w:r>
      <w:r w:rsidR="29B0EFA9" w:rsidRPr="00FE2059">
        <w:t xml:space="preserve"> and</w:t>
      </w:r>
      <w:r w:rsidRPr="00FE2059">
        <w:t xml:space="preserve"> was not supported by the clinical evidence provided by the submission. Since the HRQoL data was based on a short time period of 26 weeks, it may not </w:t>
      </w:r>
      <w:r w:rsidR="29B0EFA9" w:rsidRPr="00FE2059">
        <w:t xml:space="preserve">have </w:t>
      </w:r>
      <w:r w:rsidRPr="00FE2059">
        <w:t>be</w:t>
      </w:r>
      <w:r w:rsidR="29B0EFA9" w:rsidRPr="00FE2059">
        <w:t>en</w:t>
      </w:r>
      <w:r w:rsidRPr="00FE2059">
        <w:t xml:space="preserve"> reasonable to assume that a constant increment would be sustained for the duration of the model, noting that there is no long-term data available. Further, the observed decrement in the conventional therapy arm </w:t>
      </w:r>
      <w:r w:rsidR="5814A01D" w:rsidRPr="00FE2059">
        <w:t>may be, at least in part, a result of the dose titration algorithm applied in PaTHway</w:t>
      </w:r>
      <w:r w:rsidRPr="00FE2059">
        <w:t>.</w:t>
      </w:r>
      <w:r w:rsidR="51F9D26A" w:rsidRPr="00FE2059">
        <w:t xml:space="preserve"> The ESC also noted that the utility increments/decrements were based on small number of </w:t>
      </w:r>
      <w:r w:rsidR="55AB87B9" w:rsidRPr="00FE2059">
        <w:t>patients</w:t>
      </w:r>
      <w:r w:rsidR="51F9D26A" w:rsidRPr="00FE2059">
        <w:t xml:space="preserve"> (59 in PPT arm; 19 in CT arm). Further as EQ-5D </w:t>
      </w:r>
      <w:r w:rsidR="29B0EFA9" w:rsidRPr="00FE2059">
        <w:t>is a</w:t>
      </w:r>
      <w:r w:rsidR="51F9D26A" w:rsidRPr="00FE2059">
        <w:t xml:space="preserve"> generic quality of life instrument, the increment/decrement may be driven by changes in health outcomes not related to kidney function, such as neuromuscular manifestations. </w:t>
      </w:r>
      <w:bookmarkEnd w:id="61"/>
    </w:p>
    <w:p w14:paraId="367E5E7F" w14:textId="75A79471" w:rsidR="00625943" w:rsidRPr="00006FCB" w:rsidRDefault="12BC06F7" w:rsidP="00625943">
      <w:pPr>
        <w:pStyle w:val="3-BodyText"/>
      </w:pPr>
      <w:r w:rsidRPr="383E5602">
        <w:t>The submission also applied a disutility to each cycle related to the CKD health stages 3-5. These disutility values were based on Deloitte (2023)</w:t>
      </w:r>
      <w:r w:rsidR="00625943" w:rsidRPr="383E5602">
        <w:rPr>
          <w:rStyle w:val="FootnoteReference"/>
        </w:rPr>
        <w:footnoteReference w:id="16"/>
      </w:r>
      <w:r w:rsidRPr="383E5602">
        <w:t>, that based its estimates on a systematic literature review</w:t>
      </w:r>
      <w:r w:rsidR="00625943" w:rsidRPr="383E5602">
        <w:rPr>
          <w:rStyle w:val="FootnoteReference"/>
        </w:rPr>
        <w:footnoteReference w:id="17"/>
      </w:r>
      <w:r w:rsidRPr="383E5602">
        <w:t xml:space="preserve"> of health state utility weights for different stages of CKD, renal replacement therapy and complications. The model was not sensitive to the CKD stage related utility decrements. </w:t>
      </w:r>
    </w:p>
    <w:p w14:paraId="28FBFED6" w14:textId="028EDDE9" w:rsidR="00625943" w:rsidRPr="00BA0B52" w:rsidRDefault="12BC06F7" w:rsidP="00F225EA">
      <w:pPr>
        <w:pStyle w:val="3-BodyText"/>
        <w:spacing w:after="120"/>
      </w:pPr>
      <w:r w:rsidRPr="383E5602">
        <w:t xml:space="preserve">The submission presented traces from the economic model displaying the time spent in each of the health states over 50 years. The traces for palopegteriparatide and conventional therapy are presented in </w:t>
      </w:r>
      <w:r w:rsidR="00625943">
        <w:fldChar w:fldCharType="begin"/>
      </w:r>
      <w:r w:rsidR="00625943">
        <w:instrText xml:space="preserve"> REF _Ref185242495 \h  \* MERGEFORMAT </w:instrText>
      </w:r>
      <w:r w:rsidR="00625943">
        <w:fldChar w:fldCharType="separate"/>
      </w:r>
      <w:r w:rsidR="00DA35E4" w:rsidRPr="4D2BAA30">
        <w:t xml:space="preserve">Figure </w:t>
      </w:r>
      <w:r w:rsidR="00DA35E4">
        <w:rPr>
          <w:noProof/>
        </w:rPr>
        <w:t>1</w:t>
      </w:r>
      <w:r w:rsidR="00625943">
        <w:fldChar w:fldCharType="end"/>
      </w:r>
      <w:r w:rsidRPr="383E5602">
        <w:t xml:space="preserve"> and </w:t>
      </w:r>
      <w:r w:rsidR="00625943">
        <w:fldChar w:fldCharType="begin"/>
      </w:r>
      <w:r w:rsidR="00625943">
        <w:instrText xml:space="preserve"> REF _Ref185242501 \h  \* MERGEFORMAT </w:instrText>
      </w:r>
      <w:r w:rsidR="00625943">
        <w:fldChar w:fldCharType="separate"/>
      </w:r>
      <w:r w:rsidR="00DA35E4" w:rsidRPr="00006FCB">
        <w:t xml:space="preserve">Figure </w:t>
      </w:r>
      <w:r w:rsidR="00DA35E4">
        <w:rPr>
          <w:noProof/>
        </w:rPr>
        <w:t>2</w:t>
      </w:r>
      <w:r w:rsidR="00625943">
        <w:fldChar w:fldCharType="end"/>
      </w:r>
      <w:r w:rsidRPr="383E5602">
        <w:t>, respectively. According to the traces, half of the patients who started in CKD 1/2 health state would remain in that health state at approximately 20 years in the palopegteriparatide arm and approximately 12 years in the conventional therapy arm. The figures demonstrate that more time was spent in the CKD 4 and CKD 5 health states in the conventional therapy arm compared to palopegteriparatide arm</w:t>
      </w:r>
      <w:r w:rsidR="68FE85EF" w:rsidRPr="383E5602">
        <w:rPr>
          <w:i/>
          <w:iCs/>
        </w:rPr>
        <w:t xml:space="preserve">. </w:t>
      </w:r>
      <w:r w:rsidRPr="383E5602">
        <w:t xml:space="preserve">This is driven by both the Cycle 1 transitions derived from PaTHway and the transitions for CKD health stages for Cycle 2 onwards derived from the literature. </w:t>
      </w:r>
      <w:r w:rsidR="526E0415" w:rsidRPr="000C09F7">
        <w:t>The ESC noted that</w:t>
      </w:r>
      <w:r w:rsidR="526E0415" w:rsidRPr="383E5602">
        <w:rPr>
          <w:i/>
          <w:iCs/>
        </w:rPr>
        <w:t xml:space="preserve"> </w:t>
      </w:r>
      <w:r w:rsidR="526E0415" w:rsidRPr="383E5602">
        <w:t>t</w:t>
      </w:r>
      <w:r w:rsidRPr="383E5602">
        <w:t xml:space="preserve">he outcomes in the model are based on less than 1% (= 0.5 year / 51 years) of the trial data compared to the extrapolated period. </w:t>
      </w:r>
      <w:r w:rsidR="31B5F742" w:rsidRPr="00BA0B52">
        <w:t xml:space="preserve">The ESC considered that the </w:t>
      </w:r>
      <w:r w:rsidR="13878280" w:rsidRPr="00BA0B52">
        <w:t>health state distribution</w:t>
      </w:r>
      <w:r w:rsidR="50CE807A" w:rsidRPr="00BA0B52">
        <w:t>s were</w:t>
      </w:r>
      <w:r w:rsidR="13878280" w:rsidRPr="00BA0B52">
        <w:t xml:space="preserve"> highly </w:t>
      </w:r>
      <w:r w:rsidR="1EFB1F83" w:rsidRPr="00BA0B52">
        <w:t>uncertain and favoured palopegteripa</w:t>
      </w:r>
      <w:r w:rsidR="5A2476B6" w:rsidRPr="00BA0B52">
        <w:t xml:space="preserve">ratide. </w:t>
      </w:r>
    </w:p>
    <w:p w14:paraId="5D91EB80" w14:textId="685FB950" w:rsidR="00625943" w:rsidRPr="00006FCB" w:rsidRDefault="00625943" w:rsidP="00F225EA">
      <w:pPr>
        <w:pStyle w:val="Caption"/>
        <w:spacing w:before="120"/>
      </w:pPr>
      <w:bookmarkStart w:id="62" w:name="_Ref185242495"/>
      <w:r w:rsidRPr="4D2BAA30">
        <w:t xml:space="preserve">Figure </w:t>
      </w:r>
      <w:r w:rsidRPr="4D2BAA30">
        <w:fldChar w:fldCharType="begin"/>
      </w:r>
      <w:r>
        <w:instrText xml:space="preserve"> SEQ Figure \* ARABIC </w:instrText>
      </w:r>
      <w:r w:rsidRPr="4D2BAA30">
        <w:fldChar w:fldCharType="separate"/>
      </w:r>
      <w:r w:rsidR="00DA35E4">
        <w:rPr>
          <w:noProof/>
        </w:rPr>
        <w:t>1</w:t>
      </w:r>
      <w:r w:rsidRPr="4D2BAA30">
        <w:rPr>
          <w:noProof/>
        </w:rPr>
        <w:fldChar w:fldCharType="end"/>
      </w:r>
      <w:bookmarkEnd w:id="62"/>
      <w:r w:rsidRPr="4D2BAA30">
        <w:t>. Palopegteriparatide arm: Distribution by CKD stage (and death)</w:t>
      </w:r>
    </w:p>
    <w:p w14:paraId="42047ABF" w14:textId="77777777" w:rsidR="00625943" w:rsidRPr="00006FCB" w:rsidRDefault="00625943" w:rsidP="00625943">
      <w:pPr>
        <w:rPr>
          <w:rFonts w:ascii="Arial Narrow" w:hAnsi="Arial Narrow"/>
          <w:sz w:val="18"/>
          <w:szCs w:val="18"/>
        </w:rPr>
      </w:pPr>
      <w:r w:rsidRPr="00006FCB">
        <w:rPr>
          <w:noProof/>
        </w:rPr>
        <w:drawing>
          <wp:inline distT="0" distB="0" distL="0" distR="0" wp14:anchorId="477417B7" wp14:editId="29D98EEF">
            <wp:extent cx="4434114" cy="2416629"/>
            <wp:effectExtent l="0" t="0" r="5080" b="3175"/>
            <wp:docPr id="573909160" name="Image 371" descr="Figure 1. Palopegteriparatide arm: Distribution by CKD stage (and dea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909160" name="Image 371" descr="Figure 1. Palopegteriparatide arm: Distribution by CKD stage (and death)"/>
                    <pic:cNvPicPr/>
                  </pic:nvPicPr>
                  <pic:blipFill>
                    <a:blip r:embed="rId11" cstate="print"/>
                    <a:stretch>
                      <a:fillRect/>
                    </a:stretch>
                  </pic:blipFill>
                  <pic:spPr>
                    <a:xfrm>
                      <a:off x="0" y="0"/>
                      <a:ext cx="4446782" cy="2423533"/>
                    </a:xfrm>
                    <a:prstGeom prst="rect">
                      <a:avLst/>
                    </a:prstGeom>
                  </pic:spPr>
                </pic:pic>
              </a:graphicData>
            </a:graphic>
          </wp:inline>
        </w:drawing>
      </w:r>
    </w:p>
    <w:p w14:paraId="40E5C4C8" w14:textId="77777777" w:rsidR="00625943" w:rsidRPr="00006FCB" w:rsidRDefault="00625943" w:rsidP="00625943">
      <w:pPr>
        <w:spacing w:before="120"/>
        <w:rPr>
          <w:rFonts w:ascii="Arial Narrow" w:hAnsi="Arial Narrow"/>
          <w:sz w:val="18"/>
          <w:szCs w:val="18"/>
        </w:rPr>
      </w:pPr>
      <w:r w:rsidRPr="00006FCB">
        <w:rPr>
          <w:rFonts w:ascii="Arial Narrow" w:hAnsi="Arial Narrow"/>
          <w:sz w:val="18"/>
          <w:szCs w:val="18"/>
        </w:rPr>
        <w:t>Source: Figure 41, p177 of the submission.</w:t>
      </w:r>
    </w:p>
    <w:p w14:paraId="49BB0CDD" w14:textId="77777777" w:rsidR="00625943" w:rsidRPr="00006FCB" w:rsidRDefault="00625943" w:rsidP="4D2BAA30">
      <w:pPr>
        <w:rPr>
          <w:rFonts w:ascii="Arial Narrow" w:hAnsi="Arial Narrow"/>
          <w:sz w:val="18"/>
          <w:szCs w:val="18"/>
        </w:rPr>
      </w:pPr>
      <w:r w:rsidRPr="4D2BAA30">
        <w:rPr>
          <w:rFonts w:ascii="Arial Narrow" w:hAnsi="Arial Narrow"/>
          <w:sz w:val="18"/>
          <w:szCs w:val="18"/>
        </w:rPr>
        <w:t>CKD= chronic kidney</w:t>
      </w:r>
      <w:r w:rsidRPr="4D2BAA30">
        <w:rPr>
          <w:rFonts w:ascii="Arial Narrow" w:hAnsi="Arial Narrow"/>
          <w:spacing w:val="-4"/>
          <w:sz w:val="18"/>
          <w:szCs w:val="18"/>
        </w:rPr>
        <w:t xml:space="preserve"> </w:t>
      </w:r>
      <w:r w:rsidRPr="4D2BAA30">
        <w:rPr>
          <w:rFonts w:ascii="Arial Narrow" w:hAnsi="Arial Narrow"/>
          <w:sz w:val="18"/>
          <w:szCs w:val="18"/>
        </w:rPr>
        <w:t>disease,</w:t>
      </w:r>
      <w:r w:rsidRPr="4D2BAA30">
        <w:rPr>
          <w:rFonts w:ascii="Arial Narrow" w:hAnsi="Arial Narrow"/>
          <w:spacing w:val="-3"/>
          <w:sz w:val="18"/>
          <w:szCs w:val="18"/>
        </w:rPr>
        <w:t xml:space="preserve"> </w:t>
      </w:r>
      <w:r w:rsidRPr="4D2BAA30">
        <w:rPr>
          <w:rFonts w:ascii="Arial Narrow" w:hAnsi="Arial Narrow"/>
          <w:sz w:val="18"/>
          <w:szCs w:val="18"/>
        </w:rPr>
        <w:t>PPT = palopegteriparatide.</w:t>
      </w:r>
    </w:p>
    <w:p w14:paraId="27E95CD1" w14:textId="77777777" w:rsidR="00625943" w:rsidRPr="00006FCB" w:rsidRDefault="00625943" w:rsidP="00625943"/>
    <w:p w14:paraId="3E9A924C" w14:textId="54624DBB" w:rsidR="00625943" w:rsidRPr="00006FCB" w:rsidRDefault="00625943" w:rsidP="00625943">
      <w:pPr>
        <w:pStyle w:val="Caption"/>
      </w:pPr>
      <w:bookmarkStart w:id="63" w:name="_Ref185242501"/>
      <w:r w:rsidRPr="00006FCB">
        <w:t xml:space="preserve">Figure </w:t>
      </w:r>
      <w:r w:rsidR="002C445B">
        <w:fldChar w:fldCharType="begin"/>
      </w:r>
      <w:r w:rsidR="002C445B">
        <w:instrText xml:space="preserve"> SEQ Figure \* ARABIC </w:instrText>
      </w:r>
      <w:r w:rsidR="002C445B">
        <w:fldChar w:fldCharType="separate"/>
      </w:r>
      <w:r w:rsidR="00DA35E4">
        <w:rPr>
          <w:noProof/>
        </w:rPr>
        <w:t>2</w:t>
      </w:r>
      <w:r w:rsidR="002C445B">
        <w:rPr>
          <w:noProof/>
        </w:rPr>
        <w:fldChar w:fldCharType="end"/>
      </w:r>
      <w:bookmarkEnd w:id="63"/>
      <w:r w:rsidRPr="00006FCB">
        <w:t>. CT arm: Distribution by CKD stage (and death)</w:t>
      </w:r>
    </w:p>
    <w:p w14:paraId="4AEB3551" w14:textId="77777777" w:rsidR="00625943" w:rsidRPr="00006FCB" w:rsidRDefault="00625943" w:rsidP="00625943">
      <w:pPr>
        <w:rPr>
          <w:rFonts w:ascii="Arial Narrow" w:hAnsi="Arial Narrow"/>
          <w:sz w:val="18"/>
          <w:szCs w:val="18"/>
        </w:rPr>
      </w:pPr>
      <w:r w:rsidRPr="00006FCB">
        <w:rPr>
          <w:noProof/>
        </w:rPr>
        <w:drawing>
          <wp:inline distT="0" distB="0" distL="0" distR="0" wp14:anchorId="6CD2065A" wp14:editId="598E45F1">
            <wp:extent cx="4419600" cy="2358572"/>
            <wp:effectExtent l="0" t="0" r="0" b="3810"/>
            <wp:docPr id="19827982" name="Image 372" descr="Figure 2. CT arm: Distribution by CKD stage (and dea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27982" name="Image 372" descr="Figure 2. CT arm: Distribution by CKD stage (and death)"/>
                    <pic:cNvPicPr/>
                  </pic:nvPicPr>
                  <pic:blipFill>
                    <a:blip r:embed="rId12" cstate="print"/>
                    <a:stretch>
                      <a:fillRect/>
                    </a:stretch>
                  </pic:blipFill>
                  <pic:spPr>
                    <a:xfrm>
                      <a:off x="0" y="0"/>
                      <a:ext cx="4429656" cy="2363938"/>
                    </a:xfrm>
                    <a:prstGeom prst="rect">
                      <a:avLst/>
                    </a:prstGeom>
                  </pic:spPr>
                </pic:pic>
              </a:graphicData>
            </a:graphic>
          </wp:inline>
        </w:drawing>
      </w:r>
    </w:p>
    <w:p w14:paraId="3C6937BF" w14:textId="77777777" w:rsidR="00625943" w:rsidRPr="00006FCB" w:rsidRDefault="00625943" w:rsidP="00625943">
      <w:pPr>
        <w:spacing w:before="120"/>
        <w:rPr>
          <w:rFonts w:ascii="Arial Narrow" w:hAnsi="Arial Narrow"/>
          <w:sz w:val="18"/>
          <w:szCs w:val="18"/>
        </w:rPr>
      </w:pPr>
      <w:r w:rsidRPr="00006FCB">
        <w:rPr>
          <w:rFonts w:ascii="Arial Narrow" w:hAnsi="Arial Narrow"/>
          <w:sz w:val="18"/>
          <w:szCs w:val="18"/>
        </w:rPr>
        <w:t>Source: Figure 42, p177 of the submission.</w:t>
      </w:r>
    </w:p>
    <w:p w14:paraId="2B8C73A1" w14:textId="77777777" w:rsidR="00625943" w:rsidRPr="00006FCB" w:rsidRDefault="00625943" w:rsidP="00625943">
      <w:pPr>
        <w:rPr>
          <w:rFonts w:ascii="Arial Narrow" w:hAnsi="Arial Narrow"/>
          <w:sz w:val="18"/>
          <w:szCs w:val="18"/>
        </w:rPr>
      </w:pPr>
      <w:r w:rsidRPr="00006FCB">
        <w:rPr>
          <w:rFonts w:ascii="Arial Narrow" w:hAnsi="Arial Narrow"/>
          <w:sz w:val="18"/>
          <w:szCs w:val="18"/>
        </w:rPr>
        <w:t>CKD = chronic kidney disease, CT = conventional therapy.</w:t>
      </w:r>
    </w:p>
    <w:p w14:paraId="463CA7C7" w14:textId="0D88869D" w:rsidR="00625943" w:rsidRPr="00006FCB" w:rsidRDefault="12BC06F7" w:rsidP="00625943">
      <w:pPr>
        <w:pStyle w:val="3-BodyText"/>
      </w:pPr>
      <w:r w:rsidRPr="383E5602">
        <w:t>To derive the dose distribution applied in the economic model, the submission applied a normal distribution to the mean daily dose (21.4 mcg/day) at 26 weeks in PaTHway, a minimum dose of 9 mcg/day and a maximum dose of 39 mcg/day from PaTHway. Based on the dose distribution estimated by the submission and the volumes dispensed across the range of possible doses the submission estimated that each PBS item will cover 30.08 days of treatment (equivalent to 6.07 PBS items per cycle). The submission also estimated a compliance rate of 96.4%, based on exposure in PaTHway.</w:t>
      </w:r>
    </w:p>
    <w:p w14:paraId="1FFD514A" w14:textId="115063F4" w:rsidR="00625943" w:rsidRPr="00006FCB" w:rsidRDefault="00625943" w:rsidP="00625943">
      <w:pPr>
        <w:pStyle w:val="3-BodyText"/>
      </w:pPr>
      <w:r w:rsidRPr="00006FCB">
        <w:t xml:space="preserve">The submission included anniversary price reductions every 5 years until Year 15 (5%, 5% and 30% at years 5, 10 and 15 respectively). </w:t>
      </w:r>
      <w:r w:rsidR="006E107F" w:rsidRPr="0019120D">
        <w:t>The ESC considered that</w:t>
      </w:r>
      <w:r w:rsidR="006E107F">
        <w:rPr>
          <w:i/>
          <w:iCs/>
        </w:rPr>
        <w:t xml:space="preserve"> </w:t>
      </w:r>
      <w:r w:rsidR="006E107F">
        <w:t>t</w:t>
      </w:r>
      <w:r w:rsidRPr="00006FCB">
        <w:t xml:space="preserve">his was not reasonable. Excluding the anniversary price reductions increased the ICER from the base case of </w:t>
      </w:r>
      <w:r w:rsidR="00246F79" w:rsidRPr="00246F79">
        <w:t xml:space="preserve">$95,000 to &lt; $115,000 </w:t>
      </w:r>
      <w:r w:rsidRPr="00006FCB">
        <w:t xml:space="preserve">/QALY gained to </w:t>
      </w:r>
      <w:r w:rsidR="00246F79" w:rsidRPr="00246F79">
        <w:t xml:space="preserve">$95,000 to &lt; $115,000 </w:t>
      </w:r>
      <w:r w:rsidRPr="00006FCB">
        <w:t>/QALY gained.</w:t>
      </w:r>
    </w:p>
    <w:p w14:paraId="54244F1C" w14:textId="77777777" w:rsidR="00625943" w:rsidRPr="00006FCB" w:rsidRDefault="00625943" w:rsidP="00625943">
      <w:pPr>
        <w:pStyle w:val="3-BodyText"/>
      </w:pPr>
      <w:r w:rsidRPr="00006FCB">
        <w:t xml:space="preserve">The submission sourced the cost of health states from a Deloitte (2023) report on the economic cost of CKD in Australia in 2021. The report estimated a health system cost for CKD in Australia in 2021. </w:t>
      </w:r>
    </w:p>
    <w:p w14:paraId="0FFBCD1A" w14:textId="0F17256F" w:rsidR="00625943" w:rsidRPr="00006FCB" w:rsidRDefault="00625943" w:rsidP="00625943">
      <w:pPr>
        <w:pStyle w:val="3-BodyText"/>
      </w:pPr>
      <w:r w:rsidRPr="00006FCB">
        <w:t>A summary of the key drivers of the model is presented in</w:t>
      </w:r>
      <w:r w:rsidRPr="00006FCB">
        <w:rPr>
          <w:color w:val="0066FF"/>
        </w:rPr>
        <w:t xml:space="preserve"> </w:t>
      </w:r>
      <w:r w:rsidRPr="00006FCB">
        <w:fldChar w:fldCharType="begin"/>
      </w:r>
      <w:r w:rsidRPr="00006FCB">
        <w:instrText xml:space="preserve"> REF _Ref104805122 \h </w:instrText>
      </w:r>
      <w:r w:rsidR="00006FCB" w:rsidRPr="00006FCB">
        <w:instrText xml:space="preserve"> \* MERGEFORMAT </w:instrText>
      </w:r>
      <w:r w:rsidRPr="00006FCB">
        <w:fldChar w:fldCharType="separate"/>
      </w:r>
      <w:r w:rsidR="00DA35E4" w:rsidRPr="00006FCB">
        <w:t xml:space="preserve">Table </w:t>
      </w:r>
      <w:r w:rsidR="00DA35E4">
        <w:rPr>
          <w:noProof/>
        </w:rPr>
        <w:t>14</w:t>
      </w:r>
      <w:r w:rsidRPr="00006FCB">
        <w:fldChar w:fldCharType="end"/>
      </w:r>
      <w:r w:rsidRPr="00006FCB">
        <w:t xml:space="preserve">. </w:t>
      </w:r>
    </w:p>
    <w:p w14:paraId="49F80F73" w14:textId="3995771B" w:rsidR="00625943" w:rsidRPr="00006FCB" w:rsidRDefault="00625943" w:rsidP="00625943">
      <w:pPr>
        <w:pStyle w:val="Caption"/>
        <w:jc w:val="left"/>
        <w:rPr>
          <w:rStyle w:val="CommentReference"/>
          <w:b/>
          <w:szCs w:val="24"/>
        </w:rPr>
      </w:pPr>
      <w:bookmarkStart w:id="64" w:name="_Ref104805122"/>
      <w:r w:rsidRPr="00006FCB">
        <w:t xml:space="preserve">Table </w:t>
      </w:r>
      <w:r w:rsidR="0065405D">
        <w:fldChar w:fldCharType="begin"/>
      </w:r>
      <w:r w:rsidR="0065405D">
        <w:instrText xml:space="preserve"> SEQ Table \* ARABIC </w:instrText>
      </w:r>
      <w:r w:rsidR="0065405D">
        <w:fldChar w:fldCharType="separate"/>
      </w:r>
      <w:r w:rsidR="00DA35E4">
        <w:rPr>
          <w:noProof/>
        </w:rPr>
        <w:t>14</w:t>
      </w:r>
      <w:r w:rsidR="0065405D">
        <w:rPr>
          <w:noProof/>
        </w:rPr>
        <w:fldChar w:fldCharType="end"/>
      </w:r>
      <w:bookmarkEnd w:id="64"/>
      <w:r w:rsidRPr="00006FCB">
        <w:t>:</w:t>
      </w:r>
      <w:r w:rsidRPr="00006FCB">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Key drivers of the model"/>
      </w:tblPr>
      <w:tblGrid>
        <w:gridCol w:w="1794"/>
        <w:gridCol w:w="3001"/>
        <w:gridCol w:w="4222"/>
      </w:tblGrid>
      <w:tr w:rsidR="00625943" w:rsidRPr="00006FCB" w14:paraId="4A673CBA" w14:textId="77777777" w:rsidTr="4D2BAA30">
        <w:trPr>
          <w:tblHeader/>
        </w:trPr>
        <w:tc>
          <w:tcPr>
            <w:tcW w:w="995" w:type="pct"/>
            <w:shd w:val="clear" w:color="auto" w:fill="auto"/>
            <w:vAlign w:val="center"/>
          </w:tcPr>
          <w:p w14:paraId="4C7580AC" w14:textId="77777777" w:rsidR="00625943" w:rsidRPr="00006FCB" w:rsidRDefault="00625943">
            <w:pPr>
              <w:pStyle w:val="In-tableHeading"/>
              <w:framePr w:wrap="around"/>
            </w:pPr>
            <w:r w:rsidRPr="00006FCB">
              <w:t>Description</w:t>
            </w:r>
          </w:p>
        </w:tc>
        <w:tc>
          <w:tcPr>
            <w:tcW w:w="1664" w:type="pct"/>
            <w:shd w:val="clear" w:color="auto" w:fill="auto"/>
            <w:vAlign w:val="center"/>
          </w:tcPr>
          <w:p w14:paraId="52D634C7" w14:textId="77777777" w:rsidR="00625943" w:rsidRPr="00006FCB" w:rsidRDefault="00625943">
            <w:pPr>
              <w:pStyle w:val="In-tableHeading"/>
              <w:framePr w:wrap="around"/>
            </w:pPr>
            <w:r w:rsidRPr="00006FCB">
              <w:t>Method/Value</w:t>
            </w:r>
          </w:p>
        </w:tc>
        <w:tc>
          <w:tcPr>
            <w:tcW w:w="2341" w:type="pct"/>
            <w:shd w:val="clear" w:color="auto" w:fill="auto"/>
            <w:vAlign w:val="center"/>
          </w:tcPr>
          <w:p w14:paraId="7EB39E84" w14:textId="77777777" w:rsidR="00625943" w:rsidRPr="00006FCB" w:rsidRDefault="00625943">
            <w:pPr>
              <w:pStyle w:val="In-tableHeading"/>
              <w:framePr w:wrap="around"/>
            </w:pPr>
            <w:r w:rsidRPr="00006FCB">
              <w:t>Impact</w:t>
            </w:r>
          </w:p>
          <w:p w14:paraId="4BD52131" w14:textId="3A2EE4F6" w:rsidR="00625943" w:rsidRPr="00006FCB" w:rsidRDefault="00625943">
            <w:pPr>
              <w:pStyle w:val="In-tableHeading"/>
              <w:framePr w:wrap="around"/>
            </w:pPr>
            <w:r w:rsidRPr="00006FCB">
              <w:t>Base case: $</w:t>
            </w:r>
            <w:r w:rsidR="00836BEA" w:rsidRPr="00836BEA">
              <w:rPr>
                <w:color w:val="000000"/>
                <w:spacing w:val="58"/>
                <w:shd w:val="solid" w:color="000000" w:fill="000000"/>
                <w:fitText w:val="360" w:id="-694428153"/>
                <w14:textFill>
                  <w14:solidFill>
                    <w14:srgbClr w14:val="000000">
                      <w14:alpha w14:val="100000"/>
                    </w14:srgbClr>
                  </w14:solidFill>
                </w14:textFill>
              </w:rPr>
              <w:t>|||</w:t>
            </w:r>
            <w:r w:rsidR="00836BEA" w:rsidRPr="00836BEA">
              <w:rPr>
                <w:color w:val="000000"/>
                <w:spacing w:val="3"/>
                <w:shd w:val="solid" w:color="000000" w:fill="000000"/>
                <w:fitText w:val="360" w:id="-694428153"/>
                <w14:textFill>
                  <w14:solidFill>
                    <w14:srgbClr w14:val="000000">
                      <w14:alpha w14:val="100000"/>
                    </w14:srgbClr>
                  </w14:solidFill>
                </w14:textFill>
              </w:rPr>
              <w:t>|</w:t>
            </w:r>
            <w:r w:rsidR="009A36C5" w:rsidRPr="009A36C5">
              <w:rPr>
                <w:vertAlign w:val="superscript"/>
              </w:rPr>
              <w:t>1</w:t>
            </w:r>
            <w:r w:rsidRPr="00006FCB">
              <w:t>/QALY gained.</w:t>
            </w:r>
          </w:p>
        </w:tc>
      </w:tr>
      <w:tr w:rsidR="00625943" w:rsidRPr="00006FCB" w14:paraId="75FA1F22" w14:textId="77777777" w:rsidTr="4D2BAA30">
        <w:trPr>
          <w:tblHeader/>
        </w:trPr>
        <w:tc>
          <w:tcPr>
            <w:tcW w:w="995" w:type="pct"/>
            <w:shd w:val="clear" w:color="auto" w:fill="auto"/>
            <w:vAlign w:val="center"/>
          </w:tcPr>
          <w:p w14:paraId="759182EF" w14:textId="77777777" w:rsidR="00625943" w:rsidRPr="00006FCB" w:rsidRDefault="00625943">
            <w:pPr>
              <w:pStyle w:val="In-tableHeading"/>
              <w:framePr w:wrap="around"/>
              <w:rPr>
                <w:b w:val="0"/>
                <w:bCs/>
              </w:rPr>
            </w:pPr>
            <w:r w:rsidRPr="00006FCB">
              <w:rPr>
                <w:b w:val="0"/>
                <w:bCs/>
              </w:rPr>
              <w:t>Utilities</w:t>
            </w:r>
          </w:p>
        </w:tc>
        <w:tc>
          <w:tcPr>
            <w:tcW w:w="1664" w:type="pct"/>
            <w:shd w:val="clear" w:color="auto" w:fill="auto"/>
            <w:vAlign w:val="center"/>
          </w:tcPr>
          <w:p w14:paraId="6A590315" w14:textId="77777777" w:rsidR="00625943" w:rsidRPr="00006FCB" w:rsidRDefault="00625943">
            <w:pPr>
              <w:pStyle w:val="In-tableHeading"/>
              <w:framePr w:wrap="around"/>
              <w:rPr>
                <w:b w:val="0"/>
                <w:bCs/>
              </w:rPr>
            </w:pPr>
            <w:r w:rsidRPr="00006FCB">
              <w:rPr>
                <w:b w:val="0"/>
                <w:bCs/>
              </w:rPr>
              <w:t xml:space="preserve">Treatment specific utility increments/decrements from </w:t>
            </w:r>
            <w:proofErr w:type="spellStart"/>
            <w:r w:rsidRPr="00006FCB">
              <w:rPr>
                <w:b w:val="0"/>
                <w:bCs/>
              </w:rPr>
              <w:t>PaTHway</w:t>
            </w:r>
            <w:proofErr w:type="spellEnd"/>
            <w:r w:rsidRPr="00006FCB">
              <w:rPr>
                <w:b w:val="0"/>
                <w:bCs/>
              </w:rPr>
              <w:t xml:space="preserve"> applied for the duration of the model</w:t>
            </w:r>
          </w:p>
        </w:tc>
        <w:tc>
          <w:tcPr>
            <w:tcW w:w="2341" w:type="pct"/>
            <w:shd w:val="clear" w:color="auto" w:fill="auto"/>
            <w:vAlign w:val="center"/>
          </w:tcPr>
          <w:p w14:paraId="73D82AFF" w14:textId="77777777" w:rsidR="00625943" w:rsidRPr="00006FCB" w:rsidRDefault="00625943">
            <w:pPr>
              <w:pStyle w:val="TableText0"/>
              <w:framePr w:wrap="around"/>
            </w:pPr>
            <w:r w:rsidRPr="4D2BAA30">
              <w:t>High, favours palopegteriparatide.</w:t>
            </w:r>
          </w:p>
          <w:p w14:paraId="46F667D5" w14:textId="0DD234BF" w:rsidR="00625943" w:rsidRPr="00006FCB" w:rsidRDefault="00625943">
            <w:pPr>
              <w:pStyle w:val="In-tableHeading"/>
              <w:framePr w:wrap="around"/>
              <w:rPr>
                <w:b w:val="0"/>
                <w:bCs/>
              </w:rPr>
            </w:pPr>
            <w:r w:rsidRPr="00006FCB">
              <w:rPr>
                <w:b w:val="0"/>
                <w:bCs/>
              </w:rPr>
              <w:t>Removing utility increment/decrement for PPT and CT after Cycle 2 increased the ICER to $</w:t>
            </w:r>
            <w:r w:rsidR="00836BEA" w:rsidRPr="00836BEA">
              <w:rPr>
                <w:b w:val="0"/>
                <w:bCs/>
                <w:color w:val="000000"/>
                <w:spacing w:val="53"/>
                <w:shd w:val="solid" w:color="000000" w:fill="000000"/>
                <w:fitText w:val="330" w:id="-694428152"/>
                <w14:textFill>
                  <w14:solidFill>
                    <w14:srgbClr w14:val="000000">
                      <w14:alpha w14:val="100000"/>
                    </w14:srgbClr>
                  </w14:solidFill>
                </w14:textFill>
              </w:rPr>
              <w:t>|||</w:t>
            </w:r>
            <w:r w:rsidR="00836BEA" w:rsidRPr="00836BEA">
              <w:rPr>
                <w:b w:val="0"/>
                <w:bCs/>
                <w:color w:val="000000"/>
                <w:spacing w:val="1"/>
                <w:shd w:val="solid" w:color="000000" w:fill="000000"/>
                <w:fitText w:val="330" w:id="-694428152"/>
                <w14:textFill>
                  <w14:solidFill>
                    <w14:srgbClr w14:val="000000">
                      <w14:alpha w14:val="100000"/>
                    </w14:srgbClr>
                  </w14:solidFill>
                </w14:textFill>
              </w:rPr>
              <w:t>|</w:t>
            </w:r>
            <w:r w:rsidR="006865B4" w:rsidRPr="00473CF6">
              <w:rPr>
                <w:b w:val="0"/>
                <w:bCs/>
                <w:vertAlign w:val="superscript"/>
              </w:rPr>
              <w:t>2</w:t>
            </w:r>
            <w:r w:rsidRPr="00006FCB">
              <w:rPr>
                <w:b w:val="0"/>
                <w:bCs/>
              </w:rPr>
              <w:t>/QALY gained.</w:t>
            </w:r>
          </w:p>
        </w:tc>
      </w:tr>
      <w:tr w:rsidR="00625943" w:rsidRPr="00006FCB" w14:paraId="072DED59" w14:textId="77777777" w:rsidTr="4D2BAA30">
        <w:tc>
          <w:tcPr>
            <w:tcW w:w="995" w:type="pct"/>
            <w:shd w:val="clear" w:color="auto" w:fill="auto"/>
            <w:vAlign w:val="center"/>
          </w:tcPr>
          <w:p w14:paraId="17894381" w14:textId="77777777" w:rsidR="00625943" w:rsidRPr="00006FCB" w:rsidRDefault="00625943">
            <w:pPr>
              <w:pStyle w:val="TableText0"/>
              <w:framePr w:wrap="around"/>
              <w:rPr>
                <w:szCs w:val="20"/>
              </w:rPr>
            </w:pPr>
            <w:r w:rsidRPr="00006FCB">
              <w:rPr>
                <w:szCs w:val="20"/>
              </w:rPr>
              <w:t>Time horizon</w:t>
            </w:r>
          </w:p>
        </w:tc>
        <w:tc>
          <w:tcPr>
            <w:tcW w:w="1664" w:type="pct"/>
            <w:shd w:val="clear" w:color="auto" w:fill="auto"/>
            <w:vAlign w:val="center"/>
          </w:tcPr>
          <w:p w14:paraId="07EF71ED" w14:textId="77777777" w:rsidR="00625943" w:rsidRPr="00006FCB" w:rsidRDefault="00625943">
            <w:pPr>
              <w:pStyle w:val="TableText0"/>
              <w:framePr w:wrap="around"/>
              <w:rPr>
                <w:szCs w:val="20"/>
              </w:rPr>
            </w:pPr>
            <w:r w:rsidRPr="00006FCB">
              <w:rPr>
                <w:szCs w:val="20"/>
              </w:rPr>
              <w:t>51-year time horizon in the base case</w:t>
            </w:r>
          </w:p>
        </w:tc>
        <w:tc>
          <w:tcPr>
            <w:tcW w:w="2341" w:type="pct"/>
            <w:shd w:val="clear" w:color="auto" w:fill="auto"/>
            <w:vAlign w:val="center"/>
          </w:tcPr>
          <w:p w14:paraId="5AF8C296" w14:textId="77777777" w:rsidR="00625943" w:rsidRPr="00006FCB" w:rsidRDefault="00625943">
            <w:pPr>
              <w:pStyle w:val="TableText0"/>
              <w:framePr w:wrap="around"/>
            </w:pPr>
            <w:r w:rsidRPr="4D2BAA30">
              <w:t>High, favours palopegteriparatide.</w:t>
            </w:r>
          </w:p>
          <w:p w14:paraId="144DC93D" w14:textId="2D6DA388" w:rsidR="00625943" w:rsidRPr="00006FCB" w:rsidRDefault="000E7C52">
            <w:pPr>
              <w:pStyle w:val="TableText0"/>
              <w:framePr w:wrap="around"/>
              <w:rPr>
                <w:szCs w:val="20"/>
              </w:rPr>
            </w:pPr>
            <w:r>
              <w:rPr>
                <w:szCs w:val="20"/>
              </w:rPr>
              <w:t xml:space="preserve">Reducing the time horizon to </w:t>
            </w:r>
            <w:r w:rsidR="00625943" w:rsidRPr="00006FCB">
              <w:rPr>
                <w:szCs w:val="20"/>
              </w:rPr>
              <w:t>10-year</w:t>
            </w:r>
            <w:r>
              <w:rPr>
                <w:szCs w:val="20"/>
              </w:rPr>
              <w:t xml:space="preserve">s </w:t>
            </w:r>
            <w:r w:rsidR="00625943" w:rsidRPr="00006FCB">
              <w:rPr>
                <w:szCs w:val="20"/>
              </w:rPr>
              <w:t>increased the ICER to $</w:t>
            </w:r>
            <w:r w:rsidR="00836BEA" w:rsidRPr="00836BEA">
              <w:rPr>
                <w:color w:val="000000"/>
                <w:spacing w:val="53"/>
                <w:szCs w:val="20"/>
                <w:shd w:val="solid" w:color="000000" w:fill="000000"/>
                <w:fitText w:val="330" w:id="-694428151"/>
                <w14:textFill>
                  <w14:solidFill>
                    <w14:srgbClr w14:val="000000">
                      <w14:alpha w14:val="100000"/>
                    </w14:srgbClr>
                  </w14:solidFill>
                </w14:textFill>
              </w:rPr>
              <w:t>|||</w:t>
            </w:r>
            <w:r w:rsidR="00836BEA" w:rsidRPr="00836BEA">
              <w:rPr>
                <w:color w:val="000000"/>
                <w:spacing w:val="1"/>
                <w:szCs w:val="20"/>
                <w:shd w:val="solid" w:color="000000" w:fill="000000"/>
                <w:fitText w:val="330" w:id="-694428151"/>
                <w14:textFill>
                  <w14:solidFill>
                    <w14:srgbClr w14:val="000000">
                      <w14:alpha w14:val="100000"/>
                    </w14:srgbClr>
                  </w14:solidFill>
                </w14:textFill>
              </w:rPr>
              <w:t>|</w:t>
            </w:r>
            <w:r w:rsidR="00473CF6" w:rsidRPr="00473CF6">
              <w:rPr>
                <w:b/>
                <w:bCs w:val="0"/>
                <w:vertAlign w:val="superscript"/>
              </w:rPr>
              <w:t>2</w:t>
            </w:r>
            <w:r w:rsidR="00625943" w:rsidRPr="00006FCB">
              <w:rPr>
                <w:szCs w:val="20"/>
              </w:rPr>
              <w:t>/QALY gained.</w:t>
            </w:r>
          </w:p>
        </w:tc>
      </w:tr>
      <w:tr w:rsidR="00625943" w:rsidRPr="00006FCB" w14:paraId="530935A9" w14:textId="77777777" w:rsidTr="4D2BAA30">
        <w:tc>
          <w:tcPr>
            <w:tcW w:w="995" w:type="pct"/>
            <w:shd w:val="clear" w:color="auto" w:fill="auto"/>
            <w:vAlign w:val="center"/>
          </w:tcPr>
          <w:p w14:paraId="66F135A0" w14:textId="77777777" w:rsidR="00625943" w:rsidRPr="00006FCB" w:rsidRDefault="00625943">
            <w:pPr>
              <w:pStyle w:val="TableText0"/>
              <w:framePr w:wrap="around"/>
              <w:rPr>
                <w:szCs w:val="20"/>
              </w:rPr>
            </w:pPr>
            <w:r w:rsidRPr="00006FCB">
              <w:rPr>
                <w:szCs w:val="20"/>
              </w:rPr>
              <w:t>Transition probabilities</w:t>
            </w:r>
          </w:p>
        </w:tc>
        <w:tc>
          <w:tcPr>
            <w:tcW w:w="1664" w:type="pct"/>
            <w:shd w:val="clear" w:color="auto" w:fill="auto"/>
            <w:vAlign w:val="center"/>
          </w:tcPr>
          <w:p w14:paraId="4EA33BDA" w14:textId="77777777" w:rsidR="00625943" w:rsidRPr="00006FCB" w:rsidRDefault="00625943">
            <w:pPr>
              <w:pStyle w:val="TableText0"/>
              <w:framePr w:wrap="around"/>
              <w:rPr>
                <w:szCs w:val="20"/>
              </w:rPr>
            </w:pPr>
            <w:r w:rsidRPr="00006FCB">
              <w:rPr>
                <w:szCs w:val="20"/>
              </w:rPr>
              <w:t>Cycle 2 onwards: CKD 1/2 to CKD 3 transitions (base case: Rejnmark 2022)</w:t>
            </w:r>
          </w:p>
        </w:tc>
        <w:tc>
          <w:tcPr>
            <w:tcW w:w="2341" w:type="pct"/>
            <w:shd w:val="clear" w:color="auto" w:fill="auto"/>
            <w:vAlign w:val="center"/>
          </w:tcPr>
          <w:p w14:paraId="673BF648" w14:textId="77777777" w:rsidR="00625943" w:rsidRPr="00006FCB" w:rsidRDefault="00625943">
            <w:pPr>
              <w:pStyle w:val="TableText0"/>
              <w:framePr w:wrap="around"/>
            </w:pPr>
            <w:r w:rsidRPr="4D2BAA30">
              <w:t>High, favours palopegteriparatide.</w:t>
            </w:r>
          </w:p>
          <w:p w14:paraId="02640B11" w14:textId="59513B01" w:rsidR="00625943" w:rsidRPr="00006FCB" w:rsidRDefault="00625943">
            <w:pPr>
              <w:pStyle w:val="TableText0"/>
              <w:framePr w:wrap="around"/>
            </w:pPr>
            <w:r w:rsidRPr="4D2BAA30">
              <w:t>Removing modelled benefit (HR = 1) of palopegteriparatide increased the ICER to $</w:t>
            </w:r>
            <w:r w:rsidR="00836BEA" w:rsidRPr="00836BEA">
              <w:rPr>
                <w:color w:val="000000"/>
                <w:spacing w:val="53"/>
                <w:shd w:val="solid" w:color="000000" w:fill="000000"/>
                <w:fitText w:val="330" w:id="-694428150"/>
                <w14:textFill>
                  <w14:solidFill>
                    <w14:srgbClr w14:val="000000">
                      <w14:alpha w14:val="100000"/>
                    </w14:srgbClr>
                  </w14:solidFill>
                </w14:textFill>
              </w:rPr>
              <w:t>|||</w:t>
            </w:r>
            <w:r w:rsidR="00836BEA" w:rsidRPr="00836BEA">
              <w:rPr>
                <w:color w:val="000000"/>
                <w:spacing w:val="1"/>
                <w:shd w:val="solid" w:color="000000" w:fill="000000"/>
                <w:fitText w:val="330" w:id="-694428150"/>
                <w14:textFill>
                  <w14:solidFill>
                    <w14:srgbClr w14:val="000000">
                      <w14:alpha w14:val="100000"/>
                    </w14:srgbClr>
                  </w14:solidFill>
                </w14:textFill>
              </w:rPr>
              <w:t>|</w:t>
            </w:r>
            <w:r w:rsidR="00473CF6" w:rsidRPr="00473CF6">
              <w:rPr>
                <w:vertAlign w:val="superscript"/>
              </w:rPr>
              <w:t>3</w:t>
            </w:r>
            <w:r w:rsidRPr="4D2BAA30">
              <w:t>/</w:t>
            </w:r>
            <w:r w:rsidR="000E0B63" w:rsidRPr="4D2BAA30">
              <w:t xml:space="preserve"> </w:t>
            </w:r>
            <w:r w:rsidRPr="4D2BAA30">
              <w:t>QALY gained.</w:t>
            </w:r>
          </w:p>
        </w:tc>
      </w:tr>
      <w:tr w:rsidR="00625943" w:rsidRPr="00006FCB" w14:paraId="231DCB22" w14:textId="77777777" w:rsidTr="4D2BAA30">
        <w:tc>
          <w:tcPr>
            <w:tcW w:w="995" w:type="pct"/>
            <w:shd w:val="clear" w:color="auto" w:fill="auto"/>
            <w:vAlign w:val="center"/>
          </w:tcPr>
          <w:p w14:paraId="08046B17" w14:textId="77777777" w:rsidR="00625943" w:rsidRPr="00006FCB" w:rsidRDefault="00625943">
            <w:pPr>
              <w:pStyle w:val="TableText0"/>
              <w:framePr w:wrap="around"/>
              <w:rPr>
                <w:szCs w:val="20"/>
              </w:rPr>
            </w:pPr>
            <w:r w:rsidRPr="00006FCB">
              <w:rPr>
                <w:szCs w:val="20"/>
              </w:rPr>
              <w:t>Baseline CKD distribution</w:t>
            </w:r>
          </w:p>
        </w:tc>
        <w:tc>
          <w:tcPr>
            <w:tcW w:w="1664" w:type="pct"/>
            <w:shd w:val="clear" w:color="auto" w:fill="auto"/>
            <w:vAlign w:val="center"/>
          </w:tcPr>
          <w:p w14:paraId="2C8D0A4D" w14:textId="77777777" w:rsidR="00625943" w:rsidRPr="00006FCB" w:rsidRDefault="00625943">
            <w:pPr>
              <w:pStyle w:val="TableText0"/>
              <w:framePr w:wrap="around"/>
              <w:rPr>
                <w:szCs w:val="20"/>
              </w:rPr>
            </w:pPr>
            <w:r w:rsidRPr="00006FCB">
              <w:rPr>
                <w:szCs w:val="20"/>
              </w:rPr>
              <w:t>Baseline CKD health state distribution: 73.2% CKD 1/2; 26.8% CKD 3</w:t>
            </w:r>
          </w:p>
        </w:tc>
        <w:tc>
          <w:tcPr>
            <w:tcW w:w="2341" w:type="pct"/>
            <w:shd w:val="clear" w:color="auto" w:fill="auto"/>
            <w:vAlign w:val="center"/>
          </w:tcPr>
          <w:p w14:paraId="39D1079C" w14:textId="6099741F" w:rsidR="00625943" w:rsidRPr="00006FCB" w:rsidRDefault="00625943">
            <w:pPr>
              <w:pStyle w:val="TableText0"/>
              <w:framePr w:wrap="around"/>
            </w:pPr>
            <w:r w:rsidRPr="4D2BAA30">
              <w:t xml:space="preserve">Moderate, favours palopegteriparatide. </w:t>
            </w:r>
            <w:r>
              <w:br/>
            </w:r>
            <w:r w:rsidRPr="4D2BAA30">
              <w:t>Assuming all patients started in CKD 1/2 increased the ICER to $</w:t>
            </w:r>
            <w:r w:rsidR="00836BEA" w:rsidRPr="00836BEA">
              <w:rPr>
                <w:color w:val="000000"/>
                <w:spacing w:val="53"/>
                <w:shd w:val="solid" w:color="000000" w:fill="000000"/>
                <w:fitText w:val="330" w:id="-694428149"/>
                <w14:textFill>
                  <w14:solidFill>
                    <w14:srgbClr w14:val="000000">
                      <w14:alpha w14:val="100000"/>
                    </w14:srgbClr>
                  </w14:solidFill>
                </w14:textFill>
              </w:rPr>
              <w:t>|||</w:t>
            </w:r>
            <w:r w:rsidR="00836BEA" w:rsidRPr="00836BEA">
              <w:rPr>
                <w:color w:val="000000"/>
                <w:spacing w:val="1"/>
                <w:shd w:val="solid" w:color="000000" w:fill="000000"/>
                <w:fitText w:val="330" w:id="-694428149"/>
                <w14:textFill>
                  <w14:solidFill>
                    <w14:srgbClr w14:val="000000">
                      <w14:alpha w14:val="100000"/>
                    </w14:srgbClr>
                  </w14:solidFill>
                </w14:textFill>
              </w:rPr>
              <w:t>|</w:t>
            </w:r>
            <w:r w:rsidR="00C84176">
              <w:rPr>
                <w:vertAlign w:val="superscript"/>
              </w:rPr>
              <w:t>4</w:t>
            </w:r>
            <w:r w:rsidRPr="4D2BAA30">
              <w:t xml:space="preserve">/QALY gained. </w:t>
            </w:r>
          </w:p>
        </w:tc>
      </w:tr>
    </w:tbl>
    <w:p w14:paraId="7714E199" w14:textId="77777777" w:rsidR="00625943" w:rsidRPr="00006FCB" w:rsidRDefault="00625943" w:rsidP="00625943">
      <w:pPr>
        <w:pStyle w:val="FooterTableFigure"/>
      </w:pPr>
      <w:r w:rsidRPr="00006FCB">
        <w:t>Source: Compiled during evaluation.</w:t>
      </w:r>
    </w:p>
    <w:p w14:paraId="0680383C" w14:textId="77777777" w:rsidR="002C09EF" w:rsidRDefault="00625943" w:rsidP="002C09EF">
      <w:pPr>
        <w:pStyle w:val="FooterTableFigure"/>
      </w:pPr>
      <w:r w:rsidRPr="4D2BAA30">
        <w:t>CKD = chronic kidney disease, CT = conventional therapy, HR = hazard rate, ICER = incremental cost effectiveness ratio, PPT = palopegteriparatide, QALY = quality adjusted life years.</w:t>
      </w:r>
      <w:r w:rsidR="002C09EF" w:rsidRPr="002C09EF">
        <w:t xml:space="preserve"> </w:t>
      </w:r>
    </w:p>
    <w:p w14:paraId="677CA603" w14:textId="26FC2443" w:rsidR="002C09EF" w:rsidRPr="00A95056" w:rsidRDefault="002C09EF" w:rsidP="002C09EF">
      <w:pPr>
        <w:pStyle w:val="FooterTableFigure"/>
        <w:rPr>
          <w:i/>
          <w:iCs/>
        </w:rPr>
      </w:pPr>
      <w:r w:rsidRPr="00A95056">
        <w:rPr>
          <w:i/>
          <w:iCs/>
        </w:rPr>
        <w:t>The redacted values correspond to the following ranges</w:t>
      </w:r>
      <w:r w:rsidR="00A95056" w:rsidRPr="00A95056">
        <w:rPr>
          <w:i/>
          <w:iCs/>
        </w:rPr>
        <w:t>:</w:t>
      </w:r>
      <w:r w:rsidRPr="00A95056">
        <w:rPr>
          <w:i/>
          <w:iCs/>
        </w:rPr>
        <w:t xml:space="preserve"> </w:t>
      </w:r>
    </w:p>
    <w:p w14:paraId="219B9B50" w14:textId="77777777" w:rsidR="00473CF6" w:rsidRPr="00A95056" w:rsidRDefault="002C09EF" w:rsidP="002C09EF">
      <w:pPr>
        <w:pStyle w:val="FooterTableFigure"/>
        <w:rPr>
          <w:i/>
          <w:iCs/>
        </w:rPr>
      </w:pPr>
      <w:r w:rsidRPr="00A95056">
        <w:rPr>
          <w:i/>
          <w:iCs/>
          <w:vertAlign w:val="superscript"/>
        </w:rPr>
        <w:t>1</w:t>
      </w:r>
      <w:r w:rsidRPr="00A95056">
        <w:rPr>
          <w:i/>
          <w:iCs/>
        </w:rPr>
        <w:t xml:space="preserve"> </w:t>
      </w:r>
      <w:r w:rsidR="009A36C5" w:rsidRPr="00A95056">
        <w:rPr>
          <w:i/>
          <w:iCs/>
        </w:rPr>
        <w:t>$75,000 to &lt; $95,000</w:t>
      </w:r>
      <w:r w:rsidR="00473CF6" w:rsidRPr="00A95056">
        <w:rPr>
          <w:i/>
          <w:iCs/>
        </w:rPr>
        <w:t xml:space="preserve"> </w:t>
      </w:r>
    </w:p>
    <w:p w14:paraId="6E654349" w14:textId="77777777" w:rsidR="00C84176" w:rsidRPr="00A95056" w:rsidRDefault="00473CF6" w:rsidP="002C09EF">
      <w:pPr>
        <w:pStyle w:val="FooterTableFigure"/>
        <w:rPr>
          <w:i/>
          <w:iCs/>
        </w:rPr>
      </w:pPr>
      <w:r w:rsidRPr="00A95056">
        <w:rPr>
          <w:i/>
          <w:iCs/>
          <w:vertAlign w:val="superscript"/>
        </w:rPr>
        <w:t>2</w:t>
      </w:r>
      <w:r w:rsidRPr="00A95056">
        <w:rPr>
          <w:i/>
          <w:iCs/>
        </w:rPr>
        <w:t xml:space="preserve"> $155,000 to &lt; $255,000</w:t>
      </w:r>
      <w:r w:rsidR="00C84176" w:rsidRPr="00A95056">
        <w:rPr>
          <w:i/>
          <w:iCs/>
        </w:rPr>
        <w:t xml:space="preserve"> </w:t>
      </w:r>
    </w:p>
    <w:p w14:paraId="5C7F7AAA" w14:textId="77777777" w:rsidR="001002A4" w:rsidRPr="00A95056" w:rsidRDefault="00C84176" w:rsidP="002C09EF">
      <w:pPr>
        <w:pStyle w:val="FooterTableFigure"/>
        <w:rPr>
          <w:i/>
          <w:iCs/>
        </w:rPr>
      </w:pPr>
      <w:r w:rsidRPr="00A95056">
        <w:rPr>
          <w:i/>
          <w:iCs/>
          <w:vertAlign w:val="superscript"/>
        </w:rPr>
        <w:t xml:space="preserve">3 </w:t>
      </w:r>
      <w:r w:rsidRPr="00A95056">
        <w:rPr>
          <w:i/>
          <w:iCs/>
        </w:rPr>
        <w:t>$115,000 to &lt; $135,000</w:t>
      </w:r>
      <w:r w:rsidR="001002A4" w:rsidRPr="00A95056">
        <w:rPr>
          <w:i/>
          <w:iCs/>
        </w:rPr>
        <w:t xml:space="preserve"> </w:t>
      </w:r>
    </w:p>
    <w:p w14:paraId="11B197C2" w14:textId="2AC18106" w:rsidR="00625943" w:rsidRPr="00A95056" w:rsidRDefault="001002A4" w:rsidP="002C09EF">
      <w:pPr>
        <w:pStyle w:val="FooterTableFigure"/>
        <w:rPr>
          <w:i/>
          <w:iCs/>
        </w:rPr>
      </w:pPr>
      <w:r w:rsidRPr="00A95056">
        <w:rPr>
          <w:i/>
          <w:iCs/>
          <w:vertAlign w:val="superscript"/>
        </w:rPr>
        <w:t>4</w:t>
      </w:r>
      <w:r w:rsidRPr="00A95056">
        <w:rPr>
          <w:i/>
          <w:iCs/>
        </w:rPr>
        <w:t xml:space="preserve"> $95,000 to &lt; $115,000</w:t>
      </w:r>
    </w:p>
    <w:p w14:paraId="263094E6" w14:textId="77777777" w:rsidR="00DA35E4" w:rsidRPr="00DA35E4" w:rsidRDefault="00625943" w:rsidP="001B4204">
      <w:pPr>
        <w:pStyle w:val="3-BodyText"/>
        <w:numPr>
          <w:ilvl w:val="1"/>
          <w:numId w:val="1"/>
        </w:numPr>
        <w:spacing w:before="0" w:after="120"/>
      </w:pPr>
      <w:r w:rsidRPr="00006FCB">
        <w:t xml:space="preserve">The results of the stepped economic evaluation are presented </w:t>
      </w:r>
      <w:r w:rsidRPr="0097197A">
        <w:rPr>
          <w:lang w:val="en-US"/>
        </w:rPr>
        <w:t xml:space="preserve">in </w:t>
      </w:r>
      <w:r w:rsidR="001B4204" w:rsidRPr="001B4204">
        <w:rPr>
          <w:lang w:val="en-US"/>
        </w:rPr>
        <w:fldChar w:fldCharType="begin"/>
      </w:r>
      <w:r w:rsidR="001B4204" w:rsidRPr="001B4204">
        <w:rPr>
          <w:lang w:val="en-US"/>
        </w:rPr>
        <w:instrText xml:space="preserve"> REF _Ref104805160 \h  \* MERGEFORMAT </w:instrText>
      </w:r>
      <w:r w:rsidR="001B4204" w:rsidRPr="001B4204">
        <w:rPr>
          <w:lang w:val="en-US"/>
        </w:rPr>
      </w:r>
      <w:r w:rsidR="001B4204" w:rsidRPr="001B4204">
        <w:rPr>
          <w:lang w:val="en-US"/>
        </w:rPr>
        <w:fldChar w:fldCharType="separate"/>
      </w:r>
    </w:p>
    <w:p w14:paraId="30CD0FED" w14:textId="77777777" w:rsidR="00DA35E4" w:rsidRPr="00006FCB" w:rsidRDefault="00DA35E4" w:rsidP="00DA35E4">
      <w:pPr>
        <w:pStyle w:val="3-BodyText"/>
        <w:numPr>
          <w:ilvl w:val="1"/>
          <w:numId w:val="1"/>
        </w:numPr>
        <w:spacing w:after="120"/>
        <w:rPr>
          <w:rStyle w:val="CommentReference"/>
          <w:b w:val="0"/>
          <w:szCs w:val="24"/>
        </w:rPr>
      </w:pPr>
      <w:r w:rsidRPr="00006FCB">
        <w:t>Table</w:t>
      </w:r>
      <w:r w:rsidRPr="00006FCB">
        <w:rPr>
          <w:noProof/>
        </w:rPr>
        <w:t xml:space="preserve"> </w:t>
      </w:r>
      <w:r>
        <w:rPr>
          <w:noProof/>
        </w:rPr>
        <w:t>15</w:t>
      </w:r>
      <w:r w:rsidRPr="00006FCB">
        <w:t>:</w:t>
      </w:r>
      <w:r w:rsidRPr="00006FCB">
        <w:rPr>
          <w:rStyle w:val="CommentReference"/>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Caption w:val="Table 15: Results of the stepped economic evaluation"/>
      </w:tblPr>
      <w:tblGrid>
        <w:gridCol w:w="2158"/>
        <w:gridCol w:w="961"/>
        <w:gridCol w:w="959"/>
        <w:gridCol w:w="961"/>
        <w:gridCol w:w="959"/>
        <w:gridCol w:w="961"/>
        <w:gridCol w:w="981"/>
        <w:gridCol w:w="1077"/>
      </w:tblGrid>
      <w:tr w:rsidR="00DA35E4" w:rsidRPr="00006FCB" w14:paraId="316BDB7D" w14:textId="77777777" w:rsidTr="00490E84">
        <w:trPr>
          <w:tblHeader/>
        </w:trPr>
        <w:tc>
          <w:tcPr>
            <w:tcW w:w="1196" w:type="pct"/>
            <w:vMerge w:val="restart"/>
            <w:shd w:val="clear" w:color="auto" w:fill="FFFFFF" w:themeFill="background1"/>
            <w:vAlign w:val="center"/>
          </w:tcPr>
          <w:p w14:paraId="45E8BECE" w14:textId="77777777" w:rsidR="00DA35E4" w:rsidRPr="00006FCB" w:rsidRDefault="00DA35E4" w:rsidP="001B4204">
            <w:pPr>
              <w:pStyle w:val="TableText0"/>
              <w:framePr w:wrap="around"/>
              <w:rPr>
                <w:b/>
              </w:rPr>
            </w:pPr>
          </w:p>
        </w:tc>
        <w:tc>
          <w:tcPr>
            <w:tcW w:w="1598" w:type="pct"/>
            <w:gridSpan w:val="3"/>
            <w:shd w:val="clear" w:color="auto" w:fill="FFFFFF" w:themeFill="background1"/>
            <w:vAlign w:val="center"/>
          </w:tcPr>
          <w:p w14:paraId="0CECB829" w14:textId="77777777" w:rsidR="00DA35E4" w:rsidRPr="00006FCB" w:rsidRDefault="00DA35E4" w:rsidP="001B4204">
            <w:pPr>
              <w:pStyle w:val="TableText0"/>
              <w:framePr w:wrap="around"/>
              <w:jc w:val="center"/>
              <w:rPr>
                <w:b/>
                <w:bCs w:val="0"/>
              </w:rPr>
            </w:pPr>
            <w:r w:rsidRPr="00006FCB">
              <w:rPr>
                <w:b/>
                <w:bCs w:val="0"/>
              </w:rPr>
              <w:t>Costs ($)</w:t>
            </w:r>
          </w:p>
        </w:tc>
        <w:tc>
          <w:tcPr>
            <w:tcW w:w="1609" w:type="pct"/>
            <w:gridSpan w:val="3"/>
            <w:shd w:val="clear" w:color="auto" w:fill="FFFFFF" w:themeFill="background1"/>
            <w:vAlign w:val="center"/>
          </w:tcPr>
          <w:p w14:paraId="7061AFC5" w14:textId="77777777" w:rsidR="00DA35E4" w:rsidRPr="00006FCB" w:rsidRDefault="00DA35E4" w:rsidP="001B4204">
            <w:pPr>
              <w:pStyle w:val="TableText0"/>
              <w:framePr w:wrap="around"/>
              <w:jc w:val="center"/>
              <w:rPr>
                <w:b/>
                <w:bCs w:val="0"/>
              </w:rPr>
            </w:pPr>
            <w:r w:rsidRPr="00006FCB">
              <w:rPr>
                <w:b/>
                <w:bCs w:val="0"/>
              </w:rPr>
              <w:t>Health outcomes</w:t>
            </w:r>
          </w:p>
        </w:tc>
        <w:tc>
          <w:tcPr>
            <w:tcW w:w="598" w:type="pct"/>
            <w:vMerge w:val="restart"/>
            <w:shd w:val="clear" w:color="auto" w:fill="FFFFFF" w:themeFill="background1"/>
            <w:vAlign w:val="center"/>
          </w:tcPr>
          <w:p w14:paraId="6EA0FF37" w14:textId="77777777" w:rsidR="00DA35E4" w:rsidRPr="00006FCB" w:rsidRDefault="00DA35E4" w:rsidP="001B4204">
            <w:pPr>
              <w:pStyle w:val="TableText0"/>
              <w:framePr w:wrap="around"/>
              <w:jc w:val="center"/>
              <w:rPr>
                <w:b/>
                <w:bCs w:val="0"/>
              </w:rPr>
            </w:pPr>
            <w:r w:rsidRPr="00006FCB">
              <w:rPr>
                <w:b/>
                <w:bCs w:val="0"/>
              </w:rPr>
              <w:t>ICER</w:t>
            </w:r>
          </w:p>
        </w:tc>
      </w:tr>
      <w:tr w:rsidR="00DA35E4" w:rsidRPr="00006FCB" w14:paraId="2046A533" w14:textId="77777777" w:rsidTr="00490E84">
        <w:trPr>
          <w:tblHeader/>
        </w:trPr>
        <w:tc>
          <w:tcPr>
            <w:tcW w:w="1196" w:type="pct"/>
            <w:vMerge/>
            <w:vAlign w:val="center"/>
          </w:tcPr>
          <w:p w14:paraId="11D023A7" w14:textId="77777777" w:rsidR="00DA35E4" w:rsidRPr="00006FCB" w:rsidRDefault="00DA35E4" w:rsidP="001B4204">
            <w:pPr>
              <w:pStyle w:val="TableText0"/>
              <w:framePr w:wrap="around"/>
            </w:pPr>
          </w:p>
        </w:tc>
        <w:tc>
          <w:tcPr>
            <w:tcW w:w="533" w:type="pct"/>
            <w:shd w:val="clear" w:color="auto" w:fill="FFFFFF" w:themeFill="background1"/>
            <w:vAlign w:val="center"/>
          </w:tcPr>
          <w:p w14:paraId="78F47DF4" w14:textId="77777777" w:rsidR="00DA35E4" w:rsidRPr="00006FCB" w:rsidRDefault="00DA35E4" w:rsidP="001B4204">
            <w:pPr>
              <w:pStyle w:val="TableText0"/>
              <w:framePr w:wrap="around"/>
              <w:jc w:val="center"/>
              <w:rPr>
                <w:b/>
                <w:bCs w:val="0"/>
              </w:rPr>
            </w:pPr>
            <w:r w:rsidRPr="00006FCB">
              <w:rPr>
                <w:b/>
                <w:bCs w:val="0"/>
              </w:rPr>
              <w:t>PPT</w:t>
            </w:r>
          </w:p>
        </w:tc>
        <w:tc>
          <w:tcPr>
            <w:tcW w:w="532" w:type="pct"/>
            <w:shd w:val="clear" w:color="auto" w:fill="FFFFFF" w:themeFill="background1"/>
            <w:vAlign w:val="center"/>
          </w:tcPr>
          <w:p w14:paraId="5690F3FF" w14:textId="77777777" w:rsidR="00DA35E4" w:rsidRPr="00006FCB" w:rsidRDefault="00DA35E4" w:rsidP="001B4204">
            <w:pPr>
              <w:pStyle w:val="TableText0"/>
              <w:framePr w:wrap="around"/>
              <w:jc w:val="center"/>
              <w:rPr>
                <w:b/>
                <w:bCs w:val="0"/>
              </w:rPr>
            </w:pPr>
            <w:r w:rsidRPr="00006FCB">
              <w:rPr>
                <w:b/>
                <w:bCs w:val="0"/>
              </w:rPr>
              <w:t>CT</w:t>
            </w:r>
          </w:p>
        </w:tc>
        <w:tc>
          <w:tcPr>
            <w:tcW w:w="533" w:type="pct"/>
            <w:shd w:val="clear" w:color="auto" w:fill="FFFFFF" w:themeFill="background1"/>
            <w:vAlign w:val="center"/>
          </w:tcPr>
          <w:p w14:paraId="11ED6F4E" w14:textId="77777777" w:rsidR="00DA35E4" w:rsidRPr="00006FCB" w:rsidRDefault="00DA35E4" w:rsidP="001B4204">
            <w:pPr>
              <w:pStyle w:val="TableText0"/>
              <w:framePr w:wrap="around"/>
              <w:jc w:val="center"/>
              <w:rPr>
                <w:b/>
                <w:bCs w:val="0"/>
              </w:rPr>
            </w:pPr>
            <w:r w:rsidRPr="00006FCB">
              <w:rPr>
                <w:b/>
                <w:bCs w:val="0"/>
              </w:rPr>
              <w:t>Increment</w:t>
            </w:r>
          </w:p>
        </w:tc>
        <w:tc>
          <w:tcPr>
            <w:tcW w:w="532" w:type="pct"/>
            <w:shd w:val="clear" w:color="auto" w:fill="FFFFFF" w:themeFill="background1"/>
            <w:vAlign w:val="center"/>
          </w:tcPr>
          <w:p w14:paraId="5CD3CBDD" w14:textId="77777777" w:rsidR="00DA35E4" w:rsidRPr="00006FCB" w:rsidRDefault="00DA35E4" w:rsidP="001B4204">
            <w:pPr>
              <w:pStyle w:val="TableText0"/>
              <w:framePr w:wrap="around"/>
              <w:jc w:val="center"/>
              <w:rPr>
                <w:b/>
                <w:bCs w:val="0"/>
              </w:rPr>
            </w:pPr>
            <w:r w:rsidRPr="00006FCB">
              <w:rPr>
                <w:b/>
                <w:bCs w:val="0"/>
              </w:rPr>
              <w:t>PPT</w:t>
            </w:r>
          </w:p>
        </w:tc>
        <w:tc>
          <w:tcPr>
            <w:tcW w:w="533" w:type="pct"/>
            <w:shd w:val="clear" w:color="auto" w:fill="FFFFFF" w:themeFill="background1"/>
            <w:vAlign w:val="center"/>
          </w:tcPr>
          <w:p w14:paraId="4440D6E5" w14:textId="77777777" w:rsidR="00DA35E4" w:rsidRPr="00006FCB" w:rsidRDefault="00DA35E4" w:rsidP="001B4204">
            <w:pPr>
              <w:pStyle w:val="TableText0"/>
              <w:framePr w:wrap="around"/>
              <w:jc w:val="center"/>
              <w:rPr>
                <w:b/>
                <w:bCs w:val="0"/>
              </w:rPr>
            </w:pPr>
            <w:r w:rsidRPr="00006FCB">
              <w:rPr>
                <w:b/>
                <w:bCs w:val="0"/>
              </w:rPr>
              <w:t>CT</w:t>
            </w:r>
          </w:p>
        </w:tc>
        <w:tc>
          <w:tcPr>
            <w:tcW w:w="544" w:type="pct"/>
            <w:shd w:val="clear" w:color="auto" w:fill="FFFFFF" w:themeFill="background1"/>
            <w:vAlign w:val="center"/>
          </w:tcPr>
          <w:p w14:paraId="0680E177" w14:textId="77777777" w:rsidR="00DA35E4" w:rsidRPr="00006FCB" w:rsidRDefault="00DA35E4" w:rsidP="001B4204">
            <w:pPr>
              <w:pStyle w:val="TableText0"/>
              <w:framePr w:wrap="around"/>
              <w:jc w:val="center"/>
              <w:rPr>
                <w:b/>
                <w:bCs w:val="0"/>
              </w:rPr>
            </w:pPr>
            <w:r w:rsidRPr="00006FCB">
              <w:rPr>
                <w:b/>
                <w:bCs w:val="0"/>
              </w:rPr>
              <w:t>Increment</w:t>
            </w:r>
          </w:p>
        </w:tc>
        <w:tc>
          <w:tcPr>
            <w:tcW w:w="598" w:type="pct"/>
            <w:vMerge/>
            <w:vAlign w:val="center"/>
          </w:tcPr>
          <w:p w14:paraId="195656A5" w14:textId="77777777" w:rsidR="00DA35E4" w:rsidRPr="00006FCB" w:rsidRDefault="00DA35E4" w:rsidP="001B4204">
            <w:pPr>
              <w:pStyle w:val="TableText0"/>
              <w:framePr w:wrap="around"/>
              <w:jc w:val="center"/>
              <w:rPr>
                <w:b/>
                <w:bCs w:val="0"/>
              </w:rPr>
            </w:pPr>
          </w:p>
        </w:tc>
      </w:tr>
      <w:tr w:rsidR="00DA35E4" w:rsidRPr="00006FCB" w14:paraId="20DDC323" w14:textId="77777777" w:rsidTr="00490E84">
        <w:trPr>
          <w:tblHeader/>
        </w:trPr>
        <w:tc>
          <w:tcPr>
            <w:tcW w:w="1196" w:type="pct"/>
            <w:shd w:val="clear" w:color="auto" w:fill="FFFFFF" w:themeFill="background1"/>
            <w:vAlign w:val="center"/>
          </w:tcPr>
          <w:p w14:paraId="513C6447" w14:textId="77777777" w:rsidR="00DA35E4" w:rsidRPr="00006FCB" w:rsidRDefault="00DA35E4" w:rsidP="001B4204">
            <w:pPr>
              <w:pStyle w:val="TableText0"/>
              <w:framePr w:wrap="around"/>
            </w:pPr>
            <w:r w:rsidRPr="4D2BAA30">
              <w:t>Step 1A: Trial setting PaTHway, Time horizon: 26 weeks</w:t>
            </w:r>
          </w:p>
          <w:p w14:paraId="14DFCDF7" w14:textId="77777777" w:rsidR="00DA35E4" w:rsidRPr="00006FCB" w:rsidRDefault="00DA35E4" w:rsidP="001B4204">
            <w:pPr>
              <w:pStyle w:val="TableText0"/>
              <w:framePr w:wrap="around"/>
            </w:pPr>
            <w:r w:rsidRPr="00006FCB">
              <w:t>Outcome: response</w:t>
            </w:r>
          </w:p>
          <w:p w14:paraId="68ED2BDC" w14:textId="77777777" w:rsidR="00DA35E4" w:rsidRPr="00006FCB" w:rsidRDefault="00DA35E4" w:rsidP="001B4204">
            <w:pPr>
              <w:pStyle w:val="TableText0"/>
              <w:framePr w:wrap="around"/>
            </w:pPr>
            <w:r w:rsidRPr="00006FCB">
              <w:t>Cost: treatment only</w:t>
            </w:r>
          </w:p>
        </w:tc>
        <w:tc>
          <w:tcPr>
            <w:tcW w:w="533" w:type="pct"/>
            <w:shd w:val="clear" w:color="auto" w:fill="FFFFFF" w:themeFill="background1"/>
            <w:vAlign w:val="center"/>
          </w:tcPr>
          <w:p w14:paraId="6DB87A6D" w14:textId="77777777" w:rsidR="00DA35E4" w:rsidRPr="00006FCB" w:rsidRDefault="00DA35E4" w:rsidP="001B4204">
            <w:pPr>
              <w:pStyle w:val="TableText0"/>
              <w:framePr w:wrap="around"/>
              <w:jc w:val="center"/>
            </w:pPr>
            <w:r w:rsidRPr="00006FCB">
              <w:t>$</w:t>
            </w:r>
            <w:r w:rsidRPr="00BC6B2A">
              <w:rPr>
                <w:color w:val="000000"/>
                <w:spacing w:val="52"/>
                <w:shd w:val="solid" w:color="000000" w:fill="000000"/>
                <w:fitText w:val="330" w:id="-679167744"/>
                <w14:textFill>
                  <w14:solidFill>
                    <w14:srgbClr w14:val="000000">
                      <w14:alpha w14:val="100000"/>
                    </w14:srgbClr>
                  </w14:solidFill>
                </w14:textFill>
              </w:rPr>
              <w:t>|||</w:t>
            </w:r>
            <w:r w:rsidRPr="00BC6B2A">
              <w:rPr>
                <w:color w:val="000000"/>
                <w:spacing w:val="2"/>
                <w:shd w:val="solid" w:color="000000" w:fill="000000"/>
                <w:fitText w:val="330" w:id="-679167744"/>
                <w14:textFill>
                  <w14:solidFill>
                    <w14:srgbClr w14:val="000000">
                      <w14:alpha w14:val="100000"/>
                    </w14:srgbClr>
                  </w14:solidFill>
                </w14:textFill>
              </w:rPr>
              <w:t>|</w:t>
            </w:r>
          </w:p>
        </w:tc>
        <w:tc>
          <w:tcPr>
            <w:tcW w:w="532" w:type="pct"/>
            <w:shd w:val="clear" w:color="auto" w:fill="FFFFFF" w:themeFill="background1"/>
            <w:vAlign w:val="center"/>
          </w:tcPr>
          <w:p w14:paraId="593D89D4" w14:textId="77777777" w:rsidR="00DA35E4" w:rsidRPr="00006FCB" w:rsidRDefault="00DA35E4" w:rsidP="001B4204">
            <w:pPr>
              <w:pStyle w:val="TableText0"/>
              <w:framePr w:wrap="around"/>
              <w:jc w:val="center"/>
            </w:pPr>
            <w:r w:rsidRPr="00006FCB">
              <w:t>$214</w:t>
            </w:r>
          </w:p>
        </w:tc>
        <w:tc>
          <w:tcPr>
            <w:tcW w:w="533" w:type="pct"/>
            <w:shd w:val="clear" w:color="auto" w:fill="FFFFFF" w:themeFill="background1"/>
            <w:vAlign w:val="center"/>
          </w:tcPr>
          <w:p w14:paraId="28DD68F4" w14:textId="77777777" w:rsidR="00DA35E4" w:rsidRPr="00006FCB" w:rsidRDefault="00DA35E4" w:rsidP="001B4204">
            <w:pPr>
              <w:pStyle w:val="TableText0"/>
              <w:framePr w:wrap="around"/>
              <w:jc w:val="center"/>
            </w:pPr>
            <w:r w:rsidRPr="00006FCB">
              <w:t>$</w:t>
            </w:r>
            <w:r w:rsidRPr="00BC6B2A">
              <w:rPr>
                <w:color w:val="000000"/>
                <w:spacing w:val="52"/>
                <w:shd w:val="solid" w:color="000000" w:fill="000000"/>
                <w:fitText w:val="330" w:id="-679167743"/>
                <w14:textFill>
                  <w14:solidFill>
                    <w14:srgbClr w14:val="000000">
                      <w14:alpha w14:val="100000"/>
                    </w14:srgbClr>
                  </w14:solidFill>
                </w14:textFill>
              </w:rPr>
              <w:t>|||</w:t>
            </w:r>
            <w:r w:rsidRPr="00BC6B2A">
              <w:rPr>
                <w:color w:val="000000"/>
                <w:spacing w:val="2"/>
                <w:shd w:val="solid" w:color="000000" w:fill="000000"/>
                <w:fitText w:val="330" w:id="-679167743"/>
                <w14:textFill>
                  <w14:solidFill>
                    <w14:srgbClr w14:val="000000">
                      <w14:alpha w14:val="100000"/>
                    </w14:srgbClr>
                  </w14:solidFill>
                </w14:textFill>
              </w:rPr>
              <w:t>|</w:t>
            </w:r>
          </w:p>
        </w:tc>
        <w:tc>
          <w:tcPr>
            <w:tcW w:w="532" w:type="pct"/>
            <w:shd w:val="clear" w:color="auto" w:fill="FFFFFF" w:themeFill="background1"/>
            <w:vAlign w:val="center"/>
          </w:tcPr>
          <w:p w14:paraId="51101170" w14:textId="77777777" w:rsidR="00DA35E4" w:rsidRPr="00006FCB" w:rsidRDefault="00DA35E4" w:rsidP="001B4204">
            <w:pPr>
              <w:pStyle w:val="TableText0"/>
              <w:framePr w:wrap="around"/>
              <w:jc w:val="center"/>
            </w:pPr>
            <w:r w:rsidRPr="00006FCB">
              <w:t xml:space="preserve">0.787 </w:t>
            </w:r>
            <w:r w:rsidRPr="00006FCB">
              <w:br/>
              <w:t>response</w:t>
            </w:r>
          </w:p>
        </w:tc>
        <w:tc>
          <w:tcPr>
            <w:tcW w:w="533" w:type="pct"/>
            <w:shd w:val="clear" w:color="auto" w:fill="FFFFFF" w:themeFill="background1"/>
            <w:vAlign w:val="center"/>
          </w:tcPr>
          <w:p w14:paraId="7079C363" w14:textId="77777777" w:rsidR="00DA35E4" w:rsidRPr="00006FCB" w:rsidRDefault="00DA35E4" w:rsidP="001B4204">
            <w:pPr>
              <w:pStyle w:val="TableText0"/>
              <w:framePr w:wrap="around"/>
              <w:jc w:val="center"/>
            </w:pPr>
            <w:r w:rsidRPr="00006FCB">
              <w:t>0.</w:t>
            </w:r>
            <w:r>
              <w:t>0</w:t>
            </w:r>
            <w:r w:rsidRPr="00006FCB">
              <w:t>48</w:t>
            </w:r>
          </w:p>
          <w:p w14:paraId="0A4994AB" w14:textId="77777777" w:rsidR="00DA35E4" w:rsidRPr="00006FCB" w:rsidRDefault="00DA35E4" w:rsidP="001B4204">
            <w:pPr>
              <w:pStyle w:val="TableText0"/>
              <w:framePr w:wrap="around"/>
              <w:jc w:val="center"/>
            </w:pPr>
            <w:r w:rsidRPr="00006FCB">
              <w:t>response</w:t>
            </w:r>
          </w:p>
        </w:tc>
        <w:tc>
          <w:tcPr>
            <w:tcW w:w="544" w:type="pct"/>
            <w:shd w:val="clear" w:color="auto" w:fill="FFFFFF" w:themeFill="background1"/>
            <w:vAlign w:val="center"/>
          </w:tcPr>
          <w:p w14:paraId="43D92695" w14:textId="77777777" w:rsidR="00DA35E4" w:rsidRPr="00006FCB" w:rsidRDefault="00DA35E4" w:rsidP="001B4204">
            <w:pPr>
              <w:pStyle w:val="TableText0"/>
              <w:framePr w:wrap="around"/>
              <w:jc w:val="center"/>
            </w:pPr>
            <w:r w:rsidRPr="00006FCB">
              <w:t>0.739</w:t>
            </w:r>
          </w:p>
        </w:tc>
        <w:tc>
          <w:tcPr>
            <w:tcW w:w="598" w:type="pct"/>
            <w:shd w:val="clear" w:color="auto" w:fill="FFFFFF" w:themeFill="background1"/>
            <w:vAlign w:val="center"/>
          </w:tcPr>
          <w:p w14:paraId="7CAA0063" w14:textId="77777777" w:rsidR="00DA35E4" w:rsidRPr="00006FCB" w:rsidRDefault="00DA35E4" w:rsidP="001B4204">
            <w:pPr>
              <w:pStyle w:val="TableText0"/>
              <w:framePr w:wrap="around"/>
              <w:jc w:val="center"/>
            </w:pPr>
            <w:r w:rsidRPr="00BC6B2A">
              <w:rPr>
                <w:color w:val="000000"/>
                <w:spacing w:val="52"/>
                <w:shd w:val="solid" w:color="000000" w:fill="000000"/>
                <w:fitText w:val="330" w:id="-679167742"/>
                <w14:textFill>
                  <w14:solidFill>
                    <w14:srgbClr w14:val="000000">
                      <w14:alpha w14:val="100000"/>
                    </w14:srgbClr>
                  </w14:solidFill>
                </w14:textFill>
              </w:rPr>
              <w:t>|||</w:t>
            </w:r>
            <w:r w:rsidRPr="00BC6B2A">
              <w:rPr>
                <w:color w:val="000000"/>
                <w:spacing w:val="2"/>
                <w:shd w:val="solid" w:color="000000" w:fill="000000"/>
                <w:fitText w:val="330" w:id="-679167742"/>
                <w14:textFill>
                  <w14:solidFill>
                    <w14:srgbClr w14:val="000000">
                      <w14:alpha w14:val="100000"/>
                    </w14:srgbClr>
                  </w14:solidFill>
                </w14:textFill>
              </w:rPr>
              <w:t>|</w:t>
            </w:r>
            <w:r w:rsidRPr="00006FCB">
              <w:t xml:space="preserve"> </w:t>
            </w:r>
            <w:r w:rsidRPr="00DA0EE1">
              <w:rPr>
                <w:vertAlign w:val="superscript"/>
              </w:rPr>
              <w:t>1</w:t>
            </w:r>
            <w:r>
              <w:br/>
            </w:r>
            <w:r w:rsidRPr="00006FCB">
              <w:t>per responder</w:t>
            </w:r>
          </w:p>
        </w:tc>
      </w:tr>
      <w:tr w:rsidR="00DA35E4" w:rsidRPr="00006FCB" w14:paraId="5E79F34B" w14:textId="77777777" w:rsidTr="00490E84">
        <w:trPr>
          <w:tblHeader/>
        </w:trPr>
        <w:tc>
          <w:tcPr>
            <w:tcW w:w="1196" w:type="pct"/>
            <w:shd w:val="clear" w:color="auto" w:fill="FFFFFF" w:themeFill="background1"/>
            <w:vAlign w:val="center"/>
          </w:tcPr>
          <w:p w14:paraId="7693E237" w14:textId="77777777" w:rsidR="00DA35E4" w:rsidRPr="00006FCB" w:rsidRDefault="00DA35E4" w:rsidP="001B4204">
            <w:pPr>
              <w:pStyle w:val="TableText0"/>
              <w:framePr w:wrap="around"/>
            </w:pPr>
            <w:r w:rsidRPr="4D2BAA30">
              <w:t>Step 1B: Trial setting PaTHway, Time horizon: 26 weeks</w:t>
            </w:r>
          </w:p>
          <w:p w14:paraId="225A4348" w14:textId="77777777" w:rsidR="00DA35E4" w:rsidRPr="00006FCB" w:rsidRDefault="00DA35E4" w:rsidP="001B4204">
            <w:pPr>
              <w:pStyle w:val="TableText0"/>
              <w:framePr w:wrap="around"/>
            </w:pPr>
            <w:r w:rsidRPr="00006FCB">
              <w:t>Outcome: eGFR</w:t>
            </w:r>
          </w:p>
          <w:p w14:paraId="7BD3D8D3" w14:textId="77777777" w:rsidR="00DA35E4" w:rsidRPr="00006FCB" w:rsidRDefault="00DA35E4" w:rsidP="001B4204">
            <w:pPr>
              <w:pStyle w:val="TableText0"/>
              <w:framePr w:wrap="around"/>
            </w:pPr>
            <w:r w:rsidRPr="00006FCB">
              <w:t>Cost: treatment only</w:t>
            </w:r>
          </w:p>
        </w:tc>
        <w:tc>
          <w:tcPr>
            <w:tcW w:w="533" w:type="pct"/>
            <w:shd w:val="clear" w:color="auto" w:fill="FFFFFF" w:themeFill="background1"/>
            <w:vAlign w:val="center"/>
          </w:tcPr>
          <w:p w14:paraId="09321549" w14:textId="77777777" w:rsidR="00DA35E4" w:rsidRPr="00006FCB" w:rsidRDefault="00DA35E4" w:rsidP="001B4204">
            <w:pPr>
              <w:pStyle w:val="TableText0"/>
              <w:framePr w:wrap="around"/>
              <w:jc w:val="center"/>
            </w:pPr>
            <w:r w:rsidRPr="00006FCB">
              <w:t>$</w:t>
            </w:r>
            <w:r w:rsidRPr="00BC6B2A">
              <w:rPr>
                <w:color w:val="000000"/>
                <w:spacing w:val="52"/>
                <w:shd w:val="solid" w:color="000000" w:fill="000000"/>
                <w:fitText w:val="330" w:id="-679167741"/>
                <w14:textFill>
                  <w14:solidFill>
                    <w14:srgbClr w14:val="000000">
                      <w14:alpha w14:val="100000"/>
                    </w14:srgbClr>
                  </w14:solidFill>
                </w14:textFill>
              </w:rPr>
              <w:t>|||</w:t>
            </w:r>
            <w:r w:rsidRPr="00BC6B2A">
              <w:rPr>
                <w:color w:val="000000"/>
                <w:spacing w:val="2"/>
                <w:shd w:val="solid" w:color="000000" w:fill="000000"/>
                <w:fitText w:val="330" w:id="-679167741"/>
                <w14:textFill>
                  <w14:solidFill>
                    <w14:srgbClr w14:val="000000">
                      <w14:alpha w14:val="100000"/>
                    </w14:srgbClr>
                  </w14:solidFill>
                </w14:textFill>
              </w:rPr>
              <w:t>|</w:t>
            </w:r>
          </w:p>
        </w:tc>
        <w:tc>
          <w:tcPr>
            <w:tcW w:w="532" w:type="pct"/>
            <w:shd w:val="clear" w:color="auto" w:fill="FFFFFF" w:themeFill="background1"/>
            <w:vAlign w:val="center"/>
          </w:tcPr>
          <w:p w14:paraId="61674418" w14:textId="77777777" w:rsidR="00DA35E4" w:rsidRPr="00006FCB" w:rsidRDefault="00DA35E4" w:rsidP="001B4204">
            <w:pPr>
              <w:pStyle w:val="TableText0"/>
              <w:framePr w:wrap="around"/>
              <w:jc w:val="center"/>
            </w:pPr>
            <w:r w:rsidRPr="00006FCB">
              <w:t>$214</w:t>
            </w:r>
          </w:p>
        </w:tc>
        <w:tc>
          <w:tcPr>
            <w:tcW w:w="533" w:type="pct"/>
            <w:shd w:val="clear" w:color="auto" w:fill="FFFFFF" w:themeFill="background1"/>
            <w:vAlign w:val="center"/>
          </w:tcPr>
          <w:p w14:paraId="51AC3DDC" w14:textId="77777777" w:rsidR="00DA35E4" w:rsidRPr="00006FCB" w:rsidRDefault="00DA35E4" w:rsidP="001B4204">
            <w:pPr>
              <w:pStyle w:val="TableText0"/>
              <w:framePr w:wrap="around"/>
              <w:jc w:val="center"/>
            </w:pPr>
            <w:r w:rsidRPr="00006FCB">
              <w:t>$</w:t>
            </w:r>
            <w:r w:rsidRPr="00BC6B2A">
              <w:rPr>
                <w:color w:val="000000"/>
                <w:spacing w:val="52"/>
                <w:shd w:val="solid" w:color="000000" w:fill="000000"/>
                <w:fitText w:val="330" w:id="-679167740"/>
                <w14:textFill>
                  <w14:solidFill>
                    <w14:srgbClr w14:val="000000">
                      <w14:alpha w14:val="100000"/>
                    </w14:srgbClr>
                  </w14:solidFill>
                </w14:textFill>
              </w:rPr>
              <w:t>|||</w:t>
            </w:r>
            <w:r w:rsidRPr="00BC6B2A">
              <w:rPr>
                <w:color w:val="000000"/>
                <w:spacing w:val="2"/>
                <w:shd w:val="solid" w:color="000000" w:fill="000000"/>
                <w:fitText w:val="330" w:id="-679167740"/>
                <w14:textFill>
                  <w14:solidFill>
                    <w14:srgbClr w14:val="000000">
                      <w14:alpha w14:val="100000"/>
                    </w14:srgbClr>
                  </w14:solidFill>
                </w14:textFill>
              </w:rPr>
              <w:t>|</w:t>
            </w:r>
          </w:p>
        </w:tc>
        <w:tc>
          <w:tcPr>
            <w:tcW w:w="532" w:type="pct"/>
            <w:shd w:val="clear" w:color="auto" w:fill="FFFFFF" w:themeFill="background1"/>
            <w:vAlign w:val="center"/>
          </w:tcPr>
          <w:p w14:paraId="57CE0566" w14:textId="77777777" w:rsidR="00DA35E4" w:rsidRPr="00006FCB" w:rsidRDefault="00DA35E4" w:rsidP="001B4204">
            <w:pPr>
              <w:pStyle w:val="TableText0"/>
              <w:framePr w:wrap="around"/>
              <w:jc w:val="center"/>
            </w:pPr>
            <w:r w:rsidRPr="00006FCB">
              <w:t xml:space="preserve">7.9 </w:t>
            </w:r>
            <w:r>
              <w:br/>
            </w:r>
            <w:r w:rsidRPr="00006FCB">
              <w:t>mL/min/</w:t>
            </w:r>
            <w:r w:rsidRPr="00006FCB">
              <w:br/>
              <w:t>1.73m</w:t>
            </w:r>
            <w:r w:rsidRPr="00006FCB">
              <w:rPr>
                <w:position w:val="5"/>
              </w:rPr>
              <w:t>2</w:t>
            </w:r>
          </w:p>
        </w:tc>
        <w:tc>
          <w:tcPr>
            <w:tcW w:w="533" w:type="pct"/>
            <w:shd w:val="clear" w:color="auto" w:fill="FFFFFF" w:themeFill="background1"/>
            <w:vAlign w:val="center"/>
          </w:tcPr>
          <w:p w14:paraId="15B20A26" w14:textId="77777777" w:rsidR="00DA35E4" w:rsidRPr="00006FCB" w:rsidRDefault="00DA35E4" w:rsidP="001B4204">
            <w:pPr>
              <w:pStyle w:val="TableText0"/>
              <w:framePr w:wrap="around"/>
              <w:jc w:val="center"/>
            </w:pPr>
            <w:r w:rsidRPr="00006FCB">
              <w:t xml:space="preserve">-1.9 </w:t>
            </w:r>
            <w:r>
              <w:br/>
            </w:r>
            <w:r w:rsidRPr="00006FCB">
              <w:t>mL/min/</w:t>
            </w:r>
            <w:r w:rsidRPr="00006FCB">
              <w:br/>
              <w:t>1.73m</w:t>
            </w:r>
            <w:r w:rsidRPr="00006FCB">
              <w:rPr>
                <w:position w:val="5"/>
              </w:rPr>
              <w:t>2</w:t>
            </w:r>
          </w:p>
        </w:tc>
        <w:tc>
          <w:tcPr>
            <w:tcW w:w="544" w:type="pct"/>
            <w:shd w:val="clear" w:color="auto" w:fill="FFFFFF" w:themeFill="background1"/>
            <w:vAlign w:val="center"/>
          </w:tcPr>
          <w:p w14:paraId="6A3C2374" w14:textId="77777777" w:rsidR="00DA35E4" w:rsidRPr="00006FCB" w:rsidRDefault="00DA35E4" w:rsidP="001B4204">
            <w:pPr>
              <w:pStyle w:val="TableText0"/>
              <w:framePr w:wrap="around"/>
              <w:jc w:val="center"/>
            </w:pPr>
            <w:r w:rsidRPr="00006FCB">
              <w:t xml:space="preserve">9.8 </w:t>
            </w:r>
            <w:r>
              <w:br/>
            </w:r>
            <w:r w:rsidRPr="00006FCB">
              <w:t>mL/min/</w:t>
            </w:r>
            <w:r w:rsidRPr="00006FCB">
              <w:br/>
              <w:t>1.73m</w:t>
            </w:r>
            <w:r w:rsidRPr="00006FCB">
              <w:rPr>
                <w:position w:val="5"/>
              </w:rPr>
              <w:t>2</w:t>
            </w:r>
          </w:p>
        </w:tc>
        <w:tc>
          <w:tcPr>
            <w:tcW w:w="598" w:type="pct"/>
            <w:shd w:val="clear" w:color="auto" w:fill="FFFFFF" w:themeFill="background1"/>
            <w:vAlign w:val="center"/>
          </w:tcPr>
          <w:p w14:paraId="2028F634" w14:textId="77777777" w:rsidR="00DA35E4" w:rsidRPr="00006FCB" w:rsidRDefault="00DA35E4" w:rsidP="001B4204">
            <w:pPr>
              <w:keepNext/>
              <w:keepLines/>
              <w:framePr w:hSpace="180" w:wrap="around" w:vAnchor="text" w:hAnchor="text" w:y="1"/>
              <w:suppressOverlap/>
              <w:jc w:val="center"/>
            </w:pPr>
            <w:r w:rsidRPr="00BC6B2A">
              <w:rPr>
                <w:rFonts w:ascii="Arial Narrow" w:hAnsi="Arial Narrow"/>
                <w:color w:val="000000"/>
                <w:spacing w:val="52"/>
                <w:sz w:val="20"/>
                <w:szCs w:val="20"/>
                <w:shd w:val="solid" w:color="000000" w:fill="000000"/>
                <w:fitText w:val="330" w:id="-679167739"/>
                <w14:textFill>
                  <w14:solidFill>
                    <w14:srgbClr w14:val="000000">
                      <w14:alpha w14:val="100000"/>
                    </w14:srgbClr>
                  </w14:solidFill>
                </w14:textFill>
              </w:rPr>
              <w:t>|||</w:t>
            </w:r>
            <w:r w:rsidRPr="00BC6B2A">
              <w:rPr>
                <w:rFonts w:ascii="Arial Narrow" w:hAnsi="Arial Narrow"/>
                <w:color w:val="000000"/>
                <w:spacing w:val="2"/>
                <w:sz w:val="20"/>
                <w:szCs w:val="20"/>
                <w:shd w:val="solid" w:color="000000" w:fill="000000"/>
                <w:fitText w:val="330" w:id="-679167739"/>
                <w14:textFill>
                  <w14:solidFill>
                    <w14:srgbClr w14:val="000000">
                      <w14:alpha w14:val="100000"/>
                    </w14:srgbClr>
                  </w14:solidFill>
                </w14:textFill>
              </w:rPr>
              <w:t>|</w:t>
            </w:r>
            <w:r w:rsidRPr="00006FCB">
              <w:rPr>
                <w:rFonts w:ascii="Arial Narrow" w:hAnsi="Arial Narrow"/>
                <w:sz w:val="20"/>
                <w:szCs w:val="20"/>
              </w:rPr>
              <w:t xml:space="preserve"> </w:t>
            </w:r>
            <w:r w:rsidRPr="00761E98">
              <w:rPr>
                <w:rFonts w:ascii="Arial Narrow" w:hAnsi="Arial Narrow"/>
                <w:sz w:val="20"/>
                <w:szCs w:val="20"/>
                <w:vertAlign w:val="superscript"/>
              </w:rPr>
              <w:t>2</w:t>
            </w:r>
            <w:r>
              <w:rPr>
                <w:rFonts w:ascii="Arial Narrow" w:hAnsi="Arial Narrow"/>
                <w:sz w:val="20"/>
                <w:szCs w:val="20"/>
              </w:rPr>
              <w:br/>
            </w:r>
            <w:r w:rsidRPr="00006FCB">
              <w:rPr>
                <w:rFonts w:ascii="Arial Narrow" w:hAnsi="Arial Narrow"/>
                <w:sz w:val="20"/>
                <w:szCs w:val="20"/>
              </w:rPr>
              <w:t xml:space="preserve">per </w:t>
            </w:r>
            <w:r w:rsidRPr="00006FCB">
              <w:rPr>
                <w:rFonts w:ascii="Arial Narrow" w:hAnsi="Arial Narrow"/>
                <w:sz w:val="20"/>
                <w:szCs w:val="20"/>
              </w:rPr>
              <w:br/>
            </w:r>
            <w:r w:rsidRPr="00006FCB">
              <w:rPr>
                <w:rFonts w:ascii="Arial Narrow" w:eastAsiaTheme="majorEastAsia" w:hAnsi="Arial Narrow" w:cstheme="majorBidi"/>
                <w:bCs/>
                <w:sz w:val="20"/>
                <w:szCs w:val="20"/>
              </w:rPr>
              <w:t>1 mL/min/</w:t>
            </w:r>
            <w:r w:rsidRPr="00006FCB">
              <w:rPr>
                <w:rFonts w:ascii="Arial Narrow" w:eastAsiaTheme="majorEastAsia" w:hAnsi="Arial Narrow" w:cstheme="majorBidi"/>
                <w:bCs/>
                <w:sz w:val="20"/>
                <w:szCs w:val="20"/>
              </w:rPr>
              <w:br/>
              <w:t>1.73 m</w:t>
            </w:r>
            <w:r w:rsidRPr="00006FCB">
              <w:rPr>
                <w:rFonts w:ascii="Arial Narrow" w:eastAsiaTheme="majorEastAsia" w:hAnsi="Arial Narrow" w:cstheme="majorBidi"/>
                <w:bCs/>
                <w:sz w:val="20"/>
                <w:szCs w:val="20"/>
                <w:vertAlign w:val="superscript"/>
              </w:rPr>
              <w:t>2</w:t>
            </w:r>
            <w:r w:rsidRPr="00006FCB">
              <w:rPr>
                <w:rFonts w:ascii="Arial Narrow" w:eastAsiaTheme="majorEastAsia" w:hAnsi="Arial Narrow" w:cstheme="majorBidi"/>
                <w:bCs/>
                <w:sz w:val="20"/>
                <w:szCs w:val="20"/>
              </w:rPr>
              <w:t xml:space="preserve"> improvement in eGFR.</w:t>
            </w:r>
          </w:p>
        </w:tc>
      </w:tr>
      <w:tr w:rsidR="00DA35E4" w:rsidRPr="00006FCB" w14:paraId="5AB3B198" w14:textId="77777777" w:rsidTr="00490E84">
        <w:trPr>
          <w:tblHeader/>
        </w:trPr>
        <w:tc>
          <w:tcPr>
            <w:tcW w:w="1196" w:type="pct"/>
            <w:shd w:val="clear" w:color="auto" w:fill="FFFFFF" w:themeFill="background1"/>
            <w:vAlign w:val="center"/>
          </w:tcPr>
          <w:p w14:paraId="07776C40" w14:textId="77777777" w:rsidR="00DA35E4" w:rsidRPr="00006FCB" w:rsidRDefault="00DA35E4" w:rsidP="001B4204">
            <w:pPr>
              <w:pStyle w:val="TableText0"/>
              <w:framePr w:wrap="around"/>
            </w:pPr>
            <w:r w:rsidRPr="00006FCB">
              <w:t>Step 2. Translation of outcomes to QALY</w:t>
            </w:r>
          </w:p>
          <w:p w14:paraId="0B808B3A" w14:textId="77777777" w:rsidR="00DA35E4" w:rsidRPr="00006FCB" w:rsidRDefault="00DA35E4" w:rsidP="001B4204">
            <w:pPr>
              <w:pStyle w:val="TableText0"/>
              <w:framePr w:wrap="around"/>
            </w:pPr>
            <w:r w:rsidRPr="00006FCB">
              <w:t>Cost: treatment only</w:t>
            </w:r>
          </w:p>
        </w:tc>
        <w:tc>
          <w:tcPr>
            <w:tcW w:w="533" w:type="pct"/>
            <w:shd w:val="clear" w:color="auto" w:fill="FFFFFF" w:themeFill="background1"/>
            <w:vAlign w:val="center"/>
          </w:tcPr>
          <w:p w14:paraId="5D69D77B" w14:textId="77777777" w:rsidR="00DA35E4" w:rsidRPr="00006FCB" w:rsidRDefault="00DA35E4" w:rsidP="001B4204">
            <w:pPr>
              <w:pStyle w:val="TableText0"/>
              <w:framePr w:wrap="around"/>
              <w:jc w:val="center"/>
            </w:pPr>
            <w:r w:rsidRPr="00006FCB">
              <w:t>$</w:t>
            </w:r>
            <w:r w:rsidRPr="00BC6B2A">
              <w:rPr>
                <w:color w:val="000000"/>
                <w:spacing w:val="52"/>
                <w:shd w:val="solid" w:color="000000" w:fill="000000"/>
                <w:fitText w:val="330" w:id="-679167738"/>
                <w14:textFill>
                  <w14:solidFill>
                    <w14:srgbClr w14:val="000000">
                      <w14:alpha w14:val="100000"/>
                    </w14:srgbClr>
                  </w14:solidFill>
                </w14:textFill>
              </w:rPr>
              <w:t>|||</w:t>
            </w:r>
            <w:r w:rsidRPr="00BC6B2A">
              <w:rPr>
                <w:color w:val="000000"/>
                <w:spacing w:val="2"/>
                <w:shd w:val="solid" w:color="000000" w:fill="000000"/>
                <w:fitText w:val="330" w:id="-679167738"/>
                <w14:textFill>
                  <w14:solidFill>
                    <w14:srgbClr w14:val="000000">
                      <w14:alpha w14:val="100000"/>
                    </w14:srgbClr>
                  </w14:solidFill>
                </w14:textFill>
              </w:rPr>
              <w:t>|</w:t>
            </w:r>
          </w:p>
        </w:tc>
        <w:tc>
          <w:tcPr>
            <w:tcW w:w="532" w:type="pct"/>
            <w:shd w:val="clear" w:color="auto" w:fill="FFFFFF" w:themeFill="background1"/>
            <w:vAlign w:val="center"/>
          </w:tcPr>
          <w:p w14:paraId="407C785A" w14:textId="77777777" w:rsidR="00DA35E4" w:rsidRPr="00006FCB" w:rsidRDefault="00DA35E4" w:rsidP="001B4204">
            <w:pPr>
              <w:pStyle w:val="TableText0"/>
              <w:framePr w:wrap="around"/>
              <w:jc w:val="center"/>
            </w:pPr>
            <w:r w:rsidRPr="00006FCB">
              <w:t>$214</w:t>
            </w:r>
          </w:p>
        </w:tc>
        <w:tc>
          <w:tcPr>
            <w:tcW w:w="533" w:type="pct"/>
            <w:shd w:val="clear" w:color="auto" w:fill="FFFFFF" w:themeFill="background1"/>
            <w:vAlign w:val="center"/>
          </w:tcPr>
          <w:p w14:paraId="0221F967" w14:textId="77777777" w:rsidR="00DA35E4" w:rsidRPr="00006FCB" w:rsidRDefault="00DA35E4" w:rsidP="001B4204">
            <w:pPr>
              <w:pStyle w:val="TableText0"/>
              <w:framePr w:wrap="around"/>
              <w:jc w:val="center"/>
            </w:pPr>
            <w:r w:rsidRPr="00006FCB">
              <w:t>$</w:t>
            </w:r>
            <w:r w:rsidRPr="00BC6B2A">
              <w:rPr>
                <w:color w:val="000000"/>
                <w:spacing w:val="52"/>
                <w:shd w:val="solid" w:color="000000" w:fill="000000"/>
                <w:fitText w:val="330" w:id="-679167737"/>
                <w14:textFill>
                  <w14:solidFill>
                    <w14:srgbClr w14:val="000000">
                      <w14:alpha w14:val="100000"/>
                    </w14:srgbClr>
                  </w14:solidFill>
                </w14:textFill>
              </w:rPr>
              <w:t>|||</w:t>
            </w:r>
            <w:r w:rsidRPr="00BC6B2A">
              <w:rPr>
                <w:color w:val="000000"/>
                <w:spacing w:val="2"/>
                <w:shd w:val="solid" w:color="000000" w:fill="000000"/>
                <w:fitText w:val="330" w:id="-679167737"/>
                <w14:textFill>
                  <w14:solidFill>
                    <w14:srgbClr w14:val="000000">
                      <w14:alpha w14:val="100000"/>
                    </w14:srgbClr>
                  </w14:solidFill>
                </w14:textFill>
              </w:rPr>
              <w:t>|</w:t>
            </w:r>
          </w:p>
        </w:tc>
        <w:tc>
          <w:tcPr>
            <w:tcW w:w="532" w:type="pct"/>
            <w:shd w:val="clear" w:color="auto" w:fill="FFFFFF" w:themeFill="background1"/>
            <w:vAlign w:val="center"/>
          </w:tcPr>
          <w:p w14:paraId="6C699CB0" w14:textId="77777777" w:rsidR="00DA35E4" w:rsidRPr="00006FCB" w:rsidRDefault="00DA35E4" w:rsidP="001B4204">
            <w:pPr>
              <w:pStyle w:val="TableText0"/>
              <w:framePr w:wrap="around"/>
              <w:jc w:val="center"/>
            </w:pPr>
            <w:r w:rsidRPr="00006FCB">
              <w:t xml:space="preserve">0.427 </w:t>
            </w:r>
            <w:r>
              <w:br/>
            </w:r>
            <w:r w:rsidRPr="00006FCB">
              <w:t>QALYs</w:t>
            </w:r>
          </w:p>
        </w:tc>
        <w:tc>
          <w:tcPr>
            <w:tcW w:w="533" w:type="pct"/>
            <w:shd w:val="clear" w:color="auto" w:fill="FFFFFF" w:themeFill="background1"/>
            <w:vAlign w:val="center"/>
          </w:tcPr>
          <w:p w14:paraId="2AACF597" w14:textId="77777777" w:rsidR="00DA35E4" w:rsidRPr="00006FCB" w:rsidRDefault="00DA35E4" w:rsidP="001B4204">
            <w:pPr>
              <w:pStyle w:val="TableText0"/>
              <w:framePr w:wrap="around"/>
              <w:jc w:val="center"/>
            </w:pPr>
            <w:r w:rsidRPr="00006FCB">
              <w:t xml:space="preserve">0.401 </w:t>
            </w:r>
            <w:r>
              <w:br/>
            </w:r>
            <w:r w:rsidRPr="00006FCB">
              <w:t>QALYs</w:t>
            </w:r>
          </w:p>
        </w:tc>
        <w:tc>
          <w:tcPr>
            <w:tcW w:w="544" w:type="pct"/>
            <w:shd w:val="clear" w:color="auto" w:fill="FFFFFF" w:themeFill="background1"/>
            <w:vAlign w:val="center"/>
          </w:tcPr>
          <w:p w14:paraId="485670C1" w14:textId="77777777" w:rsidR="00DA35E4" w:rsidRPr="00006FCB" w:rsidRDefault="00DA35E4" w:rsidP="001B4204">
            <w:pPr>
              <w:pStyle w:val="TableText0"/>
              <w:framePr w:wrap="around"/>
              <w:jc w:val="center"/>
            </w:pPr>
            <w:r w:rsidRPr="00006FCB">
              <w:t xml:space="preserve">0.025 </w:t>
            </w:r>
            <w:r>
              <w:br/>
            </w:r>
            <w:r w:rsidRPr="00006FCB">
              <w:t>QALYs</w:t>
            </w:r>
          </w:p>
        </w:tc>
        <w:tc>
          <w:tcPr>
            <w:tcW w:w="598" w:type="pct"/>
            <w:shd w:val="clear" w:color="auto" w:fill="FFFFFF" w:themeFill="background1"/>
            <w:vAlign w:val="center"/>
          </w:tcPr>
          <w:p w14:paraId="37308038" w14:textId="77777777" w:rsidR="00DA35E4" w:rsidRPr="00006FCB" w:rsidRDefault="00DA35E4" w:rsidP="001B4204">
            <w:pPr>
              <w:pStyle w:val="TableText0"/>
              <w:framePr w:wrap="around"/>
              <w:jc w:val="center"/>
            </w:pPr>
            <w:r w:rsidRPr="00BC6B2A">
              <w:rPr>
                <w:color w:val="000000"/>
                <w:spacing w:val="52"/>
                <w:shd w:val="solid" w:color="000000" w:fill="000000"/>
                <w:fitText w:val="330" w:id="-679167736"/>
                <w14:textFill>
                  <w14:solidFill>
                    <w14:srgbClr w14:val="000000">
                      <w14:alpha w14:val="100000"/>
                    </w14:srgbClr>
                  </w14:solidFill>
                </w14:textFill>
              </w:rPr>
              <w:t>|||</w:t>
            </w:r>
            <w:r w:rsidRPr="00BC6B2A">
              <w:rPr>
                <w:color w:val="000000"/>
                <w:spacing w:val="2"/>
                <w:shd w:val="solid" w:color="000000" w:fill="000000"/>
                <w:fitText w:val="330" w:id="-679167736"/>
                <w14:textFill>
                  <w14:solidFill>
                    <w14:srgbClr w14:val="000000">
                      <w14:alpha w14:val="100000"/>
                    </w14:srgbClr>
                  </w14:solidFill>
                </w14:textFill>
              </w:rPr>
              <w:t>|</w:t>
            </w:r>
            <w:r>
              <w:t xml:space="preserve"> </w:t>
            </w:r>
            <w:r w:rsidRPr="00E51CAE">
              <w:rPr>
                <w:vertAlign w:val="superscript"/>
              </w:rPr>
              <w:t>3</w:t>
            </w:r>
            <w:r>
              <w:br/>
              <w:t>per QALY</w:t>
            </w:r>
          </w:p>
        </w:tc>
      </w:tr>
      <w:tr w:rsidR="00DA35E4" w:rsidRPr="00006FCB" w14:paraId="7918803B" w14:textId="77777777" w:rsidTr="00490E84">
        <w:trPr>
          <w:tblHeader/>
        </w:trPr>
        <w:tc>
          <w:tcPr>
            <w:tcW w:w="1196" w:type="pct"/>
            <w:shd w:val="clear" w:color="auto" w:fill="FFFFFF" w:themeFill="background1"/>
            <w:vAlign w:val="center"/>
          </w:tcPr>
          <w:p w14:paraId="3AB0F879" w14:textId="77777777" w:rsidR="00DA35E4" w:rsidRPr="00006FCB" w:rsidRDefault="00DA35E4" w:rsidP="001B4204">
            <w:pPr>
              <w:pStyle w:val="TableText0"/>
              <w:framePr w:wrap="around"/>
            </w:pPr>
            <w:r w:rsidRPr="00006FCB">
              <w:t>Step 3: Extrapolate data to lifetime horizon (51 years)</w:t>
            </w:r>
          </w:p>
          <w:p w14:paraId="32391525" w14:textId="77777777" w:rsidR="00DA35E4" w:rsidRPr="00006FCB" w:rsidRDefault="00DA35E4" w:rsidP="001B4204">
            <w:pPr>
              <w:pStyle w:val="TableText0"/>
              <w:framePr w:wrap="around"/>
            </w:pPr>
            <w:r w:rsidRPr="00006FCB">
              <w:t>Cost: treatment only</w:t>
            </w:r>
          </w:p>
        </w:tc>
        <w:tc>
          <w:tcPr>
            <w:tcW w:w="533" w:type="pct"/>
            <w:shd w:val="clear" w:color="auto" w:fill="FFFFFF" w:themeFill="background1"/>
            <w:vAlign w:val="center"/>
          </w:tcPr>
          <w:p w14:paraId="52ED0874" w14:textId="77777777" w:rsidR="00DA35E4" w:rsidRPr="00006FCB" w:rsidRDefault="00DA35E4" w:rsidP="001B4204">
            <w:pPr>
              <w:pStyle w:val="TableText0"/>
              <w:framePr w:wrap="around"/>
              <w:jc w:val="center"/>
            </w:pPr>
            <w:r w:rsidRPr="00006FCB">
              <w:t>$</w:t>
            </w:r>
            <w:r w:rsidRPr="00BC6B2A">
              <w:rPr>
                <w:color w:val="000000"/>
                <w:spacing w:val="52"/>
                <w:shd w:val="solid" w:color="000000" w:fill="000000"/>
                <w:fitText w:val="330" w:id="-679167735"/>
                <w14:textFill>
                  <w14:solidFill>
                    <w14:srgbClr w14:val="000000">
                      <w14:alpha w14:val="100000"/>
                    </w14:srgbClr>
                  </w14:solidFill>
                </w14:textFill>
              </w:rPr>
              <w:t>|||</w:t>
            </w:r>
            <w:r w:rsidRPr="00BC6B2A">
              <w:rPr>
                <w:color w:val="000000"/>
                <w:spacing w:val="2"/>
                <w:shd w:val="solid" w:color="000000" w:fill="000000"/>
                <w:fitText w:val="330" w:id="-679167735"/>
                <w14:textFill>
                  <w14:solidFill>
                    <w14:srgbClr w14:val="000000">
                      <w14:alpha w14:val="100000"/>
                    </w14:srgbClr>
                  </w14:solidFill>
                </w14:textFill>
              </w:rPr>
              <w:t>|</w:t>
            </w:r>
          </w:p>
        </w:tc>
        <w:tc>
          <w:tcPr>
            <w:tcW w:w="532" w:type="pct"/>
            <w:shd w:val="clear" w:color="auto" w:fill="FFFFFF" w:themeFill="background1"/>
            <w:vAlign w:val="center"/>
          </w:tcPr>
          <w:p w14:paraId="6A6A2613" w14:textId="77777777" w:rsidR="00DA35E4" w:rsidRPr="00006FCB" w:rsidRDefault="00DA35E4" w:rsidP="001B4204">
            <w:pPr>
              <w:pStyle w:val="TableText0"/>
              <w:framePr w:wrap="around"/>
              <w:jc w:val="center"/>
            </w:pPr>
            <w:r w:rsidRPr="00006FCB">
              <w:t>$5,508</w:t>
            </w:r>
          </w:p>
        </w:tc>
        <w:tc>
          <w:tcPr>
            <w:tcW w:w="533" w:type="pct"/>
            <w:shd w:val="clear" w:color="auto" w:fill="FFFFFF" w:themeFill="background1"/>
            <w:vAlign w:val="center"/>
          </w:tcPr>
          <w:p w14:paraId="0543A23D" w14:textId="77777777" w:rsidR="00DA35E4" w:rsidRPr="00006FCB" w:rsidRDefault="00DA35E4" w:rsidP="001B4204">
            <w:pPr>
              <w:pStyle w:val="TableText0"/>
              <w:framePr w:wrap="around"/>
              <w:jc w:val="center"/>
            </w:pPr>
            <w:r w:rsidRPr="00006FCB">
              <w:t>$</w:t>
            </w:r>
            <w:r w:rsidRPr="00BC6B2A">
              <w:rPr>
                <w:color w:val="000000"/>
                <w:spacing w:val="52"/>
                <w:shd w:val="solid" w:color="000000" w:fill="000000"/>
                <w:fitText w:val="330" w:id="-679167734"/>
                <w14:textFill>
                  <w14:solidFill>
                    <w14:srgbClr w14:val="000000">
                      <w14:alpha w14:val="100000"/>
                    </w14:srgbClr>
                  </w14:solidFill>
                </w14:textFill>
              </w:rPr>
              <w:t>|||</w:t>
            </w:r>
            <w:r w:rsidRPr="00BC6B2A">
              <w:rPr>
                <w:color w:val="000000"/>
                <w:spacing w:val="2"/>
                <w:shd w:val="solid" w:color="000000" w:fill="000000"/>
                <w:fitText w:val="330" w:id="-679167734"/>
                <w14:textFill>
                  <w14:solidFill>
                    <w14:srgbClr w14:val="000000">
                      <w14:alpha w14:val="100000"/>
                    </w14:srgbClr>
                  </w14:solidFill>
                </w14:textFill>
              </w:rPr>
              <w:t>|</w:t>
            </w:r>
          </w:p>
        </w:tc>
        <w:tc>
          <w:tcPr>
            <w:tcW w:w="532" w:type="pct"/>
            <w:shd w:val="clear" w:color="auto" w:fill="FFFFFF" w:themeFill="background1"/>
            <w:vAlign w:val="center"/>
          </w:tcPr>
          <w:p w14:paraId="0EB3B0E4" w14:textId="77777777" w:rsidR="00DA35E4" w:rsidRPr="00006FCB" w:rsidRDefault="00DA35E4" w:rsidP="001B4204">
            <w:pPr>
              <w:pStyle w:val="TableText0"/>
              <w:framePr w:wrap="around"/>
              <w:jc w:val="center"/>
            </w:pPr>
            <w:r w:rsidRPr="00006FCB">
              <w:t xml:space="preserve">12.027 </w:t>
            </w:r>
            <w:r>
              <w:br/>
            </w:r>
            <w:r w:rsidRPr="00006FCB">
              <w:t>QALYs</w:t>
            </w:r>
          </w:p>
        </w:tc>
        <w:tc>
          <w:tcPr>
            <w:tcW w:w="533" w:type="pct"/>
            <w:shd w:val="clear" w:color="auto" w:fill="FFFFFF" w:themeFill="background1"/>
            <w:vAlign w:val="center"/>
          </w:tcPr>
          <w:p w14:paraId="1E95CD2F" w14:textId="77777777" w:rsidR="00DA35E4" w:rsidRPr="00006FCB" w:rsidRDefault="00DA35E4" w:rsidP="001B4204">
            <w:pPr>
              <w:pStyle w:val="TableText0"/>
              <w:framePr w:wrap="around"/>
              <w:jc w:val="center"/>
            </w:pPr>
            <w:r w:rsidRPr="00006FCB">
              <w:t>10.058 QALYs</w:t>
            </w:r>
          </w:p>
        </w:tc>
        <w:tc>
          <w:tcPr>
            <w:tcW w:w="544" w:type="pct"/>
            <w:shd w:val="clear" w:color="auto" w:fill="FFFFFF" w:themeFill="background1"/>
            <w:vAlign w:val="center"/>
          </w:tcPr>
          <w:p w14:paraId="73ED39F2" w14:textId="77777777" w:rsidR="00DA35E4" w:rsidRPr="00006FCB" w:rsidRDefault="00DA35E4" w:rsidP="001B4204">
            <w:pPr>
              <w:pStyle w:val="TableText0"/>
              <w:framePr w:wrap="around"/>
              <w:jc w:val="center"/>
            </w:pPr>
            <w:r w:rsidRPr="00006FCB">
              <w:t xml:space="preserve">1.969 </w:t>
            </w:r>
            <w:r>
              <w:br/>
            </w:r>
            <w:r w:rsidRPr="00006FCB">
              <w:t>QALYs</w:t>
            </w:r>
          </w:p>
        </w:tc>
        <w:tc>
          <w:tcPr>
            <w:tcW w:w="598" w:type="pct"/>
            <w:shd w:val="clear" w:color="auto" w:fill="FFFFFF" w:themeFill="background1"/>
            <w:vAlign w:val="center"/>
          </w:tcPr>
          <w:p w14:paraId="6ED4E9C1" w14:textId="77777777" w:rsidR="00DA35E4" w:rsidRPr="00006FCB" w:rsidRDefault="00DA35E4" w:rsidP="001B4204">
            <w:pPr>
              <w:pStyle w:val="TableText0"/>
              <w:framePr w:wrap="around"/>
              <w:jc w:val="center"/>
            </w:pPr>
            <w:r w:rsidRPr="00BC6B2A">
              <w:rPr>
                <w:color w:val="000000"/>
                <w:spacing w:val="52"/>
                <w:shd w:val="solid" w:color="000000" w:fill="000000"/>
                <w:fitText w:val="330" w:id="-679167733"/>
                <w14:textFill>
                  <w14:solidFill>
                    <w14:srgbClr w14:val="000000">
                      <w14:alpha w14:val="100000"/>
                    </w14:srgbClr>
                  </w14:solidFill>
                </w14:textFill>
              </w:rPr>
              <w:t>|||</w:t>
            </w:r>
            <w:r w:rsidRPr="00BC6B2A">
              <w:rPr>
                <w:color w:val="000000"/>
                <w:spacing w:val="2"/>
                <w:shd w:val="solid" w:color="000000" w:fill="000000"/>
                <w:fitText w:val="330" w:id="-679167733"/>
                <w14:textFill>
                  <w14:solidFill>
                    <w14:srgbClr w14:val="000000">
                      <w14:alpha w14:val="100000"/>
                    </w14:srgbClr>
                  </w14:solidFill>
                </w14:textFill>
              </w:rPr>
              <w:t>|</w:t>
            </w:r>
            <w:r>
              <w:t xml:space="preserve"> </w:t>
            </w:r>
            <w:r w:rsidRPr="00A13B32">
              <w:rPr>
                <w:vertAlign w:val="superscript"/>
              </w:rPr>
              <w:t>4</w:t>
            </w:r>
            <w:r>
              <w:br/>
              <w:t>per QALY</w:t>
            </w:r>
          </w:p>
        </w:tc>
      </w:tr>
      <w:tr w:rsidR="00DA35E4" w:rsidRPr="00006FCB" w14:paraId="2ADC405C" w14:textId="77777777" w:rsidTr="00490E84">
        <w:trPr>
          <w:tblHeader/>
        </w:trPr>
        <w:tc>
          <w:tcPr>
            <w:tcW w:w="1196" w:type="pct"/>
            <w:shd w:val="clear" w:color="auto" w:fill="FFFFFF" w:themeFill="background1"/>
            <w:vAlign w:val="center"/>
          </w:tcPr>
          <w:p w14:paraId="3BFC3FA9" w14:textId="77777777" w:rsidR="00DA35E4" w:rsidRPr="00006FCB" w:rsidRDefault="00DA35E4" w:rsidP="001B4204">
            <w:pPr>
              <w:pStyle w:val="TableText0"/>
              <w:framePr w:wrap="around"/>
            </w:pPr>
            <w:r w:rsidRPr="00006FCB">
              <w:t>Step 4: Lifetime horizon</w:t>
            </w:r>
          </w:p>
          <w:p w14:paraId="57230358" w14:textId="77777777" w:rsidR="00DA35E4" w:rsidRPr="00006FCB" w:rsidRDefault="00DA35E4" w:rsidP="001B4204">
            <w:pPr>
              <w:pStyle w:val="TableText0"/>
              <w:framePr w:wrap="around"/>
            </w:pPr>
            <w:r w:rsidRPr="00006FCB">
              <w:t>Costs: all costs</w:t>
            </w:r>
          </w:p>
        </w:tc>
        <w:tc>
          <w:tcPr>
            <w:tcW w:w="533" w:type="pct"/>
            <w:shd w:val="clear" w:color="auto" w:fill="FFFFFF" w:themeFill="background1"/>
            <w:vAlign w:val="center"/>
          </w:tcPr>
          <w:p w14:paraId="754435B6" w14:textId="77777777" w:rsidR="00DA35E4" w:rsidRPr="00006FCB" w:rsidRDefault="00DA35E4" w:rsidP="001B4204">
            <w:pPr>
              <w:pStyle w:val="TableText0"/>
              <w:framePr w:wrap="around"/>
              <w:jc w:val="center"/>
            </w:pPr>
            <w:r w:rsidRPr="00006FCB">
              <w:t>$</w:t>
            </w:r>
            <w:r w:rsidRPr="00BC6B2A">
              <w:rPr>
                <w:color w:val="000000"/>
                <w:spacing w:val="52"/>
                <w:shd w:val="solid" w:color="000000" w:fill="000000"/>
                <w:fitText w:val="330" w:id="-679167732"/>
                <w14:textFill>
                  <w14:solidFill>
                    <w14:srgbClr w14:val="000000">
                      <w14:alpha w14:val="100000"/>
                    </w14:srgbClr>
                  </w14:solidFill>
                </w14:textFill>
              </w:rPr>
              <w:t>|||</w:t>
            </w:r>
            <w:r w:rsidRPr="00BC6B2A">
              <w:rPr>
                <w:color w:val="000000"/>
                <w:spacing w:val="2"/>
                <w:shd w:val="solid" w:color="000000" w:fill="000000"/>
                <w:fitText w:val="330" w:id="-679167732"/>
                <w14:textFill>
                  <w14:solidFill>
                    <w14:srgbClr w14:val="000000">
                      <w14:alpha w14:val="100000"/>
                    </w14:srgbClr>
                  </w14:solidFill>
                </w14:textFill>
              </w:rPr>
              <w:t>|</w:t>
            </w:r>
          </w:p>
        </w:tc>
        <w:tc>
          <w:tcPr>
            <w:tcW w:w="532" w:type="pct"/>
            <w:shd w:val="clear" w:color="auto" w:fill="FFFFFF" w:themeFill="background1"/>
            <w:vAlign w:val="center"/>
          </w:tcPr>
          <w:p w14:paraId="54CD72CA" w14:textId="77777777" w:rsidR="00DA35E4" w:rsidRPr="00006FCB" w:rsidRDefault="00DA35E4" w:rsidP="001B4204">
            <w:pPr>
              <w:pStyle w:val="TableText0"/>
              <w:framePr w:wrap="around"/>
              <w:jc w:val="center"/>
            </w:pPr>
            <w:r w:rsidRPr="00006FCB">
              <w:t>$92,247</w:t>
            </w:r>
          </w:p>
        </w:tc>
        <w:tc>
          <w:tcPr>
            <w:tcW w:w="533" w:type="pct"/>
            <w:shd w:val="clear" w:color="auto" w:fill="FFFFFF" w:themeFill="background1"/>
            <w:vAlign w:val="center"/>
          </w:tcPr>
          <w:p w14:paraId="68B989F8" w14:textId="77777777" w:rsidR="00DA35E4" w:rsidRPr="00006FCB" w:rsidRDefault="00DA35E4" w:rsidP="001B4204">
            <w:pPr>
              <w:pStyle w:val="TableText0"/>
              <w:framePr w:wrap="around"/>
              <w:jc w:val="center"/>
            </w:pPr>
            <w:r w:rsidRPr="00006FCB">
              <w:t>$</w:t>
            </w:r>
            <w:r w:rsidRPr="00BC6B2A">
              <w:rPr>
                <w:color w:val="000000"/>
                <w:spacing w:val="52"/>
                <w:shd w:val="solid" w:color="000000" w:fill="000000"/>
                <w:fitText w:val="330" w:id="-679167731"/>
                <w14:textFill>
                  <w14:solidFill>
                    <w14:srgbClr w14:val="000000">
                      <w14:alpha w14:val="100000"/>
                    </w14:srgbClr>
                  </w14:solidFill>
                </w14:textFill>
              </w:rPr>
              <w:t>|||</w:t>
            </w:r>
            <w:r w:rsidRPr="00BC6B2A">
              <w:rPr>
                <w:color w:val="000000"/>
                <w:spacing w:val="2"/>
                <w:shd w:val="solid" w:color="000000" w:fill="000000"/>
                <w:fitText w:val="330" w:id="-679167731"/>
                <w14:textFill>
                  <w14:solidFill>
                    <w14:srgbClr w14:val="000000">
                      <w14:alpha w14:val="100000"/>
                    </w14:srgbClr>
                  </w14:solidFill>
                </w14:textFill>
              </w:rPr>
              <w:t>|</w:t>
            </w:r>
          </w:p>
        </w:tc>
        <w:tc>
          <w:tcPr>
            <w:tcW w:w="532" w:type="pct"/>
            <w:shd w:val="clear" w:color="auto" w:fill="FFFFFF" w:themeFill="background1"/>
            <w:vAlign w:val="center"/>
          </w:tcPr>
          <w:p w14:paraId="30EEE016" w14:textId="77777777" w:rsidR="00DA35E4" w:rsidRDefault="00DA35E4" w:rsidP="001B4204">
            <w:pPr>
              <w:pStyle w:val="TableText0"/>
              <w:framePr w:wrap="around"/>
              <w:jc w:val="center"/>
            </w:pPr>
            <w:r w:rsidRPr="00006FCB">
              <w:t xml:space="preserve">12.027 </w:t>
            </w:r>
          </w:p>
          <w:p w14:paraId="57178289" w14:textId="77777777" w:rsidR="00DA35E4" w:rsidRPr="00006FCB" w:rsidRDefault="00DA35E4" w:rsidP="001B4204">
            <w:pPr>
              <w:pStyle w:val="TableText0"/>
              <w:framePr w:wrap="around"/>
              <w:jc w:val="center"/>
            </w:pPr>
            <w:r w:rsidRPr="00006FCB">
              <w:t>QALYs</w:t>
            </w:r>
          </w:p>
        </w:tc>
        <w:tc>
          <w:tcPr>
            <w:tcW w:w="533" w:type="pct"/>
            <w:shd w:val="clear" w:color="auto" w:fill="FFFFFF" w:themeFill="background1"/>
            <w:vAlign w:val="center"/>
          </w:tcPr>
          <w:p w14:paraId="3BF793BE" w14:textId="77777777" w:rsidR="00DA35E4" w:rsidRPr="00006FCB" w:rsidRDefault="00DA35E4" w:rsidP="001B4204">
            <w:pPr>
              <w:pStyle w:val="TableText0"/>
              <w:framePr w:wrap="around"/>
              <w:jc w:val="center"/>
            </w:pPr>
            <w:r w:rsidRPr="00006FCB">
              <w:t>10.058 QALYs</w:t>
            </w:r>
          </w:p>
        </w:tc>
        <w:tc>
          <w:tcPr>
            <w:tcW w:w="544" w:type="pct"/>
            <w:shd w:val="clear" w:color="auto" w:fill="FFFFFF" w:themeFill="background1"/>
            <w:vAlign w:val="center"/>
          </w:tcPr>
          <w:p w14:paraId="23EBAEED" w14:textId="77777777" w:rsidR="00DA35E4" w:rsidRPr="00006FCB" w:rsidRDefault="00DA35E4" w:rsidP="001B4204">
            <w:pPr>
              <w:pStyle w:val="TableText0"/>
              <w:framePr w:wrap="around"/>
              <w:jc w:val="center"/>
            </w:pPr>
            <w:r w:rsidRPr="00006FCB">
              <w:t xml:space="preserve">1.969 </w:t>
            </w:r>
            <w:r>
              <w:br/>
            </w:r>
            <w:r w:rsidRPr="00006FCB">
              <w:t>QALYs</w:t>
            </w:r>
          </w:p>
        </w:tc>
        <w:tc>
          <w:tcPr>
            <w:tcW w:w="598" w:type="pct"/>
            <w:shd w:val="clear" w:color="auto" w:fill="FFFFFF" w:themeFill="background1"/>
            <w:vAlign w:val="center"/>
          </w:tcPr>
          <w:p w14:paraId="23A277D7" w14:textId="77777777" w:rsidR="00DA35E4" w:rsidRPr="00006FCB" w:rsidRDefault="00DA35E4" w:rsidP="001B4204">
            <w:pPr>
              <w:pStyle w:val="TableText0"/>
              <w:framePr w:wrap="around"/>
              <w:jc w:val="center"/>
              <w:rPr>
                <w:b/>
                <w:bCs w:val="0"/>
              </w:rPr>
            </w:pPr>
            <w:r w:rsidRPr="00BC6B2A">
              <w:rPr>
                <w:b/>
                <w:bCs w:val="0"/>
                <w:color w:val="000000"/>
                <w:spacing w:val="58"/>
                <w:shd w:val="solid" w:color="000000" w:fill="000000"/>
                <w:fitText w:val="360" w:id="-679167730"/>
                <w14:textFill>
                  <w14:solidFill>
                    <w14:srgbClr w14:val="000000">
                      <w14:alpha w14:val="100000"/>
                    </w14:srgbClr>
                  </w14:solidFill>
                </w14:textFill>
              </w:rPr>
              <w:t>|||</w:t>
            </w:r>
            <w:r w:rsidRPr="00BC6B2A">
              <w:rPr>
                <w:b/>
                <w:bCs w:val="0"/>
                <w:color w:val="000000"/>
                <w:spacing w:val="2"/>
                <w:shd w:val="solid" w:color="000000" w:fill="000000"/>
                <w:fitText w:val="360" w:id="-679167730"/>
                <w14:textFill>
                  <w14:solidFill>
                    <w14:srgbClr w14:val="000000">
                      <w14:alpha w14:val="100000"/>
                    </w14:srgbClr>
                  </w14:solidFill>
                </w14:textFill>
              </w:rPr>
              <w:t>|</w:t>
            </w:r>
            <w:r>
              <w:rPr>
                <w:b/>
                <w:bCs w:val="0"/>
              </w:rPr>
              <w:t xml:space="preserve"> </w:t>
            </w:r>
            <w:r w:rsidRPr="000B676D">
              <w:rPr>
                <w:b/>
                <w:bCs w:val="0"/>
                <w:vertAlign w:val="superscript"/>
              </w:rPr>
              <w:t>5</w:t>
            </w:r>
            <w:r w:rsidRPr="000B676D">
              <w:rPr>
                <w:b/>
                <w:bCs w:val="0"/>
                <w:vertAlign w:val="superscript"/>
              </w:rPr>
              <w:br/>
            </w:r>
            <w:r>
              <w:rPr>
                <w:b/>
                <w:bCs w:val="0"/>
              </w:rPr>
              <w:t>per QALY</w:t>
            </w:r>
          </w:p>
        </w:tc>
      </w:tr>
      <w:tr w:rsidR="00DA35E4" w:rsidRPr="00006FCB" w14:paraId="470766F9" w14:textId="77777777" w:rsidTr="00490E84">
        <w:trPr>
          <w:tblHeader/>
        </w:trPr>
        <w:tc>
          <w:tcPr>
            <w:tcW w:w="1196" w:type="pct"/>
            <w:shd w:val="clear" w:color="auto" w:fill="FFFFFF" w:themeFill="background1"/>
            <w:vAlign w:val="center"/>
          </w:tcPr>
          <w:p w14:paraId="5E9DC750" w14:textId="77777777" w:rsidR="00DA35E4" w:rsidRPr="00FE2059" w:rsidRDefault="00DA35E4" w:rsidP="001B4204">
            <w:pPr>
              <w:pStyle w:val="TableText0"/>
              <w:framePr w:wrap="around"/>
            </w:pPr>
            <w:r w:rsidRPr="00FE2059">
              <w:t>With anniversary price reductions removed</w:t>
            </w:r>
          </w:p>
        </w:tc>
        <w:tc>
          <w:tcPr>
            <w:tcW w:w="533" w:type="pct"/>
            <w:shd w:val="clear" w:color="auto" w:fill="FFFFFF" w:themeFill="background1"/>
            <w:vAlign w:val="center"/>
          </w:tcPr>
          <w:p w14:paraId="65F42340" w14:textId="77777777" w:rsidR="00DA35E4" w:rsidRPr="00FE2059" w:rsidRDefault="00DA35E4" w:rsidP="001B4204">
            <w:pPr>
              <w:pStyle w:val="TableText0"/>
              <w:framePr w:wrap="around"/>
              <w:jc w:val="center"/>
            </w:pPr>
            <w:r w:rsidRPr="00FE2059">
              <w:t>$</w:t>
            </w:r>
            <w:r w:rsidRPr="00BC6B2A">
              <w:rPr>
                <w:color w:val="000000"/>
                <w:spacing w:val="52"/>
                <w:shd w:val="solid" w:color="000000" w:fill="000000"/>
                <w:fitText w:val="330" w:id="-679167729"/>
                <w14:textFill>
                  <w14:solidFill>
                    <w14:srgbClr w14:val="000000">
                      <w14:alpha w14:val="100000"/>
                    </w14:srgbClr>
                  </w14:solidFill>
                </w14:textFill>
              </w:rPr>
              <w:t>|||</w:t>
            </w:r>
            <w:r w:rsidRPr="00BC6B2A">
              <w:rPr>
                <w:color w:val="000000"/>
                <w:spacing w:val="2"/>
                <w:shd w:val="solid" w:color="000000" w:fill="000000"/>
                <w:fitText w:val="330" w:id="-679167729"/>
                <w14:textFill>
                  <w14:solidFill>
                    <w14:srgbClr w14:val="000000">
                      <w14:alpha w14:val="100000"/>
                    </w14:srgbClr>
                  </w14:solidFill>
                </w14:textFill>
              </w:rPr>
              <w:t>|</w:t>
            </w:r>
          </w:p>
        </w:tc>
        <w:tc>
          <w:tcPr>
            <w:tcW w:w="532" w:type="pct"/>
            <w:shd w:val="clear" w:color="auto" w:fill="FFFFFF" w:themeFill="background1"/>
            <w:vAlign w:val="center"/>
          </w:tcPr>
          <w:p w14:paraId="61F92A43" w14:textId="77777777" w:rsidR="00DA35E4" w:rsidRPr="00FE2059" w:rsidRDefault="00DA35E4" w:rsidP="001B4204">
            <w:pPr>
              <w:pStyle w:val="TableText0"/>
              <w:framePr w:wrap="around"/>
              <w:jc w:val="center"/>
            </w:pPr>
            <w:r w:rsidRPr="00FE2059">
              <w:t>$92,247</w:t>
            </w:r>
          </w:p>
        </w:tc>
        <w:tc>
          <w:tcPr>
            <w:tcW w:w="533" w:type="pct"/>
            <w:shd w:val="clear" w:color="auto" w:fill="FFFFFF" w:themeFill="background1"/>
            <w:vAlign w:val="center"/>
          </w:tcPr>
          <w:p w14:paraId="2ED72847" w14:textId="77777777" w:rsidR="00DA35E4" w:rsidRPr="00FE2059" w:rsidRDefault="00DA35E4" w:rsidP="001B4204">
            <w:pPr>
              <w:pStyle w:val="TableText0"/>
              <w:framePr w:wrap="around"/>
              <w:jc w:val="center"/>
            </w:pPr>
            <w:r w:rsidRPr="00FE2059">
              <w:t>$</w:t>
            </w:r>
            <w:r w:rsidRPr="00BC6B2A">
              <w:rPr>
                <w:color w:val="000000"/>
                <w:spacing w:val="52"/>
                <w:shd w:val="solid" w:color="000000" w:fill="000000"/>
                <w:fitText w:val="330" w:id="-679167728"/>
                <w14:textFill>
                  <w14:solidFill>
                    <w14:srgbClr w14:val="000000">
                      <w14:alpha w14:val="100000"/>
                    </w14:srgbClr>
                  </w14:solidFill>
                </w14:textFill>
              </w:rPr>
              <w:t>|||</w:t>
            </w:r>
            <w:r w:rsidRPr="00BC6B2A">
              <w:rPr>
                <w:color w:val="000000"/>
                <w:spacing w:val="2"/>
                <w:shd w:val="solid" w:color="000000" w:fill="000000"/>
                <w:fitText w:val="330" w:id="-679167728"/>
                <w14:textFill>
                  <w14:solidFill>
                    <w14:srgbClr w14:val="000000">
                      <w14:alpha w14:val="100000"/>
                    </w14:srgbClr>
                  </w14:solidFill>
                </w14:textFill>
              </w:rPr>
              <w:t>|</w:t>
            </w:r>
          </w:p>
        </w:tc>
        <w:tc>
          <w:tcPr>
            <w:tcW w:w="532" w:type="pct"/>
            <w:shd w:val="clear" w:color="auto" w:fill="FFFFFF" w:themeFill="background1"/>
            <w:vAlign w:val="center"/>
          </w:tcPr>
          <w:p w14:paraId="0F3100C4" w14:textId="77777777" w:rsidR="00DA35E4" w:rsidRPr="00FE2059" w:rsidRDefault="00DA35E4" w:rsidP="001B4204">
            <w:pPr>
              <w:pStyle w:val="TableText0"/>
              <w:framePr w:wrap="around"/>
              <w:jc w:val="center"/>
            </w:pPr>
            <w:r w:rsidRPr="00FE2059">
              <w:t xml:space="preserve">12.027 </w:t>
            </w:r>
            <w:r w:rsidRPr="00FE2059">
              <w:br/>
              <w:t>QALYs</w:t>
            </w:r>
          </w:p>
        </w:tc>
        <w:tc>
          <w:tcPr>
            <w:tcW w:w="533" w:type="pct"/>
            <w:shd w:val="clear" w:color="auto" w:fill="FFFFFF" w:themeFill="background1"/>
            <w:vAlign w:val="center"/>
          </w:tcPr>
          <w:p w14:paraId="65F711ED" w14:textId="77777777" w:rsidR="00DA35E4" w:rsidRPr="00FE2059" w:rsidRDefault="00DA35E4" w:rsidP="001B4204">
            <w:pPr>
              <w:pStyle w:val="TableText0"/>
              <w:framePr w:wrap="around"/>
              <w:jc w:val="center"/>
            </w:pPr>
            <w:r w:rsidRPr="00FE2059">
              <w:t>10.058 QALYs</w:t>
            </w:r>
          </w:p>
        </w:tc>
        <w:tc>
          <w:tcPr>
            <w:tcW w:w="544" w:type="pct"/>
            <w:shd w:val="clear" w:color="auto" w:fill="FFFFFF" w:themeFill="background1"/>
            <w:vAlign w:val="center"/>
          </w:tcPr>
          <w:p w14:paraId="5277B02D" w14:textId="77777777" w:rsidR="00DA35E4" w:rsidRPr="00FE2059" w:rsidRDefault="00DA35E4" w:rsidP="001B4204">
            <w:pPr>
              <w:pStyle w:val="TableText0"/>
              <w:framePr w:wrap="around"/>
              <w:jc w:val="center"/>
            </w:pPr>
            <w:r w:rsidRPr="00FE2059">
              <w:t>1.969 QALYs</w:t>
            </w:r>
          </w:p>
        </w:tc>
        <w:tc>
          <w:tcPr>
            <w:tcW w:w="598" w:type="pct"/>
            <w:shd w:val="clear" w:color="auto" w:fill="FFFFFF" w:themeFill="background1"/>
            <w:vAlign w:val="center"/>
          </w:tcPr>
          <w:p w14:paraId="54AE8A95" w14:textId="77777777" w:rsidR="00DA35E4" w:rsidRPr="00FE2059" w:rsidRDefault="00DA35E4" w:rsidP="001B4204">
            <w:pPr>
              <w:pStyle w:val="TableText0"/>
              <w:framePr w:wrap="around"/>
              <w:jc w:val="center"/>
              <w:rPr>
                <w:b/>
                <w:bCs w:val="0"/>
              </w:rPr>
            </w:pPr>
            <w:r w:rsidRPr="00BC6B2A">
              <w:rPr>
                <w:b/>
                <w:bCs w:val="0"/>
                <w:color w:val="000000"/>
                <w:spacing w:val="58"/>
                <w:shd w:val="solid" w:color="000000" w:fill="000000"/>
                <w:fitText w:val="360" w:id="-679167744"/>
                <w14:textFill>
                  <w14:solidFill>
                    <w14:srgbClr w14:val="000000">
                      <w14:alpha w14:val="100000"/>
                    </w14:srgbClr>
                  </w14:solidFill>
                </w14:textFill>
              </w:rPr>
              <w:t>|||</w:t>
            </w:r>
            <w:r w:rsidRPr="00BC6B2A">
              <w:rPr>
                <w:b/>
                <w:bCs w:val="0"/>
                <w:color w:val="000000"/>
                <w:spacing w:val="2"/>
                <w:shd w:val="solid" w:color="000000" w:fill="000000"/>
                <w:fitText w:val="360" w:id="-679167744"/>
                <w14:textFill>
                  <w14:solidFill>
                    <w14:srgbClr w14:val="000000">
                      <w14:alpha w14:val="100000"/>
                    </w14:srgbClr>
                  </w14:solidFill>
                </w14:textFill>
              </w:rPr>
              <w:t>|</w:t>
            </w:r>
            <w:r w:rsidRPr="00FE2059">
              <w:rPr>
                <w:b/>
                <w:bCs w:val="0"/>
              </w:rPr>
              <w:t xml:space="preserve"> </w:t>
            </w:r>
            <w:r w:rsidRPr="000B676D">
              <w:rPr>
                <w:b/>
                <w:bCs w:val="0"/>
                <w:vertAlign w:val="superscript"/>
              </w:rPr>
              <w:t>6</w:t>
            </w:r>
            <w:r w:rsidRPr="00FE2059">
              <w:rPr>
                <w:b/>
                <w:bCs w:val="0"/>
              </w:rPr>
              <w:br/>
              <w:t>per QALY</w:t>
            </w:r>
          </w:p>
        </w:tc>
      </w:tr>
    </w:tbl>
    <w:p w14:paraId="02062711" w14:textId="77777777" w:rsidR="00DA35E4" w:rsidRPr="00006FCB" w:rsidRDefault="00DA35E4" w:rsidP="001B4204">
      <w:pPr>
        <w:keepNext/>
        <w:keepLines/>
        <w:rPr>
          <w:rFonts w:ascii="Arial Narrow" w:hAnsi="Arial Narrow"/>
          <w:sz w:val="18"/>
          <w:szCs w:val="18"/>
        </w:rPr>
      </w:pPr>
      <w:r w:rsidRPr="00006FCB">
        <w:rPr>
          <w:rFonts w:ascii="Arial Narrow" w:hAnsi="Arial Narrow"/>
          <w:sz w:val="18"/>
          <w:szCs w:val="18"/>
        </w:rPr>
        <w:t>Source: Table 109</w:t>
      </w:r>
      <w:r>
        <w:rPr>
          <w:rFonts w:ascii="Arial Narrow" w:hAnsi="Arial Narrow"/>
          <w:sz w:val="18"/>
          <w:szCs w:val="18"/>
        </w:rPr>
        <w:t xml:space="preserve"> </w:t>
      </w:r>
      <w:r w:rsidRPr="00006FCB">
        <w:rPr>
          <w:rFonts w:ascii="Arial Narrow" w:hAnsi="Arial Narrow"/>
          <w:sz w:val="18"/>
          <w:szCs w:val="18"/>
        </w:rPr>
        <w:t>of the submission.</w:t>
      </w:r>
    </w:p>
    <w:p w14:paraId="41156B07" w14:textId="77777777" w:rsidR="00DA35E4" w:rsidRDefault="00DA35E4" w:rsidP="001B4204">
      <w:pPr>
        <w:keepNext/>
        <w:keepLines/>
        <w:rPr>
          <w:rFonts w:ascii="Arial Narrow" w:hAnsi="Arial Narrow"/>
          <w:sz w:val="18"/>
          <w:szCs w:val="18"/>
        </w:rPr>
      </w:pPr>
      <w:r w:rsidRPr="4D2BAA30">
        <w:rPr>
          <w:rFonts w:ascii="Arial Narrow" w:hAnsi="Arial Narrow"/>
          <w:sz w:val="18"/>
          <w:szCs w:val="18"/>
        </w:rPr>
        <w:t>CT = conventional therapy, PPT =</w:t>
      </w:r>
      <w:r w:rsidRPr="4D2BAA30">
        <w:rPr>
          <w:rFonts w:ascii="Arial Narrow" w:hAnsi="Arial Narrow"/>
          <w:spacing w:val="-2"/>
          <w:sz w:val="18"/>
          <w:szCs w:val="18"/>
        </w:rPr>
        <w:t xml:space="preserve"> palopegteriparatide</w:t>
      </w:r>
      <w:r w:rsidRPr="4D2BAA30">
        <w:rPr>
          <w:rFonts w:ascii="Arial Narrow" w:hAnsi="Arial Narrow"/>
          <w:sz w:val="18"/>
          <w:szCs w:val="18"/>
        </w:rPr>
        <w:t xml:space="preserve">, eGFR = estimated glomerular filtration rate, ICER = incremental cost effectiveness ratio; QALY = quality adjusted life years. </w:t>
      </w:r>
    </w:p>
    <w:p w14:paraId="6DB7B9B1" w14:textId="77777777" w:rsidR="00DA35E4" w:rsidRPr="000574DD" w:rsidRDefault="00DA35E4" w:rsidP="001B4204">
      <w:pPr>
        <w:keepNext/>
        <w:keepLines/>
        <w:rPr>
          <w:rFonts w:ascii="Arial Narrow" w:hAnsi="Arial Narrow"/>
          <w:i/>
          <w:iCs/>
          <w:sz w:val="18"/>
          <w:szCs w:val="18"/>
        </w:rPr>
      </w:pPr>
      <w:r w:rsidRPr="000574DD">
        <w:rPr>
          <w:rFonts w:ascii="Arial Narrow" w:hAnsi="Arial Narrow"/>
          <w:i/>
          <w:iCs/>
          <w:sz w:val="18"/>
          <w:szCs w:val="18"/>
        </w:rPr>
        <w:t>The redacted values correspond to the following ranges:</w:t>
      </w:r>
    </w:p>
    <w:p w14:paraId="3C5BBD74" w14:textId="77777777" w:rsidR="00DA35E4" w:rsidRPr="000574DD" w:rsidRDefault="00DA35E4" w:rsidP="001B4204">
      <w:pPr>
        <w:keepNext/>
        <w:keepLines/>
        <w:rPr>
          <w:rFonts w:ascii="Arial Narrow" w:hAnsi="Arial Narrow"/>
          <w:i/>
          <w:iCs/>
          <w:sz w:val="18"/>
          <w:szCs w:val="18"/>
        </w:rPr>
      </w:pPr>
      <w:r w:rsidRPr="000574DD">
        <w:rPr>
          <w:rFonts w:ascii="Arial Narrow" w:hAnsi="Arial Narrow"/>
          <w:i/>
          <w:iCs/>
          <w:sz w:val="18"/>
          <w:szCs w:val="18"/>
          <w:vertAlign w:val="superscript"/>
        </w:rPr>
        <w:t>1</w:t>
      </w:r>
      <w:r w:rsidRPr="000574DD">
        <w:rPr>
          <w:rFonts w:ascii="Arial Narrow" w:hAnsi="Arial Narrow"/>
          <w:i/>
          <w:iCs/>
          <w:sz w:val="18"/>
          <w:szCs w:val="18"/>
        </w:rPr>
        <w:t xml:space="preserve"> $15,000 to &lt; $25,000 </w:t>
      </w:r>
    </w:p>
    <w:p w14:paraId="267FD240" w14:textId="77777777" w:rsidR="00DA35E4" w:rsidRPr="000574DD" w:rsidRDefault="00DA35E4" w:rsidP="001B4204">
      <w:pPr>
        <w:keepNext/>
        <w:keepLines/>
        <w:rPr>
          <w:rFonts w:ascii="Arial Narrow" w:hAnsi="Arial Narrow"/>
          <w:i/>
          <w:iCs/>
          <w:sz w:val="18"/>
          <w:szCs w:val="18"/>
        </w:rPr>
      </w:pPr>
      <w:r w:rsidRPr="000574DD">
        <w:rPr>
          <w:rFonts w:ascii="Arial Narrow" w:hAnsi="Arial Narrow"/>
          <w:i/>
          <w:iCs/>
          <w:sz w:val="18"/>
          <w:szCs w:val="18"/>
          <w:vertAlign w:val="superscript"/>
        </w:rPr>
        <w:t>2</w:t>
      </w:r>
      <w:r w:rsidRPr="000574DD">
        <w:rPr>
          <w:rFonts w:ascii="Arial Narrow" w:hAnsi="Arial Narrow"/>
          <w:i/>
          <w:iCs/>
          <w:sz w:val="18"/>
          <w:szCs w:val="18"/>
        </w:rPr>
        <w:t xml:space="preserve"> $0 to &lt; $5,000 </w:t>
      </w:r>
    </w:p>
    <w:p w14:paraId="10B1A331" w14:textId="77777777" w:rsidR="00DA35E4" w:rsidRPr="000574DD" w:rsidRDefault="00DA35E4" w:rsidP="001B4204">
      <w:pPr>
        <w:keepNext/>
        <w:keepLines/>
        <w:rPr>
          <w:rFonts w:ascii="Arial Narrow" w:hAnsi="Arial Narrow"/>
          <w:i/>
          <w:iCs/>
          <w:sz w:val="18"/>
          <w:szCs w:val="18"/>
        </w:rPr>
      </w:pPr>
      <w:r w:rsidRPr="000574DD">
        <w:rPr>
          <w:rFonts w:ascii="Arial Narrow" w:hAnsi="Arial Narrow"/>
          <w:i/>
          <w:iCs/>
          <w:sz w:val="18"/>
          <w:szCs w:val="18"/>
          <w:vertAlign w:val="superscript"/>
        </w:rPr>
        <w:t>3</w:t>
      </w:r>
      <w:r w:rsidRPr="000574DD">
        <w:rPr>
          <w:rFonts w:ascii="Arial Narrow" w:hAnsi="Arial Narrow"/>
          <w:i/>
          <w:iCs/>
          <w:sz w:val="18"/>
          <w:szCs w:val="18"/>
        </w:rPr>
        <w:t xml:space="preserve"> $455,000 to &lt; $555,000</w:t>
      </w:r>
    </w:p>
    <w:p w14:paraId="09CE3C49" w14:textId="77777777" w:rsidR="00DA35E4" w:rsidRPr="000574DD" w:rsidRDefault="00DA35E4" w:rsidP="001B4204">
      <w:pPr>
        <w:keepNext/>
        <w:keepLines/>
        <w:rPr>
          <w:rFonts w:ascii="Arial Narrow" w:hAnsi="Arial Narrow"/>
          <w:i/>
          <w:iCs/>
          <w:sz w:val="18"/>
          <w:szCs w:val="18"/>
        </w:rPr>
      </w:pPr>
      <w:r w:rsidRPr="000574DD">
        <w:rPr>
          <w:rFonts w:ascii="Arial Narrow" w:hAnsi="Arial Narrow"/>
          <w:i/>
          <w:iCs/>
          <w:sz w:val="18"/>
          <w:szCs w:val="18"/>
          <w:vertAlign w:val="superscript"/>
        </w:rPr>
        <w:t>4</w:t>
      </w:r>
      <w:r w:rsidRPr="000574DD">
        <w:rPr>
          <w:rFonts w:ascii="Arial Narrow" w:hAnsi="Arial Narrow"/>
          <w:i/>
          <w:iCs/>
          <w:sz w:val="18"/>
          <w:szCs w:val="18"/>
        </w:rPr>
        <w:t xml:space="preserve"> $95,000 to &lt; $115,000</w:t>
      </w:r>
    </w:p>
    <w:p w14:paraId="47EB79D0" w14:textId="77777777" w:rsidR="00DA35E4" w:rsidRPr="000574DD" w:rsidRDefault="00DA35E4" w:rsidP="001B4204">
      <w:pPr>
        <w:keepNext/>
        <w:keepLines/>
        <w:rPr>
          <w:rFonts w:ascii="Arial Narrow" w:hAnsi="Arial Narrow"/>
          <w:i/>
          <w:iCs/>
          <w:sz w:val="18"/>
          <w:szCs w:val="18"/>
        </w:rPr>
      </w:pPr>
      <w:r w:rsidRPr="000574DD">
        <w:rPr>
          <w:rFonts w:ascii="Arial Narrow" w:hAnsi="Arial Narrow"/>
          <w:i/>
          <w:iCs/>
          <w:sz w:val="18"/>
          <w:szCs w:val="18"/>
          <w:vertAlign w:val="superscript"/>
        </w:rPr>
        <w:t>5</w:t>
      </w:r>
      <w:r w:rsidRPr="000574DD">
        <w:rPr>
          <w:rFonts w:ascii="Arial Narrow" w:hAnsi="Arial Narrow"/>
          <w:i/>
          <w:iCs/>
          <w:sz w:val="18"/>
          <w:szCs w:val="18"/>
        </w:rPr>
        <w:t xml:space="preserve"> $75,000 to &lt; $95,000 </w:t>
      </w:r>
    </w:p>
    <w:p w14:paraId="6849FFBD" w14:textId="17A7EEC5" w:rsidR="00CF1021" w:rsidRPr="001B4204" w:rsidRDefault="00DA35E4" w:rsidP="001B4204">
      <w:pPr>
        <w:pStyle w:val="3-BodyText"/>
        <w:numPr>
          <w:ilvl w:val="1"/>
          <w:numId w:val="1"/>
        </w:numPr>
        <w:spacing w:before="0" w:after="120"/>
        <w:rPr>
          <w:lang w:val="en-US"/>
        </w:rPr>
      </w:pPr>
      <w:r w:rsidRPr="000574DD">
        <w:rPr>
          <w:rFonts w:ascii="Arial Narrow" w:hAnsi="Arial Narrow"/>
          <w:i/>
          <w:iCs/>
          <w:sz w:val="18"/>
          <w:szCs w:val="18"/>
          <w:vertAlign w:val="superscript"/>
        </w:rPr>
        <w:t>6</w:t>
      </w:r>
      <w:r w:rsidRPr="000574DD">
        <w:rPr>
          <w:rFonts w:ascii="Arial Narrow" w:hAnsi="Arial Narrow"/>
          <w:i/>
          <w:iCs/>
          <w:sz w:val="18"/>
          <w:szCs w:val="18"/>
        </w:rPr>
        <w:t xml:space="preserve"> $95,000 to &lt; $115,000</w:t>
      </w:r>
      <w:r w:rsidR="001B4204" w:rsidRPr="001B4204">
        <w:rPr>
          <w:lang w:val="en-US"/>
        </w:rPr>
        <w:fldChar w:fldCharType="end"/>
      </w:r>
      <w:r w:rsidR="001B4204" w:rsidRPr="001B4204">
        <w:rPr>
          <w:lang w:val="en-US"/>
        </w:rPr>
        <w:t xml:space="preserve">. </w:t>
      </w:r>
      <w:r w:rsidR="001B4204" w:rsidRPr="001B4204">
        <w:t>The base case results were based on the proposed effective price of palopegteriparatide.</w:t>
      </w:r>
      <w:bookmarkStart w:id="65" w:name="_Ref104805160"/>
    </w:p>
    <w:p w14:paraId="376C3B6E" w14:textId="359BD0D2" w:rsidR="00BC6B2A" w:rsidRPr="00006FCB" w:rsidRDefault="00BC6B2A" w:rsidP="001B4204">
      <w:pPr>
        <w:pStyle w:val="Caption"/>
        <w:widowControl w:val="0"/>
        <w:rPr>
          <w:rStyle w:val="CommentReference"/>
          <w:b/>
          <w:szCs w:val="24"/>
        </w:rPr>
      </w:pPr>
      <w:r w:rsidRPr="00006FCB">
        <w:t xml:space="preserve">Table </w:t>
      </w:r>
      <w:r>
        <w:fldChar w:fldCharType="begin"/>
      </w:r>
      <w:r>
        <w:instrText xml:space="preserve"> SEQ Table \* ARABIC </w:instrText>
      </w:r>
      <w:r>
        <w:fldChar w:fldCharType="separate"/>
      </w:r>
      <w:r w:rsidR="00DA35E4">
        <w:rPr>
          <w:noProof/>
        </w:rPr>
        <w:t>15</w:t>
      </w:r>
      <w:r>
        <w:rPr>
          <w:noProof/>
        </w:rPr>
        <w:fldChar w:fldCharType="end"/>
      </w:r>
      <w:r w:rsidRPr="00006FCB">
        <w:t>:</w:t>
      </w:r>
      <w:r w:rsidRPr="00006FCB">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Caption w:val="Table 15: Results of the stepped economic evaluation"/>
      </w:tblPr>
      <w:tblGrid>
        <w:gridCol w:w="2158"/>
        <w:gridCol w:w="961"/>
        <w:gridCol w:w="959"/>
        <w:gridCol w:w="961"/>
        <w:gridCol w:w="959"/>
        <w:gridCol w:w="961"/>
        <w:gridCol w:w="981"/>
        <w:gridCol w:w="1077"/>
      </w:tblGrid>
      <w:tr w:rsidR="00BC6B2A" w:rsidRPr="00006FCB" w14:paraId="1218B920" w14:textId="77777777" w:rsidTr="00490E84">
        <w:trPr>
          <w:tblHeader/>
        </w:trPr>
        <w:tc>
          <w:tcPr>
            <w:tcW w:w="1196" w:type="pct"/>
            <w:vMerge w:val="restart"/>
            <w:shd w:val="clear" w:color="auto" w:fill="FFFFFF" w:themeFill="background1"/>
            <w:vAlign w:val="center"/>
          </w:tcPr>
          <w:p w14:paraId="4E30B151" w14:textId="77777777" w:rsidR="00BC6B2A" w:rsidRPr="00006FCB" w:rsidRDefault="00BC6B2A" w:rsidP="001B4204">
            <w:pPr>
              <w:pStyle w:val="TableText0"/>
              <w:framePr w:wrap="around"/>
              <w:rPr>
                <w:b/>
              </w:rPr>
            </w:pPr>
          </w:p>
        </w:tc>
        <w:tc>
          <w:tcPr>
            <w:tcW w:w="1598" w:type="pct"/>
            <w:gridSpan w:val="3"/>
            <w:shd w:val="clear" w:color="auto" w:fill="FFFFFF" w:themeFill="background1"/>
            <w:vAlign w:val="center"/>
          </w:tcPr>
          <w:p w14:paraId="3D0F5FC5" w14:textId="77777777" w:rsidR="00BC6B2A" w:rsidRPr="00006FCB" w:rsidRDefault="00BC6B2A" w:rsidP="001B4204">
            <w:pPr>
              <w:pStyle w:val="TableText0"/>
              <w:framePr w:wrap="around"/>
              <w:jc w:val="center"/>
              <w:rPr>
                <w:b/>
                <w:bCs w:val="0"/>
              </w:rPr>
            </w:pPr>
            <w:r w:rsidRPr="00006FCB">
              <w:rPr>
                <w:b/>
                <w:bCs w:val="0"/>
              </w:rPr>
              <w:t>Costs ($)</w:t>
            </w:r>
          </w:p>
        </w:tc>
        <w:tc>
          <w:tcPr>
            <w:tcW w:w="1609" w:type="pct"/>
            <w:gridSpan w:val="3"/>
            <w:shd w:val="clear" w:color="auto" w:fill="FFFFFF" w:themeFill="background1"/>
            <w:vAlign w:val="center"/>
          </w:tcPr>
          <w:p w14:paraId="11D9DF43" w14:textId="77777777" w:rsidR="00BC6B2A" w:rsidRPr="00006FCB" w:rsidRDefault="00BC6B2A" w:rsidP="001B4204">
            <w:pPr>
              <w:pStyle w:val="TableText0"/>
              <w:framePr w:wrap="around"/>
              <w:jc w:val="center"/>
              <w:rPr>
                <w:b/>
                <w:bCs w:val="0"/>
              </w:rPr>
            </w:pPr>
            <w:r w:rsidRPr="00006FCB">
              <w:rPr>
                <w:b/>
                <w:bCs w:val="0"/>
              </w:rPr>
              <w:t>Health outcomes</w:t>
            </w:r>
          </w:p>
        </w:tc>
        <w:tc>
          <w:tcPr>
            <w:tcW w:w="598" w:type="pct"/>
            <w:vMerge w:val="restart"/>
            <w:shd w:val="clear" w:color="auto" w:fill="FFFFFF" w:themeFill="background1"/>
            <w:vAlign w:val="center"/>
          </w:tcPr>
          <w:p w14:paraId="6E56C6E2" w14:textId="77777777" w:rsidR="00BC6B2A" w:rsidRPr="00006FCB" w:rsidRDefault="00BC6B2A" w:rsidP="001B4204">
            <w:pPr>
              <w:pStyle w:val="TableText0"/>
              <w:framePr w:wrap="around"/>
              <w:jc w:val="center"/>
              <w:rPr>
                <w:b/>
                <w:bCs w:val="0"/>
              </w:rPr>
            </w:pPr>
            <w:r w:rsidRPr="00006FCB">
              <w:rPr>
                <w:b/>
                <w:bCs w:val="0"/>
              </w:rPr>
              <w:t>ICER</w:t>
            </w:r>
          </w:p>
        </w:tc>
      </w:tr>
      <w:tr w:rsidR="00490E84" w:rsidRPr="00006FCB" w14:paraId="59F2D2DA" w14:textId="77777777" w:rsidTr="00490E84">
        <w:trPr>
          <w:tblHeader/>
        </w:trPr>
        <w:tc>
          <w:tcPr>
            <w:tcW w:w="1196" w:type="pct"/>
            <w:vMerge/>
            <w:vAlign w:val="center"/>
          </w:tcPr>
          <w:p w14:paraId="5982BF30" w14:textId="77777777" w:rsidR="00BC6B2A" w:rsidRPr="00006FCB" w:rsidRDefault="00BC6B2A" w:rsidP="001B4204">
            <w:pPr>
              <w:pStyle w:val="TableText0"/>
              <w:framePr w:wrap="around"/>
            </w:pPr>
          </w:p>
        </w:tc>
        <w:tc>
          <w:tcPr>
            <w:tcW w:w="533" w:type="pct"/>
            <w:shd w:val="clear" w:color="auto" w:fill="FFFFFF" w:themeFill="background1"/>
            <w:vAlign w:val="center"/>
          </w:tcPr>
          <w:p w14:paraId="07ED87FB" w14:textId="77777777" w:rsidR="00BC6B2A" w:rsidRPr="00006FCB" w:rsidRDefault="00BC6B2A" w:rsidP="001B4204">
            <w:pPr>
              <w:pStyle w:val="TableText0"/>
              <w:framePr w:wrap="around"/>
              <w:jc w:val="center"/>
              <w:rPr>
                <w:b/>
                <w:bCs w:val="0"/>
              </w:rPr>
            </w:pPr>
            <w:r w:rsidRPr="00006FCB">
              <w:rPr>
                <w:b/>
                <w:bCs w:val="0"/>
              </w:rPr>
              <w:t>PPT</w:t>
            </w:r>
          </w:p>
        </w:tc>
        <w:tc>
          <w:tcPr>
            <w:tcW w:w="532" w:type="pct"/>
            <w:shd w:val="clear" w:color="auto" w:fill="FFFFFF" w:themeFill="background1"/>
            <w:vAlign w:val="center"/>
          </w:tcPr>
          <w:p w14:paraId="3E865F1B" w14:textId="77777777" w:rsidR="00BC6B2A" w:rsidRPr="00006FCB" w:rsidRDefault="00BC6B2A" w:rsidP="001B4204">
            <w:pPr>
              <w:pStyle w:val="TableText0"/>
              <w:framePr w:wrap="around"/>
              <w:jc w:val="center"/>
              <w:rPr>
                <w:b/>
                <w:bCs w:val="0"/>
              </w:rPr>
            </w:pPr>
            <w:r w:rsidRPr="00006FCB">
              <w:rPr>
                <w:b/>
                <w:bCs w:val="0"/>
              </w:rPr>
              <w:t>CT</w:t>
            </w:r>
          </w:p>
        </w:tc>
        <w:tc>
          <w:tcPr>
            <w:tcW w:w="533" w:type="pct"/>
            <w:shd w:val="clear" w:color="auto" w:fill="FFFFFF" w:themeFill="background1"/>
            <w:vAlign w:val="center"/>
          </w:tcPr>
          <w:p w14:paraId="43FB6E1E" w14:textId="77777777" w:rsidR="00BC6B2A" w:rsidRPr="00006FCB" w:rsidRDefault="00BC6B2A" w:rsidP="001B4204">
            <w:pPr>
              <w:pStyle w:val="TableText0"/>
              <w:framePr w:wrap="around"/>
              <w:jc w:val="center"/>
              <w:rPr>
                <w:b/>
                <w:bCs w:val="0"/>
              </w:rPr>
            </w:pPr>
            <w:r w:rsidRPr="00006FCB">
              <w:rPr>
                <w:b/>
                <w:bCs w:val="0"/>
              </w:rPr>
              <w:t>Increment</w:t>
            </w:r>
          </w:p>
        </w:tc>
        <w:tc>
          <w:tcPr>
            <w:tcW w:w="532" w:type="pct"/>
            <w:shd w:val="clear" w:color="auto" w:fill="FFFFFF" w:themeFill="background1"/>
            <w:vAlign w:val="center"/>
          </w:tcPr>
          <w:p w14:paraId="1FBC508A" w14:textId="77777777" w:rsidR="00BC6B2A" w:rsidRPr="00006FCB" w:rsidRDefault="00BC6B2A" w:rsidP="001B4204">
            <w:pPr>
              <w:pStyle w:val="TableText0"/>
              <w:framePr w:wrap="around"/>
              <w:jc w:val="center"/>
              <w:rPr>
                <w:b/>
                <w:bCs w:val="0"/>
              </w:rPr>
            </w:pPr>
            <w:r w:rsidRPr="00006FCB">
              <w:rPr>
                <w:b/>
                <w:bCs w:val="0"/>
              </w:rPr>
              <w:t>PPT</w:t>
            </w:r>
          </w:p>
        </w:tc>
        <w:tc>
          <w:tcPr>
            <w:tcW w:w="533" w:type="pct"/>
            <w:shd w:val="clear" w:color="auto" w:fill="FFFFFF" w:themeFill="background1"/>
            <w:vAlign w:val="center"/>
          </w:tcPr>
          <w:p w14:paraId="166A773B" w14:textId="77777777" w:rsidR="00BC6B2A" w:rsidRPr="00006FCB" w:rsidRDefault="00BC6B2A" w:rsidP="001B4204">
            <w:pPr>
              <w:pStyle w:val="TableText0"/>
              <w:framePr w:wrap="around"/>
              <w:jc w:val="center"/>
              <w:rPr>
                <w:b/>
                <w:bCs w:val="0"/>
              </w:rPr>
            </w:pPr>
            <w:r w:rsidRPr="00006FCB">
              <w:rPr>
                <w:b/>
                <w:bCs w:val="0"/>
              </w:rPr>
              <w:t>CT</w:t>
            </w:r>
          </w:p>
        </w:tc>
        <w:tc>
          <w:tcPr>
            <w:tcW w:w="544" w:type="pct"/>
            <w:shd w:val="clear" w:color="auto" w:fill="FFFFFF" w:themeFill="background1"/>
            <w:vAlign w:val="center"/>
          </w:tcPr>
          <w:p w14:paraId="0D6CD5A6" w14:textId="77777777" w:rsidR="00BC6B2A" w:rsidRPr="00006FCB" w:rsidRDefault="00BC6B2A" w:rsidP="001B4204">
            <w:pPr>
              <w:pStyle w:val="TableText0"/>
              <w:framePr w:wrap="around"/>
              <w:jc w:val="center"/>
              <w:rPr>
                <w:b/>
                <w:bCs w:val="0"/>
              </w:rPr>
            </w:pPr>
            <w:r w:rsidRPr="00006FCB">
              <w:rPr>
                <w:b/>
                <w:bCs w:val="0"/>
              </w:rPr>
              <w:t>Increment</w:t>
            </w:r>
          </w:p>
        </w:tc>
        <w:tc>
          <w:tcPr>
            <w:tcW w:w="598" w:type="pct"/>
            <w:vMerge/>
            <w:vAlign w:val="center"/>
          </w:tcPr>
          <w:p w14:paraId="234CF229" w14:textId="77777777" w:rsidR="00BC6B2A" w:rsidRPr="00006FCB" w:rsidRDefault="00BC6B2A" w:rsidP="001B4204">
            <w:pPr>
              <w:pStyle w:val="TableText0"/>
              <w:framePr w:wrap="around"/>
              <w:jc w:val="center"/>
              <w:rPr>
                <w:b/>
                <w:bCs w:val="0"/>
              </w:rPr>
            </w:pPr>
          </w:p>
        </w:tc>
      </w:tr>
      <w:tr w:rsidR="00BC6B2A" w:rsidRPr="00006FCB" w14:paraId="3C6F432A" w14:textId="77777777" w:rsidTr="00490E84">
        <w:trPr>
          <w:tblHeader/>
        </w:trPr>
        <w:tc>
          <w:tcPr>
            <w:tcW w:w="1196" w:type="pct"/>
            <w:shd w:val="clear" w:color="auto" w:fill="FFFFFF" w:themeFill="background1"/>
            <w:vAlign w:val="center"/>
          </w:tcPr>
          <w:p w14:paraId="538FEBBB" w14:textId="77777777" w:rsidR="00BC6B2A" w:rsidRPr="00006FCB" w:rsidRDefault="00BC6B2A" w:rsidP="001B4204">
            <w:pPr>
              <w:pStyle w:val="TableText0"/>
              <w:framePr w:wrap="around"/>
            </w:pPr>
            <w:r w:rsidRPr="4D2BAA30">
              <w:t>Step 1A: Trial setting PaTHway, Time horizon: 26 weeks</w:t>
            </w:r>
          </w:p>
          <w:p w14:paraId="53534C69" w14:textId="77777777" w:rsidR="00BC6B2A" w:rsidRPr="00006FCB" w:rsidRDefault="00BC6B2A" w:rsidP="001B4204">
            <w:pPr>
              <w:pStyle w:val="TableText0"/>
              <w:framePr w:wrap="around"/>
            </w:pPr>
            <w:r w:rsidRPr="00006FCB">
              <w:t>Outcome: response</w:t>
            </w:r>
          </w:p>
          <w:p w14:paraId="3DA72C11" w14:textId="77777777" w:rsidR="00BC6B2A" w:rsidRPr="00006FCB" w:rsidRDefault="00BC6B2A" w:rsidP="001B4204">
            <w:pPr>
              <w:pStyle w:val="TableText0"/>
              <w:framePr w:wrap="around"/>
            </w:pPr>
            <w:r w:rsidRPr="00006FCB">
              <w:t>Cost: treatment only</w:t>
            </w:r>
          </w:p>
        </w:tc>
        <w:tc>
          <w:tcPr>
            <w:tcW w:w="533" w:type="pct"/>
            <w:shd w:val="clear" w:color="auto" w:fill="FFFFFF" w:themeFill="background1"/>
            <w:vAlign w:val="center"/>
          </w:tcPr>
          <w:p w14:paraId="51524C6F" w14:textId="77777777" w:rsidR="00BC6B2A" w:rsidRPr="00006FCB" w:rsidRDefault="00BC6B2A" w:rsidP="001B4204">
            <w:pPr>
              <w:pStyle w:val="TableText0"/>
              <w:framePr w:wrap="around"/>
              <w:jc w:val="center"/>
            </w:pPr>
            <w:r w:rsidRPr="00006FCB">
              <w:t>$</w:t>
            </w:r>
            <w:r w:rsidRPr="00BC6B2A">
              <w:rPr>
                <w:color w:val="000000"/>
                <w:spacing w:val="52"/>
                <w:shd w:val="solid" w:color="000000" w:fill="000000"/>
                <w:fitText w:val="330" w:id="-679167744"/>
                <w14:textFill>
                  <w14:solidFill>
                    <w14:srgbClr w14:val="000000">
                      <w14:alpha w14:val="100000"/>
                    </w14:srgbClr>
                  </w14:solidFill>
                </w14:textFill>
              </w:rPr>
              <w:t>|||</w:t>
            </w:r>
            <w:r w:rsidRPr="00BC6B2A">
              <w:rPr>
                <w:color w:val="000000"/>
                <w:spacing w:val="2"/>
                <w:shd w:val="solid" w:color="000000" w:fill="000000"/>
                <w:fitText w:val="330" w:id="-679167744"/>
                <w14:textFill>
                  <w14:solidFill>
                    <w14:srgbClr w14:val="000000">
                      <w14:alpha w14:val="100000"/>
                    </w14:srgbClr>
                  </w14:solidFill>
                </w14:textFill>
              </w:rPr>
              <w:t>|</w:t>
            </w:r>
          </w:p>
        </w:tc>
        <w:tc>
          <w:tcPr>
            <w:tcW w:w="532" w:type="pct"/>
            <w:shd w:val="clear" w:color="auto" w:fill="FFFFFF" w:themeFill="background1"/>
            <w:vAlign w:val="center"/>
          </w:tcPr>
          <w:p w14:paraId="5D4B2A5F" w14:textId="77777777" w:rsidR="00BC6B2A" w:rsidRPr="00006FCB" w:rsidRDefault="00BC6B2A" w:rsidP="001B4204">
            <w:pPr>
              <w:pStyle w:val="TableText0"/>
              <w:framePr w:wrap="around"/>
              <w:jc w:val="center"/>
            </w:pPr>
            <w:r w:rsidRPr="00006FCB">
              <w:t>$214</w:t>
            </w:r>
          </w:p>
        </w:tc>
        <w:tc>
          <w:tcPr>
            <w:tcW w:w="533" w:type="pct"/>
            <w:shd w:val="clear" w:color="auto" w:fill="FFFFFF" w:themeFill="background1"/>
            <w:vAlign w:val="center"/>
          </w:tcPr>
          <w:p w14:paraId="27A55581" w14:textId="77777777" w:rsidR="00BC6B2A" w:rsidRPr="00006FCB" w:rsidRDefault="00BC6B2A" w:rsidP="001B4204">
            <w:pPr>
              <w:pStyle w:val="TableText0"/>
              <w:framePr w:wrap="around"/>
              <w:jc w:val="center"/>
            </w:pPr>
            <w:r w:rsidRPr="00006FCB">
              <w:t>$</w:t>
            </w:r>
            <w:r w:rsidRPr="00BC6B2A">
              <w:rPr>
                <w:color w:val="000000"/>
                <w:spacing w:val="52"/>
                <w:shd w:val="solid" w:color="000000" w:fill="000000"/>
                <w:fitText w:val="330" w:id="-679167743"/>
                <w14:textFill>
                  <w14:solidFill>
                    <w14:srgbClr w14:val="000000">
                      <w14:alpha w14:val="100000"/>
                    </w14:srgbClr>
                  </w14:solidFill>
                </w14:textFill>
              </w:rPr>
              <w:t>|||</w:t>
            </w:r>
            <w:r w:rsidRPr="00BC6B2A">
              <w:rPr>
                <w:color w:val="000000"/>
                <w:spacing w:val="2"/>
                <w:shd w:val="solid" w:color="000000" w:fill="000000"/>
                <w:fitText w:val="330" w:id="-679167743"/>
                <w14:textFill>
                  <w14:solidFill>
                    <w14:srgbClr w14:val="000000">
                      <w14:alpha w14:val="100000"/>
                    </w14:srgbClr>
                  </w14:solidFill>
                </w14:textFill>
              </w:rPr>
              <w:t>|</w:t>
            </w:r>
          </w:p>
        </w:tc>
        <w:tc>
          <w:tcPr>
            <w:tcW w:w="532" w:type="pct"/>
            <w:shd w:val="clear" w:color="auto" w:fill="FFFFFF" w:themeFill="background1"/>
            <w:vAlign w:val="center"/>
          </w:tcPr>
          <w:p w14:paraId="0CCE0B49" w14:textId="77777777" w:rsidR="00BC6B2A" w:rsidRPr="00006FCB" w:rsidRDefault="00BC6B2A" w:rsidP="001B4204">
            <w:pPr>
              <w:pStyle w:val="TableText0"/>
              <w:framePr w:wrap="around"/>
              <w:jc w:val="center"/>
            </w:pPr>
            <w:r w:rsidRPr="00006FCB">
              <w:t xml:space="preserve">0.787 </w:t>
            </w:r>
            <w:r w:rsidRPr="00006FCB">
              <w:br/>
              <w:t>response</w:t>
            </w:r>
          </w:p>
        </w:tc>
        <w:tc>
          <w:tcPr>
            <w:tcW w:w="533" w:type="pct"/>
            <w:shd w:val="clear" w:color="auto" w:fill="FFFFFF" w:themeFill="background1"/>
            <w:vAlign w:val="center"/>
          </w:tcPr>
          <w:p w14:paraId="5793A5B1" w14:textId="77777777" w:rsidR="00BC6B2A" w:rsidRPr="00006FCB" w:rsidRDefault="00BC6B2A" w:rsidP="001B4204">
            <w:pPr>
              <w:pStyle w:val="TableText0"/>
              <w:framePr w:wrap="around"/>
              <w:jc w:val="center"/>
            </w:pPr>
            <w:r w:rsidRPr="00006FCB">
              <w:t>0.</w:t>
            </w:r>
            <w:r>
              <w:t>0</w:t>
            </w:r>
            <w:r w:rsidRPr="00006FCB">
              <w:t>48</w:t>
            </w:r>
          </w:p>
          <w:p w14:paraId="56485DA7" w14:textId="77777777" w:rsidR="00BC6B2A" w:rsidRPr="00006FCB" w:rsidRDefault="00BC6B2A" w:rsidP="001B4204">
            <w:pPr>
              <w:pStyle w:val="TableText0"/>
              <w:framePr w:wrap="around"/>
              <w:jc w:val="center"/>
            </w:pPr>
            <w:r w:rsidRPr="00006FCB">
              <w:t>response</w:t>
            </w:r>
          </w:p>
        </w:tc>
        <w:tc>
          <w:tcPr>
            <w:tcW w:w="544" w:type="pct"/>
            <w:shd w:val="clear" w:color="auto" w:fill="FFFFFF" w:themeFill="background1"/>
            <w:vAlign w:val="center"/>
          </w:tcPr>
          <w:p w14:paraId="313DAE27" w14:textId="77777777" w:rsidR="00BC6B2A" w:rsidRPr="00006FCB" w:rsidRDefault="00BC6B2A" w:rsidP="001B4204">
            <w:pPr>
              <w:pStyle w:val="TableText0"/>
              <w:framePr w:wrap="around"/>
              <w:jc w:val="center"/>
            </w:pPr>
            <w:r w:rsidRPr="00006FCB">
              <w:t>0.739</w:t>
            </w:r>
          </w:p>
        </w:tc>
        <w:tc>
          <w:tcPr>
            <w:tcW w:w="598" w:type="pct"/>
            <w:shd w:val="clear" w:color="auto" w:fill="FFFFFF" w:themeFill="background1"/>
            <w:vAlign w:val="center"/>
          </w:tcPr>
          <w:p w14:paraId="264EE9E2" w14:textId="77777777" w:rsidR="00BC6B2A" w:rsidRPr="00006FCB" w:rsidRDefault="00BC6B2A" w:rsidP="001B4204">
            <w:pPr>
              <w:pStyle w:val="TableText0"/>
              <w:framePr w:wrap="around"/>
              <w:jc w:val="center"/>
            </w:pPr>
            <w:r w:rsidRPr="00BC6B2A">
              <w:rPr>
                <w:color w:val="000000"/>
                <w:spacing w:val="52"/>
                <w:shd w:val="solid" w:color="000000" w:fill="000000"/>
                <w:fitText w:val="330" w:id="-679167742"/>
                <w14:textFill>
                  <w14:solidFill>
                    <w14:srgbClr w14:val="000000">
                      <w14:alpha w14:val="100000"/>
                    </w14:srgbClr>
                  </w14:solidFill>
                </w14:textFill>
              </w:rPr>
              <w:t>|||</w:t>
            </w:r>
            <w:r w:rsidRPr="00BC6B2A">
              <w:rPr>
                <w:color w:val="000000"/>
                <w:spacing w:val="2"/>
                <w:shd w:val="solid" w:color="000000" w:fill="000000"/>
                <w:fitText w:val="330" w:id="-679167742"/>
                <w14:textFill>
                  <w14:solidFill>
                    <w14:srgbClr w14:val="000000">
                      <w14:alpha w14:val="100000"/>
                    </w14:srgbClr>
                  </w14:solidFill>
                </w14:textFill>
              </w:rPr>
              <w:t>|</w:t>
            </w:r>
            <w:r w:rsidRPr="00006FCB">
              <w:t xml:space="preserve"> </w:t>
            </w:r>
            <w:r w:rsidRPr="00DA0EE1">
              <w:rPr>
                <w:vertAlign w:val="superscript"/>
              </w:rPr>
              <w:t>1</w:t>
            </w:r>
            <w:r>
              <w:br/>
            </w:r>
            <w:r w:rsidRPr="00006FCB">
              <w:t>per responder</w:t>
            </w:r>
          </w:p>
        </w:tc>
      </w:tr>
      <w:tr w:rsidR="00BC6B2A" w:rsidRPr="00006FCB" w14:paraId="63E1E066" w14:textId="77777777" w:rsidTr="00490E84">
        <w:trPr>
          <w:tblHeader/>
        </w:trPr>
        <w:tc>
          <w:tcPr>
            <w:tcW w:w="1196" w:type="pct"/>
            <w:shd w:val="clear" w:color="auto" w:fill="FFFFFF" w:themeFill="background1"/>
            <w:vAlign w:val="center"/>
          </w:tcPr>
          <w:p w14:paraId="137087B7" w14:textId="77777777" w:rsidR="00BC6B2A" w:rsidRPr="00006FCB" w:rsidRDefault="00BC6B2A" w:rsidP="001B4204">
            <w:pPr>
              <w:pStyle w:val="TableText0"/>
              <w:framePr w:wrap="around"/>
            </w:pPr>
            <w:r w:rsidRPr="4D2BAA30">
              <w:t>Step 1B: Trial setting PaTHway, Time horizon: 26 weeks</w:t>
            </w:r>
          </w:p>
          <w:p w14:paraId="5F1328B5" w14:textId="77777777" w:rsidR="00BC6B2A" w:rsidRPr="00006FCB" w:rsidRDefault="00BC6B2A" w:rsidP="001B4204">
            <w:pPr>
              <w:pStyle w:val="TableText0"/>
              <w:framePr w:wrap="around"/>
            </w:pPr>
            <w:r w:rsidRPr="00006FCB">
              <w:t>Outcome: eGFR</w:t>
            </w:r>
          </w:p>
          <w:p w14:paraId="7D0D8E8D" w14:textId="77777777" w:rsidR="00BC6B2A" w:rsidRPr="00006FCB" w:rsidRDefault="00BC6B2A" w:rsidP="001B4204">
            <w:pPr>
              <w:pStyle w:val="TableText0"/>
              <w:framePr w:wrap="around"/>
            </w:pPr>
            <w:r w:rsidRPr="00006FCB">
              <w:t>Cost: treatment only</w:t>
            </w:r>
          </w:p>
        </w:tc>
        <w:tc>
          <w:tcPr>
            <w:tcW w:w="533" w:type="pct"/>
            <w:shd w:val="clear" w:color="auto" w:fill="FFFFFF" w:themeFill="background1"/>
            <w:vAlign w:val="center"/>
          </w:tcPr>
          <w:p w14:paraId="0C22BF85" w14:textId="77777777" w:rsidR="00BC6B2A" w:rsidRPr="00006FCB" w:rsidRDefault="00BC6B2A" w:rsidP="001B4204">
            <w:pPr>
              <w:pStyle w:val="TableText0"/>
              <w:framePr w:wrap="around"/>
              <w:jc w:val="center"/>
            </w:pPr>
            <w:r w:rsidRPr="00006FCB">
              <w:t>$</w:t>
            </w:r>
            <w:r w:rsidRPr="00BC6B2A">
              <w:rPr>
                <w:color w:val="000000"/>
                <w:spacing w:val="52"/>
                <w:shd w:val="solid" w:color="000000" w:fill="000000"/>
                <w:fitText w:val="330" w:id="-679167741"/>
                <w14:textFill>
                  <w14:solidFill>
                    <w14:srgbClr w14:val="000000">
                      <w14:alpha w14:val="100000"/>
                    </w14:srgbClr>
                  </w14:solidFill>
                </w14:textFill>
              </w:rPr>
              <w:t>|||</w:t>
            </w:r>
            <w:r w:rsidRPr="00BC6B2A">
              <w:rPr>
                <w:color w:val="000000"/>
                <w:spacing w:val="2"/>
                <w:shd w:val="solid" w:color="000000" w:fill="000000"/>
                <w:fitText w:val="330" w:id="-679167741"/>
                <w14:textFill>
                  <w14:solidFill>
                    <w14:srgbClr w14:val="000000">
                      <w14:alpha w14:val="100000"/>
                    </w14:srgbClr>
                  </w14:solidFill>
                </w14:textFill>
              </w:rPr>
              <w:t>|</w:t>
            </w:r>
          </w:p>
        </w:tc>
        <w:tc>
          <w:tcPr>
            <w:tcW w:w="532" w:type="pct"/>
            <w:shd w:val="clear" w:color="auto" w:fill="FFFFFF" w:themeFill="background1"/>
            <w:vAlign w:val="center"/>
          </w:tcPr>
          <w:p w14:paraId="2C1A1461" w14:textId="77777777" w:rsidR="00BC6B2A" w:rsidRPr="00006FCB" w:rsidRDefault="00BC6B2A" w:rsidP="001B4204">
            <w:pPr>
              <w:pStyle w:val="TableText0"/>
              <w:framePr w:wrap="around"/>
              <w:jc w:val="center"/>
            </w:pPr>
            <w:r w:rsidRPr="00006FCB">
              <w:t>$214</w:t>
            </w:r>
          </w:p>
        </w:tc>
        <w:tc>
          <w:tcPr>
            <w:tcW w:w="533" w:type="pct"/>
            <w:shd w:val="clear" w:color="auto" w:fill="FFFFFF" w:themeFill="background1"/>
            <w:vAlign w:val="center"/>
          </w:tcPr>
          <w:p w14:paraId="7F8C9684" w14:textId="77777777" w:rsidR="00BC6B2A" w:rsidRPr="00006FCB" w:rsidRDefault="00BC6B2A" w:rsidP="001B4204">
            <w:pPr>
              <w:pStyle w:val="TableText0"/>
              <w:framePr w:wrap="around"/>
              <w:jc w:val="center"/>
            </w:pPr>
            <w:r w:rsidRPr="00006FCB">
              <w:t>$</w:t>
            </w:r>
            <w:r w:rsidRPr="00BC6B2A">
              <w:rPr>
                <w:color w:val="000000"/>
                <w:spacing w:val="52"/>
                <w:shd w:val="solid" w:color="000000" w:fill="000000"/>
                <w:fitText w:val="330" w:id="-679167740"/>
                <w14:textFill>
                  <w14:solidFill>
                    <w14:srgbClr w14:val="000000">
                      <w14:alpha w14:val="100000"/>
                    </w14:srgbClr>
                  </w14:solidFill>
                </w14:textFill>
              </w:rPr>
              <w:t>|||</w:t>
            </w:r>
            <w:r w:rsidRPr="00BC6B2A">
              <w:rPr>
                <w:color w:val="000000"/>
                <w:spacing w:val="2"/>
                <w:shd w:val="solid" w:color="000000" w:fill="000000"/>
                <w:fitText w:val="330" w:id="-679167740"/>
                <w14:textFill>
                  <w14:solidFill>
                    <w14:srgbClr w14:val="000000">
                      <w14:alpha w14:val="100000"/>
                    </w14:srgbClr>
                  </w14:solidFill>
                </w14:textFill>
              </w:rPr>
              <w:t>|</w:t>
            </w:r>
          </w:p>
        </w:tc>
        <w:tc>
          <w:tcPr>
            <w:tcW w:w="532" w:type="pct"/>
            <w:shd w:val="clear" w:color="auto" w:fill="FFFFFF" w:themeFill="background1"/>
            <w:vAlign w:val="center"/>
          </w:tcPr>
          <w:p w14:paraId="4F773885" w14:textId="77777777" w:rsidR="00BC6B2A" w:rsidRPr="00006FCB" w:rsidRDefault="00BC6B2A" w:rsidP="001B4204">
            <w:pPr>
              <w:pStyle w:val="TableText0"/>
              <w:framePr w:wrap="around"/>
              <w:jc w:val="center"/>
            </w:pPr>
            <w:r w:rsidRPr="00006FCB">
              <w:t xml:space="preserve">7.9 </w:t>
            </w:r>
            <w:r>
              <w:br/>
            </w:r>
            <w:r w:rsidRPr="00006FCB">
              <w:t>mL/min/</w:t>
            </w:r>
            <w:r w:rsidRPr="00006FCB">
              <w:br/>
              <w:t>1.73m</w:t>
            </w:r>
            <w:r w:rsidRPr="00006FCB">
              <w:rPr>
                <w:position w:val="5"/>
              </w:rPr>
              <w:t>2</w:t>
            </w:r>
          </w:p>
        </w:tc>
        <w:tc>
          <w:tcPr>
            <w:tcW w:w="533" w:type="pct"/>
            <w:shd w:val="clear" w:color="auto" w:fill="FFFFFF" w:themeFill="background1"/>
            <w:vAlign w:val="center"/>
          </w:tcPr>
          <w:p w14:paraId="2BC015D1" w14:textId="77777777" w:rsidR="00BC6B2A" w:rsidRPr="00006FCB" w:rsidRDefault="00BC6B2A" w:rsidP="001B4204">
            <w:pPr>
              <w:pStyle w:val="TableText0"/>
              <w:framePr w:wrap="around"/>
              <w:jc w:val="center"/>
            </w:pPr>
            <w:r w:rsidRPr="00006FCB">
              <w:t xml:space="preserve">-1.9 </w:t>
            </w:r>
            <w:r>
              <w:br/>
            </w:r>
            <w:r w:rsidRPr="00006FCB">
              <w:t>mL/min/</w:t>
            </w:r>
            <w:r w:rsidRPr="00006FCB">
              <w:br/>
              <w:t>1.73m</w:t>
            </w:r>
            <w:r w:rsidRPr="00006FCB">
              <w:rPr>
                <w:position w:val="5"/>
              </w:rPr>
              <w:t>2</w:t>
            </w:r>
          </w:p>
        </w:tc>
        <w:tc>
          <w:tcPr>
            <w:tcW w:w="544" w:type="pct"/>
            <w:shd w:val="clear" w:color="auto" w:fill="FFFFFF" w:themeFill="background1"/>
            <w:vAlign w:val="center"/>
          </w:tcPr>
          <w:p w14:paraId="0311C20E" w14:textId="77777777" w:rsidR="00BC6B2A" w:rsidRPr="00006FCB" w:rsidRDefault="00BC6B2A" w:rsidP="001B4204">
            <w:pPr>
              <w:pStyle w:val="TableText0"/>
              <w:framePr w:wrap="around"/>
              <w:jc w:val="center"/>
            </w:pPr>
            <w:r w:rsidRPr="00006FCB">
              <w:t xml:space="preserve">9.8 </w:t>
            </w:r>
            <w:r>
              <w:br/>
            </w:r>
            <w:r w:rsidRPr="00006FCB">
              <w:t>mL/min/</w:t>
            </w:r>
            <w:r w:rsidRPr="00006FCB">
              <w:br/>
              <w:t>1.73m</w:t>
            </w:r>
            <w:r w:rsidRPr="00006FCB">
              <w:rPr>
                <w:position w:val="5"/>
              </w:rPr>
              <w:t>2</w:t>
            </w:r>
          </w:p>
        </w:tc>
        <w:tc>
          <w:tcPr>
            <w:tcW w:w="598" w:type="pct"/>
            <w:shd w:val="clear" w:color="auto" w:fill="FFFFFF" w:themeFill="background1"/>
            <w:vAlign w:val="center"/>
          </w:tcPr>
          <w:p w14:paraId="5B4E3F5E" w14:textId="77777777" w:rsidR="00BC6B2A" w:rsidRPr="00006FCB" w:rsidRDefault="00BC6B2A" w:rsidP="001B4204">
            <w:pPr>
              <w:keepNext/>
              <w:keepLines/>
              <w:framePr w:hSpace="180" w:wrap="around" w:vAnchor="text" w:hAnchor="text" w:y="1"/>
              <w:suppressOverlap/>
              <w:jc w:val="center"/>
            </w:pPr>
            <w:r w:rsidRPr="00BC6B2A">
              <w:rPr>
                <w:rFonts w:ascii="Arial Narrow" w:hAnsi="Arial Narrow"/>
                <w:color w:val="000000"/>
                <w:spacing w:val="52"/>
                <w:sz w:val="20"/>
                <w:szCs w:val="20"/>
                <w:shd w:val="solid" w:color="000000" w:fill="000000"/>
                <w:fitText w:val="330" w:id="-679167739"/>
                <w14:textFill>
                  <w14:solidFill>
                    <w14:srgbClr w14:val="000000">
                      <w14:alpha w14:val="100000"/>
                    </w14:srgbClr>
                  </w14:solidFill>
                </w14:textFill>
              </w:rPr>
              <w:t>|||</w:t>
            </w:r>
            <w:r w:rsidRPr="00BC6B2A">
              <w:rPr>
                <w:rFonts w:ascii="Arial Narrow" w:hAnsi="Arial Narrow"/>
                <w:color w:val="000000"/>
                <w:spacing w:val="2"/>
                <w:sz w:val="20"/>
                <w:szCs w:val="20"/>
                <w:shd w:val="solid" w:color="000000" w:fill="000000"/>
                <w:fitText w:val="330" w:id="-679167739"/>
                <w14:textFill>
                  <w14:solidFill>
                    <w14:srgbClr w14:val="000000">
                      <w14:alpha w14:val="100000"/>
                    </w14:srgbClr>
                  </w14:solidFill>
                </w14:textFill>
              </w:rPr>
              <w:t>|</w:t>
            </w:r>
            <w:r w:rsidRPr="00006FCB">
              <w:rPr>
                <w:rFonts w:ascii="Arial Narrow" w:hAnsi="Arial Narrow"/>
                <w:sz w:val="20"/>
                <w:szCs w:val="20"/>
              </w:rPr>
              <w:t xml:space="preserve"> </w:t>
            </w:r>
            <w:r w:rsidRPr="00761E98">
              <w:rPr>
                <w:rFonts w:ascii="Arial Narrow" w:hAnsi="Arial Narrow"/>
                <w:sz w:val="20"/>
                <w:szCs w:val="20"/>
                <w:vertAlign w:val="superscript"/>
              </w:rPr>
              <w:t>2</w:t>
            </w:r>
            <w:r>
              <w:rPr>
                <w:rFonts w:ascii="Arial Narrow" w:hAnsi="Arial Narrow"/>
                <w:sz w:val="20"/>
                <w:szCs w:val="20"/>
              </w:rPr>
              <w:br/>
            </w:r>
            <w:r w:rsidRPr="00006FCB">
              <w:rPr>
                <w:rFonts w:ascii="Arial Narrow" w:hAnsi="Arial Narrow"/>
                <w:sz w:val="20"/>
                <w:szCs w:val="20"/>
              </w:rPr>
              <w:t xml:space="preserve">per </w:t>
            </w:r>
            <w:r w:rsidRPr="00006FCB">
              <w:rPr>
                <w:rFonts w:ascii="Arial Narrow" w:hAnsi="Arial Narrow"/>
                <w:sz w:val="20"/>
                <w:szCs w:val="20"/>
              </w:rPr>
              <w:br/>
            </w:r>
            <w:r w:rsidRPr="00006FCB">
              <w:rPr>
                <w:rFonts w:ascii="Arial Narrow" w:eastAsiaTheme="majorEastAsia" w:hAnsi="Arial Narrow" w:cstheme="majorBidi"/>
                <w:bCs/>
                <w:sz w:val="20"/>
                <w:szCs w:val="20"/>
              </w:rPr>
              <w:t>1 mL/min/</w:t>
            </w:r>
            <w:r w:rsidRPr="00006FCB">
              <w:rPr>
                <w:rFonts w:ascii="Arial Narrow" w:eastAsiaTheme="majorEastAsia" w:hAnsi="Arial Narrow" w:cstheme="majorBidi"/>
                <w:bCs/>
                <w:sz w:val="20"/>
                <w:szCs w:val="20"/>
              </w:rPr>
              <w:br/>
              <w:t>1.73 m</w:t>
            </w:r>
            <w:r w:rsidRPr="00006FCB">
              <w:rPr>
                <w:rFonts w:ascii="Arial Narrow" w:eastAsiaTheme="majorEastAsia" w:hAnsi="Arial Narrow" w:cstheme="majorBidi"/>
                <w:bCs/>
                <w:sz w:val="20"/>
                <w:szCs w:val="20"/>
                <w:vertAlign w:val="superscript"/>
              </w:rPr>
              <w:t>2</w:t>
            </w:r>
            <w:r w:rsidRPr="00006FCB">
              <w:rPr>
                <w:rFonts w:ascii="Arial Narrow" w:eastAsiaTheme="majorEastAsia" w:hAnsi="Arial Narrow" w:cstheme="majorBidi"/>
                <w:bCs/>
                <w:sz w:val="20"/>
                <w:szCs w:val="20"/>
              </w:rPr>
              <w:t xml:space="preserve"> improvement in eGFR.</w:t>
            </w:r>
          </w:p>
        </w:tc>
      </w:tr>
      <w:tr w:rsidR="00BC6B2A" w:rsidRPr="00006FCB" w14:paraId="0062DABD" w14:textId="77777777" w:rsidTr="00490E84">
        <w:trPr>
          <w:tblHeader/>
        </w:trPr>
        <w:tc>
          <w:tcPr>
            <w:tcW w:w="1196" w:type="pct"/>
            <w:shd w:val="clear" w:color="auto" w:fill="FFFFFF" w:themeFill="background1"/>
            <w:vAlign w:val="center"/>
          </w:tcPr>
          <w:p w14:paraId="6B6AA56F" w14:textId="77777777" w:rsidR="00BC6B2A" w:rsidRPr="00006FCB" w:rsidRDefault="00BC6B2A" w:rsidP="001B4204">
            <w:pPr>
              <w:pStyle w:val="TableText0"/>
              <w:framePr w:wrap="around"/>
            </w:pPr>
            <w:r w:rsidRPr="00006FCB">
              <w:t>Step 2. Translation of outcomes to QALY</w:t>
            </w:r>
          </w:p>
          <w:p w14:paraId="7559813E" w14:textId="77777777" w:rsidR="00BC6B2A" w:rsidRPr="00006FCB" w:rsidRDefault="00BC6B2A" w:rsidP="001B4204">
            <w:pPr>
              <w:pStyle w:val="TableText0"/>
              <w:framePr w:wrap="around"/>
            </w:pPr>
            <w:r w:rsidRPr="00006FCB">
              <w:t>Cost: treatment only</w:t>
            </w:r>
          </w:p>
        </w:tc>
        <w:tc>
          <w:tcPr>
            <w:tcW w:w="533" w:type="pct"/>
            <w:shd w:val="clear" w:color="auto" w:fill="FFFFFF" w:themeFill="background1"/>
            <w:vAlign w:val="center"/>
          </w:tcPr>
          <w:p w14:paraId="05C01359" w14:textId="77777777" w:rsidR="00BC6B2A" w:rsidRPr="00006FCB" w:rsidRDefault="00BC6B2A" w:rsidP="001B4204">
            <w:pPr>
              <w:pStyle w:val="TableText0"/>
              <w:framePr w:wrap="around"/>
              <w:jc w:val="center"/>
            </w:pPr>
            <w:r w:rsidRPr="00006FCB">
              <w:t>$</w:t>
            </w:r>
            <w:r w:rsidRPr="00BC6B2A">
              <w:rPr>
                <w:color w:val="000000"/>
                <w:spacing w:val="52"/>
                <w:shd w:val="solid" w:color="000000" w:fill="000000"/>
                <w:fitText w:val="330" w:id="-679167738"/>
                <w14:textFill>
                  <w14:solidFill>
                    <w14:srgbClr w14:val="000000">
                      <w14:alpha w14:val="100000"/>
                    </w14:srgbClr>
                  </w14:solidFill>
                </w14:textFill>
              </w:rPr>
              <w:t>|||</w:t>
            </w:r>
            <w:r w:rsidRPr="00BC6B2A">
              <w:rPr>
                <w:color w:val="000000"/>
                <w:spacing w:val="2"/>
                <w:shd w:val="solid" w:color="000000" w:fill="000000"/>
                <w:fitText w:val="330" w:id="-679167738"/>
                <w14:textFill>
                  <w14:solidFill>
                    <w14:srgbClr w14:val="000000">
                      <w14:alpha w14:val="100000"/>
                    </w14:srgbClr>
                  </w14:solidFill>
                </w14:textFill>
              </w:rPr>
              <w:t>|</w:t>
            </w:r>
          </w:p>
        </w:tc>
        <w:tc>
          <w:tcPr>
            <w:tcW w:w="532" w:type="pct"/>
            <w:shd w:val="clear" w:color="auto" w:fill="FFFFFF" w:themeFill="background1"/>
            <w:vAlign w:val="center"/>
          </w:tcPr>
          <w:p w14:paraId="34B2FF7F" w14:textId="77777777" w:rsidR="00BC6B2A" w:rsidRPr="00006FCB" w:rsidRDefault="00BC6B2A" w:rsidP="001B4204">
            <w:pPr>
              <w:pStyle w:val="TableText0"/>
              <w:framePr w:wrap="around"/>
              <w:jc w:val="center"/>
            </w:pPr>
            <w:r w:rsidRPr="00006FCB">
              <w:t>$214</w:t>
            </w:r>
          </w:p>
        </w:tc>
        <w:tc>
          <w:tcPr>
            <w:tcW w:w="533" w:type="pct"/>
            <w:shd w:val="clear" w:color="auto" w:fill="FFFFFF" w:themeFill="background1"/>
            <w:vAlign w:val="center"/>
          </w:tcPr>
          <w:p w14:paraId="52006D86" w14:textId="77777777" w:rsidR="00BC6B2A" w:rsidRPr="00006FCB" w:rsidRDefault="00BC6B2A" w:rsidP="001B4204">
            <w:pPr>
              <w:pStyle w:val="TableText0"/>
              <w:framePr w:wrap="around"/>
              <w:jc w:val="center"/>
            </w:pPr>
            <w:r w:rsidRPr="00006FCB">
              <w:t>$</w:t>
            </w:r>
            <w:r w:rsidRPr="00BC6B2A">
              <w:rPr>
                <w:color w:val="000000"/>
                <w:spacing w:val="52"/>
                <w:shd w:val="solid" w:color="000000" w:fill="000000"/>
                <w:fitText w:val="330" w:id="-679167737"/>
                <w14:textFill>
                  <w14:solidFill>
                    <w14:srgbClr w14:val="000000">
                      <w14:alpha w14:val="100000"/>
                    </w14:srgbClr>
                  </w14:solidFill>
                </w14:textFill>
              </w:rPr>
              <w:t>|||</w:t>
            </w:r>
            <w:r w:rsidRPr="00BC6B2A">
              <w:rPr>
                <w:color w:val="000000"/>
                <w:spacing w:val="2"/>
                <w:shd w:val="solid" w:color="000000" w:fill="000000"/>
                <w:fitText w:val="330" w:id="-679167737"/>
                <w14:textFill>
                  <w14:solidFill>
                    <w14:srgbClr w14:val="000000">
                      <w14:alpha w14:val="100000"/>
                    </w14:srgbClr>
                  </w14:solidFill>
                </w14:textFill>
              </w:rPr>
              <w:t>|</w:t>
            </w:r>
          </w:p>
        </w:tc>
        <w:tc>
          <w:tcPr>
            <w:tcW w:w="532" w:type="pct"/>
            <w:shd w:val="clear" w:color="auto" w:fill="FFFFFF" w:themeFill="background1"/>
            <w:vAlign w:val="center"/>
          </w:tcPr>
          <w:p w14:paraId="757684F8" w14:textId="77777777" w:rsidR="00BC6B2A" w:rsidRPr="00006FCB" w:rsidRDefault="00BC6B2A" w:rsidP="001B4204">
            <w:pPr>
              <w:pStyle w:val="TableText0"/>
              <w:framePr w:wrap="around"/>
              <w:jc w:val="center"/>
            </w:pPr>
            <w:r w:rsidRPr="00006FCB">
              <w:t xml:space="preserve">0.427 </w:t>
            </w:r>
            <w:r>
              <w:br/>
            </w:r>
            <w:r w:rsidRPr="00006FCB">
              <w:t>QALYs</w:t>
            </w:r>
          </w:p>
        </w:tc>
        <w:tc>
          <w:tcPr>
            <w:tcW w:w="533" w:type="pct"/>
            <w:shd w:val="clear" w:color="auto" w:fill="FFFFFF" w:themeFill="background1"/>
            <w:vAlign w:val="center"/>
          </w:tcPr>
          <w:p w14:paraId="5ED80F62" w14:textId="77777777" w:rsidR="00BC6B2A" w:rsidRPr="00006FCB" w:rsidRDefault="00BC6B2A" w:rsidP="001B4204">
            <w:pPr>
              <w:pStyle w:val="TableText0"/>
              <w:framePr w:wrap="around"/>
              <w:jc w:val="center"/>
            </w:pPr>
            <w:r w:rsidRPr="00006FCB">
              <w:t xml:space="preserve">0.401 </w:t>
            </w:r>
            <w:r>
              <w:br/>
            </w:r>
            <w:r w:rsidRPr="00006FCB">
              <w:t>QALYs</w:t>
            </w:r>
          </w:p>
        </w:tc>
        <w:tc>
          <w:tcPr>
            <w:tcW w:w="544" w:type="pct"/>
            <w:shd w:val="clear" w:color="auto" w:fill="FFFFFF" w:themeFill="background1"/>
            <w:vAlign w:val="center"/>
          </w:tcPr>
          <w:p w14:paraId="21D31505" w14:textId="77777777" w:rsidR="00BC6B2A" w:rsidRPr="00006FCB" w:rsidRDefault="00BC6B2A" w:rsidP="001B4204">
            <w:pPr>
              <w:pStyle w:val="TableText0"/>
              <w:framePr w:wrap="around"/>
              <w:jc w:val="center"/>
            </w:pPr>
            <w:r w:rsidRPr="00006FCB">
              <w:t xml:space="preserve">0.025 </w:t>
            </w:r>
            <w:r>
              <w:br/>
            </w:r>
            <w:r w:rsidRPr="00006FCB">
              <w:t>QALYs</w:t>
            </w:r>
          </w:p>
        </w:tc>
        <w:tc>
          <w:tcPr>
            <w:tcW w:w="598" w:type="pct"/>
            <w:shd w:val="clear" w:color="auto" w:fill="FFFFFF" w:themeFill="background1"/>
            <w:vAlign w:val="center"/>
          </w:tcPr>
          <w:p w14:paraId="39DA224E" w14:textId="77777777" w:rsidR="00BC6B2A" w:rsidRPr="00006FCB" w:rsidRDefault="00BC6B2A" w:rsidP="001B4204">
            <w:pPr>
              <w:pStyle w:val="TableText0"/>
              <w:framePr w:wrap="around"/>
              <w:jc w:val="center"/>
            </w:pPr>
            <w:r w:rsidRPr="00BC6B2A">
              <w:rPr>
                <w:color w:val="000000"/>
                <w:spacing w:val="52"/>
                <w:shd w:val="solid" w:color="000000" w:fill="000000"/>
                <w:fitText w:val="330" w:id="-679167736"/>
                <w14:textFill>
                  <w14:solidFill>
                    <w14:srgbClr w14:val="000000">
                      <w14:alpha w14:val="100000"/>
                    </w14:srgbClr>
                  </w14:solidFill>
                </w14:textFill>
              </w:rPr>
              <w:t>|||</w:t>
            </w:r>
            <w:r w:rsidRPr="00BC6B2A">
              <w:rPr>
                <w:color w:val="000000"/>
                <w:spacing w:val="2"/>
                <w:shd w:val="solid" w:color="000000" w:fill="000000"/>
                <w:fitText w:val="330" w:id="-679167736"/>
                <w14:textFill>
                  <w14:solidFill>
                    <w14:srgbClr w14:val="000000">
                      <w14:alpha w14:val="100000"/>
                    </w14:srgbClr>
                  </w14:solidFill>
                </w14:textFill>
              </w:rPr>
              <w:t>|</w:t>
            </w:r>
            <w:r>
              <w:t xml:space="preserve"> </w:t>
            </w:r>
            <w:r w:rsidRPr="00E51CAE">
              <w:rPr>
                <w:vertAlign w:val="superscript"/>
              </w:rPr>
              <w:t>3</w:t>
            </w:r>
            <w:r>
              <w:br/>
              <w:t>per QALY</w:t>
            </w:r>
          </w:p>
        </w:tc>
      </w:tr>
      <w:tr w:rsidR="00BC6B2A" w:rsidRPr="00006FCB" w14:paraId="5021E7D5" w14:textId="77777777" w:rsidTr="00490E84">
        <w:trPr>
          <w:tblHeader/>
        </w:trPr>
        <w:tc>
          <w:tcPr>
            <w:tcW w:w="1196" w:type="pct"/>
            <w:shd w:val="clear" w:color="auto" w:fill="FFFFFF" w:themeFill="background1"/>
            <w:vAlign w:val="center"/>
          </w:tcPr>
          <w:p w14:paraId="6B6E3450" w14:textId="77777777" w:rsidR="00BC6B2A" w:rsidRPr="00006FCB" w:rsidRDefault="00BC6B2A" w:rsidP="001B4204">
            <w:pPr>
              <w:pStyle w:val="TableText0"/>
              <w:framePr w:wrap="around"/>
            </w:pPr>
            <w:r w:rsidRPr="00006FCB">
              <w:t>Step 3: Extrapolate data to lifetime horizon (51 years)</w:t>
            </w:r>
          </w:p>
          <w:p w14:paraId="7DD9CEFB" w14:textId="77777777" w:rsidR="00BC6B2A" w:rsidRPr="00006FCB" w:rsidRDefault="00BC6B2A" w:rsidP="001B4204">
            <w:pPr>
              <w:pStyle w:val="TableText0"/>
              <w:framePr w:wrap="around"/>
            </w:pPr>
            <w:r w:rsidRPr="00006FCB">
              <w:t>Cost: treatment only</w:t>
            </w:r>
          </w:p>
        </w:tc>
        <w:tc>
          <w:tcPr>
            <w:tcW w:w="533" w:type="pct"/>
            <w:shd w:val="clear" w:color="auto" w:fill="FFFFFF" w:themeFill="background1"/>
            <w:vAlign w:val="center"/>
          </w:tcPr>
          <w:p w14:paraId="27E66D65" w14:textId="77777777" w:rsidR="00BC6B2A" w:rsidRPr="00006FCB" w:rsidRDefault="00BC6B2A" w:rsidP="001B4204">
            <w:pPr>
              <w:pStyle w:val="TableText0"/>
              <w:framePr w:wrap="around"/>
              <w:jc w:val="center"/>
            </w:pPr>
            <w:r w:rsidRPr="00006FCB">
              <w:t>$</w:t>
            </w:r>
            <w:r w:rsidRPr="00BC6B2A">
              <w:rPr>
                <w:color w:val="000000"/>
                <w:spacing w:val="52"/>
                <w:shd w:val="solid" w:color="000000" w:fill="000000"/>
                <w:fitText w:val="330" w:id="-679167735"/>
                <w14:textFill>
                  <w14:solidFill>
                    <w14:srgbClr w14:val="000000">
                      <w14:alpha w14:val="100000"/>
                    </w14:srgbClr>
                  </w14:solidFill>
                </w14:textFill>
              </w:rPr>
              <w:t>|||</w:t>
            </w:r>
            <w:r w:rsidRPr="00BC6B2A">
              <w:rPr>
                <w:color w:val="000000"/>
                <w:spacing w:val="2"/>
                <w:shd w:val="solid" w:color="000000" w:fill="000000"/>
                <w:fitText w:val="330" w:id="-679167735"/>
                <w14:textFill>
                  <w14:solidFill>
                    <w14:srgbClr w14:val="000000">
                      <w14:alpha w14:val="100000"/>
                    </w14:srgbClr>
                  </w14:solidFill>
                </w14:textFill>
              </w:rPr>
              <w:t>|</w:t>
            </w:r>
          </w:p>
        </w:tc>
        <w:tc>
          <w:tcPr>
            <w:tcW w:w="532" w:type="pct"/>
            <w:shd w:val="clear" w:color="auto" w:fill="FFFFFF" w:themeFill="background1"/>
            <w:vAlign w:val="center"/>
          </w:tcPr>
          <w:p w14:paraId="4DFF790F" w14:textId="77777777" w:rsidR="00BC6B2A" w:rsidRPr="00006FCB" w:rsidRDefault="00BC6B2A" w:rsidP="001B4204">
            <w:pPr>
              <w:pStyle w:val="TableText0"/>
              <w:framePr w:wrap="around"/>
              <w:jc w:val="center"/>
            </w:pPr>
            <w:r w:rsidRPr="00006FCB">
              <w:t>$5,508</w:t>
            </w:r>
          </w:p>
        </w:tc>
        <w:tc>
          <w:tcPr>
            <w:tcW w:w="533" w:type="pct"/>
            <w:shd w:val="clear" w:color="auto" w:fill="FFFFFF" w:themeFill="background1"/>
            <w:vAlign w:val="center"/>
          </w:tcPr>
          <w:p w14:paraId="5CD40538" w14:textId="77777777" w:rsidR="00BC6B2A" w:rsidRPr="00006FCB" w:rsidRDefault="00BC6B2A" w:rsidP="001B4204">
            <w:pPr>
              <w:pStyle w:val="TableText0"/>
              <w:framePr w:wrap="around"/>
              <w:jc w:val="center"/>
            </w:pPr>
            <w:r w:rsidRPr="00006FCB">
              <w:t>$</w:t>
            </w:r>
            <w:r w:rsidRPr="00BC6B2A">
              <w:rPr>
                <w:color w:val="000000"/>
                <w:spacing w:val="52"/>
                <w:shd w:val="solid" w:color="000000" w:fill="000000"/>
                <w:fitText w:val="330" w:id="-679167734"/>
                <w14:textFill>
                  <w14:solidFill>
                    <w14:srgbClr w14:val="000000">
                      <w14:alpha w14:val="100000"/>
                    </w14:srgbClr>
                  </w14:solidFill>
                </w14:textFill>
              </w:rPr>
              <w:t>|||</w:t>
            </w:r>
            <w:r w:rsidRPr="00BC6B2A">
              <w:rPr>
                <w:color w:val="000000"/>
                <w:spacing w:val="2"/>
                <w:shd w:val="solid" w:color="000000" w:fill="000000"/>
                <w:fitText w:val="330" w:id="-679167734"/>
                <w14:textFill>
                  <w14:solidFill>
                    <w14:srgbClr w14:val="000000">
                      <w14:alpha w14:val="100000"/>
                    </w14:srgbClr>
                  </w14:solidFill>
                </w14:textFill>
              </w:rPr>
              <w:t>|</w:t>
            </w:r>
          </w:p>
        </w:tc>
        <w:tc>
          <w:tcPr>
            <w:tcW w:w="532" w:type="pct"/>
            <w:shd w:val="clear" w:color="auto" w:fill="FFFFFF" w:themeFill="background1"/>
            <w:vAlign w:val="center"/>
          </w:tcPr>
          <w:p w14:paraId="4CD92E34" w14:textId="77777777" w:rsidR="00BC6B2A" w:rsidRPr="00006FCB" w:rsidRDefault="00BC6B2A" w:rsidP="001B4204">
            <w:pPr>
              <w:pStyle w:val="TableText0"/>
              <w:framePr w:wrap="around"/>
              <w:jc w:val="center"/>
            </w:pPr>
            <w:r w:rsidRPr="00006FCB">
              <w:t xml:space="preserve">12.027 </w:t>
            </w:r>
            <w:r>
              <w:br/>
            </w:r>
            <w:r w:rsidRPr="00006FCB">
              <w:t>QALYs</w:t>
            </w:r>
          </w:p>
        </w:tc>
        <w:tc>
          <w:tcPr>
            <w:tcW w:w="533" w:type="pct"/>
            <w:shd w:val="clear" w:color="auto" w:fill="FFFFFF" w:themeFill="background1"/>
            <w:vAlign w:val="center"/>
          </w:tcPr>
          <w:p w14:paraId="42CE5A35" w14:textId="77777777" w:rsidR="00BC6B2A" w:rsidRPr="00006FCB" w:rsidRDefault="00BC6B2A" w:rsidP="001B4204">
            <w:pPr>
              <w:pStyle w:val="TableText0"/>
              <w:framePr w:wrap="around"/>
              <w:jc w:val="center"/>
            </w:pPr>
            <w:r w:rsidRPr="00006FCB">
              <w:t>10.058 QALYs</w:t>
            </w:r>
          </w:p>
        </w:tc>
        <w:tc>
          <w:tcPr>
            <w:tcW w:w="544" w:type="pct"/>
            <w:shd w:val="clear" w:color="auto" w:fill="FFFFFF" w:themeFill="background1"/>
            <w:vAlign w:val="center"/>
          </w:tcPr>
          <w:p w14:paraId="01676A84" w14:textId="77777777" w:rsidR="00BC6B2A" w:rsidRPr="00006FCB" w:rsidRDefault="00BC6B2A" w:rsidP="001B4204">
            <w:pPr>
              <w:pStyle w:val="TableText0"/>
              <w:framePr w:wrap="around"/>
              <w:jc w:val="center"/>
            </w:pPr>
            <w:r w:rsidRPr="00006FCB">
              <w:t xml:space="preserve">1.969 </w:t>
            </w:r>
            <w:r>
              <w:br/>
            </w:r>
            <w:r w:rsidRPr="00006FCB">
              <w:t>QALYs</w:t>
            </w:r>
          </w:p>
        </w:tc>
        <w:tc>
          <w:tcPr>
            <w:tcW w:w="598" w:type="pct"/>
            <w:shd w:val="clear" w:color="auto" w:fill="FFFFFF" w:themeFill="background1"/>
            <w:vAlign w:val="center"/>
          </w:tcPr>
          <w:p w14:paraId="776DF376" w14:textId="77777777" w:rsidR="00BC6B2A" w:rsidRPr="00006FCB" w:rsidRDefault="00BC6B2A" w:rsidP="001B4204">
            <w:pPr>
              <w:pStyle w:val="TableText0"/>
              <w:framePr w:wrap="around"/>
              <w:jc w:val="center"/>
            </w:pPr>
            <w:r w:rsidRPr="00BC6B2A">
              <w:rPr>
                <w:color w:val="000000"/>
                <w:spacing w:val="52"/>
                <w:shd w:val="solid" w:color="000000" w:fill="000000"/>
                <w:fitText w:val="330" w:id="-679167733"/>
                <w14:textFill>
                  <w14:solidFill>
                    <w14:srgbClr w14:val="000000">
                      <w14:alpha w14:val="100000"/>
                    </w14:srgbClr>
                  </w14:solidFill>
                </w14:textFill>
              </w:rPr>
              <w:t>|||</w:t>
            </w:r>
            <w:r w:rsidRPr="00BC6B2A">
              <w:rPr>
                <w:color w:val="000000"/>
                <w:spacing w:val="2"/>
                <w:shd w:val="solid" w:color="000000" w:fill="000000"/>
                <w:fitText w:val="330" w:id="-679167733"/>
                <w14:textFill>
                  <w14:solidFill>
                    <w14:srgbClr w14:val="000000">
                      <w14:alpha w14:val="100000"/>
                    </w14:srgbClr>
                  </w14:solidFill>
                </w14:textFill>
              </w:rPr>
              <w:t>|</w:t>
            </w:r>
            <w:r>
              <w:t xml:space="preserve"> </w:t>
            </w:r>
            <w:r w:rsidRPr="00A13B32">
              <w:rPr>
                <w:vertAlign w:val="superscript"/>
              </w:rPr>
              <w:t>4</w:t>
            </w:r>
            <w:r>
              <w:br/>
              <w:t>per QALY</w:t>
            </w:r>
          </w:p>
        </w:tc>
      </w:tr>
      <w:tr w:rsidR="00BC6B2A" w:rsidRPr="00006FCB" w14:paraId="597E508C" w14:textId="77777777" w:rsidTr="00490E84">
        <w:trPr>
          <w:tblHeader/>
        </w:trPr>
        <w:tc>
          <w:tcPr>
            <w:tcW w:w="1196" w:type="pct"/>
            <w:shd w:val="clear" w:color="auto" w:fill="FFFFFF" w:themeFill="background1"/>
            <w:vAlign w:val="center"/>
          </w:tcPr>
          <w:p w14:paraId="3FC7C666" w14:textId="77777777" w:rsidR="00BC6B2A" w:rsidRPr="00006FCB" w:rsidRDefault="00BC6B2A" w:rsidP="001B4204">
            <w:pPr>
              <w:pStyle w:val="TableText0"/>
              <w:framePr w:wrap="around"/>
            </w:pPr>
            <w:r w:rsidRPr="00006FCB">
              <w:t>Step 4: Lifetime horizon</w:t>
            </w:r>
          </w:p>
          <w:p w14:paraId="6E12FFBC" w14:textId="77777777" w:rsidR="00BC6B2A" w:rsidRPr="00006FCB" w:rsidRDefault="00BC6B2A" w:rsidP="001B4204">
            <w:pPr>
              <w:pStyle w:val="TableText0"/>
              <w:framePr w:wrap="around"/>
            </w:pPr>
            <w:r w:rsidRPr="00006FCB">
              <w:t>Costs: all costs</w:t>
            </w:r>
          </w:p>
        </w:tc>
        <w:tc>
          <w:tcPr>
            <w:tcW w:w="533" w:type="pct"/>
            <w:shd w:val="clear" w:color="auto" w:fill="FFFFFF" w:themeFill="background1"/>
            <w:vAlign w:val="center"/>
          </w:tcPr>
          <w:p w14:paraId="69E9B07A" w14:textId="77777777" w:rsidR="00BC6B2A" w:rsidRPr="00006FCB" w:rsidRDefault="00BC6B2A" w:rsidP="001B4204">
            <w:pPr>
              <w:pStyle w:val="TableText0"/>
              <w:framePr w:wrap="around"/>
              <w:jc w:val="center"/>
            </w:pPr>
            <w:r w:rsidRPr="00006FCB">
              <w:t>$</w:t>
            </w:r>
            <w:r w:rsidRPr="00BC6B2A">
              <w:rPr>
                <w:color w:val="000000"/>
                <w:spacing w:val="52"/>
                <w:shd w:val="solid" w:color="000000" w:fill="000000"/>
                <w:fitText w:val="330" w:id="-679167732"/>
                <w14:textFill>
                  <w14:solidFill>
                    <w14:srgbClr w14:val="000000">
                      <w14:alpha w14:val="100000"/>
                    </w14:srgbClr>
                  </w14:solidFill>
                </w14:textFill>
              </w:rPr>
              <w:t>|||</w:t>
            </w:r>
            <w:r w:rsidRPr="00BC6B2A">
              <w:rPr>
                <w:color w:val="000000"/>
                <w:spacing w:val="2"/>
                <w:shd w:val="solid" w:color="000000" w:fill="000000"/>
                <w:fitText w:val="330" w:id="-679167732"/>
                <w14:textFill>
                  <w14:solidFill>
                    <w14:srgbClr w14:val="000000">
                      <w14:alpha w14:val="100000"/>
                    </w14:srgbClr>
                  </w14:solidFill>
                </w14:textFill>
              </w:rPr>
              <w:t>|</w:t>
            </w:r>
          </w:p>
        </w:tc>
        <w:tc>
          <w:tcPr>
            <w:tcW w:w="532" w:type="pct"/>
            <w:shd w:val="clear" w:color="auto" w:fill="FFFFFF" w:themeFill="background1"/>
            <w:vAlign w:val="center"/>
          </w:tcPr>
          <w:p w14:paraId="452428CA" w14:textId="77777777" w:rsidR="00BC6B2A" w:rsidRPr="00006FCB" w:rsidRDefault="00BC6B2A" w:rsidP="001B4204">
            <w:pPr>
              <w:pStyle w:val="TableText0"/>
              <w:framePr w:wrap="around"/>
              <w:jc w:val="center"/>
            </w:pPr>
            <w:r w:rsidRPr="00006FCB">
              <w:t>$92,247</w:t>
            </w:r>
          </w:p>
        </w:tc>
        <w:tc>
          <w:tcPr>
            <w:tcW w:w="533" w:type="pct"/>
            <w:shd w:val="clear" w:color="auto" w:fill="FFFFFF" w:themeFill="background1"/>
            <w:vAlign w:val="center"/>
          </w:tcPr>
          <w:p w14:paraId="173D9983" w14:textId="77777777" w:rsidR="00BC6B2A" w:rsidRPr="00006FCB" w:rsidRDefault="00BC6B2A" w:rsidP="001B4204">
            <w:pPr>
              <w:pStyle w:val="TableText0"/>
              <w:framePr w:wrap="around"/>
              <w:jc w:val="center"/>
            </w:pPr>
            <w:r w:rsidRPr="00006FCB">
              <w:t>$</w:t>
            </w:r>
            <w:r w:rsidRPr="00BC6B2A">
              <w:rPr>
                <w:color w:val="000000"/>
                <w:spacing w:val="52"/>
                <w:shd w:val="solid" w:color="000000" w:fill="000000"/>
                <w:fitText w:val="330" w:id="-679167731"/>
                <w14:textFill>
                  <w14:solidFill>
                    <w14:srgbClr w14:val="000000">
                      <w14:alpha w14:val="100000"/>
                    </w14:srgbClr>
                  </w14:solidFill>
                </w14:textFill>
              </w:rPr>
              <w:t>|||</w:t>
            </w:r>
            <w:r w:rsidRPr="00BC6B2A">
              <w:rPr>
                <w:color w:val="000000"/>
                <w:spacing w:val="2"/>
                <w:shd w:val="solid" w:color="000000" w:fill="000000"/>
                <w:fitText w:val="330" w:id="-679167731"/>
                <w14:textFill>
                  <w14:solidFill>
                    <w14:srgbClr w14:val="000000">
                      <w14:alpha w14:val="100000"/>
                    </w14:srgbClr>
                  </w14:solidFill>
                </w14:textFill>
              </w:rPr>
              <w:t>|</w:t>
            </w:r>
          </w:p>
        </w:tc>
        <w:tc>
          <w:tcPr>
            <w:tcW w:w="532" w:type="pct"/>
            <w:shd w:val="clear" w:color="auto" w:fill="FFFFFF" w:themeFill="background1"/>
            <w:vAlign w:val="center"/>
          </w:tcPr>
          <w:p w14:paraId="3136FF0C" w14:textId="77777777" w:rsidR="00BC6B2A" w:rsidRDefault="00BC6B2A" w:rsidP="001B4204">
            <w:pPr>
              <w:pStyle w:val="TableText0"/>
              <w:framePr w:wrap="around"/>
              <w:jc w:val="center"/>
            </w:pPr>
            <w:r w:rsidRPr="00006FCB">
              <w:t xml:space="preserve">12.027 </w:t>
            </w:r>
          </w:p>
          <w:p w14:paraId="25E33BA3" w14:textId="77777777" w:rsidR="00BC6B2A" w:rsidRPr="00006FCB" w:rsidRDefault="00BC6B2A" w:rsidP="001B4204">
            <w:pPr>
              <w:pStyle w:val="TableText0"/>
              <w:framePr w:wrap="around"/>
              <w:jc w:val="center"/>
            </w:pPr>
            <w:r w:rsidRPr="00006FCB">
              <w:t>QALYs</w:t>
            </w:r>
          </w:p>
        </w:tc>
        <w:tc>
          <w:tcPr>
            <w:tcW w:w="533" w:type="pct"/>
            <w:shd w:val="clear" w:color="auto" w:fill="FFFFFF" w:themeFill="background1"/>
            <w:vAlign w:val="center"/>
          </w:tcPr>
          <w:p w14:paraId="1973B29C" w14:textId="77777777" w:rsidR="00BC6B2A" w:rsidRPr="00006FCB" w:rsidRDefault="00BC6B2A" w:rsidP="001B4204">
            <w:pPr>
              <w:pStyle w:val="TableText0"/>
              <w:framePr w:wrap="around"/>
              <w:jc w:val="center"/>
            </w:pPr>
            <w:r w:rsidRPr="00006FCB">
              <w:t>10.058 QALYs</w:t>
            </w:r>
          </w:p>
        </w:tc>
        <w:tc>
          <w:tcPr>
            <w:tcW w:w="544" w:type="pct"/>
            <w:shd w:val="clear" w:color="auto" w:fill="FFFFFF" w:themeFill="background1"/>
            <w:vAlign w:val="center"/>
          </w:tcPr>
          <w:p w14:paraId="0697CEB6" w14:textId="77777777" w:rsidR="00BC6B2A" w:rsidRPr="00006FCB" w:rsidRDefault="00BC6B2A" w:rsidP="001B4204">
            <w:pPr>
              <w:pStyle w:val="TableText0"/>
              <w:framePr w:wrap="around"/>
              <w:jc w:val="center"/>
            </w:pPr>
            <w:r w:rsidRPr="00006FCB">
              <w:t xml:space="preserve">1.969 </w:t>
            </w:r>
            <w:r>
              <w:br/>
            </w:r>
            <w:r w:rsidRPr="00006FCB">
              <w:t>QALYs</w:t>
            </w:r>
          </w:p>
        </w:tc>
        <w:tc>
          <w:tcPr>
            <w:tcW w:w="598" w:type="pct"/>
            <w:shd w:val="clear" w:color="auto" w:fill="FFFFFF" w:themeFill="background1"/>
            <w:vAlign w:val="center"/>
          </w:tcPr>
          <w:p w14:paraId="08E1CCE6" w14:textId="77777777" w:rsidR="00BC6B2A" w:rsidRPr="00006FCB" w:rsidRDefault="00BC6B2A" w:rsidP="001B4204">
            <w:pPr>
              <w:pStyle w:val="TableText0"/>
              <w:framePr w:wrap="around"/>
              <w:jc w:val="center"/>
              <w:rPr>
                <w:b/>
                <w:bCs w:val="0"/>
              </w:rPr>
            </w:pPr>
            <w:r w:rsidRPr="00BC6B2A">
              <w:rPr>
                <w:b/>
                <w:bCs w:val="0"/>
                <w:color w:val="000000"/>
                <w:spacing w:val="58"/>
                <w:shd w:val="solid" w:color="000000" w:fill="000000"/>
                <w:fitText w:val="360" w:id="-679167730"/>
                <w14:textFill>
                  <w14:solidFill>
                    <w14:srgbClr w14:val="000000">
                      <w14:alpha w14:val="100000"/>
                    </w14:srgbClr>
                  </w14:solidFill>
                </w14:textFill>
              </w:rPr>
              <w:t>|||</w:t>
            </w:r>
            <w:r w:rsidRPr="00BC6B2A">
              <w:rPr>
                <w:b/>
                <w:bCs w:val="0"/>
                <w:color w:val="000000"/>
                <w:spacing w:val="2"/>
                <w:shd w:val="solid" w:color="000000" w:fill="000000"/>
                <w:fitText w:val="360" w:id="-679167730"/>
                <w14:textFill>
                  <w14:solidFill>
                    <w14:srgbClr w14:val="000000">
                      <w14:alpha w14:val="100000"/>
                    </w14:srgbClr>
                  </w14:solidFill>
                </w14:textFill>
              </w:rPr>
              <w:t>|</w:t>
            </w:r>
            <w:r>
              <w:rPr>
                <w:b/>
                <w:bCs w:val="0"/>
              </w:rPr>
              <w:t xml:space="preserve"> </w:t>
            </w:r>
            <w:r w:rsidRPr="000B676D">
              <w:rPr>
                <w:b/>
                <w:bCs w:val="0"/>
                <w:vertAlign w:val="superscript"/>
              </w:rPr>
              <w:t>5</w:t>
            </w:r>
            <w:r w:rsidRPr="000B676D">
              <w:rPr>
                <w:b/>
                <w:bCs w:val="0"/>
                <w:vertAlign w:val="superscript"/>
              </w:rPr>
              <w:br/>
            </w:r>
            <w:r>
              <w:rPr>
                <w:b/>
                <w:bCs w:val="0"/>
              </w:rPr>
              <w:t>per QALY</w:t>
            </w:r>
          </w:p>
        </w:tc>
      </w:tr>
      <w:tr w:rsidR="00BC6B2A" w:rsidRPr="00006FCB" w14:paraId="43A28429" w14:textId="77777777" w:rsidTr="00490E84">
        <w:trPr>
          <w:tblHeader/>
        </w:trPr>
        <w:tc>
          <w:tcPr>
            <w:tcW w:w="1196" w:type="pct"/>
            <w:shd w:val="clear" w:color="auto" w:fill="FFFFFF" w:themeFill="background1"/>
            <w:vAlign w:val="center"/>
          </w:tcPr>
          <w:p w14:paraId="5DE4DF27" w14:textId="77777777" w:rsidR="00BC6B2A" w:rsidRPr="00FE2059" w:rsidRDefault="00BC6B2A" w:rsidP="001B4204">
            <w:pPr>
              <w:pStyle w:val="TableText0"/>
              <w:framePr w:wrap="around"/>
            </w:pPr>
            <w:r w:rsidRPr="00FE2059">
              <w:t>With anniversary price reductions removed</w:t>
            </w:r>
          </w:p>
        </w:tc>
        <w:tc>
          <w:tcPr>
            <w:tcW w:w="533" w:type="pct"/>
            <w:shd w:val="clear" w:color="auto" w:fill="FFFFFF" w:themeFill="background1"/>
            <w:vAlign w:val="center"/>
          </w:tcPr>
          <w:p w14:paraId="3051C245" w14:textId="77777777" w:rsidR="00BC6B2A" w:rsidRPr="00FE2059" w:rsidRDefault="00BC6B2A" w:rsidP="001B4204">
            <w:pPr>
              <w:pStyle w:val="TableText0"/>
              <w:framePr w:wrap="around"/>
              <w:jc w:val="center"/>
            </w:pPr>
            <w:r w:rsidRPr="00FE2059">
              <w:t>$</w:t>
            </w:r>
            <w:r w:rsidRPr="00BC6B2A">
              <w:rPr>
                <w:color w:val="000000"/>
                <w:spacing w:val="52"/>
                <w:shd w:val="solid" w:color="000000" w:fill="000000"/>
                <w:fitText w:val="330" w:id="-679167729"/>
                <w14:textFill>
                  <w14:solidFill>
                    <w14:srgbClr w14:val="000000">
                      <w14:alpha w14:val="100000"/>
                    </w14:srgbClr>
                  </w14:solidFill>
                </w14:textFill>
              </w:rPr>
              <w:t>|||</w:t>
            </w:r>
            <w:r w:rsidRPr="00BC6B2A">
              <w:rPr>
                <w:color w:val="000000"/>
                <w:spacing w:val="2"/>
                <w:shd w:val="solid" w:color="000000" w:fill="000000"/>
                <w:fitText w:val="330" w:id="-679167729"/>
                <w14:textFill>
                  <w14:solidFill>
                    <w14:srgbClr w14:val="000000">
                      <w14:alpha w14:val="100000"/>
                    </w14:srgbClr>
                  </w14:solidFill>
                </w14:textFill>
              </w:rPr>
              <w:t>|</w:t>
            </w:r>
          </w:p>
        </w:tc>
        <w:tc>
          <w:tcPr>
            <w:tcW w:w="532" w:type="pct"/>
            <w:shd w:val="clear" w:color="auto" w:fill="FFFFFF" w:themeFill="background1"/>
            <w:vAlign w:val="center"/>
          </w:tcPr>
          <w:p w14:paraId="4B96A882" w14:textId="77777777" w:rsidR="00BC6B2A" w:rsidRPr="00FE2059" w:rsidRDefault="00BC6B2A" w:rsidP="001B4204">
            <w:pPr>
              <w:pStyle w:val="TableText0"/>
              <w:framePr w:wrap="around"/>
              <w:jc w:val="center"/>
            </w:pPr>
            <w:r w:rsidRPr="00FE2059">
              <w:t>$92,247</w:t>
            </w:r>
          </w:p>
        </w:tc>
        <w:tc>
          <w:tcPr>
            <w:tcW w:w="533" w:type="pct"/>
            <w:shd w:val="clear" w:color="auto" w:fill="FFFFFF" w:themeFill="background1"/>
            <w:vAlign w:val="center"/>
          </w:tcPr>
          <w:p w14:paraId="6DCB5C17" w14:textId="77777777" w:rsidR="00BC6B2A" w:rsidRPr="00FE2059" w:rsidRDefault="00BC6B2A" w:rsidP="001B4204">
            <w:pPr>
              <w:pStyle w:val="TableText0"/>
              <w:framePr w:wrap="around"/>
              <w:jc w:val="center"/>
            </w:pPr>
            <w:r w:rsidRPr="00FE2059">
              <w:t>$</w:t>
            </w:r>
            <w:r w:rsidRPr="00BC6B2A">
              <w:rPr>
                <w:color w:val="000000"/>
                <w:spacing w:val="52"/>
                <w:shd w:val="solid" w:color="000000" w:fill="000000"/>
                <w:fitText w:val="330" w:id="-679167728"/>
                <w14:textFill>
                  <w14:solidFill>
                    <w14:srgbClr w14:val="000000">
                      <w14:alpha w14:val="100000"/>
                    </w14:srgbClr>
                  </w14:solidFill>
                </w14:textFill>
              </w:rPr>
              <w:t>|||</w:t>
            </w:r>
            <w:r w:rsidRPr="00BC6B2A">
              <w:rPr>
                <w:color w:val="000000"/>
                <w:spacing w:val="2"/>
                <w:shd w:val="solid" w:color="000000" w:fill="000000"/>
                <w:fitText w:val="330" w:id="-679167728"/>
                <w14:textFill>
                  <w14:solidFill>
                    <w14:srgbClr w14:val="000000">
                      <w14:alpha w14:val="100000"/>
                    </w14:srgbClr>
                  </w14:solidFill>
                </w14:textFill>
              </w:rPr>
              <w:t>|</w:t>
            </w:r>
          </w:p>
        </w:tc>
        <w:tc>
          <w:tcPr>
            <w:tcW w:w="532" w:type="pct"/>
            <w:shd w:val="clear" w:color="auto" w:fill="FFFFFF" w:themeFill="background1"/>
            <w:vAlign w:val="center"/>
          </w:tcPr>
          <w:p w14:paraId="2D98C888" w14:textId="77777777" w:rsidR="00BC6B2A" w:rsidRPr="00FE2059" w:rsidRDefault="00BC6B2A" w:rsidP="001B4204">
            <w:pPr>
              <w:pStyle w:val="TableText0"/>
              <w:framePr w:wrap="around"/>
              <w:jc w:val="center"/>
            </w:pPr>
            <w:r w:rsidRPr="00FE2059">
              <w:t xml:space="preserve">12.027 </w:t>
            </w:r>
            <w:r w:rsidRPr="00FE2059">
              <w:br/>
              <w:t>QALYs</w:t>
            </w:r>
          </w:p>
        </w:tc>
        <w:tc>
          <w:tcPr>
            <w:tcW w:w="533" w:type="pct"/>
            <w:shd w:val="clear" w:color="auto" w:fill="FFFFFF" w:themeFill="background1"/>
            <w:vAlign w:val="center"/>
          </w:tcPr>
          <w:p w14:paraId="5951CBB7" w14:textId="77777777" w:rsidR="00BC6B2A" w:rsidRPr="00FE2059" w:rsidRDefault="00BC6B2A" w:rsidP="001B4204">
            <w:pPr>
              <w:pStyle w:val="TableText0"/>
              <w:framePr w:wrap="around"/>
              <w:jc w:val="center"/>
            </w:pPr>
            <w:r w:rsidRPr="00FE2059">
              <w:t>10.058 QALYs</w:t>
            </w:r>
          </w:p>
        </w:tc>
        <w:tc>
          <w:tcPr>
            <w:tcW w:w="544" w:type="pct"/>
            <w:shd w:val="clear" w:color="auto" w:fill="FFFFFF" w:themeFill="background1"/>
            <w:vAlign w:val="center"/>
          </w:tcPr>
          <w:p w14:paraId="3201222B" w14:textId="77777777" w:rsidR="00BC6B2A" w:rsidRPr="00FE2059" w:rsidRDefault="00BC6B2A" w:rsidP="001B4204">
            <w:pPr>
              <w:pStyle w:val="TableText0"/>
              <w:framePr w:wrap="around"/>
              <w:jc w:val="center"/>
            </w:pPr>
            <w:r w:rsidRPr="00FE2059">
              <w:t>1.969 QALYs</w:t>
            </w:r>
          </w:p>
        </w:tc>
        <w:tc>
          <w:tcPr>
            <w:tcW w:w="598" w:type="pct"/>
            <w:shd w:val="clear" w:color="auto" w:fill="FFFFFF" w:themeFill="background1"/>
            <w:vAlign w:val="center"/>
          </w:tcPr>
          <w:p w14:paraId="70889AAB" w14:textId="77777777" w:rsidR="00BC6B2A" w:rsidRPr="00FE2059" w:rsidRDefault="00BC6B2A" w:rsidP="001B4204">
            <w:pPr>
              <w:pStyle w:val="TableText0"/>
              <w:framePr w:wrap="around"/>
              <w:jc w:val="center"/>
              <w:rPr>
                <w:b/>
                <w:bCs w:val="0"/>
              </w:rPr>
            </w:pPr>
            <w:r w:rsidRPr="00BC6B2A">
              <w:rPr>
                <w:b/>
                <w:bCs w:val="0"/>
                <w:color w:val="000000"/>
                <w:spacing w:val="58"/>
                <w:shd w:val="solid" w:color="000000" w:fill="000000"/>
                <w:fitText w:val="360" w:id="-679167744"/>
                <w14:textFill>
                  <w14:solidFill>
                    <w14:srgbClr w14:val="000000">
                      <w14:alpha w14:val="100000"/>
                    </w14:srgbClr>
                  </w14:solidFill>
                </w14:textFill>
              </w:rPr>
              <w:t>|||</w:t>
            </w:r>
            <w:r w:rsidRPr="00BC6B2A">
              <w:rPr>
                <w:b/>
                <w:bCs w:val="0"/>
                <w:color w:val="000000"/>
                <w:spacing w:val="2"/>
                <w:shd w:val="solid" w:color="000000" w:fill="000000"/>
                <w:fitText w:val="360" w:id="-679167744"/>
                <w14:textFill>
                  <w14:solidFill>
                    <w14:srgbClr w14:val="000000">
                      <w14:alpha w14:val="100000"/>
                    </w14:srgbClr>
                  </w14:solidFill>
                </w14:textFill>
              </w:rPr>
              <w:t>|</w:t>
            </w:r>
            <w:r w:rsidRPr="00FE2059">
              <w:rPr>
                <w:b/>
                <w:bCs w:val="0"/>
              </w:rPr>
              <w:t xml:space="preserve"> </w:t>
            </w:r>
            <w:r w:rsidRPr="000B676D">
              <w:rPr>
                <w:b/>
                <w:bCs w:val="0"/>
                <w:vertAlign w:val="superscript"/>
              </w:rPr>
              <w:t>6</w:t>
            </w:r>
            <w:r w:rsidRPr="00FE2059">
              <w:rPr>
                <w:b/>
                <w:bCs w:val="0"/>
              </w:rPr>
              <w:br/>
              <w:t>per QALY</w:t>
            </w:r>
          </w:p>
        </w:tc>
      </w:tr>
    </w:tbl>
    <w:p w14:paraId="09539F96" w14:textId="2F8D9CAA" w:rsidR="00D5576E" w:rsidRPr="00006FCB" w:rsidRDefault="00D5576E" w:rsidP="001B4204">
      <w:pPr>
        <w:keepNext/>
        <w:keepLines/>
        <w:rPr>
          <w:rFonts w:ascii="Arial Narrow" w:hAnsi="Arial Narrow"/>
          <w:sz w:val="18"/>
          <w:szCs w:val="18"/>
        </w:rPr>
      </w:pPr>
      <w:r w:rsidRPr="00006FCB">
        <w:rPr>
          <w:rFonts w:ascii="Arial Narrow" w:hAnsi="Arial Narrow"/>
          <w:sz w:val="18"/>
          <w:szCs w:val="18"/>
        </w:rPr>
        <w:t>Source: Table 109</w:t>
      </w:r>
      <w:r>
        <w:rPr>
          <w:rFonts w:ascii="Arial Narrow" w:hAnsi="Arial Narrow"/>
          <w:sz w:val="18"/>
          <w:szCs w:val="18"/>
        </w:rPr>
        <w:t xml:space="preserve"> </w:t>
      </w:r>
      <w:r w:rsidRPr="00006FCB">
        <w:rPr>
          <w:rFonts w:ascii="Arial Narrow" w:hAnsi="Arial Narrow"/>
          <w:sz w:val="18"/>
          <w:szCs w:val="18"/>
        </w:rPr>
        <w:t>of the submission.</w:t>
      </w:r>
    </w:p>
    <w:p w14:paraId="681DE1D5" w14:textId="77777777" w:rsidR="00D5576E" w:rsidRDefault="00D5576E" w:rsidP="001B4204">
      <w:pPr>
        <w:keepNext/>
        <w:keepLines/>
        <w:rPr>
          <w:rFonts w:ascii="Arial Narrow" w:hAnsi="Arial Narrow"/>
          <w:sz w:val="18"/>
          <w:szCs w:val="18"/>
        </w:rPr>
      </w:pPr>
      <w:r w:rsidRPr="4D2BAA30">
        <w:rPr>
          <w:rFonts w:ascii="Arial Narrow" w:hAnsi="Arial Narrow"/>
          <w:sz w:val="18"/>
          <w:szCs w:val="18"/>
        </w:rPr>
        <w:t>CT = conventional therapy, PPT =</w:t>
      </w:r>
      <w:r w:rsidRPr="4D2BAA30">
        <w:rPr>
          <w:rFonts w:ascii="Arial Narrow" w:hAnsi="Arial Narrow"/>
          <w:spacing w:val="-2"/>
          <w:sz w:val="18"/>
          <w:szCs w:val="18"/>
        </w:rPr>
        <w:t xml:space="preserve"> palopegteriparatide</w:t>
      </w:r>
      <w:r w:rsidRPr="4D2BAA30">
        <w:rPr>
          <w:rFonts w:ascii="Arial Narrow" w:hAnsi="Arial Narrow"/>
          <w:sz w:val="18"/>
          <w:szCs w:val="18"/>
        </w:rPr>
        <w:t xml:space="preserve">, eGFR = estimated glomerular filtration rate, ICER = incremental cost effectiveness ratio; QALY = quality adjusted life years. </w:t>
      </w:r>
    </w:p>
    <w:p w14:paraId="5D6D85E3" w14:textId="77777777" w:rsidR="00D5576E" w:rsidRPr="000574DD" w:rsidRDefault="00D5576E" w:rsidP="001B4204">
      <w:pPr>
        <w:keepNext/>
        <w:keepLines/>
        <w:rPr>
          <w:rFonts w:ascii="Arial Narrow" w:hAnsi="Arial Narrow"/>
          <w:i/>
          <w:iCs/>
          <w:sz w:val="18"/>
          <w:szCs w:val="18"/>
        </w:rPr>
      </w:pPr>
      <w:r w:rsidRPr="000574DD">
        <w:rPr>
          <w:rFonts w:ascii="Arial Narrow" w:hAnsi="Arial Narrow"/>
          <w:i/>
          <w:iCs/>
          <w:sz w:val="18"/>
          <w:szCs w:val="18"/>
        </w:rPr>
        <w:t>The redacted values correspond to the following ranges:</w:t>
      </w:r>
    </w:p>
    <w:p w14:paraId="4DB649AE" w14:textId="77777777" w:rsidR="00D5576E" w:rsidRPr="000574DD" w:rsidRDefault="00D5576E" w:rsidP="001B4204">
      <w:pPr>
        <w:keepNext/>
        <w:keepLines/>
        <w:rPr>
          <w:rFonts w:ascii="Arial Narrow" w:hAnsi="Arial Narrow"/>
          <w:i/>
          <w:iCs/>
          <w:sz w:val="18"/>
          <w:szCs w:val="18"/>
        </w:rPr>
      </w:pPr>
      <w:r w:rsidRPr="000574DD">
        <w:rPr>
          <w:rFonts w:ascii="Arial Narrow" w:hAnsi="Arial Narrow"/>
          <w:i/>
          <w:iCs/>
          <w:sz w:val="18"/>
          <w:szCs w:val="18"/>
          <w:vertAlign w:val="superscript"/>
        </w:rPr>
        <w:t>1</w:t>
      </w:r>
      <w:r w:rsidRPr="000574DD">
        <w:rPr>
          <w:rFonts w:ascii="Arial Narrow" w:hAnsi="Arial Narrow"/>
          <w:i/>
          <w:iCs/>
          <w:sz w:val="18"/>
          <w:szCs w:val="18"/>
        </w:rPr>
        <w:t xml:space="preserve"> $15,000 to &lt; $25,000 </w:t>
      </w:r>
    </w:p>
    <w:p w14:paraId="6535677C" w14:textId="77777777" w:rsidR="00D5576E" w:rsidRPr="000574DD" w:rsidRDefault="00D5576E" w:rsidP="001B4204">
      <w:pPr>
        <w:keepNext/>
        <w:keepLines/>
        <w:rPr>
          <w:rFonts w:ascii="Arial Narrow" w:hAnsi="Arial Narrow"/>
          <w:i/>
          <w:iCs/>
          <w:sz w:val="18"/>
          <w:szCs w:val="18"/>
        </w:rPr>
      </w:pPr>
      <w:r w:rsidRPr="000574DD">
        <w:rPr>
          <w:rFonts w:ascii="Arial Narrow" w:hAnsi="Arial Narrow"/>
          <w:i/>
          <w:iCs/>
          <w:sz w:val="18"/>
          <w:szCs w:val="18"/>
          <w:vertAlign w:val="superscript"/>
        </w:rPr>
        <w:t>2</w:t>
      </w:r>
      <w:r w:rsidRPr="000574DD">
        <w:rPr>
          <w:rFonts w:ascii="Arial Narrow" w:hAnsi="Arial Narrow"/>
          <w:i/>
          <w:iCs/>
          <w:sz w:val="18"/>
          <w:szCs w:val="18"/>
        </w:rPr>
        <w:t xml:space="preserve"> $0 to &lt; $5,000 </w:t>
      </w:r>
    </w:p>
    <w:p w14:paraId="4CCFE0A1" w14:textId="77777777" w:rsidR="00D5576E" w:rsidRPr="000574DD" w:rsidRDefault="00D5576E" w:rsidP="001B4204">
      <w:pPr>
        <w:keepNext/>
        <w:keepLines/>
        <w:rPr>
          <w:rFonts w:ascii="Arial Narrow" w:hAnsi="Arial Narrow"/>
          <w:i/>
          <w:iCs/>
          <w:sz w:val="18"/>
          <w:szCs w:val="18"/>
        </w:rPr>
      </w:pPr>
      <w:r w:rsidRPr="000574DD">
        <w:rPr>
          <w:rFonts w:ascii="Arial Narrow" w:hAnsi="Arial Narrow"/>
          <w:i/>
          <w:iCs/>
          <w:sz w:val="18"/>
          <w:szCs w:val="18"/>
          <w:vertAlign w:val="superscript"/>
        </w:rPr>
        <w:t>3</w:t>
      </w:r>
      <w:r w:rsidRPr="000574DD">
        <w:rPr>
          <w:rFonts w:ascii="Arial Narrow" w:hAnsi="Arial Narrow"/>
          <w:i/>
          <w:iCs/>
          <w:sz w:val="18"/>
          <w:szCs w:val="18"/>
        </w:rPr>
        <w:t xml:space="preserve"> $455,000 to &lt; $555,000</w:t>
      </w:r>
    </w:p>
    <w:p w14:paraId="5DE95F7F" w14:textId="77777777" w:rsidR="00D5576E" w:rsidRPr="000574DD" w:rsidRDefault="00D5576E" w:rsidP="001B4204">
      <w:pPr>
        <w:keepNext/>
        <w:keepLines/>
        <w:rPr>
          <w:rFonts w:ascii="Arial Narrow" w:hAnsi="Arial Narrow"/>
          <w:i/>
          <w:iCs/>
          <w:sz w:val="18"/>
          <w:szCs w:val="18"/>
        </w:rPr>
      </w:pPr>
      <w:r w:rsidRPr="000574DD">
        <w:rPr>
          <w:rFonts w:ascii="Arial Narrow" w:hAnsi="Arial Narrow"/>
          <w:i/>
          <w:iCs/>
          <w:sz w:val="18"/>
          <w:szCs w:val="18"/>
          <w:vertAlign w:val="superscript"/>
        </w:rPr>
        <w:t>4</w:t>
      </w:r>
      <w:r w:rsidRPr="000574DD">
        <w:rPr>
          <w:rFonts w:ascii="Arial Narrow" w:hAnsi="Arial Narrow"/>
          <w:i/>
          <w:iCs/>
          <w:sz w:val="18"/>
          <w:szCs w:val="18"/>
        </w:rPr>
        <w:t xml:space="preserve"> $95,000 to &lt; $115,000</w:t>
      </w:r>
    </w:p>
    <w:p w14:paraId="5D017143" w14:textId="77777777" w:rsidR="00D5576E" w:rsidRPr="000574DD" w:rsidRDefault="00D5576E" w:rsidP="001B4204">
      <w:pPr>
        <w:keepNext/>
        <w:keepLines/>
        <w:rPr>
          <w:rFonts w:ascii="Arial Narrow" w:hAnsi="Arial Narrow"/>
          <w:i/>
          <w:iCs/>
          <w:sz w:val="18"/>
          <w:szCs w:val="18"/>
        </w:rPr>
      </w:pPr>
      <w:r w:rsidRPr="000574DD">
        <w:rPr>
          <w:rFonts w:ascii="Arial Narrow" w:hAnsi="Arial Narrow"/>
          <w:i/>
          <w:iCs/>
          <w:sz w:val="18"/>
          <w:szCs w:val="18"/>
          <w:vertAlign w:val="superscript"/>
        </w:rPr>
        <w:t>5</w:t>
      </w:r>
      <w:r w:rsidRPr="000574DD">
        <w:rPr>
          <w:rFonts w:ascii="Arial Narrow" w:hAnsi="Arial Narrow"/>
          <w:i/>
          <w:iCs/>
          <w:sz w:val="18"/>
          <w:szCs w:val="18"/>
        </w:rPr>
        <w:t xml:space="preserve"> $75,000 to &lt; $95,000 </w:t>
      </w:r>
    </w:p>
    <w:p w14:paraId="43C251B7" w14:textId="7768C05D" w:rsidR="00357BF7" w:rsidRDefault="00D5576E" w:rsidP="001B4204">
      <w:pPr>
        <w:keepNext/>
        <w:keepLines/>
        <w:rPr>
          <w:rFonts w:ascii="Arial Narrow" w:hAnsi="Arial Narrow"/>
          <w:i/>
          <w:iCs/>
          <w:sz w:val="18"/>
          <w:szCs w:val="18"/>
        </w:rPr>
      </w:pPr>
      <w:r w:rsidRPr="000574DD">
        <w:rPr>
          <w:rFonts w:ascii="Arial Narrow" w:hAnsi="Arial Narrow"/>
          <w:i/>
          <w:iCs/>
          <w:sz w:val="18"/>
          <w:szCs w:val="18"/>
          <w:vertAlign w:val="superscript"/>
        </w:rPr>
        <w:t>6</w:t>
      </w:r>
      <w:r w:rsidRPr="000574DD">
        <w:rPr>
          <w:rFonts w:ascii="Arial Narrow" w:hAnsi="Arial Narrow"/>
          <w:i/>
          <w:iCs/>
          <w:sz w:val="18"/>
          <w:szCs w:val="18"/>
        </w:rPr>
        <w:t xml:space="preserve"> $95,000 to &lt; $115,000</w:t>
      </w:r>
      <w:bookmarkEnd w:id="65"/>
    </w:p>
    <w:p w14:paraId="5C850DA1" w14:textId="77777777" w:rsidR="002C67FB" w:rsidRPr="002C67FB" w:rsidRDefault="002C67FB" w:rsidP="00EF1CC0">
      <w:pPr>
        <w:keepNext/>
        <w:keepLines/>
        <w:rPr>
          <w:rFonts w:ascii="Arial Narrow" w:hAnsi="Arial Narrow"/>
          <w:i/>
          <w:iCs/>
          <w:sz w:val="18"/>
          <w:szCs w:val="18"/>
        </w:rPr>
      </w:pPr>
    </w:p>
    <w:p w14:paraId="3BD202FC" w14:textId="54303963" w:rsidR="00625943" w:rsidRPr="00007171" w:rsidRDefault="4890FB68" w:rsidP="00EF1CC0">
      <w:pPr>
        <w:pStyle w:val="3-BodyText"/>
        <w:keepNext/>
        <w:keepLines/>
      </w:pPr>
      <w:r w:rsidRPr="383E5602">
        <w:t xml:space="preserve">The results of key univariate sensitivity analyses are summarised in </w:t>
      </w:r>
      <w:r w:rsidR="00A51F8F">
        <w:fldChar w:fldCharType="begin"/>
      </w:r>
      <w:r w:rsidR="00A51F8F">
        <w:instrText xml:space="preserve"> REF _Ref187744644 \h  \* MERGEFORMAT </w:instrText>
      </w:r>
      <w:r w:rsidR="00A51F8F">
        <w:fldChar w:fldCharType="separate"/>
      </w:r>
      <w:r w:rsidR="00DA35E4" w:rsidRPr="00006FCB">
        <w:t xml:space="preserve">Table </w:t>
      </w:r>
      <w:r w:rsidR="00DA35E4">
        <w:rPr>
          <w:noProof/>
        </w:rPr>
        <w:t>16</w:t>
      </w:r>
      <w:r w:rsidR="00A51F8F">
        <w:fldChar w:fldCharType="end"/>
      </w:r>
      <w:r w:rsidRPr="383E5602">
        <w:t xml:space="preserve">. </w:t>
      </w:r>
      <w:r w:rsidR="12BC06F7" w:rsidRPr="383E5602">
        <w:t xml:space="preserve">During the evaluation additional univariate and multivariate analyses were conducted.  </w:t>
      </w:r>
      <w:r w:rsidR="12BC06F7" w:rsidRPr="00007171">
        <w:t>Multivariate sensitivity analyses assumed shorter time horizon (20 years)</w:t>
      </w:r>
      <w:r w:rsidR="00F76550">
        <w:t>,</w:t>
      </w:r>
      <w:r w:rsidR="12BC06F7" w:rsidRPr="00007171">
        <w:t xml:space="preserve"> excluded anniversary price reductions and removed the treatment specific utility increment/decrement after Cycle 2. </w:t>
      </w:r>
      <w:r w:rsidR="253EEB08" w:rsidRPr="00007171">
        <w:t xml:space="preserve"> </w:t>
      </w:r>
    </w:p>
    <w:p w14:paraId="5B6BB4CC" w14:textId="26737CB6" w:rsidR="00625943" w:rsidRPr="00006FCB" w:rsidRDefault="00625943" w:rsidP="002504E6">
      <w:pPr>
        <w:pStyle w:val="Caption"/>
        <w:rPr>
          <w:rFonts w:eastAsiaTheme="majorEastAsia"/>
        </w:rPr>
      </w:pPr>
      <w:bookmarkStart w:id="66" w:name="_Ref104804865"/>
      <w:bookmarkStart w:id="67" w:name="_Ref187744644"/>
      <w:r w:rsidRPr="00006FCB">
        <w:t xml:space="preserve">Table </w:t>
      </w:r>
      <w:r w:rsidR="0065405D">
        <w:fldChar w:fldCharType="begin"/>
      </w:r>
      <w:r w:rsidR="0065405D">
        <w:instrText xml:space="preserve"> SEQ Table \* ARABIC </w:instrText>
      </w:r>
      <w:r w:rsidR="0065405D">
        <w:fldChar w:fldCharType="separate"/>
      </w:r>
      <w:r w:rsidR="00DA35E4">
        <w:rPr>
          <w:noProof/>
        </w:rPr>
        <w:t>16</w:t>
      </w:r>
      <w:r w:rsidR="0065405D">
        <w:rPr>
          <w:noProof/>
        </w:rPr>
        <w:fldChar w:fldCharType="end"/>
      </w:r>
      <w:bookmarkEnd w:id="66"/>
      <w:bookmarkEnd w:id="67"/>
      <w:r w:rsidRPr="00006FCB">
        <w:t>:</w:t>
      </w:r>
      <w:r w:rsidRPr="00006FCB">
        <w:rPr>
          <w:rStyle w:val="CommentReference"/>
          <w:szCs w:val="24"/>
        </w:rPr>
        <w:t xml:space="preserve"> </w:t>
      </w:r>
      <w:r w:rsidRPr="00006FCB">
        <w:rPr>
          <w:rStyle w:val="CommentReference"/>
          <w:b/>
          <w:bCs w:val="0"/>
          <w:szCs w:val="24"/>
        </w:rPr>
        <w:t>Sensitivity analyses</w:t>
      </w:r>
    </w:p>
    <w:tbl>
      <w:tblPr>
        <w:tblpPr w:leftFromText="180" w:rightFromText="180" w:vertAnchor="text" w:tblpY="1"/>
        <w:tblOverlap w:val="neve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Sensitivity analyses"/>
      </w:tblPr>
      <w:tblGrid>
        <w:gridCol w:w="5728"/>
        <w:gridCol w:w="1159"/>
        <w:gridCol w:w="1159"/>
        <w:gridCol w:w="1257"/>
      </w:tblGrid>
      <w:tr w:rsidR="00625943" w:rsidRPr="00006FCB" w14:paraId="2FEE7A2F" w14:textId="77777777" w:rsidTr="00836BEA">
        <w:trPr>
          <w:tblHeader/>
        </w:trPr>
        <w:tc>
          <w:tcPr>
            <w:tcW w:w="5728" w:type="dxa"/>
            <w:shd w:val="clear" w:color="auto" w:fill="auto"/>
          </w:tcPr>
          <w:p w14:paraId="4E03CEC0" w14:textId="77777777" w:rsidR="00625943" w:rsidRPr="00006FCB" w:rsidRDefault="00625943" w:rsidP="002504E6">
            <w:pPr>
              <w:keepNext/>
              <w:keepLines/>
              <w:ind w:left="22"/>
              <w:jc w:val="left"/>
              <w:rPr>
                <w:rFonts w:ascii="Arial Narrow" w:eastAsiaTheme="majorEastAsia" w:hAnsi="Arial Narrow" w:cs="Times New Roman"/>
                <w:b/>
                <w:sz w:val="20"/>
                <w:lang w:val="en-US"/>
              </w:rPr>
            </w:pPr>
            <w:r w:rsidRPr="00006FCB">
              <w:rPr>
                <w:rFonts w:ascii="Arial Narrow" w:eastAsiaTheme="majorEastAsia" w:hAnsi="Arial Narrow" w:cs="Times New Roman"/>
                <w:b/>
                <w:sz w:val="20"/>
                <w:lang w:val="en-US"/>
              </w:rPr>
              <w:t>Analyses</w:t>
            </w:r>
          </w:p>
        </w:tc>
        <w:tc>
          <w:tcPr>
            <w:tcW w:w="1159" w:type="dxa"/>
            <w:tcBorders>
              <w:bottom w:val="single" w:sz="4" w:space="0" w:color="auto"/>
            </w:tcBorders>
            <w:shd w:val="clear" w:color="auto" w:fill="auto"/>
          </w:tcPr>
          <w:p w14:paraId="031F7106" w14:textId="6AA0C446" w:rsidR="00625943" w:rsidRPr="00006FCB" w:rsidRDefault="00625943" w:rsidP="002504E6">
            <w:pPr>
              <w:keepNext/>
              <w:keepLines/>
              <w:ind w:left="22"/>
              <w:jc w:val="center"/>
              <w:rPr>
                <w:rFonts w:ascii="Arial Narrow" w:eastAsiaTheme="majorEastAsia" w:hAnsi="Arial Narrow" w:cs="Times New Roman"/>
                <w:b/>
                <w:sz w:val="20"/>
                <w:lang w:val="en-US"/>
              </w:rPr>
            </w:pPr>
            <w:r w:rsidRPr="00006FCB">
              <w:rPr>
                <w:rFonts w:ascii="Arial Narrow" w:eastAsiaTheme="majorEastAsia" w:hAnsi="Arial Narrow" w:cs="Times New Roman"/>
                <w:b/>
                <w:sz w:val="20"/>
                <w:lang w:val="en-US"/>
              </w:rPr>
              <w:t>Incremental cost</w:t>
            </w:r>
            <w:r w:rsidR="00B04DCB">
              <w:rPr>
                <w:rFonts w:ascii="Arial Narrow" w:eastAsiaTheme="majorEastAsia" w:hAnsi="Arial Narrow" w:cs="Times New Roman"/>
                <w:b/>
                <w:sz w:val="20"/>
                <w:lang w:val="en-US"/>
              </w:rPr>
              <w:t xml:space="preserve"> ($)</w:t>
            </w:r>
          </w:p>
        </w:tc>
        <w:tc>
          <w:tcPr>
            <w:tcW w:w="1159" w:type="dxa"/>
            <w:shd w:val="clear" w:color="auto" w:fill="auto"/>
          </w:tcPr>
          <w:p w14:paraId="683F9B6A" w14:textId="77777777" w:rsidR="00625943" w:rsidRPr="00006FCB" w:rsidRDefault="00625943" w:rsidP="002504E6">
            <w:pPr>
              <w:keepNext/>
              <w:keepLines/>
              <w:ind w:left="22"/>
              <w:jc w:val="center"/>
              <w:rPr>
                <w:rFonts w:ascii="Arial Narrow" w:eastAsiaTheme="majorEastAsia" w:hAnsi="Arial Narrow" w:cs="Times New Roman"/>
                <w:b/>
                <w:sz w:val="20"/>
                <w:lang w:val="en-US"/>
              </w:rPr>
            </w:pPr>
            <w:r w:rsidRPr="00006FCB">
              <w:rPr>
                <w:rFonts w:ascii="Arial Narrow" w:eastAsiaTheme="majorEastAsia" w:hAnsi="Arial Narrow" w:cs="Times New Roman"/>
                <w:b/>
                <w:sz w:val="20"/>
                <w:lang w:val="en-US"/>
              </w:rPr>
              <w:t>Incremental QALY</w:t>
            </w:r>
          </w:p>
        </w:tc>
        <w:tc>
          <w:tcPr>
            <w:tcW w:w="1257" w:type="dxa"/>
            <w:shd w:val="clear" w:color="auto" w:fill="auto"/>
          </w:tcPr>
          <w:p w14:paraId="6B3A201A" w14:textId="77777777" w:rsidR="00625943" w:rsidRPr="00006FCB" w:rsidRDefault="00625943" w:rsidP="002504E6">
            <w:pPr>
              <w:keepNext/>
              <w:keepLines/>
              <w:ind w:left="22"/>
              <w:jc w:val="center"/>
              <w:rPr>
                <w:rFonts w:ascii="Arial Narrow" w:eastAsiaTheme="majorEastAsia" w:hAnsi="Arial Narrow" w:cs="Times New Roman"/>
                <w:b/>
                <w:sz w:val="20"/>
                <w:lang w:val="en-US"/>
              </w:rPr>
            </w:pPr>
            <w:r w:rsidRPr="00006FCB">
              <w:rPr>
                <w:rFonts w:ascii="Arial Narrow" w:eastAsiaTheme="majorEastAsia" w:hAnsi="Arial Narrow" w:cs="Times New Roman"/>
                <w:b/>
                <w:sz w:val="20"/>
                <w:lang w:val="en-US"/>
              </w:rPr>
              <w:t>ICER</w:t>
            </w:r>
          </w:p>
        </w:tc>
      </w:tr>
      <w:tr w:rsidR="00625943" w:rsidRPr="00006FCB" w14:paraId="08D81DAC" w14:textId="77777777" w:rsidTr="00836BEA">
        <w:tc>
          <w:tcPr>
            <w:tcW w:w="5728" w:type="dxa"/>
            <w:shd w:val="clear" w:color="auto" w:fill="auto"/>
          </w:tcPr>
          <w:p w14:paraId="6AD236E9" w14:textId="77777777" w:rsidR="00625943" w:rsidRPr="00006FCB" w:rsidRDefault="00625943" w:rsidP="002504E6">
            <w:pPr>
              <w:keepNext/>
              <w:keepLines/>
              <w:jc w:val="left"/>
              <w:rPr>
                <w:rFonts w:ascii="Arial Narrow" w:eastAsiaTheme="majorEastAsia" w:hAnsi="Arial Narrow" w:cstheme="majorBidi"/>
                <w:b/>
                <w:sz w:val="20"/>
                <w:szCs w:val="20"/>
              </w:rPr>
            </w:pPr>
            <w:r w:rsidRPr="00006FCB">
              <w:rPr>
                <w:rFonts w:ascii="Arial Narrow" w:eastAsiaTheme="majorEastAsia" w:hAnsi="Arial Narrow" w:cstheme="majorBidi"/>
                <w:b/>
                <w:sz w:val="20"/>
                <w:szCs w:val="20"/>
              </w:rPr>
              <w:t>Base case</w:t>
            </w:r>
          </w:p>
        </w:tc>
        <w:tc>
          <w:tcPr>
            <w:tcW w:w="1159" w:type="dxa"/>
            <w:shd w:val="solid" w:color="000000" w:fill="000000"/>
          </w:tcPr>
          <w:p w14:paraId="1D9180AF" w14:textId="5E5B0978" w:rsidR="00625943" w:rsidRPr="00006FCB" w:rsidRDefault="00836BEA" w:rsidP="002504E6">
            <w:pPr>
              <w:keepNext/>
              <w:keepLines/>
              <w:jc w:val="center"/>
              <w:rPr>
                <w:rFonts w:ascii="Arial Narrow" w:eastAsiaTheme="majorEastAsia" w:hAnsi="Arial Narrow" w:cstheme="majorBidi"/>
                <w:b/>
                <w:sz w:val="20"/>
                <w:szCs w:val="20"/>
              </w:rPr>
            </w:pPr>
            <w:r w:rsidRPr="00836BEA">
              <w:rPr>
                <w:rFonts w:ascii="Arial Narrow" w:eastAsiaTheme="majorEastAsia" w:hAnsi="Arial Narrow" w:cstheme="majorBidi"/>
                <w:b/>
                <w:color w:val="000000"/>
                <w:spacing w:val="58"/>
                <w:sz w:val="20"/>
                <w:szCs w:val="20"/>
                <w:fitText w:val="360" w:id="-694428147"/>
                <w14:textFill>
                  <w14:solidFill>
                    <w14:srgbClr w14:val="000000">
                      <w14:alpha w14:val="100000"/>
                    </w14:srgbClr>
                  </w14:solidFill>
                </w14:textFill>
              </w:rPr>
              <w:t>|||</w:t>
            </w:r>
            <w:r w:rsidRPr="00836BEA">
              <w:rPr>
                <w:rFonts w:ascii="Arial Narrow" w:eastAsiaTheme="majorEastAsia" w:hAnsi="Arial Narrow" w:cstheme="majorBidi"/>
                <w:b/>
                <w:color w:val="000000"/>
                <w:spacing w:val="3"/>
                <w:sz w:val="20"/>
                <w:szCs w:val="20"/>
                <w:fitText w:val="360" w:id="-694428147"/>
                <w14:textFill>
                  <w14:solidFill>
                    <w14:srgbClr w14:val="000000">
                      <w14:alpha w14:val="100000"/>
                    </w14:srgbClr>
                  </w14:solidFill>
                </w14:textFill>
              </w:rPr>
              <w:t>|</w:t>
            </w:r>
          </w:p>
        </w:tc>
        <w:tc>
          <w:tcPr>
            <w:tcW w:w="1159" w:type="dxa"/>
            <w:shd w:val="clear" w:color="auto" w:fill="auto"/>
          </w:tcPr>
          <w:p w14:paraId="72026CBF" w14:textId="77777777" w:rsidR="00625943" w:rsidRPr="00006FCB" w:rsidRDefault="00625943" w:rsidP="002504E6">
            <w:pPr>
              <w:keepNext/>
              <w:keepLines/>
              <w:jc w:val="center"/>
              <w:rPr>
                <w:rFonts w:ascii="Arial Narrow" w:eastAsiaTheme="majorEastAsia" w:hAnsi="Arial Narrow" w:cstheme="majorBidi"/>
                <w:b/>
                <w:sz w:val="20"/>
                <w:szCs w:val="20"/>
              </w:rPr>
            </w:pPr>
            <w:r w:rsidRPr="00006FCB">
              <w:rPr>
                <w:rFonts w:ascii="Arial Narrow" w:eastAsiaTheme="majorEastAsia" w:hAnsi="Arial Narrow" w:cstheme="majorBidi"/>
                <w:b/>
                <w:sz w:val="20"/>
                <w:szCs w:val="20"/>
              </w:rPr>
              <w:t>1.969</w:t>
            </w:r>
          </w:p>
        </w:tc>
        <w:tc>
          <w:tcPr>
            <w:tcW w:w="1257" w:type="dxa"/>
            <w:shd w:val="clear" w:color="auto" w:fill="auto"/>
          </w:tcPr>
          <w:p w14:paraId="6212DDE9" w14:textId="465B1119" w:rsidR="00625943" w:rsidRPr="00006FCB" w:rsidRDefault="00836BEA" w:rsidP="002504E6">
            <w:pPr>
              <w:keepNext/>
              <w:keepLines/>
              <w:jc w:val="center"/>
              <w:rPr>
                <w:rFonts w:ascii="Arial Narrow" w:eastAsiaTheme="majorEastAsia" w:hAnsi="Arial Narrow" w:cstheme="majorBidi"/>
                <w:b/>
                <w:sz w:val="20"/>
                <w:szCs w:val="20"/>
              </w:rPr>
            </w:pPr>
            <w:r w:rsidRPr="00836BEA">
              <w:rPr>
                <w:rFonts w:ascii="Arial Narrow" w:eastAsiaTheme="majorEastAsia" w:hAnsi="Arial Narrow" w:cstheme="majorBidi"/>
                <w:b/>
                <w:color w:val="000000"/>
                <w:spacing w:val="58"/>
                <w:sz w:val="20"/>
                <w:szCs w:val="20"/>
                <w:shd w:val="solid" w:color="000000" w:fill="000000"/>
                <w:fitText w:val="360" w:id="-694428146"/>
                <w14:textFill>
                  <w14:solidFill>
                    <w14:srgbClr w14:val="000000">
                      <w14:alpha w14:val="100000"/>
                    </w14:srgbClr>
                  </w14:solidFill>
                </w14:textFill>
              </w:rPr>
              <w:t>|||</w:t>
            </w:r>
            <w:r w:rsidRPr="00836BEA">
              <w:rPr>
                <w:rFonts w:ascii="Arial Narrow" w:eastAsiaTheme="majorEastAsia" w:hAnsi="Arial Narrow" w:cstheme="majorBidi"/>
                <w:b/>
                <w:color w:val="000000"/>
                <w:spacing w:val="3"/>
                <w:sz w:val="20"/>
                <w:szCs w:val="20"/>
                <w:shd w:val="solid" w:color="000000" w:fill="000000"/>
                <w:fitText w:val="360" w:id="-694428146"/>
                <w14:textFill>
                  <w14:solidFill>
                    <w14:srgbClr w14:val="000000">
                      <w14:alpha w14:val="100000"/>
                    </w14:srgbClr>
                  </w14:solidFill>
                </w14:textFill>
              </w:rPr>
              <w:t>|</w:t>
            </w:r>
            <w:r w:rsidR="004B03AE" w:rsidRPr="004B03AE">
              <w:rPr>
                <w:rFonts w:ascii="Arial Narrow" w:eastAsiaTheme="majorEastAsia" w:hAnsi="Arial Narrow" w:cstheme="majorBidi"/>
                <w:b/>
                <w:sz w:val="20"/>
                <w:szCs w:val="20"/>
                <w:vertAlign w:val="superscript"/>
              </w:rPr>
              <w:t>1</w:t>
            </w:r>
          </w:p>
        </w:tc>
      </w:tr>
      <w:tr w:rsidR="004148EB" w:rsidRPr="00006FCB" w14:paraId="73D7F498" w14:textId="77777777" w:rsidTr="383E5602">
        <w:tc>
          <w:tcPr>
            <w:tcW w:w="9303" w:type="dxa"/>
            <w:gridSpan w:val="4"/>
            <w:shd w:val="clear" w:color="auto" w:fill="auto"/>
          </w:tcPr>
          <w:p w14:paraId="6B59ECA2" w14:textId="53ED2C9D" w:rsidR="004148EB" w:rsidRPr="00006FCB" w:rsidRDefault="004148EB" w:rsidP="002504E6">
            <w:pPr>
              <w:keepNext/>
              <w:keepLines/>
              <w:jc w:val="left"/>
              <w:rPr>
                <w:rFonts w:ascii="Arial Narrow" w:eastAsiaTheme="majorEastAsia" w:hAnsi="Arial Narrow" w:cstheme="majorBidi"/>
                <w:b/>
                <w:sz w:val="20"/>
                <w:szCs w:val="20"/>
              </w:rPr>
            </w:pPr>
            <w:r w:rsidRPr="00006FCB">
              <w:rPr>
                <w:rFonts w:ascii="Arial Narrow" w:eastAsiaTheme="majorEastAsia" w:hAnsi="Arial Narrow" w:cstheme="majorBidi"/>
                <w:b/>
                <w:sz w:val="20"/>
                <w:szCs w:val="20"/>
              </w:rPr>
              <w:t>Model structure</w:t>
            </w:r>
          </w:p>
        </w:tc>
      </w:tr>
      <w:tr w:rsidR="004148EB" w:rsidRPr="00006FCB" w14:paraId="47D00DE0" w14:textId="77777777" w:rsidTr="383E5602">
        <w:trPr>
          <w:trHeight w:val="243"/>
        </w:trPr>
        <w:tc>
          <w:tcPr>
            <w:tcW w:w="9303" w:type="dxa"/>
            <w:gridSpan w:val="4"/>
            <w:shd w:val="clear" w:color="auto" w:fill="auto"/>
          </w:tcPr>
          <w:p w14:paraId="3C7DF941" w14:textId="237A6F89" w:rsidR="004148EB" w:rsidRPr="00006FCB" w:rsidRDefault="004148EB" w:rsidP="002504E6">
            <w:pPr>
              <w:keepNext/>
              <w:keepLines/>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 xml:space="preserve">Discount rate (base case </w:t>
            </w:r>
            <w:r w:rsidR="00836BEA" w:rsidRPr="00836BEA">
              <w:rPr>
                <w:rFonts w:ascii="Arial Narrow" w:eastAsiaTheme="majorEastAsia" w:hAnsi="Arial Narrow" w:cstheme="majorBidi"/>
                <w:bCs/>
                <w:color w:val="000000"/>
                <w:spacing w:val="53"/>
                <w:sz w:val="20"/>
                <w:szCs w:val="20"/>
                <w:shd w:val="solid" w:color="000000" w:fill="000000"/>
                <w:fitText w:val="330" w:id="-694428145"/>
                <w14:textFill>
                  <w14:solidFill>
                    <w14:srgbClr w14:val="000000">
                      <w14:alpha w14:val="100000"/>
                    </w14:srgbClr>
                  </w14:solidFill>
                </w14:textFill>
              </w:rPr>
              <w:t>|||</w:t>
            </w:r>
            <w:r w:rsidR="00836BEA" w:rsidRPr="00836BEA">
              <w:rPr>
                <w:rFonts w:ascii="Arial Narrow" w:eastAsiaTheme="majorEastAsia" w:hAnsi="Arial Narrow" w:cstheme="majorBidi"/>
                <w:bCs/>
                <w:color w:val="000000"/>
                <w:spacing w:val="1"/>
                <w:sz w:val="20"/>
                <w:szCs w:val="20"/>
                <w:shd w:val="solid" w:color="000000" w:fill="000000"/>
                <w:fitText w:val="330" w:id="-694428145"/>
                <w14:textFill>
                  <w14:solidFill>
                    <w14:srgbClr w14:val="000000">
                      <w14:alpha w14:val="100000"/>
                    </w14:srgbClr>
                  </w14:solidFill>
                </w14:textFill>
              </w:rPr>
              <w:t>|</w:t>
            </w:r>
            <w:r w:rsidRPr="00006FCB">
              <w:rPr>
                <w:rFonts w:ascii="Arial Narrow" w:eastAsiaTheme="majorEastAsia" w:hAnsi="Arial Narrow" w:cstheme="majorBidi"/>
                <w:bCs/>
                <w:sz w:val="20"/>
                <w:szCs w:val="20"/>
              </w:rPr>
              <w:t>% costs and outcomes)</w:t>
            </w:r>
          </w:p>
        </w:tc>
      </w:tr>
      <w:tr w:rsidR="00625943" w:rsidRPr="00006FCB" w14:paraId="6C8BA39E" w14:textId="77777777" w:rsidTr="00836BEA">
        <w:tc>
          <w:tcPr>
            <w:tcW w:w="5728" w:type="dxa"/>
            <w:shd w:val="clear" w:color="auto" w:fill="auto"/>
          </w:tcPr>
          <w:p w14:paraId="13B12D5C" w14:textId="27EEC115" w:rsidR="00625943" w:rsidRPr="00006FCB" w:rsidRDefault="00836BEA" w:rsidP="002504E6">
            <w:pPr>
              <w:keepNext/>
              <w:keepLines/>
              <w:numPr>
                <w:ilvl w:val="0"/>
                <w:numId w:val="17"/>
              </w:numPr>
              <w:ind w:left="360"/>
              <w:jc w:val="left"/>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shd w:val="solid" w:color="000000" w:fill="000000"/>
                <w:fitText w:val="330" w:id="-694428144"/>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44"/>
                <w14:textFill>
                  <w14:solidFill>
                    <w14:srgbClr w14:val="000000">
                      <w14:alpha w14:val="100000"/>
                    </w14:srgbClr>
                  </w14:solidFill>
                </w14:textFill>
              </w:rPr>
              <w:t>|</w:t>
            </w:r>
            <w:r w:rsidR="00625943" w:rsidRPr="00006FCB">
              <w:rPr>
                <w:rFonts w:ascii="Arial Narrow" w:eastAsiaTheme="majorEastAsia" w:hAnsi="Arial Narrow" w:cstheme="majorBidi"/>
                <w:bCs/>
                <w:sz w:val="20"/>
                <w:szCs w:val="20"/>
              </w:rPr>
              <w:t>% costs and outcomes</w:t>
            </w:r>
          </w:p>
        </w:tc>
        <w:tc>
          <w:tcPr>
            <w:tcW w:w="1159" w:type="dxa"/>
            <w:tcBorders>
              <w:bottom w:val="single" w:sz="4" w:space="0" w:color="auto"/>
            </w:tcBorders>
            <w:shd w:val="solid" w:color="000000" w:fill="000000"/>
          </w:tcPr>
          <w:p w14:paraId="0F25D3E1" w14:textId="6267260E"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60"/>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60"/>
                <w14:textFill>
                  <w14:solidFill>
                    <w14:srgbClr w14:val="000000">
                      <w14:alpha w14:val="100000"/>
                    </w14:srgbClr>
                  </w14:solidFill>
                </w14:textFill>
              </w:rPr>
              <w:t>|</w:t>
            </w:r>
          </w:p>
        </w:tc>
        <w:tc>
          <w:tcPr>
            <w:tcW w:w="1159" w:type="dxa"/>
            <w:shd w:val="clear" w:color="auto" w:fill="auto"/>
          </w:tcPr>
          <w:p w14:paraId="393E0DB8"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2.452</w:t>
            </w:r>
          </w:p>
        </w:tc>
        <w:tc>
          <w:tcPr>
            <w:tcW w:w="1257" w:type="dxa"/>
            <w:shd w:val="clear" w:color="auto" w:fill="auto"/>
          </w:tcPr>
          <w:p w14:paraId="1CA1216A" w14:textId="7D869351" w:rsidR="00625943" w:rsidRPr="00426D62"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59"/>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9"/>
                <w14:textFill>
                  <w14:solidFill>
                    <w14:srgbClr w14:val="000000">
                      <w14:alpha w14:val="100000"/>
                    </w14:srgbClr>
                  </w14:solidFill>
                </w14:textFill>
              </w:rPr>
              <w:t>|</w:t>
            </w:r>
            <w:r w:rsidR="00C34390" w:rsidRPr="004B03AE">
              <w:rPr>
                <w:rFonts w:ascii="Arial Narrow" w:eastAsiaTheme="majorEastAsia" w:hAnsi="Arial Narrow" w:cstheme="majorBidi"/>
                <w:b/>
                <w:sz w:val="20"/>
                <w:szCs w:val="20"/>
                <w:vertAlign w:val="superscript"/>
              </w:rPr>
              <w:t>1</w:t>
            </w:r>
          </w:p>
        </w:tc>
      </w:tr>
      <w:tr w:rsidR="00625943" w:rsidRPr="00006FCB" w14:paraId="067A1D89" w14:textId="77777777" w:rsidTr="00836BEA">
        <w:trPr>
          <w:trHeight w:val="189"/>
        </w:trPr>
        <w:tc>
          <w:tcPr>
            <w:tcW w:w="5728" w:type="dxa"/>
            <w:shd w:val="clear" w:color="auto" w:fill="auto"/>
          </w:tcPr>
          <w:p w14:paraId="4410C282" w14:textId="5D8B3C9B" w:rsidR="00625943" w:rsidRPr="00006FCB" w:rsidRDefault="00836BEA" w:rsidP="002504E6">
            <w:pPr>
              <w:keepNext/>
              <w:keepLines/>
              <w:numPr>
                <w:ilvl w:val="0"/>
                <w:numId w:val="17"/>
              </w:numPr>
              <w:ind w:left="360"/>
              <w:jc w:val="left"/>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shd w:val="solid" w:color="000000" w:fill="000000"/>
                <w:fitText w:val="330" w:id="-694428158"/>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8"/>
                <w14:textFill>
                  <w14:solidFill>
                    <w14:srgbClr w14:val="000000">
                      <w14:alpha w14:val="100000"/>
                    </w14:srgbClr>
                  </w14:solidFill>
                </w14:textFill>
              </w:rPr>
              <w:t>|</w:t>
            </w:r>
            <w:r w:rsidR="00625943" w:rsidRPr="00006FCB">
              <w:rPr>
                <w:rFonts w:ascii="Arial Narrow" w:eastAsiaTheme="majorEastAsia" w:hAnsi="Arial Narrow" w:cstheme="majorBidi"/>
                <w:bCs/>
                <w:sz w:val="20"/>
                <w:szCs w:val="20"/>
              </w:rPr>
              <w:t>% costs and outcomes</w:t>
            </w:r>
          </w:p>
        </w:tc>
        <w:tc>
          <w:tcPr>
            <w:tcW w:w="1159" w:type="dxa"/>
            <w:shd w:val="solid" w:color="000000" w:fill="000000"/>
          </w:tcPr>
          <w:p w14:paraId="5202D476" w14:textId="001528AD"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57"/>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57"/>
                <w14:textFill>
                  <w14:solidFill>
                    <w14:srgbClr w14:val="000000">
                      <w14:alpha w14:val="100000"/>
                    </w14:srgbClr>
                  </w14:solidFill>
                </w14:textFill>
              </w:rPr>
              <w:t>|</w:t>
            </w:r>
          </w:p>
        </w:tc>
        <w:tc>
          <w:tcPr>
            <w:tcW w:w="1159" w:type="dxa"/>
            <w:shd w:val="clear" w:color="auto" w:fill="auto"/>
          </w:tcPr>
          <w:p w14:paraId="519D8789"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4.572</w:t>
            </w:r>
          </w:p>
        </w:tc>
        <w:tc>
          <w:tcPr>
            <w:tcW w:w="1257" w:type="dxa"/>
            <w:shd w:val="clear" w:color="auto" w:fill="auto"/>
          </w:tcPr>
          <w:p w14:paraId="2365765A" w14:textId="0DB5DA1F" w:rsidR="00625943" w:rsidRPr="00426D62"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56"/>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6"/>
                <w14:textFill>
                  <w14:solidFill>
                    <w14:srgbClr w14:val="000000">
                      <w14:alpha w14:val="100000"/>
                    </w14:srgbClr>
                  </w14:solidFill>
                </w14:textFill>
              </w:rPr>
              <w:t>|</w:t>
            </w:r>
            <w:r w:rsidR="00C34390" w:rsidRPr="00C34390">
              <w:rPr>
                <w:rFonts w:ascii="Arial Narrow" w:eastAsiaTheme="majorEastAsia" w:hAnsi="Arial Narrow" w:cstheme="majorBidi"/>
                <w:bCs/>
                <w:sz w:val="20"/>
                <w:szCs w:val="20"/>
                <w:vertAlign w:val="superscript"/>
              </w:rPr>
              <w:t>2</w:t>
            </w:r>
          </w:p>
        </w:tc>
      </w:tr>
      <w:tr w:rsidR="00510CFB" w:rsidRPr="00006FCB" w14:paraId="468EF78F" w14:textId="77777777" w:rsidTr="383E5602">
        <w:trPr>
          <w:trHeight w:val="189"/>
        </w:trPr>
        <w:tc>
          <w:tcPr>
            <w:tcW w:w="9303" w:type="dxa"/>
            <w:gridSpan w:val="4"/>
            <w:shd w:val="clear" w:color="auto" w:fill="auto"/>
          </w:tcPr>
          <w:p w14:paraId="4FFA0B43" w14:textId="46164CB9" w:rsidR="00510CFB" w:rsidRPr="00006FCB" w:rsidRDefault="00510CFB" w:rsidP="002504E6">
            <w:pPr>
              <w:keepNext/>
              <w:keepLines/>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Time horizon (base case 51 years)</w:t>
            </w:r>
          </w:p>
        </w:tc>
      </w:tr>
      <w:tr w:rsidR="00625943" w:rsidRPr="00006FCB" w14:paraId="10AB8F09" w14:textId="77777777" w:rsidTr="00836BEA">
        <w:tc>
          <w:tcPr>
            <w:tcW w:w="5728" w:type="dxa"/>
            <w:shd w:val="clear" w:color="auto" w:fill="auto"/>
          </w:tcPr>
          <w:p w14:paraId="75BC0A34" w14:textId="77777777" w:rsidR="00625943" w:rsidRPr="00006FCB" w:rsidRDefault="00625943" w:rsidP="002504E6">
            <w:pPr>
              <w:keepNext/>
              <w:keepLines/>
              <w:numPr>
                <w:ilvl w:val="0"/>
                <w:numId w:val="18"/>
              </w:numPr>
              <w:ind w:left="360"/>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30 years</w:t>
            </w:r>
          </w:p>
        </w:tc>
        <w:tc>
          <w:tcPr>
            <w:tcW w:w="1159" w:type="dxa"/>
            <w:tcBorders>
              <w:bottom w:val="single" w:sz="4" w:space="0" w:color="auto"/>
            </w:tcBorders>
            <w:shd w:val="solid" w:color="000000" w:fill="000000"/>
          </w:tcPr>
          <w:p w14:paraId="49E06440" w14:textId="17688F74"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55"/>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55"/>
                <w14:textFill>
                  <w14:solidFill>
                    <w14:srgbClr w14:val="000000">
                      <w14:alpha w14:val="100000"/>
                    </w14:srgbClr>
                  </w14:solidFill>
                </w14:textFill>
              </w:rPr>
              <w:t>|</w:t>
            </w:r>
          </w:p>
        </w:tc>
        <w:tc>
          <w:tcPr>
            <w:tcW w:w="1159" w:type="dxa"/>
            <w:shd w:val="clear" w:color="auto" w:fill="auto"/>
          </w:tcPr>
          <w:p w14:paraId="4072D2BA"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1.784</w:t>
            </w:r>
          </w:p>
        </w:tc>
        <w:tc>
          <w:tcPr>
            <w:tcW w:w="1257" w:type="dxa"/>
            <w:shd w:val="clear" w:color="auto" w:fill="auto"/>
          </w:tcPr>
          <w:p w14:paraId="100AFD7E" w14:textId="770859FA"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54"/>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4"/>
                <w14:textFill>
                  <w14:solidFill>
                    <w14:srgbClr w14:val="000000">
                      <w14:alpha w14:val="100000"/>
                    </w14:srgbClr>
                  </w14:solidFill>
                </w14:textFill>
              </w:rPr>
              <w:t>|</w:t>
            </w:r>
            <w:r w:rsidR="00D52931" w:rsidRPr="00D52931">
              <w:rPr>
                <w:rFonts w:ascii="Arial Narrow" w:eastAsiaTheme="majorEastAsia" w:hAnsi="Arial Narrow" w:cstheme="majorBidi"/>
                <w:bCs/>
                <w:sz w:val="20"/>
                <w:szCs w:val="20"/>
                <w:vertAlign w:val="superscript"/>
              </w:rPr>
              <w:t>3</w:t>
            </w:r>
          </w:p>
        </w:tc>
      </w:tr>
      <w:tr w:rsidR="00625943" w:rsidRPr="00006FCB" w14:paraId="25D1614D" w14:textId="77777777" w:rsidTr="00836BEA">
        <w:tc>
          <w:tcPr>
            <w:tcW w:w="5728" w:type="dxa"/>
            <w:shd w:val="clear" w:color="auto" w:fill="auto"/>
          </w:tcPr>
          <w:p w14:paraId="209B11F5" w14:textId="77777777" w:rsidR="00625943" w:rsidRPr="00006FCB" w:rsidRDefault="00625943" w:rsidP="002504E6">
            <w:pPr>
              <w:keepNext/>
              <w:keepLines/>
              <w:numPr>
                <w:ilvl w:val="0"/>
                <w:numId w:val="18"/>
              </w:numPr>
              <w:ind w:left="360"/>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20 years</w:t>
            </w:r>
          </w:p>
        </w:tc>
        <w:tc>
          <w:tcPr>
            <w:tcW w:w="1159" w:type="dxa"/>
            <w:tcBorders>
              <w:bottom w:val="single" w:sz="4" w:space="0" w:color="auto"/>
            </w:tcBorders>
            <w:shd w:val="solid" w:color="000000" w:fill="000000"/>
          </w:tcPr>
          <w:p w14:paraId="780C94A1" w14:textId="12E0F17A"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53"/>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53"/>
                <w14:textFill>
                  <w14:solidFill>
                    <w14:srgbClr w14:val="000000">
                      <w14:alpha w14:val="100000"/>
                    </w14:srgbClr>
                  </w14:solidFill>
                </w14:textFill>
              </w:rPr>
              <w:t>|</w:t>
            </w:r>
          </w:p>
        </w:tc>
        <w:tc>
          <w:tcPr>
            <w:tcW w:w="1159" w:type="dxa"/>
            <w:shd w:val="clear" w:color="auto" w:fill="auto"/>
          </w:tcPr>
          <w:p w14:paraId="15AEE046"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1.371</w:t>
            </w:r>
          </w:p>
        </w:tc>
        <w:tc>
          <w:tcPr>
            <w:tcW w:w="1257" w:type="dxa"/>
            <w:shd w:val="clear" w:color="auto" w:fill="auto"/>
          </w:tcPr>
          <w:p w14:paraId="70DE939A" w14:textId="4FD72731"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52"/>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2"/>
                <w14:textFill>
                  <w14:solidFill>
                    <w14:srgbClr w14:val="000000">
                      <w14:alpha w14:val="100000"/>
                    </w14:srgbClr>
                  </w14:solidFill>
                </w14:textFill>
              </w:rPr>
              <w:t>|</w:t>
            </w:r>
            <w:r w:rsidR="00AF37A8" w:rsidRPr="00AF37A8">
              <w:rPr>
                <w:rFonts w:ascii="Arial Narrow" w:eastAsiaTheme="majorEastAsia" w:hAnsi="Arial Narrow" w:cstheme="majorBidi"/>
                <w:bCs/>
                <w:sz w:val="20"/>
                <w:szCs w:val="20"/>
                <w:vertAlign w:val="superscript"/>
              </w:rPr>
              <w:t>4</w:t>
            </w:r>
          </w:p>
        </w:tc>
      </w:tr>
      <w:tr w:rsidR="00625943" w:rsidRPr="00006FCB" w14:paraId="688D3721" w14:textId="77777777" w:rsidTr="00836BEA">
        <w:tc>
          <w:tcPr>
            <w:tcW w:w="5728" w:type="dxa"/>
            <w:shd w:val="clear" w:color="auto" w:fill="auto"/>
          </w:tcPr>
          <w:p w14:paraId="6C8E7F3E" w14:textId="77777777" w:rsidR="00625943" w:rsidRPr="00006FCB" w:rsidRDefault="00625943" w:rsidP="002504E6">
            <w:pPr>
              <w:keepNext/>
              <w:keepLines/>
              <w:numPr>
                <w:ilvl w:val="0"/>
                <w:numId w:val="18"/>
              </w:numPr>
              <w:ind w:left="360"/>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 xml:space="preserve">10 years </w:t>
            </w:r>
            <w:r w:rsidRPr="00006FCB">
              <w:rPr>
                <w:rFonts w:ascii="Arial Narrow" w:eastAsiaTheme="majorEastAsia" w:hAnsi="Arial Narrow" w:cstheme="majorBidi"/>
                <w:bCs/>
                <w:sz w:val="20"/>
                <w:szCs w:val="20"/>
                <w:vertAlign w:val="superscript"/>
              </w:rPr>
              <w:t>a</w:t>
            </w:r>
          </w:p>
        </w:tc>
        <w:tc>
          <w:tcPr>
            <w:tcW w:w="1159" w:type="dxa"/>
            <w:shd w:val="solid" w:color="000000" w:fill="000000"/>
          </w:tcPr>
          <w:p w14:paraId="31B4572C" w14:textId="0A85779A"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51"/>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51"/>
                <w14:textFill>
                  <w14:solidFill>
                    <w14:srgbClr w14:val="000000">
                      <w14:alpha w14:val="100000"/>
                    </w14:srgbClr>
                  </w14:solidFill>
                </w14:textFill>
              </w:rPr>
              <w:t>|</w:t>
            </w:r>
          </w:p>
        </w:tc>
        <w:tc>
          <w:tcPr>
            <w:tcW w:w="1159" w:type="dxa"/>
            <w:shd w:val="clear" w:color="auto" w:fill="auto"/>
          </w:tcPr>
          <w:p w14:paraId="6E811151"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0.791</w:t>
            </w:r>
          </w:p>
        </w:tc>
        <w:tc>
          <w:tcPr>
            <w:tcW w:w="1257" w:type="dxa"/>
            <w:shd w:val="clear" w:color="auto" w:fill="auto"/>
          </w:tcPr>
          <w:p w14:paraId="68824490" w14:textId="78D305B8"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50"/>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0"/>
                <w14:textFill>
                  <w14:solidFill>
                    <w14:srgbClr w14:val="000000">
                      <w14:alpha w14:val="100000"/>
                    </w14:srgbClr>
                  </w14:solidFill>
                </w14:textFill>
              </w:rPr>
              <w:t>|</w:t>
            </w:r>
            <w:r w:rsidR="00BE48B0" w:rsidRPr="00BE48B0">
              <w:rPr>
                <w:rFonts w:ascii="Arial Narrow" w:eastAsiaTheme="majorEastAsia" w:hAnsi="Arial Narrow" w:cstheme="majorBidi"/>
                <w:bCs/>
                <w:sz w:val="20"/>
                <w:szCs w:val="20"/>
                <w:vertAlign w:val="superscript"/>
              </w:rPr>
              <w:t>5</w:t>
            </w:r>
          </w:p>
        </w:tc>
      </w:tr>
      <w:tr w:rsidR="004148EB" w:rsidRPr="00006FCB" w14:paraId="1A7464EB" w14:textId="77777777" w:rsidTr="383E5602">
        <w:tc>
          <w:tcPr>
            <w:tcW w:w="9303" w:type="dxa"/>
            <w:gridSpan w:val="4"/>
            <w:shd w:val="clear" w:color="auto" w:fill="auto"/>
          </w:tcPr>
          <w:p w14:paraId="049670DC" w14:textId="2B407DB5" w:rsidR="004148EB" w:rsidRPr="00006FCB" w:rsidRDefault="004148EB" w:rsidP="002504E6">
            <w:pPr>
              <w:keepNext/>
              <w:keepLines/>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PPT pricing (base case: anniversary price cuts included)</w:t>
            </w:r>
          </w:p>
        </w:tc>
      </w:tr>
      <w:tr w:rsidR="00625943" w:rsidRPr="00006FCB" w14:paraId="3E42AB8E" w14:textId="77777777" w:rsidTr="00836BEA">
        <w:trPr>
          <w:trHeight w:val="64"/>
        </w:trPr>
        <w:tc>
          <w:tcPr>
            <w:tcW w:w="5728" w:type="dxa"/>
            <w:shd w:val="clear" w:color="auto" w:fill="auto"/>
          </w:tcPr>
          <w:p w14:paraId="7E50394C" w14:textId="308CA48F" w:rsidR="00625943" w:rsidRPr="00006FCB" w:rsidRDefault="00625943" w:rsidP="002504E6">
            <w:pPr>
              <w:keepNext/>
              <w:keepLines/>
              <w:numPr>
                <w:ilvl w:val="0"/>
                <w:numId w:val="19"/>
              </w:numPr>
              <w:ind w:left="360"/>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Anniversary</w:t>
            </w:r>
            <w:r w:rsidRPr="00006FCB">
              <w:rPr>
                <w:rFonts w:ascii="Arial Narrow" w:eastAsiaTheme="majorEastAsia" w:hAnsi="Arial Narrow" w:cstheme="majorBidi"/>
                <w:bCs/>
                <w:spacing w:val="-7"/>
                <w:sz w:val="20"/>
                <w:szCs w:val="20"/>
              </w:rPr>
              <w:t xml:space="preserve"> </w:t>
            </w:r>
            <w:r w:rsidRPr="00006FCB">
              <w:rPr>
                <w:rFonts w:ascii="Arial Narrow" w:eastAsiaTheme="majorEastAsia" w:hAnsi="Arial Narrow" w:cstheme="majorBidi"/>
                <w:bCs/>
                <w:sz w:val="20"/>
                <w:szCs w:val="20"/>
              </w:rPr>
              <w:t>price</w:t>
            </w:r>
            <w:r w:rsidRPr="00006FCB">
              <w:rPr>
                <w:rFonts w:ascii="Arial Narrow" w:eastAsiaTheme="majorEastAsia" w:hAnsi="Arial Narrow" w:cstheme="majorBidi"/>
                <w:bCs/>
                <w:spacing w:val="-7"/>
                <w:sz w:val="20"/>
                <w:szCs w:val="20"/>
              </w:rPr>
              <w:t xml:space="preserve"> </w:t>
            </w:r>
            <w:r w:rsidRPr="00006FCB">
              <w:rPr>
                <w:rFonts w:ascii="Arial Narrow" w:eastAsiaTheme="majorEastAsia" w:hAnsi="Arial Narrow" w:cstheme="majorBidi"/>
                <w:bCs/>
                <w:sz w:val="20"/>
                <w:szCs w:val="20"/>
              </w:rPr>
              <w:t>cuts</w:t>
            </w:r>
            <w:r w:rsidRPr="00006FCB">
              <w:rPr>
                <w:rFonts w:ascii="Arial Narrow" w:eastAsiaTheme="majorEastAsia" w:hAnsi="Arial Narrow" w:cstheme="majorBidi"/>
                <w:bCs/>
                <w:spacing w:val="-7"/>
                <w:sz w:val="20"/>
                <w:szCs w:val="20"/>
              </w:rPr>
              <w:t xml:space="preserve"> </w:t>
            </w:r>
            <w:r w:rsidRPr="00006FCB">
              <w:rPr>
                <w:rFonts w:ascii="Arial Narrow" w:eastAsiaTheme="majorEastAsia" w:hAnsi="Arial Narrow" w:cstheme="majorBidi"/>
                <w:bCs/>
                <w:spacing w:val="-2"/>
                <w:sz w:val="20"/>
                <w:szCs w:val="20"/>
              </w:rPr>
              <w:t>excluded</w:t>
            </w:r>
          </w:p>
        </w:tc>
        <w:tc>
          <w:tcPr>
            <w:tcW w:w="1159" w:type="dxa"/>
            <w:shd w:val="solid" w:color="000000" w:fill="000000"/>
          </w:tcPr>
          <w:p w14:paraId="66B32612" w14:textId="3E497938" w:rsidR="00625943" w:rsidRPr="00006FCB" w:rsidRDefault="00836BEA" w:rsidP="002504E6">
            <w:pPr>
              <w:keepNext/>
              <w:keepLines/>
              <w:jc w:val="center"/>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fitText w:val="330" w:id="-694428149"/>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49"/>
                <w14:textFill>
                  <w14:solidFill>
                    <w14:srgbClr w14:val="000000">
                      <w14:alpha w14:val="100000"/>
                    </w14:srgbClr>
                  </w14:solidFill>
                </w14:textFill>
              </w:rPr>
              <w:t>|</w:t>
            </w:r>
          </w:p>
        </w:tc>
        <w:tc>
          <w:tcPr>
            <w:tcW w:w="1159" w:type="dxa"/>
            <w:shd w:val="clear" w:color="auto" w:fill="auto"/>
          </w:tcPr>
          <w:p w14:paraId="01C87E59" w14:textId="384BA3C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1.969</w:t>
            </w:r>
          </w:p>
        </w:tc>
        <w:tc>
          <w:tcPr>
            <w:tcW w:w="1257" w:type="dxa"/>
            <w:shd w:val="clear" w:color="auto" w:fill="auto"/>
          </w:tcPr>
          <w:p w14:paraId="03A3CED6" w14:textId="3F3F0D91" w:rsidR="00625943" w:rsidRPr="00006FCB" w:rsidRDefault="00836BEA" w:rsidP="002504E6">
            <w:pPr>
              <w:keepNext/>
              <w:keepLines/>
              <w:jc w:val="center"/>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shd w:val="solid" w:color="000000" w:fill="000000"/>
                <w:fitText w:val="330" w:id="-694428148"/>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48"/>
                <w14:textFill>
                  <w14:solidFill>
                    <w14:srgbClr w14:val="000000">
                      <w14:alpha w14:val="100000"/>
                    </w14:srgbClr>
                  </w14:solidFill>
                </w14:textFill>
              </w:rPr>
              <w:t>|</w:t>
            </w:r>
            <w:r w:rsidR="00D52931" w:rsidRPr="00D52931">
              <w:rPr>
                <w:rFonts w:ascii="Arial Narrow" w:eastAsiaTheme="majorEastAsia" w:hAnsi="Arial Narrow" w:cstheme="majorBidi"/>
                <w:bCs/>
                <w:sz w:val="20"/>
                <w:szCs w:val="20"/>
                <w:vertAlign w:val="superscript"/>
              </w:rPr>
              <w:t>3</w:t>
            </w:r>
          </w:p>
        </w:tc>
      </w:tr>
      <w:tr w:rsidR="004148EB" w:rsidRPr="00006FCB" w14:paraId="6AF94EBC" w14:textId="77777777" w:rsidTr="383E5602">
        <w:trPr>
          <w:trHeight w:val="150"/>
        </w:trPr>
        <w:tc>
          <w:tcPr>
            <w:tcW w:w="9303" w:type="dxa"/>
            <w:gridSpan w:val="4"/>
            <w:shd w:val="clear" w:color="auto" w:fill="auto"/>
          </w:tcPr>
          <w:p w14:paraId="23E03260" w14:textId="738889B3" w:rsidR="004148EB" w:rsidRPr="00006FCB" w:rsidRDefault="004148EB" w:rsidP="002504E6">
            <w:pPr>
              <w:keepNext/>
              <w:keepLines/>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Baseline CKD health state distribution (base case: 73.2% CKD 1/2; 26.8% CKD 3)</w:t>
            </w:r>
          </w:p>
        </w:tc>
      </w:tr>
      <w:tr w:rsidR="00625943" w:rsidRPr="00006FCB" w14:paraId="4A1BD8A8" w14:textId="77777777" w:rsidTr="00836BEA">
        <w:trPr>
          <w:trHeight w:val="131"/>
        </w:trPr>
        <w:tc>
          <w:tcPr>
            <w:tcW w:w="5728" w:type="dxa"/>
            <w:shd w:val="clear" w:color="auto" w:fill="auto"/>
            <w:vAlign w:val="center"/>
          </w:tcPr>
          <w:p w14:paraId="794E7589" w14:textId="77777777" w:rsidR="00625943" w:rsidRPr="00006FCB" w:rsidRDefault="00625943" w:rsidP="002504E6">
            <w:pPr>
              <w:pStyle w:val="ListParagraph"/>
              <w:keepNext/>
              <w:keepLines/>
              <w:numPr>
                <w:ilvl w:val="0"/>
                <w:numId w:val="19"/>
              </w:numPr>
              <w:spacing w:after="0"/>
              <w:ind w:left="360"/>
              <w:rPr>
                <w:rFonts w:ascii="Arial Narrow" w:eastAsiaTheme="majorEastAsia" w:hAnsi="Arial Narrow" w:cstheme="majorBidi"/>
                <w:bCs/>
                <w:spacing w:val="-2"/>
                <w:sz w:val="20"/>
                <w:szCs w:val="20"/>
              </w:rPr>
            </w:pPr>
            <w:r w:rsidRPr="00006FCB">
              <w:rPr>
                <w:rFonts w:ascii="Arial Narrow" w:eastAsiaTheme="majorEastAsia" w:hAnsi="Arial Narrow" w:cstheme="majorBidi"/>
                <w:bCs/>
                <w:sz w:val="20"/>
                <w:szCs w:val="20"/>
              </w:rPr>
              <w:t>100% CKD 1/2</w:t>
            </w:r>
          </w:p>
        </w:tc>
        <w:tc>
          <w:tcPr>
            <w:tcW w:w="1159" w:type="dxa"/>
            <w:shd w:val="solid" w:color="000000" w:fill="000000"/>
            <w:vAlign w:val="center"/>
          </w:tcPr>
          <w:p w14:paraId="51FFF0B2" w14:textId="16F7D643" w:rsidR="00625943" w:rsidRPr="00006FCB" w:rsidRDefault="00836BEA" w:rsidP="002504E6">
            <w:pPr>
              <w:keepNext/>
              <w:keepLines/>
              <w:jc w:val="center"/>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fitText w:val="330" w:id="-694428147"/>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47"/>
                <w14:textFill>
                  <w14:solidFill>
                    <w14:srgbClr w14:val="000000">
                      <w14:alpha w14:val="100000"/>
                    </w14:srgbClr>
                  </w14:solidFill>
                </w14:textFill>
              </w:rPr>
              <w:t>|</w:t>
            </w:r>
          </w:p>
        </w:tc>
        <w:tc>
          <w:tcPr>
            <w:tcW w:w="1159" w:type="dxa"/>
            <w:shd w:val="clear" w:color="auto" w:fill="auto"/>
            <w:vAlign w:val="center"/>
          </w:tcPr>
          <w:p w14:paraId="62C1B41B"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1.700</w:t>
            </w:r>
          </w:p>
        </w:tc>
        <w:tc>
          <w:tcPr>
            <w:tcW w:w="1257" w:type="dxa"/>
            <w:shd w:val="clear" w:color="auto" w:fill="auto"/>
            <w:vAlign w:val="center"/>
          </w:tcPr>
          <w:p w14:paraId="3C2748AD" w14:textId="0523F437" w:rsidR="00625943" w:rsidRPr="00006FCB" w:rsidRDefault="00836BEA" w:rsidP="002504E6">
            <w:pPr>
              <w:keepNext/>
              <w:keepLines/>
              <w:jc w:val="center"/>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shd w:val="solid" w:color="000000" w:fill="000000"/>
                <w:fitText w:val="330" w:id="-694428146"/>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46"/>
                <w14:textFill>
                  <w14:solidFill>
                    <w14:srgbClr w14:val="000000">
                      <w14:alpha w14:val="100000"/>
                    </w14:srgbClr>
                  </w14:solidFill>
                </w14:textFill>
              </w:rPr>
              <w:t>|</w:t>
            </w:r>
            <w:r w:rsidR="00D52931" w:rsidRPr="00D52931">
              <w:rPr>
                <w:rFonts w:ascii="Arial Narrow" w:eastAsiaTheme="majorEastAsia" w:hAnsi="Arial Narrow" w:cstheme="majorBidi"/>
                <w:bCs/>
                <w:sz w:val="20"/>
                <w:szCs w:val="20"/>
                <w:vertAlign w:val="superscript"/>
              </w:rPr>
              <w:t>3</w:t>
            </w:r>
          </w:p>
        </w:tc>
      </w:tr>
      <w:tr w:rsidR="004148EB" w:rsidRPr="00006FCB" w14:paraId="42B05773" w14:textId="77777777" w:rsidTr="383E5602">
        <w:trPr>
          <w:trHeight w:val="228"/>
        </w:trPr>
        <w:tc>
          <w:tcPr>
            <w:tcW w:w="9303" w:type="dxa"/>
            <w:gridSpan w:val="4"/>
            <w:shd w:val="clear" w:color="auto" w:fill="auto"/>
            <w:vAlign w:val="center"/>
          </w:tcPr>
          <w:p w14:paraId="6F73A5E6" w14:textId="160EE48C" w:rsidR="004148EB" w:rsidRPr="00006FCB" w:rsidRDefault="004148EB" w:rsidP="002504E6">
            <w:pPr>
              <w:keepNext/>
              <w:keepLines/>
              <w:jc w:val="left"/>
              <w:rPr>
                <w:rFonts w:ascii="Arial Narrow" w:eastAsiaTheme="majorEastAsia" w:hAnsi="Arial Narrow" w:cstheme="majorBidi"/>
                <w:sz w:val="20"/>
                <w:szCs w:val="20"/>
              </w:rPr>
            </w:pPr>
            <w:r w:rsidRPr="4D2BAA30">
              <w:rPr>
                <w:rFonts w:ascii="Arial Narrow" w:eastAsiaTheme="majorEastAsia" w:hAnsi="Arial Narrow" w:cstheme="majorBidi"/>
                <w:sz w:val="20"/>
                <w:szCs w:val="20"/>
              </w:rPr>
              <w:t xml:space="preserve">Cycle 1: CKD 3 to CKD 1/2 transitions (base case: PaTHway, 61%)  </w:t>
            </w:r>
          </w:p>
        </w:tc>
      </w:tr>
      <w:tr w:rsidR="00625943" w:rsidRPr="00006FCB" w14:paraId="4CA38197" w14:textId="77777777" w:rsidTr="00836BEA">
        <w:tc>
          <w:tcPr>
            <w:tcW w:w="5728" w:type="dxa"/>
            <w:shd w:val="clear" w:color="auto" w:fill="auto"/>
          </w:tcPr>
          <w:p w14:paraId="0217AA07" w14:textId="77777777" w:rsidR="00625943" w:rsidRPr="00006FCB" w:rsidRDefault="00625943" w:rsidP="002504E6">
            <w:pPr>
              <w:keepNext/>
              <w:keepLines/>
              <w:numPr>
                <w:ilvl w:val="0"/>
                <w:numId w:val="22"/>
              </w:numPr>
              <w:ind w:left="360"/>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 xml:space="preserve">No patients transition from CKD 3 to CKD 1/2 in Cycle 1 </w:t>
            </w:r>
            <w:r w:rsidRPr="00006FCB">
              <w:rPr>
                <w:rFonts w:ascii="Arial Narrow" w:eastAsiaTheme="majorEastAsia" w:hAnsi="Arial Narrow" w:cstheme="majorBidi"/>
                <w:bCs/>
                <w:sz w:val="20"/>
                <w:szCs w:val="20"/>
                <w:vertAlign w:val="superscript"/>
              </w:rPr>
              <w:t xml:space="preserve">b </w:t>
            </w:r>
            <w:r w:rsidRPr="00006FCB">
              <w:rPr>
                <w:rFonts w:ascii="Arial Narrow" w:eastAsiaTheme="majorEastAsia" w:hAnsi="Arial Narrow" w:cstheme="majorBidi"/>
                <w:bCs/>
                <w:sz w:val="20"/>
                <w:szCs w:val="20"/>
              </w:rPr>
              <w:t xml:space="preserve">(0%) </w:t>
            </w:r>
          </w:p>
        </w:tc>
        <w:tc>
          <w:tcPr>
            <w:tcW w:w="1159" w:type="dxa"/>
            <w:shd w:val="solid" w:color="000000" w:fill="000000"/>
            <w:vAlign w:val="center"/>
          </w:tcPr>
          <w:p w14:paraId="60E27A73" w14:textId="07E56C98" w:rsidR="00625943" w:rsidRPr="00006FCB" w:rsidRDefault="00836BEA" w:rsidP="002504E6">
            <w:pPr>
              <w:keepNext/>
              <w:keepLines/>
              <w:jc w:val="center"/>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fitText w:val="330" w:id="-694428145"/>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45"/>
                <w14:textFill>
                  <w14:solidFill>
                    <w14:srgbClr w14:val="000000">
                      <w14:alpha w14:val="100000"/>
                    </w14:srgbClr>
                  </w14:solidFill>
                </w14:textFill>
              </w:rPr>
              <w:t>|</w:t>
            </w:r>
          </w:p>
        </w:tc>
        <w:tc>
          <w:tcPr>
            <w:tcW w:w="1159" w:type="dxa"/>
            <w:shd w:val="clear" w:color="auto" w:fill="auto"/>
            <w:vAlign w:val="center"/>
          </w:tcPr>
          <w:p w14:paraId="6B80788D"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1.558</w:t>
            </w:r>
          </w:p>
        </w:tc>
        <w:tc>
          <w:tcPr>
            <w:tcW w:w="1257" w:type="dxa"/>
            <w:shd w:val="clear" w:color="auto" w:fill="auto"/>
            <w:vAlign w:val="center"/>
          </w:tcPr>
          <w:p w14:paraId="3A9DA3D9" w14:textId="50FF94FF" w:rsidR="00625943" w:rsidRPr="00006FCB" w:rsidRDefault="00836BEA" w:rsidP="002504E6">
            <w:pPr>
              <w:keepNext/>
              <w:keepLines/>
              <w:jc w:val="center"/>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shd w:val="solid" w:color="000000" w:fill="000000"/>
                <w:fitText w:val="330" w:id="-694428144"/>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44"/>
                <w14:textFill>
                  <w14:solidFill>
                    <w14:srgbClr w14:val="000000">
                      <w14:alpha w14:val="100000"/>
                    </w14:srgbClr>
                  </w14:solidFill>
                </w14:textFill>
              </w:rPr>
              <w:t>|</w:t>
            </w:r>
            <w:r w:rsidR="000A0F6E" w:rsidRPr="00AF37A8">
              <w:rPr>
                <w:rFonts w:ascii="Arial Narrow" w:eastAsiaTheme="majorEastAsia" w:hAnsi="Arial Narrow" w:cstheme="majorBidi"/>
                <w:bCs/>
                <w:sz w:val="20"/>
                <w:szCs w:val="20"/>
                <w:vertAlign w:val="superscript"/>
              </w:rPr>
              <w:t>4</w:t>
            </w:r>
          </w:p>
        </w:tc>
      </w:tr>
      <w:tr w:rsidR="004148EB" w:rsidRPr="00006FCB" w14:paraId="0E91CA51" w14:textId="77777777" w:rsidTr="383E5602">
        <w:tc>
          <w:tcPr>
            <w:tcW w:w="9303" w:type="dxa"/>
            <w:gridSpan w:val="4"/>
            <w:shd w:val="clear" w:color="auto" w:fill="auto"/>
          </w:tcPr>
          <w:p w14:paraId="3E383D3B" w14:textId="62FB9B67" w:rsidR="004148EB" w:rsidRPr="00006FCB" w:rsidRDefault="004148EB" w:rsidP="002504E6">
            <w:pPr>
              <w:keepNext/>
              <w:keepLines/>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Long-term: CKD 1/2 to CKD 3 transitions (base case: Rejnmark 2022)</w:t>
            </w:r>
          </w:p>
        </w:tc>
      </w:tr>
      <w:tr w:rsidR="00625943" w:rsidRPr="00006FCB" w14:paraId="5B2FA49C" w14:textId="77777777" w:rsidTr="00836BEA">
        <w:trPr>
          <w:trHeight w:val="186"/>
        </w:trPr>
        <w:tc>
          <w:tcPr>
            <w:tcW w:w="5728" w:type="dxa"/>
            <w:shd w:val="clear" w:color="auto" w:fill="auto"/>
          </w:tcPr>
          <w:p w14:paraId="0A0B3CA7" w14:textId="77777777" w:rsidR="00625943" w:rsidRPr="00006FCB" w:rsidRDefault="00625943" w:rsidP="002504E6">
            <w:pPr>
              <w:keepNext/>
              <w:keepLines/>
              <w:numPr>
                <w:ilvl w:val="0"/>
                <w:numId w:val="20"/>
              </w:numPr>
              <w:ind w:left="360"/>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 xml:space="preserve">Rejnmark 2022 for CT, no modelled benefit of PPT (i.e. HR = 1) </w:t>
            </w:r>
            <w:r w:rsidRPr="00006FCB">
              <w:rPr>
                <w:rFonts w:ascii="Arial Narrow" w:eastAsiaTheme="majorEastAsia" w:hAnsi="Arial Narrow" w:cstheme="majorBidi"/>
                <w:bCs/>
                <w:sz w:val="20"/>
                <w:szCs w:val="20"/>
                <w:vertAlign w:val="superscript"/>
              </w:rPr>
              <w:t>c</w:t>
            </w:r>
          </w:p>
        </w:tc>
        <w:tc>
          <w:tcPr>
            <w:tcW w:w="1159" w:type="dxa"/>
            <w:shd w:val="solid" w:color="000000" w:fill="000000"/>
            <w:vAlign w:val="center"/>
          </w:tcPr>
          <w:p w14:paraId="6C22811F" w14:textId="4685BB70" w:rsidR="00625943" w:rsidRPr="00006FCB" w:rsidRDefault="00836BEA" w:rsidP="002504E6">
            <w:pPr>
              <w:keepNext/>
              <w:keepLines/>
              <w:jc w:val="center"/>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fitText w:val="330" w:id="-694428160"/>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60"/>
                <w14:textFill>
                  <w14:solidFill>
                    <w14:srgbClr w14:val="000000">
                      <w14:alpha w14:val="100000"/>
                    </w14:srgbClr>
                  </w14:solidFill>
                </w14:textFill>
              </w:rPr>
              <w:t>|</w:t>
            </w:r>
          </w:p>
        </w:tc>
        <w:tc>
          <w:tcPr>
            <w:tcW w:w="1159" w:type="dxa"/>
            <w:shd w:val="clear" w:color="auto" w:fill="auto"/>
            <w:vAlign w:val="center"/>
          </w:tcPr>
          <w:p w14:paraId="02C073C8"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1.462</w:t>
            </w:r>
          </w:p>
        </w:tc>
        <w:tc>
          <w:tcPr>
            <w:tcW w:w="1257" w:type="dxa"/>
            <w:shd w:val="clear" w:color="auto" w:fill="auto"/>
            <w:vAlign w:val="center"/>
          </w:tcPr>
          <w:p w14:paraId="2C267A54" w14:textId="35631A00"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59"/>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9"/>
                <w14:textFill>
                  <w14:solidFill>
                    <w14:srgbClr w14:val="000000">
                      <w14:alpha w14:val="100000"/>
                    </w14:srgbClr>
                  </w14:solidFill>
                </w14:textFill>
              </w:rPr>
              <w:t>|</w:t>
            </w:r>
            <w:r w:rsidR="000A0F6E" w:rsidRPr="00AF37A8">
              <w:rPr>
                <w:rFonts w:ascii="Arial Narrow" w:eastAsiaTheme="majorEastAsia" w:hAnsi="Arial Narrow" w:cstheme="majorBidi"/>
                <w:bCs/>
                <w:sz w:val="20"/>
                <w:szCs w:val="20"/>
                <w:vertAlign w:val="superscript"/>
              </w:rPr>
              <w:t>4</w:t>
            </w:r>
          </w:p>
        </w:tc>
      </w:tr>
      <w:tr w:rsidR="004148EB" w:rsidRPr="00006FCB" w14:paraId="3C79FB6B" w14:textId="77777777" w:rsidTr="383E5602">
        <w:tc>
          <w:tcPr>
            <w:tcW w:w="9303" w:type="dxa"/>
            <w:gridSpan w:val="4"/>
            <w:shd w:val="clear" w:color="auto" w:fill="auto"/>
          </w:tcPr>
          <w:p w14:paraId="777AC8E5" w14:textId="5206E29D" w:rsidR="004148EB" w:rsidRPr="00006FCB" w:rsidRDefault="5D04B03D" w:rsidP="002504E6">
            <w:pPr>
              <w:keepNext/>
              <w:keepLines/>
              <w:jc w:val="left"/>
              <w:rPr>
                <w:rFonts w:ascii="Arial Narrow" w:eastAsiaTheme="majorEastAsia" w:hAnsi="Arial Narrow" w:cstheme="majorBidi"/>
                <w:sz w:val="20"/>
                <w:szCs w:val="20"/>
              </w:rPr>
            </w:pPr>
            <w:r w:rsidRPr="383E5602">
              <w:rPr>
                <w:rFonts w:ascii="Arial Narrow" w:eastAsiaTheme="majorEastAsia" w:hAnsi="Arial Narrow" w:cstheme="majorBidi"/>
                <w:sz w:val="20"/>
                <w:szCs w:val="20"/>
              </w:rPr>
              <w:t xml:space="preserve">Long-term: CKD 3 to CKD 4 and CKD 4 to CKD 5 transitions (base case: </w:t>
            </w:r>
            <w:proofErr w:type="spellStart"/>
            <w:r w:rsidRPr="383E5602">
              <w:rPr>
                <w:rFonts w:ascii="Arial Narrow" w:eastAsiaTheme="majorEastAsia" w:hAnsi="Arial Narrow" w:cstheme="majorBidi"/>
                <w:sz w:val="20"/>
                <w:szCs w:val="20"/>
              </w:rPr>
              <w:t>Gosmanova</w:t>
            </w:r>
            <w:proofErr w:type="spellEnd"/>
            <w:r w:rsidRPr="383E5602">
              <w:rPr>
                <w:rFonts w:ascii="Arial Narrow" w:eastAsiaTheme="majorEastAsia" w:hAnsi="Arial Narrow" w:cstheme="majorBidi"/>
                <w:sz w:val="20"/>
                <w:szCs w:val="20"/>
              </w:rPr>
              <w:t xml:space="preserve"> 2021)</w:t>
            </w:r>
          </w:p>
        </w:tc>
      </w:tr>
      <w:tr w:rsidR="00625943" w:rsidRPr="00006FCB" w14:paraId="451EC0B8" w14:textId="77777777" w:rsidTr="00836BEA">
        <w:trPr>
          <w:trHeight w:val="64"/>
        </w:trPr>
        <w:tc>
          <w:tcPr>
            <w:tcW w:w="5728" w:type="dxa"/>
            <w:shd w:val="clear" w:color="auto" w:fill="auto"/>
          </w:tcPr>
          <w:p w14:paraId="2EAF0606" w14:textId="5EBBF2A4" w:rsidR="00625943" w:rsidRPr="00006FCB" w:rsidRDefault="12BC06F7" w:rsidP="002504E6">
            <w:pPr>
              <w:pStyle w:val="ListParagraph"/>
              <w:keepNext/>
              <w:keepLines/>
              <w:spacing w:after="0"/>
              <w:ind w:left="360"/>
              <w:rPr>
                <w:rFonts w:ascii="Arial Narrow" w:eastAsiaTheme="majorEastAsia" w:hAnsi="Arial Narrow" w:cstheme="majorBidi"/>
                <w:sz w:val="20"/>
                <w:szCs w:val="20"/>
              </w:rPr>
            </w:pPr>
            <w:proofErr w:type="spellStart"/>
            <w:r w:rsidRPr="383E5602">
              <w:rPr>
                <w:rFonts w:ascii="Arial Narrow" w:eastAsiaTheme="majorEastAsia" w:hAnsi="Arial Narrow" w:cstheme="majorBidi"/>
                <w:sz w:val="20"/>
                <w:szCs w:val="20"/>
              </w:rPr>
              <w:t>Gosmanova</w:t>
            </w:r>
            <w:proofErr w:type="spellEnd"/>
            <w:r w:rsidRPr="383E5602">
              <w:rPr>
                <w:rFonts w:ascii="Arial Narrow" w:eastAsiaTheme="majorEastAsia" w:hAnsi="Arial Narrow" w:cstheme="majorBidi"/>
                <w:sz w:val="20"/>
                <w:szCs w:val="20"/>
              </w:rPr>
              <w:t xml:space="preserve"> 2021 (b) for CT, no modelled benefit of PPT (i.e. HR = 1) </w:t>
            </w:r>
            <w:r w:rsidRPr="383E5602">
              <w:rPr>
                <w:rFonts w:ascii="Arial Narrow" w:eastAsiaTheme="majorEastAsia" w:hAnsi="Arial Narrow" w:cstheme="majorBidi"/>
                <w:sz w:val="20"/>
                <w:szCs w:val="20"/>
                <w:vertAlign w:val="superscript"/>
              </w:rPr>
              <w:t>d</w:t>
            </w:r>
          </w:p>
        </w:tc>
        <w:tc>
          <w:tcPr>
            <w:tcW w:w="1159" w:type="dxa"/>
            <w:shd w:val="solid" w:color="000000" w:fill="000000"/>
            <w:vAlign w:val="center"/>
          </w:tcPr>
          <w:p w14:paraId="0B86D8F8" w14:textId="64E086DA" w:rsidR="00625943" w:rsidRPr="00006FCB" w:rsidRDefault="00836BEA" w:rsidP="002504E6">
            <w:pPr>
              <w:keepNext/>
              <w:keepLines/>
              <w:jc w:val="center"/>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fitText w:val="330" w:id="-694428158"/>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58"/>
                <w14:textFill>
                  <w14:solidFill>
                    <w14:srgbClr w14:val="000000">
                      <w14:alpha w14:val="100000"/>
                    </w14:srgbClr>
                  </w14:solidFill>
                </w14:textFill>
              </w:rPr>
              <w:t>|</w:t>
            </w:r>
          </w:p>
        </w:tc>
        <w:tc>
          <w:tcPr>
            <w:tcW w:w="1159" w:type="dxa"/>
            <w:shd w:val="clear" w:color="auto" w:fill="auto"/>
            <w:vAlign w:val="center"/>
          </w:tcPr>
          <w:p w14:paraId="4F3E4BD4"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1.850</w:t>
            </w:r>
          </w:p>
        </w:tc>
        <w:tc>
          <w:tcPr>
            <w:tcW w:w="1257" w:type="dxa"/>
            <w:shd w:val="clear" w:color="auto" w:fill="auto"/>
            <w:vAlign w:val="center"/>
          </w:tcPr>
          <w:p w14:paraId="23EFE486" w14:textId="01A01587" w:rsidR="00625943" w:rsidRPr="00006FCB" w:rsidRDefault="00836BEA" w:rsidP="002504E6">
            <w:pPr>
              <w:keepNext/>
              <w:keepLines/>
              <w:jc w:val="center"/>
              <w:rPr>
                <w:rFonts w:ascii="Arial Narrow" w:eastAsiaTheme="majorEastAsia" w:hAnsi="Arial Narrow" w:cstheme="majorBidi"/>
                <w:bCs/>
                <w:sz w:val="20"/>
                <w:szCs w:val="20"/>
              </w:rPr>
            </w:pPr>
            <w:r w:rsidRPr="00836BEA">
              <w:rPr>
                <w:rFonts w:ascii="Arial Narrow" w:eastAsiaTheme="majorEastAsia" w:hAnsi="Arial Narrow" w:cstheme="majorBidi"/>
                <w:bCs/>
                <w:color w:val="000000"/>
                <w:spacing w:val="53"/>
                <w:sz w:val="20"/>
                <w:szCs w:val="20"/>
                <w:shd w:val="solid" w:color="000000" w:fill="000000"/>
                <w:fitText w:val="330" w:id="-694428157"/>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7"/>
                <w14:textFill>
                  <w14:solidFill>
                    <w14:srgbClr w14:val="000000">
                      <w14:alpha w14:val="100000"/>
                    </w14:srgbClr>
                  </w14:solidFill>
                </w14:textFill>
              </w:rPr>
              <w:t>|</w:t>
            </w:r>
            <w:r w:rsidR="00D52931" w:rsidRPr="00D52931">
              <w:rPr>
                <w:rFonts w:ascii="Arial Narrow" w:eastAsiaTheme="majorEastAsia" w:hAnsi="Arial Narrow" w:cstheme="majorBidi"/>
                <w:bCs/>
                <w:sz w:val="20"/>
                <w:szCs w:val="20"/>
                <w:vertAlign w:val="superscript"/>
              </w:rPr>
              <w:t>3</w:t>
            </w:r>
          </w:p>
        </w:tc>
      </w:tr>
      <w:tr w:rsidR="004148EB" w:rsidRPr="00006FCB" w14:paraId="237F7075" w14:textId="77777777" w:rsidTr="383E5602">
        <w:tc>
          <w:tcPr>
            <w:tcW w:w="9303" w:type="dxa"/>
            <w:gridSpan w:val="4"/>
            <w:shd w:val="clear" w:color="auto" w:fill="auto"/>
          </w:tcPr>
          <w:p w14:paraId="5AC06F6C" w14:textId="54CDF105" w:rsidR="004148EB" w:rsidRPr="00006FCB" w:rsidRDefault="004148EB" w:rsidP="002504E6">
            <w:pPr>
              <w:keepNext/>
              <w:keepLines/>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HPT-related</w:t>
            </w:r>
            <w:r w:rsidRPr="00006FCB">
              <w:rPr>
                <w:rFonts w:ascii="Arial Narrow" w:eastAsiaTheme="majorEastAsia" w:hAnsi="Arial Narrow" w:cstheme="majorBidi"/>
                <w:bCs/>
                <w:spacing w:val="-5"/>
                <w:sz w:val="20"/>
                <w:szCs w:val="20"/>
              </w:rPr>
              <w:t xml:space="preserve"> </w:t>
            </w:r>
            <w:r w:rsidRPr="00006FCB">
              <w:rPr>
                <w:rFonts w:ascii="Arial Narrow" w:eastAsiaTheme="majorEastAsia" w:hAnsi="Arial Narrow" w:cstheme="majorBidi"/>
                <w:bCs/>
                <w:sz w:val="20"/>
                <w:szCs w:val="20"/>
              </w:rPr>
              <w:t>utilities</w:t>
            </w:r>
            <w:r w:rsidRPr="00006FCB">
              <w:rPr>
                <w:rFonts w:ascii="Arial Narrow" w:eastAsiaTheme="majorEastAsia" w:hAnsi="Arial Narrow" w:cstheme="majorBidi"/>
                <w:bCs/>
                <w:spacing w:val="-6"/>
                <w:sz w:val="20"/>
                <w:szCs w:val="20"/>
              </w:rPr>
              <w:t xml:space="preserve"> </w:t>
            </w:r>
            <w:r w:rsidRPr="00006FCB">
              <w:rPr>
                <w:rFonts w:ascii="Arial Narrow" w:eastAsiaTheme="majorEastAsia" w:hAnsi="Arial Narrow" w:cstheme="majorBidi"/>
                <w:bCs/>
                <w:sz w:val="20"/>
                <w:szCs w:val="20"/>
              </w:rPr>
              <w:t>(base</w:t>
            </w:r>
            <w:r w:rsidRPr="00006FCB">
              <w:rPr>
                <w:rFonts w:ascii="Arial Narrow" w:eastAsiaTheme="majorEastAsia" w:hAnsi="Arial Narrow" w:cstheme="majorBidi"/>
                <w:bCs/>
                <w:spacing w:val="-6"/>
                <w:sz w:val="20"/>
                <w:szCs w:val="20"/>
              </w:rPr>
              <w:t xml:space="preserve"> </w:t>
            </w:r>
            <w:r w:rsidRPr="00006FCB">
              <w:rPr>
                <w:rFonts w:ascii="Arial Narrow" w:eastAsiaTheme="majorEastAsia" w:hAnsi="Arial Narrow" w:cstheme="majorBidi"/>
                <w:bCs/>
                <w:sz w:val="20"/>
                <w:szCs w:val="20"/>
              </w:rPr>
              <w:t>case:</w:t>
            </w:r>
            <w:r w:rsidRPr="00006FCB">
              <w:rPr>
                <w:rFonts w:ascii="Arial Narrow" w:eastAsiaTheme="majorEastAsia" w:hAnsi="Arial Narrow" w:cstheme="majorBidi"/>
                <w:bCs/>
                <w:spacing w:val="-6"/>
                <w:sz w:val="20"/>
                <w:szCs w:val="20"/>
              </w:rPr>
              <w:t xml:space="preserve"> </w:t>
            </w:r>
            <w:r w:rsidRPr="00006FCB">
              <w:rPr>
                <w:rFonts w:ascii="Arial Narrow" w:eastAsiaTheme="majorEastAsia" w:hAnsi="Arial Narrow" w:cstheme="majorBidi"/>
                <w:bCs/>
                <w:sz w:val="20"/>
                <w:szCs w:val="20"/>
              </w:rPr>
              <w:t>On</w:t>
            </w:r>
            <w:r w:rsidRPr="00006FCB">
              <w:rPr>
                <w:rFonts w:ascii="Arial Narrow" w:eastAsiaTheme="majorEastAsia" w:hAnsi="Arial Narrow" w:cstheme="majorBidi"/>
                <w:bCs/>
                <w:spacing w:val="-6"/>
                <w:sz w:val="20"/>
                <w:szCs w:val="20"/>
              </w:rPr>
              <w:t xml:space="preserve"> </w:t>
            </w:r>
            <w:r w:rsidRPr="00006FCB">
              <w:rPr>
                <w:rFonts w:ascii="Arial Narrow" w:eastAsiaTheme="majorEastAsia" w:hAnsi="Arial Narrow" w:cstheme="majorBidi"/>
                <w:bCs/>
                <w:sz w:val="20"/>
                <w:szCs w:val="20"/>
              </w:rPr>
              <w:t>PPT</w:t>
            </w:r>
            <w:r w:rsidRPr="008E11D8">
              <w:rPr>
                <w:rFonts w:ascii="Arial Narrow" w:eastAsiaTheme="majorEastAsia" w:hAnsi="Arial Narrow" w:cstheme="majorBidi"/>
                <w:bCs/>
                <w:sz w:val="20"/>
                <w:szCs w:val="20"/>
              </w:rPr>
              <w:t>:</w:t>
            </w:r>
            <w:r w:rsidRPr="008E11D8">
              <w:rPr>
                <w:rFonts w:ascii="Arial Narrow" w:eastAsiaTheme="majorEastAsia" w:hAnsi="Arial Narrow" w:cstheme="majorBidi"/>
                <w:bCs/>
                <w:spacing w:val="-6"/>
                <w:sz w:val="20"/>
                <w:szCs w:val="20"/>
              </w:rPr>
              <w:t xml:space="preserve"> </w:t>
            </w:r>
            <w:r w:rsidRPr="008E11D8">
              <w:rPr>
                <w:rFonts w:ascii="Arial Narrow" w:eastAsiaTheme="majorEastAsia" w:hAnsi="Arial Narrow" w:cstheme="majorBidi"/>
                <w:bCs/>
                <w:sz w:val="20"/>
                <w:szCs w:val="20"/>
              </w:rPr>
              <w:t>0.075;</w:t>
            </w:r>
            <w:r w:rsidRPr="008E11D8">
              <w:rPr>
                <w:rFonts w:ascii="Arial Narrow" w:eastAsiaTheme="majorEastAsia" w:hAnsi="Arial Narrow" w:cstheme="majorBidi"/>
                <w:bCs/>
                <w:spacing w:val="-5"/>
                <w:sz w:val="20"/>
                <w:szCs w:val="20"/>
              </w:rPr>
              <w:t xml:space="preserve"> </w:t>
            </w:r>
            <w:r w:rsidRPr="008E11D8">
              <w:rPr>
                <w:rFonts w:ascii="Arial Narrow" w:eastAsiaTheme="majorEastAsia" w:hAnsi="Arial Narrow" w:cstheme="majorBidi"/>
                <w:bCs/>
                <w:sz w:val="20"/>
                <w:szCs w:val="20"/>
              </w:rPr>
              <w:t>On</w:t>
            </w:r>
            <w:r w:rsidRPr="008E11D8">
              <w:rPr>
                <w:rFonts w:ascii="Arial Narrow" w:eastAsiaTheme="majorEastAsia" w:hAnsi="Arial Narrow" w:cstheme="majorBidi"/>
                <w:bCs/>
                <w:spacing w:val="-6"/>
                <w:sz w:val="20"/>
                <w:szCs w:val="20"/>
              </w:rPr>
              <w:t xml:space="preserve"> </w:t>
            </w:r>
            <w:r w:rsidRPr="008E11D8">
              <w:rPr>
                <w:rFonts w:ascii="Arial Narrow" w:eastAsiaTheme="majorEastAsia" w:hAnsi="Arial Narrow" w:cstheme="majorBidi"/>
                <w:bCs/>
                <w:sz w:val="20"/>
                <w:szCs w:val="20"/>
              </w:rPr>
              <w:t>CT:</w:t>
            </w:r>
            <w:r w:rsidRPr="008E11D8">
              <w:rPr>
                <w:rFonts w:ascii="Arial Narrow" w:eastAsiaTheme="majorEastAsia" w:hAnsi="Arial Narrow" w:cstheme="majorBidi"/>
                <w:bCs/>
                <w:spacing w:val="-1"/>
                <w:sz w:val="20"/>
                <w:szCs w:val="20"/>
              </w:rPr>
              <w:t xml:space="preserve"> </w:t>
            </w:r>
            <w:r w:rsidRPr="008E11D8">
              <w:rPr>
                <w:rFonts w:ascii="Arial Narrow" w:eastAsiaTheme="majorEastAsia" w:hAnsi="Arial Narrow" w:cstheme="majorBidi"/>
                <w:bCs/>
                <w:sz w:val="20"/>
                <w:szCs w:val="20"/>
              </w:rPr>
              <w:t>-</w:t>
            </w:r>
            <w:r w:rsidRPr="008E11D8">
              <w:rPr>
                <w:rFonts w:ascii="Arial Narrow" w:eastAsiaTheme="majorEastAsia" w:hAnsi="Arial Narrow" w:cstheme="majorBidi"/>
                <w:bCs/>
                <w:spacing w:val="-2"/>
                <w:sz w:val="20"/>
                <w:szCs w:val="20"/>
              </w:rPr>
              <w:t>0.043)</w:t>
            </w:r>
          </w:p>
        </w:tc>
      </w:tr>
      <w:tr w:rsidR="00625943" w:rsidRPr="00006FCB" w14:paraId="04BC86E9" w14:textId="77777777" w:rsidTr="00836BEA">
        <w:tc>
          <w:tcPr>
            <w:tcW w:w="5728" w:type="dxa"/>
            <w:shd w:val="clear" w:color="auto" w:fill="auto"/>
          </w:tcPr>
          <w:p w14:paraId="6B09F365" w14:textId="77777777" w:rsidR="00625943" w:rsidRPr="008E11D8" w:rsidRDefault="00625943" w:rsidP="002504E6">
            <w:pPr>
              <w:keepNext/>
              <w:keepLines/>
              <w:numPr>
                <w:ilvl w:val="0"/>
                <w:numId w:val="21"/>
              </w:numPr>
              <w:ind w:left="360"/>
              <w:jc w:val="left"/>
              <w:rPr>
                <w:rFonts w:ascii="Arial Narrow" w:eastAsiaTheme="majorEastAsia" w:hAnsi="Arial Narrow" w:cstheme="majorBidi"/>
                <w:bCs/>
                <w:sz w:val="20"/>
                <w:szCs w:val="20"/>
              </w:rPr>
            </w:pPr>
            <w:r w:rsidRPr="008E11D8">
              <w:rPr>
                <w:rFonts w:ascii="Arial Narrow" w:eastAsiaTheme="majorEastAsia" w:hAnsi="Arial Narrow" w:cstheme="majorBidi"/>
                <w:bCs/>
                <w:sz w:val="20"/>
                <w:szCs w:val="20"/>
              </w:rPr>
              <w:t>Halved</w:t>
            </w:r>
            <w:r w:rsidRPr="008E11D8">
              <w:rPr>
                <w:rFonts w:ascii="Arial Narrow" w:eastAsiaTheme="majorEastAsia" w:hAnsi="Arial Narrow" w:cstheme="majorBidi"/>
                <w:bCs/>
                <w:spacing w:val="-5"/>
                <w:sz w:val="20"/>
                <w:szCs w:val="20"/>
              </w:rPr>
              <w:t xml:space="preserve"> </w:t>
            </w:r>
            <w:r w:rsidRPr="008E11D8">
              <w:rPr>
                <w:rFonts w:ascii="Arial Narrow" w:eastAsiaTheme="majorEastAsia" w:hAnsi="Arial Narrow" w:cstheme="majorBidi"/>
                <w:bCs/>
                <w:sz w:val="20"/>
                <w:szCs w:val="20"/>
              </w:rPr>
              <w:t>(On</w:t>
            </w:r>
            <w:r w:rsidRPr="008E11D8">
              <w:rPr>
                <w:rFonts w:ascii="Arial Narrow" w:eastAsiaTheme="majorEastAsia" w:hAnsi="Arial Narrow" w:cstheme="majorBidi"/>
                <w:bCs/>
                <w:spacing w:val="-5"/>
                <w:sz w:val="20"/>
                <w:szCs w:val="20"/>
              </w:rPr>
              <w:t xml:space="preserve"> </w:t>
            </w:r>
            <w:r w:rsidRPr="008E11D8">
              <w:rPr>
                <w:rFonts w:ascii="Arial Narrow" w:eastAsiaTheme="majorEastAsia" w:hAnsi="Arial Narrow" w:cstheme="majorBidi"/>
                <w:bCs/>
                <w:sz w:val="20"/>
                <w:szCs w:val="20"/>
              </w:rPr>
              <w:t>PPT:</w:t>
            </w:r>
            <w:r w:rsidRPr="008E11D8">
              <w:rPr>
                <w:rFonts w:ascii="Arial Narrow" w:eastAsiaTheme="majorEastAsia" w:hAnsi="Arial Narrow" w:cstheme="majorBidi"/>
                <w:bCs/>
                <w:spacing w:val="-5"/>
                <w:sz w:val="20"/>
                <w:szCs w:val="20"/>
              </w:rPr>
              <w:t xml:space="preserve"> </w:t>
            </w:r>
            <w:r w:rsidRPr="008E11D8">
              <w:rPr>
                <w:rFonts w:ascii="Arial Narrow" w:eastAsiaTheme="majorEastAsia" w:hAnsi="Arial Narrow" w:cstheme="majorBidi"/>
                <w:bCs/>
                <w:sz w:val="20"/>
                <w:szCs w:val="20"/>
              </w:rPr>
              <w:t>0.038;</w:t>
            </w:r>
            <w:r w:rsidRPr="008E11D8">
              <w:rPr>
                <w:rFonts w:ascii="Arial Narrow" w:eastAsiaTheme="majorEastAsia" w:hAnsi="Arial Narrow" w:cstheme="majorBidi"/>
                <w:bCs/>
                <w:spacing w:val="-5"/>
                <w:sz w:val="20"/>
                <w:szCs w:val="20"/>
              </w:rPr>
              <w:t xml:space="preserve"> </w:t>
            </w:r>
            <w:r w:rsidRPr="008E11D8">
              <w:rPr>
                <w:rFonts w:ascii="Arial Narrow" w:eastAsiaTheme="majorEastAsia" w:hAnsi="Arial Narrow" w:cstheme="majorBidi"/>
                <w:bCs/>
                <w:sz w:val="20"/>
                <w:szCs w:val="20"/>
              </w:rPr>
              <w:t>On</w:t>
            </w:r>
            <w:r w:rsidRPr="008E11D8">
              <w:rPr>
                <w:rFonts w:ascii="Arial Narrow" w:eastAsiaTheme="majorEastAsia" w:hAnsi="Arial Narrow" w:cstheme="majorBidi"/>
                <w:bCs/>
                <w:spacing w:val="-4"/>
                <w:sz w:val="20"/>
                <w:szCs w:val="20"/>
              </w:rPr>
              <w:t xml:space="preserve"> </w:t>
            </w:r>
            <w:r w:rsidRPr="008E11D8">
              <w:rPr>
                <w:rFonts w:ascii="Arial Narrow" w:eastAsiaTheme="majorEastAsia" w:hAnsi="Arial Narrow" w:cstheme="majorBidi"/>
                <w:bCs/>
                <w:sz w:val="20"/>
                <w:szCs w:val="20"/>
              </w:rPr>
              <w:t>CT:</w:t>
            </w:r>
            <w:r w:rsidRPr="008E11D8">
              <w:rPr>
                <w:rFonts w:ascii="Arial Narrow" w:eastAsiaTheme="majorEastAsia" w:hAnsi="Arial Narrow" w:cstheme="majorBidi"/>
                <w:bCs/>
                <w:spacing w:val="-3"/>
                <w:sz w:val="20"/>
                <w:szCs w:val="20"/>
              </w:rPr>
              <w:t xml:space="preserve"> </w:t>
            </w:r>
            <w:r w:rsidRPr="008E11D8">
              <w:rPr>
                <w:rFonts w:ascii="Arial Narrow" w:eastAsiaTheme="majorEastAsia" w:hAnsi="Arial Narrow" w:cstheme="majorBidi"/>
                <w:bCs/>
                <w:sz w:val="20"/>
                <w:szCs w:val="20"/>
              </w:rPr>
              <w:t>-</w:t>
            </w:r>
            <w:r w:rsidRPr="008E11D8">
              <w:rPr>
                <w:rFonts w:ascii="Arial Narrow" w:eastAsiaTheme="majorEastAsia" w:hAnsi="Arial Narrow" w:cstheme="majorBidi"/>
                <w:bCs/>
                <w:spacing w:val="-2"/>
                <w:sz w:val="20"/>
                <w:szCs w:val="20"/>
              </w:rPr>
              <w:t>0.022)</w:t>
            </w:r>
          </w:p>
        </w:tc>
        <w:tc>
          <w:tcPr>
            <w:tcW w:w="1159" w:type="dxa"/>
            <w:tcBorders>
              <w:bottom w:val="single" w:sz="4" w:space="0" w:color="auto"/>
            </w:tcBorders>
            <w:shd w:val="solid" w:color="000000" w:fill="000000"/>
          </w:tcPr>
          <w:p w14:paraId="77CB610D" w14:textId="3899EDA8"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56"/>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56"/>
                <w14:textFill>
                  <w14:solidFill>
                    <w14:srgbClr w14:val="000000">
                      <w14:alpha w14:val="100000"/>
                    </w14:srgbClr>
                  </w14:solidFill>
                </w14:textFill>
              </w:rPr>
              <w:t>|</w:t>
            </w:r>
          </w:p>
        </w:tc>
        <w:tc>
          <w:tcPr>
            <w:tcW w:w="1159" w:type="dxa"/>
            <w:shd w:val="clear" w:color="auto" w:fill="auto"/>
          </w:tcPr>
          <w:p w14:paraId="50571733"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1.480</w:t>
            </w:r>
          </w:p>
        </w:tc>
        <w:tc>
          <w:tcPr>
            <w:tcW w:w="1257" w:type="dxa"/>
            <w:shd w:val="clear" w:color="auto" w:fill="auto"/>
          </w:tcPr>
          <w:p w14:paraId="3821D386" w14:textId="38830D60"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55"/>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5"/>
                <w14:textFill>
                  <w14:solidFill>
                    <w14:srgbClr w14:val="000000">
                      <w14:alpha w14:val="100000"/>
                    </w14:srgbClr>
                  </w14:solidFill>
                </w14:textFill>
              </w:rPr>
              <w:t>|</w:t>
            </w:r>
            <w:r w:rsidR="000A0F6E" w:rsidRPr="00AF37A8">
              <w:rPr>
                <w:rFonts w:ascii="Arial Narrow" w:eastAsiaTheme="majorEastAsia" w:hAnsi="Arial Narrow" w:cstheme="majorBidi"/>
                <w:bCs/>
                <w:sz w:val="20"/>
                <w:szCs w:val="20"/>
                <w:vertAlign w:val="superscript"/>
              </w:rPr>
              <w:t>4</w:t>
            </w:r>
          </w:p>
        </w:tc>
      </w:tr>
      <w:tr w:rsidR="00625943" w:rsidRPr="00006FCB" w14:paraId="7D43F63F" w14:textId="77777777" w:rsidTr="00836BEA">
        <w:tc>
          <w:tcPr>
            <w:tcW w:w="5728" w:type="dxa"/>
            <w:shd w:val="clear" w:color="auto" w:fill="auto"/>
          </w:tcPr>
          <w:p w14:paraId="4F905A35" w14:textId="77777777" w:rsidR="00625943" w:rsidRPr="008E11D8" w:rsidRDefault="00625943" w:rsidP="002504E6">
            <w:pPr>
              <w:keepNext/>
              <w:keepLines/>
              <w:numPr>
                <w:ilvl w:val="0"/>
                <w:numId w:val="21"/>
              </w:numPr>
              <w:ind w:left="360"/>
              <w:jc w:val="left"/>
              <w:rPr>
                <w:rFonts w:ascii="Arial Narrow" w:eastAsiaTheme="majorEastAsia" w:hAnsi="Arial Narrow" w:cstheme="majorBidi"/>
                <w:bCs/>
                <w:sz w:val="20"/>
                <w:szCs w:val="20"/>
              </w:rPr>
            </w:pPr>
            <w:r w:rsidRPr="008E11D8">
              <w:rPr>
                <w:rFonts w:ascii="Arial Narrow" w:eastAsiaTheme="majorEastAsia" w:hAnsi="Arial Narrow" w:cstheme="majorBidi"/>
                <w:bCs/>
                <w:sz w:val="20"/>
                <w:szCs w:val="20"/>
              </w:rPr>
              <w:t>Doubled</w:t>
            </w:r>
            <w:r w:rsidRPr="008E11D8">
              <w:rPr>
                <w:rFonts w:ascii="Arial Narrow" w:eastAsiaTheme="majorEastAsia" w:hAnsi="Arial Narrow" w:cstheme="majorBidi"/>
                <w:bCs/>
                <w:spacing w:val="-6"/>
                <w:sz w:val="20"/>
                <w:szCs w:val="20"/>
              </w:rPr>
              <w:t xml:space="preserve"> </w:t>
            </w:r>
            <w:r w:rsidRPr="008E11D8">
              <w:rPr>
                <w:rFonts w:ascii="Arial Narrow" w:eastAsiaTheme="majorEastAsia" w:hAnsi="Arial Narrow" w:cstheme="majorBidi"/>
                <w:bCs/>
                <w:sz w:val="20"/>
                <w:szCs w:val="20"/>
              </w:rPr>
              <w:t>(On</w:t>
            </w:r>
            <w:r w:rsidRPr="008E11D8">
              <w:rPr>
                <w:rFonts w:ascii="Arial Narrow" w:eastAsiaTheme="majorEastAsia" w:hAnsi="Arial Narrow" w:cstheme="majorBidi"/>
                <w:bCs/>
                <w:spacing w:val="-5"/>
                <w:sz w:val="20"/>
                <w:szCs w:val="20"/>
              </w:rPr>
              <w:t xml:space="preserve"> </w:t>
            </w:r>
            <w:r w:rsidRPr="008E11D8">
              <w:rPr>
                <w:rFonts w:ascii="Arial Narrow" w:eastAsiaTheme="majorEastAsia" w:hAnsi="Arial Narrow" w:cstheme="majorBidi"/>
                <w:bCs/>
                <w:sz w:val="20"/>
                <w:szCs w:val="20"/>
              </w:rPr>
              <w:t>PPT:</w:t>
            </w:r>
            <w:r w:rsidRPr="008E11D8">
              <w:rPr>
                <w:rFonts w:ascii="Arial Narrow" w:eastAsiaTheme="majorEastAsia" w:hAnsi="Arial Narrow" w:cstheme="majorBidi"/>
                <w:bCs/>
                <w:spacing w:val="-6"/>
                <w:sz w:val="20"/>
                <w:szCs w:val="20"/>
              </w:rPr>
              <w:t xml:space="preserve"> </w:t>
            </w:r>
            <w:r w:rsidRPr="008E11D8">
              <w:rPr>
                <w:rFonts w:ascii="Arial Narrow" w:eastAsiaTheme="majorEastAsia" w:hAnsi="Arial Narrow" w:cstheme="majorBidi"/>
                <w:bCs/>
                <w:sz w:val="20"/>
                <w:szCs w:val="20"/>
              </w:rPr>
              <w:t>0.150;</w:t>
            </w:r>
            <w:r w:rsidRPr="008E11D8">
              <w:rPr>
                <w:rFonts w:ascii="Arial Narrow" w:eastAsiaTheme="majorEastAsia" w:hAnsi="Arial Narrow" w:cstheme="majorBidi"/>
                <w:bCs/>
                <w:spacing w:val="-5"/>
                <w:sz w:val="20"/>
                <w:szCs w:val="20"/>
              </w:rPr>
              <w:t xml:space="preserve"> </w:t>
            </w:r>
            <w:r w:rsidRPr="008E11D8">
              <w:rPr>
                <w:rFonts w:ascii="Arial Narrow" w:eastAsiaTheme="majorEastAsia" w:hAnsi="Arial Narrow" w:cstheme="majorBidi"/>
                <w:bCs/>
                <w:sz w:val="20"/>
                <w:szCs w:val="20"/>
              </w:rPr>
              <w:t>On</w:t>
            </w:r>
            <w:r w:rsidRPr="008E11D8">
              <w:rPr>
                <w:rFonts w:ascii="Arial Narrow" w:eastAsiaTheme="majorEastAsia" w:hAnsi="Arial Narrow" w:cstheme="majorBidi"/>
                <w:bCs/>
                <w:spacing w:val="-5"/>
                <w:sz w:val="20"/>
                <w:szCs w:val="20"/>
              </w:rPr>
              <w:t xml:space="preserve"> </w:t>
            </w:r>
            <w:r w:rsidRPr="008E11D8">
              <w:rPr>
                <w:rFonts w:ascii="Arial Narrow" w:eastAsiaTheme="majorEastAsia" w:hAnsi="Arial Narrow" w:cstheme="majorBidi"/>
                <w:bCs/>
                <w:sz w:val="20"/>
                <w:szCs w:val="20"/>
              </w:rPr>
              <w:t>CT:</w:t>
            </w:r>
            <w:r w:rsidRPr="008E11D8">
              <w:rPr>
                <w:rFonts w:ascii="Arial Narrow" w:eastAsiaTheme="majorEastAsia" w:hAnsi="Arial Narrow" w:cstheme="majorBidi"/>
                <w:bCs/>
                <w:spacing w:val="-1"/>
                <w:sz w:val="20"/>
                <w:szCs w:val="20"/>
              </w:rPr>
              <w:t xml:space="preserve"> </w:t>
            </w:r>
            <w:r w:rsidRPr="008E11D8">
              <w:rPr>
                <w:rFonts w:ascii="Arial Narrow" w:eastAsiaTheme="majorEastAsia" w:hAnsi="Arial Narrow" w:cstheme="majorBidi"/>
                <w:bCs/>
                <w:sz w:val="20"/>
                <w:szCs w:val="20"/>
              </w:rPr>
              <w:t>-</w:t>
            </w:r>
            <w:r w:rsidRPr="008E11D8">
              <w:rPr>
                <w:rFonts w:ascii="Arial Narrow" w:eastAsiaTheme="majorEastAsia" w:hAnsi="Arial Narrow" w:cstheme="majorBidi"/>
                <w:bCs/>
                <w:spacing w:val="-2"/>
                <w:sz w:val="20"/>
                <w:szCs w:val="20"/>
              </w:rPr>
              <w:t>0.086)</w:t>
            </w:r>
          </w:p>
        </w:tc>
        <w:tc>
          <w:tcPr>
            <w:tcW w:w="1159" w:type="dxa"/>
            <w:tcBorders>
              <w:bottom w:val="single" w:sz="4" w:space="0" w:color="auto"/>
            </w:tcBorders>
            <w:shd w:val="solid" w:color="000000" w:fill="000000"/>
          </w:tcPr>
          <w:p w14:paraId="6FE17A9E" w14:textId="5D1724CD"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54"/>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54"/>
                <w14:textFill>
                  <w14:solidFill>
                    <w14:srgbClr w14:val="000000">
                      <w14:alpha w14:val="100000"/>
                    </w14:srgbClr>
                  </w14:solidFill>
                </w14:textFill>
              </w:rPr>
              <w:t>|</w:t>
            </w:r>
          </w:p>
        </w:tc>
        <w:tc>
          <w:tcPr>
            <w:tcW w:w="1159" w:type="dxa"/>
            <w:shd w:val="clear" w:color="auto" w:fill="auto"/>
          </w:tcPr>
          <w:p w14:paraId="3829F7A9"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2.948</w:t>
            </w:r>
          </w:p>
        </w:tc>
        <w:tc>
          <w:tcPr>
            <w:tcW w:w="1257" w:type="dxa"/>
            <w:shd w:val="clear" w:color="auto" w:fill="auto"/>
          </w:tcPr>
          <w:p w14:paraId="3D0ED667" w14:textId="1EC33043"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53"/>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3"/>
                <w14:textFill>
                  <w14:solidFill>
                    <w14:srgbClr w14:val="000000">
                      <w14:alpha w14:val="100000"/>
                    </w14:srgbClr>
                  </w14:solidFill>
                </w14:textFill>
              </w:rPr>
              <w:t>|</w:t>
            </w:r>
            <w:r w:rsidR="00836A3B" w:rsidRPr="00C34390">
              <w:rPr>
                <w:rFonts w:ascii="Arial Narrow" w:eastAsiaTheme="majorEastAsia" w:hAnsi="Arial Narrow" w:cstheme="majorBidi"/>
                <w:bCs/>
                <w:sz w:val="20"/>
                <w:szCs w:val="20"/>
                <w:vertAlign w:val="superscript"/>
              </w:rPr>
              <w:t>2</w:t>
            </w:r>
          </w:p>
        </w:tc>
      </w:tr>
      <w:tr w:rsidR="00625943" w:rsidRPr="00006FCB" w14:paraId="4C26218C" w14:textId="77777777" w:rsidTr="00836BEA">
        <w:tc>
          <w:tcPr>
            <w:tcW w:w="5728" w:type="dxa"/>
            <w:shd w:val="clear" w:color="auto" w:fill="auto"/>
          </w:tcPr>
          <w:p w14:paraId="334ABE02" w14:textId="187C56FD" w:rsidR="00625943" w:rsidRPr="00006FCB" w:rsidRDefault="00625943" w:rsidP="002504E6">
            <w:pPr>
              <w:keepNext/>
              <w:keepLines/>
              <w:numPr>
                <w:ilvl w:val="0"/>
                <w:numId w:val="21"/>
              </w:numPr>
              <w:ind w:left="360"/>
              <w:jc w:val="left"/>
              <w:rPr>
                <w:rFonts w:ascii="Arial Narrow" w:eastAsiaTheme="majorEastAsia" w:hAnsi="Arial Narrow" w:cstheme="majorBidi"/>
                <w:bCs/>
                <w:sz w:val="20"/>
                <w:szCs w:val="20"/>
              </w:rPr>
            </w:pPr>
            <w:r w:rsidRPr="008E11D8">
              <w:rPr>
                <w:rFonts w:ascii="Arial Narrow" w:eastAsia="Arial Narrow" w:hAnsi="Arial Narrow" w:cs="Arial Narrow"/>
                <w:bCs/>
                <w:sz w:val="20"/>
                <w:szCs w:val="20"/>
                <w:lang w:val="en-US" w:eastAsia="en-US"/>
              </w:rPr>
              <w:t>Removing utility increment after Cycle 2 for PPT (On PPT:0; On CT: -0.043)</w:t>
            </w:r>
            <w:r w:rsidRPr="008E11D8" w:rsidDel="008707A7">
              <w:rPr>
                <w:rFonts w:ascii="Arial Narrow" w:eastAsia="Arial Narrow" w:hAnsi="Arial Narrow" w:cs="Arial Narrow"/>
                <w:bCs/>
                <w:sz w:val="20"/>
                <w:szCs w:val="20"/>
                <w:vertAlign w:val="superscript"/>
                <w:lang w:val="en-US" w:eastAsia="en-US"/>
              </w:rPr>
              <w:t xml:space="preserve"> </w:t>
            </w:r>
            <w:r w:rsidRPr="008E11D8">
              <w:rPr>
                <w:rFonts w:ascii="Arial Narrow" w:eastAsia="Arial Narrow" w:hAnsi="Arial Narrow" w:cs="Arial Narrow"/>
                <w:bCs/>
                <w:sz w:val="20"/>
                <w:szCs w:val="20"/>
                <w:vertAlign w:val="superscript"/>
                <w:lang w:val="en-US" w:eastAsia="en-US"/>
              </w:rPr>
              <w:t>e</w:t>
            </w:r>
          </w:p>
        </w:tc>
        <w:tc>
          <w:tcPr>
            <w:tcW w:w="1159" w:type="dxa"/>
            <w:tcBorders>
              <w:bottom w:val="single" w:sz="4" w:space="0" w:color="auto"/>
            </w:tcBorders>
            <w:shd w:val="solid" w:color="000000" w:fill="000000"/>
          </w:tcPr>
          <w:p w14:paraId="55681496" w14:textId="785695BC"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52"/>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52"/>
                <w14:textFill>
                  <w14:solidFill>
                    <w14:srgbClr w14:val="000000">
                      <w14:alpha w14:val="100000"/>
                    </w14:srgbClr>
                  </w14:solidFill>
                </w14:textFill>
              </w:rPr>
              <w:t>|</w:t>
            </w:r>
          </w:p>
        </w:tc>
        <w:tc>
          <w:tcPr>
            <w:tcW w:w="1159" w:type="dxa"/>
            <w:shd w:val="clear" w:color="auto" w:fill="auto"/>
          </w:tcPr>
          <w:p w14:paraId="14EAB1BC"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1.342</w:t>
            </w:r>
          </w:p>
        </w:tc>
        <w:tc>
          <w:tcPr>
            <w:tcW w:w="1257" w:type="dxa"/>
            <w:shd w:val="clear" w:color="auto" w:fill="auto"/>
          </w:tcPr>
          <w:p w14:paraId="0AB13AB6" w14:textId="4A7FBA34"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51"/>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51"/>
                <w14:textFill>
                  <w14:solidFill>
                    <w14:srgbClr w14:val="000000">
                      <w14:alpha w14:val="100000"/>
                    </w14:srgbClr>
                  </w14:solidFill>
                </w14:textFill>
              </w:rPr>
              <w:t>|</w:t>
            </w:r>
            <w:r w:rsidR="000A0F6E" w:rsidRPr="00AF37A8">
              <w:rPr>
                <w:rFonts w:ascii="Arial Narrow" w:eastAsiaTheme="majorEastAsia" w:hAnsi="Arial Narrow" w:cstheme="majorBidi"/>
                <w:bCs/>
                <w:sz w:val="20"/>
                <w:szCs w:val="20"/>
                <w:vertAlign w:val="superscript"/>
              </w:rPr>
              <w:t>4</w:t>
            </w:r>
          </w:p>
        </w:tc>
      </w:tr>
      <w:tr w:rsidR="00625943" w:rsidRPr="00006FCB" w14:paraId="7FFFB817" w14:textId="77777777" w:rsidTr="00836BEA">
        <w:tc>
          <w:tcPr>
            <w:tcW w:w="5728" w:type="dxa"/>
            <w:shd w:val="clear" w:color="auto" w:fill="auto"/>
          </w:tcPr>
          <w:p w14:paraId="6DE1D1FF" w14:textId="77777777" w:rsidR="00625943" w:rsidRPr="00006FCB" w:rsidRDefault="00625943" w:rsidP="002504E6">
            <w:pPr>
              <w:keepNext/>
              <w:keepLines/>
              <w:numPr>
                <w:ilvl w:val="0"/>
                <w:numId w:val="21"/>
              </w:numPr>
              <w:ind w:left="360"/>
              <w:jc w:val="left"/>
              <w:rPr>
                <w:rFonts w:ascii="Arial Narrow" w:eastAsiaTheme="majorEastAsia" w:hAnsi="Arial Narrow" w:cstheme="majorBidi"/>
                <w:bCs/>
                <w:sz w:val="20"/>
                <w:szCs w:val="20"/>
              </w:rPr>
            </w:pPr>
            <w:r w:rsidRPr="00006FCB">
              <w:rPr>
                <w:rFonts w:ascii="Arial Narrow" w:eastAsia="Arial Narrow" w:hAnsi="Arial Narrow" w:cs="Arial Narrow"/>
                <w:bCs/>
                <w:sz w:val="20"/>
                <w:szCs w:val="20"/>
                <w:lang w:val="en-US" w:eastAsia="en-US"/>
              </w:rPr>
              <w:t xml:space="preserve">Removing utility decrement after Cycle 2 for CT (On </w:t>
            </w:r>
            <w:r w:rsidRPr="008E11D8">
              <w:rPr>
                <w:rFonts w:ascii="Arial Narrow" w:eastAsia="Arial Narrow" w:hAnsi="Arial Narrow" w:cs="Arial Narrow"/>
                <w:bCs/>
                <w:sz w:val="20"/>
                <w:szCs w:val="20"/>
                <w:lang w:val="en-US" w:eastAsia="en-US"/>
              </w:rPr>
              <w:t>PPT:0.075;</w:t>
            </w:r>
            <w:r w:rsidRPr="00006FCB">
              <w:rPr>
                <w:rFonts w:ascii="Arial Narrow" w:eastAsia="Arial Narrow" w:hAnsi="Arial Narrow" w:cs="Arial Narrow"/>
                <w:bCs/>
                <w:sz w:val="20"/>
                <w:szCs w:val="20"/>
                <w:lang w:val="en-US" w:eastAsia="en-US"/>
              </w:rPr>
              <w:t xml:space="preserve"> On CT: 0)</w:t>
            </w:r>
            <w:r w:rsidRPr="00006FCB">
              <w:rPr>
                <w:rFonts w:ascii="Arial Narrow" w:eastAsia="Arial Narrow" w:hAnsi="Arial Narrow" w:cs="Arial Narrow"/>
                <w:bCs/>
                <w:sz w:val="20"/>
                <w:szCs w:val="20"/>
                <w:vertAlign w:val="superscript"/>
                <w:lang w:val="en-US" w:eastAsia="en-US"/>
              </w:rPr>
              <w:t xml:space="preserve"> f</w:t>
            </w:r>
          </w:p>
        </w:tc>
        <w:tc>
          <w:tcPr>
            <w:tcW w:w="1159" w:type="dxa"/>
            <w:tcBorders>
              <w:bottom w:val="single" w:sz="4" w:space="0" w:color="auto"/>
            </w:tcBorders>
            <w:shd w:val="solid" w:color="000000" w:fill="000000"/>
          </w:tcPr>
          <w:p w14:paraId="0B42112F" w14:textId="2E8C99F8"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50"/>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50"/>
                <w14:textFill>
                  <w14:solidFill>
                    <w14:srgbClr w14:val="000000">
                      <w14:alpha w14:val="100000"/>
                    </w14:srgbClr>
                  </w14:solidFill>
                </w14:textFill>
              </w:rPr>
              <w:t>|</w:t>
            </w:r>
          </w:p>
        </w:tc>
        <w:tc>
          <w:tcPr>
            <w:tcW w:w="1159" w:type="dxa"/>
            <w:shd w:val="clear" w:color="auto" w:fill="auto"/>
          </w:tcPr>
          <w:p w14:paraId="009A0122"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1.665</w:t>
            </w:r>
          </w:p>
        </w:tc>
        <w:tc>
          <w:tcPr>
            <w:tcW w:w="1257" w:type="dxa"/>
            <w:shd w:val="clear" w:color="auto" w:fill="auto"/>
          </w:tcPr>
          <w:p w14:paraId="2F2A2CA6" w14:textId="221C146E"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49"/>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49"/>
                <w14:textFill>
                  <w14:solidFill>
                    <w14:srgbClr w14:val="000000">
                      <w14:alpha w14:val="100000"/>
                    </w14:srgbClr>
                  </w14:solidFill>
                </w14:textFill>
              </w:rPr>
              <w:t>|</w:t>
            </w:r>
            <w:r w:rsidR="00D52931" w:rsidRPr="00D52931">
              <w:rPr>
                <w:rFonts w:ascii="Arial Narrow" w:eastAsiaTheme="majorEastAsia" w:hAnsi="Arial Narrow" w:cstheme="majorBidi"/>
                <w:bCs/>
                <w:sz w:val="20"/>
                <w:szCs w:val="20"/>
                <w:vertAlign w:val="superscript"/>
              </w:rPr>
              <w:t>3</w:t>
            </w:r>
          </w:p>
        </w:tc>
      </w:tr>
      <w:tr w:rsidR="00625943" w:rsidRPr="00006FCB" w14:paraId="6E8097E2" w14:textId="77777777" w:rsidTr="00836BEA">
        <w:trPr>
          <w:trHeight w:val="186"/>
        </w:trPr>
        <w:tc>
          <w:tcPr>
            <w:tcW w:w="5728" w:type="dxa"/>
            <w:shd w:val="clear" w:color="auto" w:fill="auto"/>
          </w:tcPr>
          <w:p w14:paraId="10464341" w14:textId="77777777" w:rsidR="00625943" w:rsidRPr="00006FCB" w:rsidRDefault="00625943" w:rsidP="002504E6">
            <w:pPr>
              <w:pStyle w:val="ListParagraph"/>
              <w:keepNext/>
              <w:keepLines/>
              <w:numPr>
                <w:ilvl w:val="0"/>
                <w:numId w:val="21"/>
              </w:numPr>
              <w:spacing w:after="0"/>
              <w:ind w:left="360"/>
              <w:rPr>
                <w:rFonts w:ascii="Arial Narrow" w:eastAsiaTheme="majorEastAsia" w:hAnsi="Arial Narrow" w:cstheme="majorBidi"/>
                <w:bCs/>
                <w:sz w:val="20"/>
                <w:szCs w:val="20"/>
              </w:rPr>
            </w:pPr>
            <w:r w:rsidRPr="00006FCB">
              <w:rPr>
                <w:rFonts w:ascii="Arial Narrow" w:eastAsia="Arial Narrow" w:hAnsi="Arial Narrow" w:cs="Arial Narrow"/>
                <w:bCs/>
                <w:sz w:val="20"/>
                <w:szCs w:val="20"/>
                <w:lang w:val="en-US" w:eastAsia="en-US"/>
              </w:rPr>
              <w:t>Removing utility increment/decrement after Cycle 2 for PPT and CT (On PPT:0; On CT: 0)</w:t>
            </w:r>
            <w:r w:rsidRPr="00006FCB">
              <w:rPr>
                <w:rFonts w:ascii="Arial Narrow" w:eastAsia="Arial Narrow" w:hAnsi="Arial Narrow" w:cs="Arial Narrow"/>
                <w:bCs/>
                <w:sz w:val="20"/>
                <w:szCs w:val="20"/>
                <w:vertAlign w:val="superscript"/>
                <w:lang w:val="en-US" w:eastAsia="en-US"/>
              </w:rPr>
              <w:t xml:space="preserve"> g</w:t>
            </w:r>
          </w:p>
        </w:tc>
        <w:tc>
          <w:tcPr>
            <w:tcW w:w="1159" w:type="dxa"/>
            <w:shd w:val="solid" w:color="000000" w:fill="000000"/>
          </w:tcPr>
          <w:p w14:paraId="728EDE44" w14:textId="284CEFA7"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48"/>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48"/>
                <w14:textFill>
                  <w14:solidFill>
                    <w14:srgbClr w14:val="000000">
                      <w14:alpha w14:val="100000"/>
                    </w14:srgbClr>
                  </w14:solidFill>
                </w14:textFill>
              </w:rPr>
              <w:t>|</w:t>
            </w:r>
          </w:p>
        </w:tc>
        <w:tc>
          <w:tcPr>
            <w:tcW w:w="1159" w:type="dxa"/>
            <w:shd w:val="clear" w:color="auto" w:fill="auto"/>
          </w:tcPr>
          <w:p w14:paraId="6DF1C5BF"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1.038</w:t>
            </w:r>
          </w:p>
        </w:tc>
        <w:tc>
          <w:tcPr>
            <w:tcW w:w="1257" w:type="dxa"/>
            <w:shd w:val="clear" w:color="auto" w:fill="auto"/>
          </w:tcPr>
          <w:p w14:paraId="6F3C11B7" w14:textId="1B9CC655"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47"/>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47"/>
                <w14:textFill>
                  <w14:solidFill>
                    <w14:srgbClr w14:val="000000">
                      <w14:alpha w14:val="100000"/>
                    </w14:srgbClr>
                  </w14:solidFill>
                </w14:textFill>
              </w:rPr>
              <w:t>|</w:t>
            </w:r>
            <w:r w:rsidR="00E706E6" w:rsidRPr="00BE48B0">
              <w:rPr>
                <w:rFonts w:ascii="Arial Narrow" w:eastAsiaTheme="majorEastAsia" w:hAnsi="Arial Narrow" w:cstheme="majorBidi"/>
                <w:bCs/>
                <w:sz w:val="20"/>
                <w:szCs w:val="20"/>
                <w:vertAlign w:val="superscript"/>
              </w:rPr>
              <w:t>5</w:t>
            </w:r>
          </w:p>
        </w:tc>
      </w:tr>
      <w:tr w:rsidR="004148EB" w:rsidRPr="00006FCB" w14:paraId="3F8FA1E9" w14:textId="77777777" w:rsidTr="383E5602">
        <w:tc>
          <w:tcPr>
            <w:tcW w:w="9303" w:type="dxa"/>
            <w:gridSpan w:val="4"/>
            <w:shd w:val="clear" w:color="auto" w:fill="auto"/>
          </w:tcPr>
          <w:p w14:paraId="5D05B8CE" w14:textId="260A736A" w:rsidR="004148EB" w:rsidRPr="00006FCB" w:rsidRDefault="004148EB" w:rsidP="002504E6">
            <w:pPr>
              <w:keepNext/>
              <w:keepLines/>
              <w:jc w:val="left"/>
              <w:rPr>
                <w:rFonts w:ascii="Arial Narrow" w:eastAsiaTheme="majorEastAsia" w:hAnsi="Arial Narrow" w:cstheme="majorBidi"/>
                <w:b/>
                <w:sz w:val="20"/>
                <w:szCs w:val="20"/>
              </w:rPr>
            </w:pPr>
            <w:r w:rsidRPr="00006FCB">
              <w:rPr>
                <w:rFonts w:ascii="Arial Narrow" w:eastAsiaTheme="majorEastAsia" w:hAnsi="Arial Narrow" w:cstheme="majorBidi"/>
                <w:b/>
                <w:sz w:val="20"/>
                <w:szCs w:val="20"/>
              </w:rPr>
              <w:t>Multivariate analysis conducted during evaluation</w:t>
            </w:r>
          </w:p>
        </w:tc>
      </w:tr>
      <w:tr w:rsidR="00625943" w:rsidRPr="00006FCB" w14:paraId="71FA0DA5" w14:textId="77777777" w:rsidTr="00836BEA">
        <w:tc>
          <w:tcPr>
            <w:tcW w:w="5728" w:type="dxa"/>
            <w:shd w:val="clear" w:color="auto" w:fill="auto"/>
          </w:tcPr>
          <w:p w14:paraId="044330C7" w14:textId="77777777" w:rsidR="00625943" w:rsidRPr="00006FCB" w:rsidRDefault="00625943" w:rsidP="002504E6">
            <w:pPr>
              <w:keepNext/>
              <w:keepLines/>
              <w:numPr>
                <w:ilvl w:val="0"/>
                <w:numId w:val="21"/>
              </w:numPr>
              <w:ind w:left="360"/>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 xml:space="preserve">Time horizon of 20 years and excluding anniversary price cuts </w:t>
            </w:r>
            <w:r w:rsidRPr="00006FCB">
              <w:rPr>
                <w:rFonts w:ascii="Arial Narrow" w:eastAsiaTheme="majorEastAsia" w:hAnsi="Arial Narrow" w:cstheme="majorBidi"/>
                <w:bCs/>
                <w:sz w:val="20"/>
                <w:szCs w:val="20"/>
                <w:vertAlign w:val="superscript"/>
              </w:rPr>
              <w:t>h</w:t>
            </w:r>
          </w:p>
        </w:tc>
        <w:tc>
          <w:tcPr>
            <w:tcW w:w="1159" w:type="dxa"/>
            <w:tcBorders>
              <w:bottom w:val="single" w:sz="4" w:space="0" w:color="auto"/>
            </w:tcBorders>
            <w:shd w:val="solid" w:color="000000" w:fill="000000"/>
          </w:tcPr>
          <w:p w14:paraId="20B30090" w14:textId="7C648005"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46"/>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46"/>
                <w14:textFill>
                  <w14:solidFill>
                    <w14:srgbClr w14:val="000000">
                      <w14:alpha w14:val="100000"/>
                    </w14:srgbClr>
                  </w14:solidFill>
                </w14:textFill>
              </w:rPr>
              <w:t>|</w:t>
            </w:r>
          </w:p>
        </w:tc>
        <w:tc>
          <w:tcPr>
            <w:tcW w:w="1159" w:type="dxa"/>
            <w:shd w:val="clear" w:color="auto" w:fill="auto"/>
          </w:tcPr>
          <w:p w14:paraId="0E29459E"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1.371</w:t>
            </w:r>
          </w:p>
        </w:tc>
        <w:tc>
          <w:tcPr>
            <w:tcW w:w="1257" w:type="dxa"/>
            <w:shd w:val="clear" w:color="auto" w:fill="auto"/>
          </w:tcPr>
          <w:p w14:paraId="606085CE" w14:textId="57BB93F2"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45"/>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45"/>
                <w14:textFill>
                  <w14:solidFill>
                    <w14:srgbClr w14:val="000000">
                      <w14:alpha w14:val="100000"/>
                    </w14:srgbClr>
                  </w14:solidFill>
                </w14:textFill>
              </w:rPr>
              <w:t>|</w:t>
            </w:r>
            <w:r w:rsidR="000A0F6E" w:rsidRPr="00AF37A8">
              <w:rPr>
                <w:rFonts w:ascii="Arial Narrow" w:eastAsiaTheme="majorEastAsia" w:hAnsi="Arial Narrow" w:cstheme="majorBidi"/>
                <w:bCs/>
                <w:sz w:val="20"/>
                <w:szCs w:val="20"/>
                <w:vertAlign w:val="superscript"/>
              </w:rPr>
              <w:t>4</w:t>
            </w:r>
          </w:p>
        </w:tc>
      </w:tr>
      <w:tr w:rsidR="00625943" w:rsidRPr="00006FCB" w14:paraId="0200206A" w14:textId="77777777" w:rsidTr="00836BEA">
        <w:tc>
          <w:tcPr>
            <w:tcW w:w="5728" w:type="dxa"/>
            <w:shd w:val="clear" w:color="auto" w:fill="auto"/>
          </w:tcPr>
          <w:p w14:paraId="20EA5CAB" w14:textId="77777777" w:rsidR="00625943" w:rsidRPr="00006FCB" w:rsidRDefault="00625943" w:rsidP="002504E6">
            <w:pPr>
              <w:keepNext/>
              <w:keepLines/>
              <w:numPr>
                <w:ilvl w:val="0"/>
                <w:numId w:val="21"/>
              </w:numPr>
              <w:ind w:left="360"/>
              <w:jc w:val="left"/>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 xml:space="preserve">Time horizon of 20 years, excluding anniversary price cuts and </w:t>
            </w:r>
            <w:r w:rsidRPr="00006FCB">
              <w:rPr>
                <w:rFonts w:ascii="Arial Narrow" w:eastAsia="Arial Narrow" w:hAnsi="Arial Narrow" w:cs="Arial Narrow"/>
                <w:bCs/>
                <w:sz w:val="20"/>
                <w:szCs w:val="20"/>
                <w:lang w:val="en-US" w:eastAsia="en-US"/>
              </w:rPr>
              <w:t>removing utility increment/decrement after Cycle 2 for PPT and CT (On PPT:0; On CT: 0)</w:t>
            </w:r>
            <w:r w:rsidRPr="00006FCB">
              <w:rPr>
                <w:rFonts w:ascii="Arial Narrow" w:eastAsiaTheme="majorEastAsia" w:hAnsi="Arial Narrow" w:cstheme="majorBidi"/>
                <w:bCs/>
                <w:sz w:val="20"/>
                <w:szCs w:val="20"/>
                <w:vertAlign w:val="superscript"/>
              </w:rPr>
              <w:t xml:space="preserve"> i</w:t>
            </w:r>
          </w:p>
        </w:tc>
        <w:tc>
          <w:tcPr>
            <w:tcW w:w="1159" w:type="dxa"/>
            <w:shd w:val="solid" w:color="000000" w:fill="000000"/>
          </w:tcPr>
          <w:p w14:paraId="59F1CAFC" w14:textId="50AE688D"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fitText w:val="330" w:id="-694428144"/>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fitText w:val="330" w:id="-694428144"/>
                <w14:textFill>
                  <w14:solidFill>
                    <w14:srgbClr w14:val="000000">
                      <w14:alpha w14:val="100000"/>
                    </w14:srgbClr>
                  </w14:solidFill>
                </w14:textFill>
              </w:rPr>
              <w:t>|</w:t>
            </w:r>
          </w:p>
        </w:tc>
        <w:tc>
          <w:tcPr>
            <w:tcW w:w="1159" w:type="dxa"/>
            <w:shd w:val="clear" w:color="auto" w:fill="auto"/>
          </w:tcPr>
          <w:p w14:paraId="2C050E99" w14:textId="77777777" w:rsidR="00625943" w:rsidRPr="00006FCB" w:rsidRDefault="00625943" w:rsidP="002504E6">
            <w:pPr>
              <w:keepNext/>
              <w:keepLines/>
              <w:jc w:val="center"/>
              <w:rPr>
                <w:rFonts w:ascii="Arial Narrow" w:eastAsiaTheme="majorEastAsia" w:hAnsi="Arial Narrow" w:cstheme="majorBidi"/>
                <w:bCs/>
                <w:sz w:val="20"/>
                <w:szCs w:val="20"/>
              </w:rPr>
            </w:pPr>
            <w:r w:rsidRPr="00006FCB">
              <w:rPr>
                <w:rFonts w:ascii="Arial Narrow" w:eastAsiaTheme="majorEastAsia" w:hAnsi="Arial Narrow" w:cstheme="majorBidi"/>
                <w:bCs/>
                <w:sz w:val="20"/>
                <w:szCs w:val="20"/>
              </w:rPr>
              <w:t>0.530</w:t>
            </w:r>
          </w:p>
        </w:tc>
        <w:tc>
          <w:tcPr>
            <w:tcW w:w="1257" w:type="dxa"/>
            <w:shd w:val="clear" w:color="auto" w:fill="auto"/>
          </w:tcPr>
          <w:p w14:paraId="590DD062" w14:textId="7BAACD14" w:rsidR="00625943" w:rsidRPr="00B04DCB" w:rsidRDefault="00836BEA" w:rsidP="002504E6">
            <w:pPr>
              <w:keepNext/>
              <w:keepLines/>
              <w:jc w:val="center"/>
              <w:rPr>
                <w:rFonts w:ascii="Arial Narrow" w:eastAsiaTheme="majorEastAsia" w:hAnsi="Arial Narrow" w:cstheme="majorBidi"/>
                <w:bCs/>
                <w:sz w:val="20"/>
                <w:szCs w:val="20"/>
                <w:highlight w:val="darkGray"/>
              </w:rPr>
            </w:pPr>
            <w:r w:rsidRPr="00836BEA">
              <w:rPr>
                <w:rFonts w:ascii="Arial Narrow" w:eastAsiaTheme="majorEastAsia" w:hAnsi="Arial Narrow" w:cstheme="majorBidi"/>
                <w:bCs/>
                <w:color w:val="000000"/>
                <w:spacing w:val="53"/>
                <w:sz w:val="20"/>
                <w:szCs w:val="20"/>
                <w:shd w:val="solid" w:color="000000" w:fill="000000"/>
                <w:fitText w:val="330" w:id="-694428160"/>
                <w14:textFill>
                  <w14:solidFill>
                    <w14:srgbClr w14:val="000000">
                      <w14:alpha w14:val="100000"/>
                    </w14:srgbClr>
                  </w14:solidFill>
                </w14:textFill>
              </w:rPr>
              <w:t>|||</w:t>
            </w:r>
            <w:r w:rsidRPr="00836BEA">
              <w:rPr>
                <w:rFonts w:ascii="Arial Narrow" w:eastAsiaTheme="majorEastAsia" w:hAnsi="Arial Narrow" w:cstheme="majorBidi"/>
                <w:bCs/>
                <w:color w:val="000000"/>
                <w:spacing w:val="1"/>
                <w:sz w:val="20"/>
                <w:szCs w:val="20"/>
                <w:shd w:val="solid" w:color="000000" w:fill="000000"/>
                <w:fitText w:val="330" w:id="-694428160"/>
                <w14:textFill>
                  <w14:solidFill>
                    <w14:srgbClr w14:val="000000">
                      <w14:alpha w14:val="100000"/>
                    </w14:srgbClr>
                  </w14:solidFill>
                </w14:textFill>
              </w:rPr>
              <w:t>|</w:t>
            </w:r>
            <w:r w:rsidR="0046097C">
              <w:rPr>
                <w:rFonts w:ascii="Arial Narrow" w:eastAsiaTheme="majorEastAsia" w:hAnsi="Arial Narrow" w:cstheme="majorBidi"/>
                <w:bCs/>
                <w:sz w:val="20"/>
                <w:szCs w:val="20"/>
                <w:vertAlign w:val="superscript"/>
              </w:rPr>
              <w:t>6</w:t>
            </w:r>
          </w:p>
        </w:tc>
      </w:tr>
      <w:tr w:rsidR="007F07B0" w:rsidRPr="00006FCB" w14:paraId="32750B49" w14:textId="77777777" w:rsidTr="383E5602">
        <w:tc>
          <w:tcPr>
            <w:tcW w:w="9303" w:type="dxa"/>
            <w:gridSpan w:val="4"/>
            <w:shd w:val="clear" w:color="auto" w:fill="auto"/>
          </w:tcPr>
          <w:p w14:paraId="2E2DE9F4" w14:textId="03C972F9" w:rsidR="007F07B0" w:rsidRPr="00007171" w:rsidRDefault="007F07B0" w:rsidP="002504E6">
            <w:pPr>
              <w:keepNext/>
              <w:keepLines/>
              <w:jc w:val="left"/>
              <w:rPr>
                <w:rFonts w:ascii="Arial Narrow" w:eastAsiaTheme="majorEastAsia" w:hAnsi="Arial Narrow" w:cstheme="majorBidi"/>
                <w:bCs/>
                <w:iCs/>
                <w:sz w:val="20"/>
                <w:szCs w:val="20"/>
              </w:rPr>
            </w:pPr>
            <w:r w:rsidRPr="00007171">
              <w:rPr>
                <w:rFonts w:ascii="Arial Narrow" w:eastAsiaTheme="majorEastAsia" w:hAnsi="Arial Narrow" w:cstheme="majorBidi"/>
                <w:b/>
                <w:iCs/>
                <w:sz w:val="20"/>
                <w:szCs w:val="20"/>
              </w:rPr>
              <w:t>Multivariate analysis conducted during ESC</w:t>
            </w:r>
          </w:p>
        </w:tc>
      </w:tr>
      <w:tr w:rsidR="0043059F" w:rsidRPr="00006FCB" w14:paraId="3A713D25" w14:textId="77777777" w:rsidTr="00836BEA">
        <w:tc>
          <w:tcPr>
            <w:tcW w:w="5728" w:type="dxa"/>
            <w:shd w:val="clear" w:color="auto" w:fill="auto"/>
          </w:tcPr>
          <w:p w14:paraId="5832729B" w14:textId="5BCBA387" w:rsidR="0043059F" w:rsidRPr="00007171" w:rsidRDefault="0043059F" w:rsidP="002504E6">
            <w:pPr>
              <w:keepNext/>
              <w:keepLines/>
              <w:numPr>
                <w:ilvl w:val="0"/>
                <w:numId w:val="21"/>
              </w:numPr>
              <w:ind w:left="360"/>
              <w:jc w:val="left"/>
              <w:rPr>
                <w:rFonts w:ascii="Arial Narrow" w:eastAsiaTheme="majorEastAsia" w:hAnsi="Arial Narrow" w:cstheme="majorBidi"/>
                <w:bCs/>
                <w:iCs/>
                <w:sz w:val="20"/>
                <w:szCs w:val="20"/>
              </w:rPr>
            </w:pPr>
            <w:r w:rsidRPr="00007171">
              <w:rPr>
                <w:rFonts w:ascii="Arial Narrow" w:eastAsiaTheme="majorEastAsia" w:hAnsi="Arial Narrow" w:cstheme="majorBidi"/>
                <w:bCs/>
                <w:iCs/>
                <w:sz w:val="20"/>
                <w:szCs w:val="20"/>
              </w:rPr>
              <w:t xml:space="preserve">Time horizon of </w:t>
            </w:r>
            <w:r w:rsidR="007F07B0" w:rsidRPr="00007171">
              <w:rPr>
                <w:rFonts w:ascii="Arial Narrow" w:eastAsiaTheme="majorEastAsia" w:hAnsi="Arial Narrow" w:cstheme="majorBidi"/>
                <w:bCs/>
                <w:iCs/>
                <w:sz w:val="20"/>
                <w:szCs w:val="20"/>
              </w:rPr>
              <w:t>30</w:t>
            </w:r>
            <w:r w:rsidRPr="00007171">
              <w:rPr>
                <w:rFonts w:ascii="Arial Narrow" w:eastAsiaTheme="majorEastAsia" w:hAnsi="Arial Narrow" w:cstheme="majorBidi"/>
                <w:bCs/>
                <w:iCs/>
                <w:sz w:val="20"/>
                <w:szCs w:val="20"/>
              </w:rPr>
              <w:t xml:space="preserve"> years, excluding anniversary price cuts and </w:t>
            </w:r>
            <w:r w:rsidR="007F07B0" w:rsidRPr="00007171">
              <w:rPr>
                <w:rFonts w:ascii="Arial Narrow" w:eastAsiaTheme="majorEastAsia" w:hAnsi="Arial Narrow" w:cstheme="majorBidi"/>
                <w:bCs/>
                <w:iCs/>
                <w:sz w:val="20"/>
                <w:szCs w:val="20"/>
              </w:rPr>
              <w:t xml:space="preserve">halving the </w:t>
            </w:r>
            <w:r w:rsidR="00CC02AD" w:rsidRPr="00007171">
              <w:rPr>
                <w:rFonts w:ascii="Arial Narrow" w:eastAsiaTheme="majorEastAsia" w:hAnsi="Arial Narrow" w:cstheme="majorBidi"/>
                <w:bCs/>
                <w:iCs/>
                <w:sz w:val="20"/>
                <w:szCs w:val="20"/>
              </w:rPr>
              <w:t>HPT</w:t>
            </w:r>
            <w:r w:rsidR="009E3277" w:rsidRPr="00007171">
              <w:rPr>
                <w:rFonts w:ascii="Arial Narrow" w:eastAsiaTheme="majorEastAsia" w:hAnsi="Arial Narrow" w:cstheme="majorBidi"/>
                <w:bCs/>
                <w:iCs/>
                <w:sz w:val="20"/>
                <w:szCs w:val="20"/>
              </w:rPr>
              <w:t>-</w:t>
            </w:r>
            <w:r w:rsidR="009E3277" w:rsidRPr="008E11D8">
              <w:rPr>
                <w:rFonts w:ascii="Arial Narrow" w:eastAsiaTheme="majorEastAsia" w:hAnsi="Arial Narrow" w:cstheme="majorBidi"/>
                <w:bCs/>
                <w:iCs/>
                <w:sz w:val="20"/>
                <w:szCs w:val="20"/>
              </w:rPr>
              <w:t xml:space="preserve">related </w:t>
            </w:r>
            <w:r w:rsidRPr="008E11D8">
              <w:rPr>
                <w:rFonts w:ascii="Arial Narrow" w:eastAsia="Arial Narrow" w:hAnsi="Arial Narrow" w:cs="Arial Narrow"/>
                <w:bCs/>
                <w:iCs/>
                <w:sz w:val="20"/>
                <w:szCs w:val="20"/>
                <w:lang w:val="en-US" w:eastAsia="en-US"/>
              </w:rPr>
              <w:t xml:space="preserve">utility increment/decrement </w:t>
            </w:r>
            <w:r w:rsidR="007F07B0" w:rsidRPr="008E11D8">
              <w:rPr>
                <w:rFonts w:ascii="Arial Narrow" w:eastAsia="Arial Narrow" w:hAnsi="Arial Narrow" w:cs="Arial Narrow"/>
                <w:bCs/>
                <w:iCs/>
                <w:sz w:val="20"/>
                <w:szCs w:val="20"/>
                <w:lang w:val="en-US" w:eastAsia="en-US"/>
              </w:rPr>
              <w:t>from</w:t>
            </w:r>
            <w:r w:rsidRPr="008E11D8">
              <w:rPr>
                <w:rFonts w:ascii="Arial Narrow" w:eastAsia="Arial Narrow" w:hAnsi="Arial Narrow" w:cs="Arial Narrow"/>
                <w:bCs/>
                <w:iCs/>
                <w:sz w:val="20"/>
                <w:szCs w:val="20"/>
                <w:lang w:val="en-US" w:eastAsia="en-US"/>
              </w:rPr>
              <w:t xml:space="preserve"> Cycle 2 for PPT and CT (On PPT:0</w:t>
            </w:r>
            <w:r w:rsidR="00376CBC" w:rsidRPr="008E11D8">
              <w:rPr>
                <w:rFonts w:ascii="Arial Narrow" w:eastAsia="Arial Narrow" w:hAnsi="Arial Narrow" w:cs="Arial Narrow"/>
                <w:bCs/>
                <w:iCs/>
                <w:sz w:val="20"/>
                <w:szCs w:val="20"/>
                <w:lang w:val="en-US" w:eastAsia="en-US"/>
              </w:rPr>
              <w:t>.038</w:t>
            </w:r>
            <w:r w:rsidRPr="008E11D8">
              <w:rPr>
                <w:rFonts w:ascii="Arial Narrow" w:eastAsia="Arial Narrow" w:hAnsi="Arial Narrow" w:cs="Arial Narrow"/>
                <w:bCs/>
                <w:iCs/>
                <w:sz w:val="20"/>
                <w:szCs w:val="20"/>
                <w:lang w:val="en-US" w:eastAsia="en-US"/>
              </w:rPr>
              <w:t xml:space="preserve">; On CT: </w:t>
            </w:r>
            <w:r w:rsidR="00376CBC" w:rsidRPr="008E11D8">
              <w:rPr>
                <w:rFonts w:ascii="Arial Narrow" w:eastAsia="Arial Narrow" w:hAnsi="Arial Narrow" w:cs="Arial Narrow"/>
                <w:bCs/>
                <w:iCs/>
                <w:sz w:val="20"/>
                <w:szCs w:val="20"/>
                <w:lang w:val="en-US" w:eastAsia="en-US"/>
              </w:rPr>
              <w:t>-</w:t>
            </w:r>
            <w:r w:rsidRPr="008E11D8">
              <w:rPr>
                <w:rFonts w:ascii="Arial Narrow" w:eastAsia="Arial Narrow" w:hAnsi="Arial Narrow" w:cs="Arial Narrow"/>
                <w:bCs/>
                <w:iCs/>
                <w:sz w:val="20"/>
                <w:szCs w:val="20"/>
                <w:lang w:val="en-US" w:eastAsia="en-US"/>
              </w:rPr>
              <w:t>0</w:t>
            </w:r>
            <w:r w:rsidR="00376CBC" w:rsidRPr="008E11D8">
              <w:rPr>
                <w:rFonts w:ascii="Arial Narrow" w:eastAsia="Arial Narrow" w:hAnsi="Arial Narrow" w:cs="Arial Narrow"/>
                <w:bCs/>
                <w:iCs/>
                <w:sz w:val="20"/>
                <w:szCs w:val="20"/>
                <w:lang w:val="en-US" w:eastAsia="en-US"/>
              </w:rPr>
              <w:t>.022</w:t>
            </w:r>
            <w:r w:rsidRPr="008E11D8">
              <w:rPr>
                <w:rFonts w:ascii="Arial Narrow" w:eastAsia="Arial Narrow" w:hAnsi="Arial Narrow" w:cs="Arial Narrow"/>
                <w:bCs/>
                <w:iCs/>
                <w:sz w:val="20"/>
                <w:szCs w:val="20"/>
                <w:lang w:val="en-US" w:eastAsia="en-US"/>
              </w:rPr>
              <w:t>)</w:t>
            </w:r>
            <w:r w:rsidRPr="008E11D8">
              <w:rPr>
                <w:rFonts w:ascii="Arial Narrow" w:eastAsiaTheme="majorEastAsia" w:hAnsi="Arial Narrow" w:cstheme="majorBidi"/>
                <w:bCs/>
                <w:iCs/>
                <w:sz w:val="20"/>
                <w:szCs w:val="20"/>
                <w:vertAlign w:val="superscript"/>
              </w:rPr>
              <w:t xml:space="preserve"> i</w:t>
            </w:r>
          </w:p>
        </w:tc>
        <w:tc>
          <w:tcPr>
            <w:tcW w:w="1159" w:type="dxa"/>
            <w:shd w:val="solid" w:color="000000" w:fill="000000"/>
          </w:tcPr>
          <w:p w14:paraId="226393E1" w14:textId="1021D86A" w:rsidR="0043059F" w:rsidRPr="00007171" w:rsidRDefault="00836BEA" w:rsidP="002504E6">
            <w:pPr>
              <w:keepNext/>
              <w:keepLines/>
              <w:jc w:val="center"/>
              <w:rPr>
                <w:rFonts w:ascii="Arial Narrow" w:eastAsiaTheme="majorEastAsia" w:hAnsi="Arial Narrow" w:cstheme="majorBidi"/>
                <w:bCs/>
                <w:iCs/>
                <w:sz w:val="20"/>
                <w:szCs w:val="20"/>
              </w:rPr>
            </w:pPr>
            <w:r w:rsidRPr="00836BEA">
              <w:rPr>
                <w:rFonts w:ascii="Arial Narrow" w:eastAsiaTheme="majorEastAsia" w:hAnsi="Arial Narrow" w:cstheme="majorBidi"/>
                <w:bCs/>
                <w:iCs/>
                <w:color w:val="000000"/>
                <w:spacing w:val="53"/>
                <w:sz w:val="20"/>
                <w:szCs w:val="20"/>
                <w:fitText w:val="330" w:id="-694428159"/>
                <w14:textFill>
                  <w14:solidFill>
                    <w14:srgbClr w14:val="000000">
                      <w14:alpha w14:val="100000"/>
                    </w14:srgbClr>
                  </w14:solidFill>
                </w14:textFill>
              </w:rPr>
              <w:t>|||</w:t>
            </w:r>
            <w:r w:rsidRPr="00836BEA">
              <w:rPr>
                <w:rFonts w:ascii="Arial Narrow" w:eastAsiaTheme="majorEastAsia" w:hAnsi="Arial Narrow" w:cstheme="majorBidi"/>
                <w:bCs/>
                <w:iCs/>
                <w:color w:val="000000"/>
                <w:spacing w:val="1"/>
                <w:sz w:val="20"/>
                <w:szCs w:val="20"/>
                <w:fitText w:val="330" w:id="-694428159"/>
                <w14:textFill>
                  <w14:solidFill>
                    <w14:srgbClr w14:val="000000">
                      <w14:alpha w14:val="100000"/>
                    </w14:srgbClr>
                  </w14:solidFill>
                </w14:textFill>
              </w:rPr>
              <w:t>|</w:t>
            </w:r>
          </w:p>
        </w:tc>
        <w:tc>
          <w:tcPr>
            <w:tcW w:w="1159" w:type="dxa"/>
            <w:shd w:val="clear" w:color="auto" w:fill="auto"/>
          </w:tcPr>
          <w:p w14:paraId="612CE3F8" w14:textId="5369B1A8" w:rsidR="0043059F" w:rsidRPr="00007171" w:rsidRDefault="00D7771F" w:rsidP="002504E6">
            <w:pPr>
              <w:keepNext/>
              <w:keepLines/>
              <w:jc w:val="center"/>
              <w:rPr>
                <w:rFonts w:ascii="Arial Narrow" w:eastAsiaTheme="majorEastAsia" w:hAnsi="Arial Narrow" w:cstheme="majorBidi"/>
                <w:bCs/>
                <w:iCs/>
                <w:sz w:val="20"/>
                <w:szCs w:val="20"/>
              </w:rPr>
            </w:pPr>
            <w:r w:rsidRPr="00007171">
              <w:rPr>
                <w:rFonts w:ascii="Arial Narrow" w:eastAsiaTheme="majorEastAsia" w:hAnsi="Arial Narrow" w:cstheme="majorBidi"/>
                <w:bCs/>
                <w:iCs/>
                <w:sz w:val="20"/>
                <w:szCs w:val="20"/>
              </w:rPr>
              <w:t>1.310</w:t>
            </w:r>
          </w:p>
        </w:tc>
        <w:tc>
          <w:tcPr>
            <w:tcW w:w="1257" w:type="dxa"/>
            <w:shd w:val="clear" w:color="auto" w:fill="auto"/>
          </w:tcPr>
          <w:p w14:paraId="12329B01" w14:textId="152F341C" w:rsidR="0043059F" w:rsidRPr="00007171" w:rsidRDefault="00836BEA" w:rsidP="002504E6">
            <w:pPr>
              <w:keepNext/>
              <w:keepLines/>
              <w:jc w:val="center"/>
              <w:rPr>
                <w:rFonts w:ascii="Arial Narrow" w:eastAsiaTheme="majorEastAsia" w:hAnsi="Arial Narrow" w:cstheme="majorBidi"/>
                <w:bCs/>
                <w:iCs/>
                <w:sz w:val="20"/>
                <w:szCs w:val="20"/>
              </w:rPr>
            </w:pPr>
            <w:r>
              <w:rPr>
                <w:rFonts w:ascii="Arial Narrow" w:eastAsiaTheme="majorEastAsia" w:hAnsi="Arial Narrow" w:cstheme="majorBidi"/>
                <w:bCs/>
                <w:iCs/>
                <w:color w:val="000000"/>
                <w:spacing w:val="52"/>
                <w:sz w:val="20"/>
                <w:szCs w:val="20"/>
                <w:shd w:val="solid" w:color="000000" w:fill="000000"/>
                <w:fitText w:val="330" w:id="-694428158"/>
                <w14:textFill>
                  <w14:solidFill>
                    <w14:srgbClr w14:val="000000">
                      <w14:alpha w14:val="100000"/>
                    </w14:srgbClr>
                  </w14:solidFill>
                </w14:textFill>
              </w:rPr>
              <w:t>|||</w:t>
            </w:r>
            <w:r>
              <w:rPr>
                <w:rFonts w:ascii="Arial Narrow" w:eastAsiaTheme="majorEastAsia" w:hAnsi="Arial Narrow" w:cstheme="majorBidi"/>
                <w:bCs/>
                <w:iCs/>
                <w:color w:val="000000"/>
                <w:spacing w:val="2"/>
                <w:sz w:val="20"/>
                <w:szCs w:val="20"/>
                <w:shd w:val="solid" w:color="000000" w:fill="000000"/>
                <w:fitText w:val="330" w:id="-694428158"/>
                <w14:textFill>
                  <w14:solidFill>
                    <w14:srgbClr w14:val="000000">
                      <w14:alpha w14:val="100000"/>
                    </w14:srgbClr>
                  </w14:solidFill>
                </w14:textFill>
              </w:rPr>
              <w:t>|</w:t>
            </w:r>
            <w:r w:rsidR="00010BAF" w:rsidRPr="00010BAF">
              <w:rPr>
                <w:rFonts w:ascii="Arial Narrow" w:eastAsiaTheme="majorEastAsia" w:hAnsi="Arial Narrow" w:cstheme="majorBidi"/>
                <w:bCs/>
                <w:iCs/>
                <w:sz w:val="20"/>
                <w:szCs w:val="20"/>
                <w:vertAlign w:val="superscript"/>
              </w:rPr>
              <w:t>7</w:t>
            </w:r>
          </w:p>
        </w:tc>
      </w:tr>
    </w:tbl>
    <w:p w14:paraId="59E829B2" w14:textId="77777777" w:rsidR="00625943" w:rsidRPr="00006FCB" w:rsidRDefault="00625943" w:rsidP="002504E6">
      <w:pPr>
        <w:keepNext/>
        <w:keepLines/>
        <w:spacing w:after="120"/>
        <w:contextualSpacing/>
        <w:rPr>
          <w:rFonts w:ascii="Arial Narrow" w:hAnsi="Arial Narrow"/>
          <w:snapToGrid w:val="0"/>
          <w:sz w:val="18"/>
          <w:szCs w:val="22"/>
        </w:rPr>
      </w:pPr>
      <w:r w:rsidRPr="00006FCB">
        <w:rPr>
          <w:rFonts w:ascii="Arial Narrow" w:hAnsi="Arial Narrow"/>
          <w:snapToGrid w:val="0"/>
          <w:sz w:val="18"/>
          <w:szCs w:val="22"/>
        </w:rPr>
        <w:t>Source: Table 113, p183; Table 114, p184; Table 115, pp184-185; Table 116, p185; Table 117, p186 of the submission.</w:t>
      </w:r>
    </w:p>
    <w:p w14:paraId="3A946B6E" w14:textId="77777777" w:rsidR="00625943" w:rsidRPr="00006FCB" w:rsidRDefault="00625943" w:rsidP="002504E6">
      <w:pPr>
        <w:keepNext/>
        <w:keepLines/>
        <w:spacing w:after="120"/>
        <w:contextualSpacing/>
        <w:rPr>
          <w:rFonts w:ascii="Arial Narrow" w:hAnsi="Arial Narrow"/>
          <w:snapToGrid w:val="0"/>
          <w:sz w:val="18"/>
          <w:szCs w:val="18"/>
        </w:rPr>
      </w:pPr>
      <w:r w:rsidRPr="4D2BAA30">
        <w:rPr>
          <w:rFonts w:ascii="Arial Narrow" w:hAnsi="Arial Narrow"/>
          <w:snapToGrid w:val="0"/>
          <w:sz w:val="18"/>
          <w:szCs w:val="18"/>
        </w:rPr>
        <w:t>CKD = chronic kidney disease, CT = conventional therapy, HPT = hypoparathyroidism, HR = hazard rate, ICER = incremental cost-effectiveness ratio, PPT = palopegteriparatide; QALY = quality-adjusted life year.</w:t>
      </w:r>
    </w:p>
    <w:p w14:paraId="6AEA3CAA" w14:textId="77777777" w:rsidR="00625943" w:rsidRPr="00006FCB" w:rsidRDefault="12BC06F7" w:rsidP="002504E6">
      <w:pPr>
        <w:keepNext/>
        <w:keepLines/>
        <w:spacing w:after="120"/>
        <w:contextualSpacing/>
        <w:rPr>
          <w:rFonts w:ascii="Arial Narrow" w:hAnsi="Arial Narrow"/>
          <w:snapToGrid w:val="0"/>
          <w:sz w:val="18"/>
          <w:szCs w:val="18"/>
        </w:rPr>
      </w:pPr>
      <w:proofErr w:type="spellStart"/>
      <w:r w:rsidRPr="383E5602">
        <w:rPr>
          <w:rFonts w:ascii="Arial Narrow" w:hAnsi="Arial Narrow"/>
          <w:snapToGrid w:val="0"/>
          <w:sz w:val="18"/>
          <w:szCs w:val="18"/>
          <w:vertAlign w:val="superscript"/>
        </w:rPr>
        <w:t>a</w:t>
      </w:r>
      <w:proofErr w:type="spellEnd"/>
      <w:r w:rsidRPr="383E5602">
        <w:rPr>
          <w:rFonts w:ascii="Arial Narrow" w:hAnsi="Arial Narrow"/>
          <w:snapToGrid w:val="0"/>
          <w:sz w:val="18"/>
          <w:szCs w:val="18"/>
        </w:rPr>
        <w:t xml:space="preserve"> to estimate the ICER the value in worksheet ‘Model inputs’, in cell C10 was changed to 10.</w:t>
      </w:r>
    </w:p>
    <w:p w14:paraId="37264091" w14:textId="77777777" w:rsidR="00625943" w:rsidRPr="00006FCB" w:rsidRDefault="12BC06F7" w:rsidP="002504E6">
      <w:pPr>
        <w:keepNext/>
        <w:keepLines/>
        <w:spacing w:after="120"/>
        <w:contextualSpacing/>
        <w:rPr>
          <w:rFonts w:ascii="Arial Narrow" w:hAnsi="Arial Narrow"/>
          <w:snapToGrid w:val="0"/>
          <w:sz w:val="18"/>
          <w:szCs w:val="18"/>
        </w:rPr>
      </w:pPr>
      <w:r w:rsidRPr="383E5602">
        <w:rPr>
          <w:rFonts w:ascii="Arial Narrow" w:hAnsi="Arial Narrow"/>
          <w:snapToGrid w:val="0"/>
          <w:sz w:val="18"/>
          <w:szCs w:val="18"/>
          <w:vertAlign w:val="superscript"/>
        </w:rPr>
        <w:t xml:space="preserve">b </w:t>
      </w:r>
      <w:r w:rsidRPr="383E5602">
        <w:rPr>
          <w:rFonts w:ascii="Arial Narrow" w:hAnsi="Arial Narrow"/>
          <w:snapToGrid w:val="0"/>
          <w:sz w:val="18"/>
          <w:szCs w:val="18"/>
        </w:rPr>
        <w:t>to estimate the ICER the values in worksheet ‘Model inputs’, in cell C110 was changed to 73.2%, and in Cell D110 to 26.8%.</w:t>
      </w:r>
    </w:p>
    <w:p w14:paraId="5187C96D" w14:textId="77777777" w:rsidR="00625943" w:rsidRPr="00006FCB" w:rsidRDefault="12BC06F7" w:rsidP="002504E6">
      <w:pPr>
        <w:keepNext/>
        <w:keepLines/>
        <w:spacing w:after="120"/>
        <w:contextualSpacing/>
        <w:rPr>
          <w:rFonts w:ascii="Arial Narrow" w:hAnsi="Arial Narrow"/>
          <w:snapToGrid w:val="0"/>
          <w:sz w:val="18"/>
          <w:szCs w:val="18"/>
        </w:rPr>
      </w:pPr>
      <w:r w:rsidRPr="383E5602">
        <w:rPr>
          <w:rFonts w:ascii="Arial Narrow" w:hAnsi="Arial Narrow"/>
          <w:snapToGrid w:val="0"/>
          <w:sz w:val="18"/>
          <w:szCs w:val="18"/>
          <w:vertAlign w:val="superscript"/>
        </w:rPr>
        <w:t>c</w:t>
      </w:r>
      <w:r w:rsidRPr="383E5602">
        <w:rPr>
          <w:rFonts w:ascii="Arial Narrow" w:hAnsi="Arial Narrow"/>
          <w:snapToGrid w:val="0"/>
          <w:sz w:val="18"/>
          <w:szCs w:val="18"/>
        </w:rPr>
        <w:t xml:space="preserve"> to estimate the ICER the value in worksheet ‘Model inputs’, in cell D127 was changed to 1.</w:t>
      </w:r>
    </w:p>
    <w:p w14:paraId="614730C3" w14:textId="77777777" w:rsidR="00625943" w:rsidRPr="00006FCB" w:rsidRDefault="12BC06F7" w:rsidP="002504E6">
      <w:pPr>
        <w:keepNext/>
        <w:keepLines/>
        <w:spacing w:after="120"/>
        <w:contextualSpacing/>
        <w:rPr>
          <w:rFonts w:ascii="Arial Narrow" w:hAnsi="Arial Narrow"/>
          <w:snapToGrid w:val="0"/>
          <w:sz w:val="18"/>
          <w:szCs w:val="18"/>
        </w:rPr>
      </w:pPr>
      <w:r w:rsidRPr="383E5602">
        <w:rPr>
          <w:rFonts w:ascii="Arial Narrow" w:hAnsi="Arial Narrow"/>
          <w:snapToGrid w:val="0"/>
          <w:sz w:val="18"/>
          <w:szCs w:val="18"/>
          <w:vertAlign w:val="superscript"/>
        </w:rPr>
        <w:t xml:space="preserve">d </w:t>
      </w:r>
      <w:r w:rsidRPr="383E5602">
        <w:rPr>
          <w:rFonts w:ascii="Arial Narrow" w:hAnsi="Arial Narrow"/>
          <w:snapToGrid w:val="0"/>
          <w:sz w:val="18"/>
          <w:szCs w:val="18"/>
        </w:rPr>
        <w:t>to estimate the ICER the value in worksheet ‘Model inputs’, in cell C132 was changed to 1.</w:t>
      </w:r>
    </w:p>
    <w:p w14:paraId="0326A4B3" w14:textId="5E0529EF" w:rsidR="00625943" w:rsidRPr="008E11D8" w:rsidRDefault="12BC06F7" w:rsidP="002504E6">
      <w:pPr>
        <w:keepNext/>
        <w:keepLines/>
        <w:spacing w:after="120"/>
        <w:contextualSpacing/>
        <w:rPr>
          <w:rFonts w:ascii="Arial Narrow" w:hAnsi="Arial Narrow"/>
          <w:snapToGrid w:val="0"/>
          <w:sz w:val="18"/>
          <w:szCs w:val="18"/>
        </w:rPr>
      </w:pPr>
      <w:r w:rsidRPr="383E5602">
        <w:rPr>
          <w:rFonts w:ascii="Arial Narrow" w:hAnsi="Arial Narrow"/>
          <w:sz w:val="18"/>
          <w:szCs w:val="18"/>
          <w:vertAlign w:val="superscript"/>
        </w:rPr>
        <w:t>e</w:t>
      </w:r>
      <w:r w:rsidRPr="383E5602">
        <w:rPr>
          <w:rFonts w:ascii="Arial Narrow" w:hAnsi="Arial Narrow"/>
          <w:sz w:val="18"/>
          <w:szCs w:val="18"/>
        </w:rPr>
        <w:t xml:space="preserve"> to estimate the ICER, the base case model utility values in cycle 2 were hardcoded in Trace_PPT </w:t>
      </w:r>
      <w:r w:rsidRPr="008E11D8">
        <w:rPr>
          <w:rFonts w:ascii="Arial Narrow" w:hAnsi="Arial Narrow"/>
          <w:sz w:val="18"/>
          <w:szCs w:val="18"/>
        </w:rPr>
        <w:t>worksheets in rows: AC15:AL15 and in Model inputs worksheet the value in worksheet ‘Model inputs’ in cell E203 was replaced equal zero (original value 0.075).</w:t>
      </w:r>
    </w:p>
    <w:p w14:paraId="7C89242A" w14:textId="26448330" w:rsidR="00625943" w:rsidRPr="00006FCB" w:rsidRDefault="12BC06F7" w:rsidP="002504E6">
      <w:pPr>
        <w:keepNext/>
        <w:keepLines/>
        <w:spacing w:after="120"/>
        <w:contextualSpacing/>
        <w:rPr>
          <w:rFonts w:ascii="Arial Narrow" w:hAnsi="Arial Narrow"/>
          <w:snapToGrid w:val="0"/>
          <w:sz w:val="18"/>
          <w:szCs w:val="18"/>
        </w:rPr>
      </w:pPr>
      <w:r w:rsidRPr="008E11D8">
        <w:rPr>
          <w:rFonts w:ascii="Arial Narrow" w:hAnsi="Arial Narrow"/>
          <w:sz w:val="18"/>
          <w:szCs w:val="18"/>
          <w:vertAlign w:val="superscript"/>
        </w:rPr>
        <w:t>f</w:t>
      </w:r>
      <w:r w:rsidRPr="008E11D8">
        <w:rPr>
          <w:rFonts w:ascii="Arial Narrow" w:hAnsi="Arial Narrow"/>
          <w:sz w:val="18"/>
          <w:szCs w:val="18"/>
        </w:rPr>
        <w:t xml:space="preserve"> to estimate the ICER, the base case model utility values in cycle 2 were hardcoded in Trace_CT worksheets in rows: AG15:AL15 and in Model inputs worksheet the value in worksheet ‘Model inputs’ cell E204 was replaced equal zero (original value -0.043).</w:t>
      </w:r>
    </w:p>
    <w:p w14:paraId="343D67DB" w14:textId="77777777" w:rsidR="00625943" w:rsidRPr="00006FCB" w:rsidRDefault="00625943" w:rsidP="002504E6">
      <w:pPr>
        <w:keepNext/>
        <w:keepLines/>
        <w:spacing w:after="120"/>
        <w:contextualSpacing/>
        <w:rPr>
          <w:rFonts w:ascii="Arial Narrow" w:hAnsi="Arial Narrow"/>
          <w:snapToGrid w:val="0"/>
          <w:sz w:val="18"/>
          <w:szCs w:val="18"/>
        </w:rPr>
      </w:pPr>
      <w:r w:rsidRPr="00006FCB">
        <w:rPr>
          <w:rFonts w:ascii="Arial Narrow" w:hAnsi="Arial Narrow"/>
          <w:snapToGrid w:val="0"/>
          <w:sz w:val="18"/>
          <w:szCs w:val="18"/>
          <w:vertAlign w:val="superscript"/>
        </w:rPr>
        <w:t>g</w:t>
      </w:r>
      <w:r w:rsidRPr="00006FCB">
        <w:rPr>
          <w:rFonts w:ascii="Arial Narrow" w:hAnsi="Arial Narrow"/>
          <w:snapToGrid w:val="0"/>
          <w:sz w:val="18"/>
          <w:szCs w:val="18"/>
        </w:rPr>
        <w:t xml:space="preserve"> to estimate the ICER the action described in notes</w:t>
      </w:r>
      <w:r w:rsidRPr="00006FCB">
        <w:rPr>
          <w:rFonts w:ascii="Arial Narrow" w:hAnsi="Arial Narrow"/>
          <w:snapToGrid w:val="0"/>
          <w:sz w:val="18"/>
          <w:szCs w:val="18"/>
          <w:vertAlign w:val="superscript"/>
        </w:rPr>
        <w:t xml:space="preserve"> f</w:t>
      </w:r>
      <w:r w:rsidRPr="00006FCB">
        <w:rPr>
          <w:rFonts w:ascii="Arial Narrow" w:hAnsi="Arial Narrow"/>
          <w:snapToGrid w:val="0"/>
          <w:sz w:val="18"/>
          <w:szCs w:val="18"/>
        </w:rPr>
        <w:t xml:space="preserve"> and </w:t>
      </w:r>
      <w:r w:rsidRPr="00006FCB">
        <w:rPr>
          <w:rFonts w:ascii="Arial Narrow" w:hAnsi="Arial Narrow"/>
          <w:snapToGrid w:val="0"/>
          <w:sz w:val="18"/>
          <w:szCs w:val="18"/>
          <w:vertAlign w:val="superscript"/>
        </w:rPr>
        <w:t>g</w:t>
      </w:r>
      <w:r w:rsidRPr="00006FCB">
        <w:rPr>
          <w:rFonts w:ascii="Arial Narrow" w:hAnsi="Arial Narrow"/>
          <w:snapToGrid w:val="0"/>
          <w:sz w:val="18"/>
          <w:szCs w:val="18"/>
        </w:rPr>
        <w:t xml:space="preserve"> were combined.</w:t>
      </w:r>
    </w:p>
    <w:p w14:paraId="32C60C0F" w14:textId="77777777" w:rsidR="00625943" w:rsidRPr="00006FCB" w:rsidRDefault="12BC06F7" w:rsidP="002504E6">
      <w:pPr>
        <w:keepNext/>
        <w:keepLines/>
        <w:spacing w:after="120"/>
        <w:contextualSpacing/>
        <w:rPr>
          <w:rFonts w:ascii="Arial Narrow" w:hAnsi="Arial Narrow"/>
          <w:snapToGrid w:val="0"/>
          <w:sz w:val="18"/>
          <w:szCs w:val="18"/>
        </w:rPr>
      </w:pPr>
      <w:r w:rsidRPr="383E5602">
        <w:rPr>
          <w:rFonts w:ascii="Arial Narrow" w:hAnsi="Arial Narrow"/>
          <w:snapToGrid w:val="0"/>
          <w:sz w:val="18"/>
          <w:szCs w:val="18"/>
          <w:vertAlign w:val="superscript"/>
        </w:rPr>
        <w:t>h</w:t>
      </w:r>
      <w:r w:rsidRPr="383E5602">
        <w:rPr>
          <w:rFonts w:ascii="Arial Narrow" w:hAnsi="Arial Narrow"/>
          <w:snapToGrid w:val="0"/>
          <w:sz w:val="18"/>
          <w:szCs w:val="18"/>
        </w:rPr>
        <w:t xml:space="preserve"> to estimate the ICER the value in worksheet ‘Model inputs’, in cell C10 was changed to 20, and values in Cells D62 to F62 were set to 0.</w:t>
      </w:r>
    </w:p>
    <w:p w14:paraId="7A58A83C" w14:textId="77777777" w:rsidR="00B04DCB" w:rsidRDefault="12BC06F7" w:rsidP="002504E6">
      <w:pPr>
        <w:keepNext/>
        <w:keepLines/>
        <w:spacing w:after="120"/>
        <w:contextualSpacing/>
      </w:pPr>
      <w:r w:rsidRPr="383E5602">
        <w:rPr>
          <w:rFonts w:ascii="Arial Narrow" w:hAnsi="Arial Narrow"/>
          <w:snapToGrid w:val="0"/>
          <w:sz w:val="18"/>
          <w:szCs w:val="18"/>
          <w:vertAlign w:val="superscript"/>
        </w:rPr>
        <w:t>i</w:t>
      </w:r>
      <w:r w:rsidRPr="383E5602">
        <w:rPr>
          <w:rFonts w:ascii="Arial Narrow" w:hAnsi="Arial Narrow"/>
          <w:snapToGrid w:val="0"/>
          <w:sz w:val="18"/>
          <w:szCs w:val="18"/>
        </w:rPr>
        <w:t xml:space="preserve"> to estimate the ICER the action described in notes</w:t>
      </w:r>
      <w:r w:rsidRPr="383E5602">
        <w:rPr>
          <w:rFonts w:ascii="Arial Narrow" w:hAnsi="Arial Narrow"/>
          <w:snapToGrid w:val="0"/>
          <w:sz w:val="18"/>
          <w:szCs w:val="18"/>
          <w:vertAlign w:val="superscript"/>
        </w:rPr>
        <w:t xml:space="preserve"> g</w:t>
      </w:r>
      <w:r w:rsidRPr="383E5602">
        <w:rPr>
          <w:rFonts w:ascii="Arial Narrow" w:hAnsi="Arial Narrow"/>
          <w:snapToGrid w:val="0"/>
          <w:sz w:val="18"/>
          <w:szCs w:val="18"/>
        </w:rPr>
        <w:t xml:space="preserve"> and </w:t>
      </w:r>
      <w:r w:rsidRPr="383E5602">
        <w:rPr>
          <w:rFonts w:ascii="Arial Narrow" w:hAnsi="Arial Narrow"/>
          <w:snapToGrid w:val="0"/>
          <w:sz w:val="18"/>
          <w:szCs w:val="18"/>
          <w:vertAlign w:val="superscript"/>
        </w:rPr>
        <w:t>h</w:t>
      </w:r>
      <w:r w:rsidRPr="383E5602">
        <w:rPr>
          <w:rFonts w:ascii="Arial Narrow" w:hAnsi="Arial Narrow"/>
          <w:snapToGrid w:val="0"/>
          <w:sz w:val="18"/>
          <w:szCs w:val="18"/>
        </w:rPr>
        <w:t xml:space="preserve"> were combined.</w:t>
      </w:r>
      <w:r w:rsidR="00B04DCB" w:rsidRPr="00B04DCB">
        <w:t xml:space="preserve"> </w:t>
      </w:r>
    </w:p>
    <w:p w14:paraId="04979630" w14:textId="1ED996BA" w:rsidR="00B04DCB" w:rsidRPr="00EA3B8C" w:rsidRDefault="00B04DCB" w:rsidP="002504E6">
      <w:pPr>
        <w:keepNext/>
        <w:keepLines/>
        <w:spacing w:after="120"/>
        <w:contextualSpacing/>
        <w:rPr>
          <w:rFonts w:ascii="Arial Narrow" w:hAnsi="Arial Narrow"/>
          <w:i/>
          <w:iCs/>
          <w:snapToGrid w:val="0"/>
          <w:sz w:val="18"/>
          <w:szCs w:val="18"/>
        </w:rPr>
      </w:pPr>
      <w:r w:rsidRPr="00EA3B8C">
        <w:rPr>
          <w:rFonts w:ascii="Arial Narrow" w:hAnsi="Arial Narrow"/>
          <w:i/>
          <w:iCs/>
          <w:snapToGrid w:val="0"/>
          <w:sz w:val="18"/>
          <w:szCs w:val="18"/>
        </w:rPr>
        <w:t>The redacted values correspond to the following ranges</w:t>
      </w:r>
      <w:r w:rsidR="00EA3B8C" w:rsidRPr="00EA3B8C">
        <w:rPr>
          <w:rFonts w:ascii="Arial Narrow" w:hAnsi="Arial Narrow"/>
          <w:i/>
          <w:iCs/>
          <w:snapToGrid w:val="0"/>
          <w:sz w:val="18"/>
          <w:szCs w:val="18"/>
        </w:rPr>
        <w:t>:</w:t>
      </w:r>
    </w:p>
    <w:p w14:paraId="47B99F4E" w14:textId="77777777" w:rsidR="00836A3B" w:rsidRPr="00EA3B8C" w:rsidRDefault="00B04DCB" w:rsidP="002504E6">
      <w:pPr>
        <w:keepNext/>
        <w:keepLines/>
        <w:spacing w:after="120"/>
        <w:contextualSpacing/>
        <w:rPr>
          <w:rFonts w:ascii="Arial Narrow" w:hAnsi="Arial Narrow"/>
          <w:i/>
          <w:iCs/>
          <w:snapToGrid w:val="0"/>
          <w:sz w:val="18"/>
          <w:szCs w:val="18"/>
        </w:rPr>
      </w:pPr>
      <w:r w:rsidRPr="00A95056">
        <w:rPr>
          <w:rFonts w:ascii="Arial Narrow" w:hAnsi="Arial Narrow"/>
          <w:i/>
          <w:iCs/>
          <w:snapToGrid w:val="0"/>
          <w:sz w:val="18"/>
          <w:szCs w:val="18"/>
          <w:vertAlign w:val="superscript"/>
        </w:rPr>
        <w:t>1</w:t>
      </w:r>
      <w:r w:rsidR="004B03AE" w:rsidRPr="00EA3B8C">
        <w:rPr>
          <w:rFonts w:ascii="Arial Narrow" w:hAnsi="Arial Narrow"/>
          <w:i/>
          <w:iCs/>
          <w:snapToGrid w:val="0"/>
          <w:sz w:val="18"/>
          <w:szCs w:val="18"/>
        </w:rPr>
        <w:t xml:space="preserve"> $75,000 to &lt; $95,000</w:t>
      </w:r>
      <w:r w:rsidR="00836A3B" w:rsidRPr="00EA3B8C">
        <w:rPr>
          <w:rFonts w:ascii="Arial Narrow" w:hAnsi="Arial Narrow"/>
          <w:i/>
          <w:iCs/>
          <w:snapToGrid w:val="0"/>
          <w:sz w:val="18"/>
          <w:szCs w:val="18"/>
        </w:rPr>
        <w:t xml:space="preserve"> </w:t>
      </w:r>
    </w:p>
    <w:p w14:paraId="219B16B1" w14:textId="77777777" w:rsidR="00D52931" w:rsidRPr="00EA3B8C" w:rsidRDefault="00836A3B" w:rsidP="002504E6">
      <w:pPr>
        <w:keepNext/>
        <w:keepLines/>
        <w:spacing w:after="120"/>
        <w:contextualSpacing/>
        <w:rPr>
          <w:rFonts w:ascii="Arial Narrow" w:hAnsi="Arial Narrow"/>
          <w:i/>
          <w:iCs/>
          <w:snapToGrid w:val="0"/>
          <w:sz w:val="18"/>
          <w:szCs w:val="18"/>
        </w:rPr>
      </w:pPr>
      <w:r w:rsidRPr="005F5F68">
        <w:rPr>
          <w:rFonts w:ascii="Arial Narrow" w:hAnsi="Arial Narrow"/>
          <w:i/>
          <w:iCs/>
          <w:snapToGrid w:val="0"/>
          <w:sz w:val="18"/>
          <w:szCs w:val="18"/>
          <w:vertAlign w:val="superscript"/>
        </w:rPr>
        <w:t>2</w:t>
      </w:r>
      <w:r w:rsidRPr="00EA3B8C">
        <w:rPr>
          <w:rFonts w:ascii="Arial Narrow" w:hAnsi="Arial Narrow"/>
          <w:i/>
          <w:iCs/>
          <w:snapToGrid w:val="0"/>
          <w:sz w:val="18"/>
          <w:szCs w:val="18"/>
        </w:rPr>
        <w:t xml:space="preserve"> $55,000 to &lt; $75,000</w:t>
      </w:r>
      <w:r w:rsidR="00D52931" w:rsidRPr="00EA3B8C">
        <w:rPr>
          <w:rFonts w:ascii="Arial Narrow" w:hAnsi="Arial Narrow"/>
          <w:i/>
          <w:iCs/>
          <w:snapToGrid w:val="0"/>
          <w:sz w:val="18"/>
          <w:szCs w:val="18"/>
        </w:rPr>
        <w:t xml:space="preserve"> </w:t>
      </w:r>
    </w:p>
    <w:p w14:paraId="4B342874" w14:textId="77777777" w:rsidR="00FE3BF3" w:rsidRPr="00EA3B8C" w:rsidRDefault="00D52931" w:rsidP="002504E6">
      <w:pPr>
        <w:keepNext/>
        <w:keepLines/>
        <w:spacing w:after="120"/>
        <w:contextualSpacing/>
        <w:rPr>
          <w:rFonts w:ascii="Arial Narrow" w:hAnsi="Arial Narrow"/>
          <w:i/>
          <w:iCs/>
          <w:snapToGrid w:val="0"/>
          <w:sz w:val="18"/>
          <w:szCs w:val="18"/>
        </w:rPr>
      </w:pPr>
      <w:r w:rsidRPr="008675EC">
        <w:rPr>
          <w:rFonts w:ascii="Arial Narrow" w:hAnsi="Arial Narrow"/>
          <w:i/>
          <w:iCs/>
          <w:snapToGrid w:val="0"/>
          <w:sz w:val="18"/>
          <w:szCs w:val="18"/>
          <w:vertAlign w:val="superscript"/>
        </w:rPr>
        <w:t>3</w:t>
      </w:r>
      <w:r w:rsidRPr="00EA3B8C">
        <w:rPr>
          <w:rFonts w:ascii="Arial Narrow" w:hAnsi="Arial Narrow"/>
          <w:i/>
          <w:iCs/>
          <w:snapToGrid w:val="0"/>
          <w:sz w:val="18"/>
          <w:szCs w:val="18"/>
        </w:rPr>
        <w:t xml:space="preserve"> $95,000 to &lt; $115,000</w:t>
      </w:r>
    </w:p>
    <w:p w14:paraId="0070FC36" w14:textId="77777777" w:rsidR="007A676B" w:rsidRPr="00EA3B8C" w:rsidRDefault="00FE3BF3" w:rsidP="002504E6">
      <w:pPr>
        <w:keepNext/>
        <w:keepLines/>
        <w:spacing w:after="120"/>
        <w:contextualSpacing/>
        <w:rPr>
          <w:rFonts w:ascii="Arial Narrow" w:hAnsi="Arial Narrow"/>
          <w:i/>
          <w:iCs/>
          <w:snapToGrid w:val="0"/>
          <w:sz w:val="18"/>
          <w:szCs w:val="18"/>
        </w:rPr>
      </w:pPr>
      <w:r w:rsidRPr="008675EC">
        <w:rPr>
          <w:rFonts w:ascii="Arial Narrow" w:hAnsi="Arial Narrow"/>
          <w:i/>
          <w:iCs/>
          <w:snapToGrid w:val="0"/>
          <w:sz w:val="18"/>
          <w:szCs w:val="18"/>
          <w:vertAlign w:val="superscript"/>
        </w:rPr>
        <w:t>4</w:t>
      </w:r>
      <w:r w:rsidRPr="00EA3B8C">
        <w:rPr>
          <w:rFonts w:ascii="Arial Narrow" w:hAnsi="Arial Narrow"/>
          <w:i/>
          <w:iCs/>
          <w:snapToGrid w:val="0"/>
          <w:sz w:val="18"/>
          <w:szCs w:val="18"/>
        </w:rPr>
        <w:t xml:space="preserve"> $115,000 to &lt; $135,000</w:t>
      </w:r>
      <w:r w:rsidR="007A676B" w:rsidRPr="00EA3B8C">
        <w:rPr>
          <w:rFonts w:ascii="Arial Narrow" w:hAnsi="Arial Narrow"/>
          <w:i/>
          <w:iCs/>
          <w:snapToGrid w:val="0"/>
          <w:sz w:val="18"/>
          <w:szCs w:val="18"/>
        </w:rPr>
        <w:t xml:space="preserve"> </w:t>
      </w:r>
    </w:p>
    <w:p w14:paraId="19920E01" w14:textId="77777777" w:rsidR="002F20D3" w:rsidRPr="00EA3B8C" w:rsidRDefault="007A676B" w:rsidP="002504E6">
      <w:pPr>
        <w:keepNext/>
        <w:keepLines/>
        <w:spacing w:after="120"/>
        <w:contextualSpacing/>
        <w:rPr>
          <w:rFonts w:ascii="Arial Narrow" w:hAnsi="Arial Narrow"/>
          <w:i/>
          <w:iCs/>
          <w:snapToGrid w:val="0"/>
          <w:sz w:val="18"/>
          <w:szCs w:val="18"/>
        </w:rPr>
      </w:pPr>
      <w:r w:rsidRPr="008675EC">
        <w:rPr>
          <w:rFonts w:ascii="Arial Narrow" w:hAnsi="Arial Narrow"/>
          <w:i/>
          <w:iCs/>
          <w:snapToGrid w:val="0"/>
          <w:sz w:val="18"/>
          <w:szCs w:val="18"/>
          <w:vertAlign w:val="superscript"/>
        </w:rPr>
        <w:t>5</w:t>
      </w:r>
      <w:r w:rsidRPr="00EA3B8C">
        <w:rPr>
          <w:rFonts w:ascii="Arial Narrow" w:hAnsi="Arial Narrow"/>
          <w:i/>
          <w:iCs/>
          <w:snapToGrid w:val="0"/>
          <w:sz w:val="18"/>
          <w:szCs w:val="18"/>
        </w:rPr>
        <w:t xml:space="preserve"> $155,000 to &lt; $255,000</w:t>
      </w:r>
      <w:r w:rsidR="0046097C" w:rsidRPr="00EA3B8C">
        <w:rPr>
          <w:rFonts w:ascii="Arial Narrow" w:hAnsi="Arial Narrow"/>
          <w:i/>
          <w:iCs/>
          <w:snapToGrid w:val="0"/>
          <w:sz w:val="18"/>
          <w:szCs w:val="18"/>
        </w:rPr>
        <w:t xml:space="preserve"> </w:t>
      </w:r>
    </w:p>
    <w:p w14:paraId="0A70C1B2" w14:textId="78596C06" w:rsidR="0046097C" w:rsidRPr="00EA3B8C" w:rsidRDefault="002F20D3" w:rsidP="002504E6">
      <w:pPr>
        <w:keepNext/>
        <w:keepLines/>
        <w:spacing w:after="120"/>
        <w:contextualSpacing/>
        <w:rPr>
          <w:rFonts w:ascii="Arial Narrow" w:hAnsi="Arial Narrow"/>
          <w:i/>
          <w:iCs/>
          <w:snapToGrid w:val="0"/>
          <w:sz w:val="18"/>
          <w:szCs w:val="18"/>
        </w:rPr>
      </w:pPr>
      <w:r w:rsidRPr="008675EC">
        <w:rPr>
          <w:rFonts w:ascii="Arial Narrow" w:hAnsi="Arial Narrow"/>
          <w:i/>
          <w:iCs/>
          <w:snapToGrid w:val="0"/>
          <w:sz w:val="18"/>
          <w:szCs w:val="18"/>
          <w:vertAlign w:val="superscript"/>
        </w:rPr>
        <w:t>6</w:t>
      </w:r>
      <w:r w:rsidRPr="00EA3B8C">
        <w:rPr>
          <w:rFonts w:ascii="Arial Narrow" w:hAnsi="Arial Narrow"/>
          <w:i/>
          <w:iCs/>
          <w:snapToGrid w:val="0"/>
          <w:sz w:val="18"/>
          <w:szCs w:val="18"/>
        </w:rPr>
        <w:t xml:space="preserve"> $255,000 to &lt; $355,000</w:t>
      </w:r>
    </w:p>
    <w:p w14:paraId="3C510D21" w14:textId="2C5B2950" w:rsidR="004B03AE" w:rsidRPr="00EA3B8C" w:rsidRDefault="00010BAF" w:rsidP="002504E6">
      <w:pPr>
        <w:keepNext/>
        <w:keepLines/>
        <w:spacing w:after="120"/>
        <w:contextualSpacing/>
        <w:rPr>
          <w:rFonts w:ascii="Arial Narrow" w:hAnsi="Arial Narrow"/>
          <w:i/>
          <w:iCs/>
          <w:snapToGrid w:val="0"/>
          <w:sz w:val="18"/>
          <w:szCs w:val="18"/>
        </w:rPr>
      </w:pPr>
      <w:r w:rsidRPr="008675EC">
        <w:rPr>
          <w:rFonts w:ascii="Arial Narrow" w:hAnsi="Arial Narrow"/>
          <w:i/>
          <w:iCs/>
          <w:snapToGrid w:val="0"/>
          <w:sz w:val="18"/>
          <w:szCs w:val="18"/>
          <w:vertAlign w:val="superscript"/>
        </w:rPr>
        <w:t>7</w:t>
      </w:r>
      <w:r w:rsidRPr="00EA3B8C">
        <w:rPr>
          <w:rFonts w:ascii="Arial Narrow" w:hAnsi="Arial Narrow"/>
          <w:i/>
          <w:iCs/>
          <w:snapToGrid w:val="0"/>
          <w:sz w:val="18"/>
          <w:szCs w:val="18"/>
        </w:rPr>
        <w:t xml:space="preserve"> </w:t>
      </w:r>
      <w:r w:rsidR="0046097C" w:rsidRPr="00EA3B8C">
        <w:rPr>
          <w:rFonts w:ascii="Arial Narrow" w:hAnsi="Arial Narrow"/>
          <w:i/>
          <w:iCs/>
          <w:snapToGrid w:val="0"/>
          <w:sz w:val="18"/>
          <w:szCs w:val="18"/>
        </w:rPr>
        <w:t>$135,000 to &lt; $155,000</w:t>
      </w:r>
    </w:p>
    <w:p w14:paraId="4C78F945" w14:textId="5AD8460E" w:rsidR="00CB7ACB" w:rsidRPr="00006FCB" w:rsidRDefault="00CB7ACB" w:rsidP="00CB7ACB">
      <w:pPr>
        <w:pStyle w:val="3-BodyText"/>
      </w:pPr>
      <w:r w:rsidRPr="383E5602">
        <w:t>The results from the sensitivity analyses demonstrated that the ICER was sensitive to variations in:</w:t>
      </w:r>
    </w:p>
    <w:p w14:paraId="57FFAFA5" w14:textId="1DFB34C4" w:rsidR="00CB7ACB" w:rsidRPr="00007171" w:rsidRDefault="00CB7ACB" w:rsidP="00517CDC">
      <w:pPr>
        <w:pStyle w:val="ListParagraph"/>
        <w:ind w:left="1080"/>
        <w:jc w:val="both"/>
      </w:pPr>
      <w:r w:rsidRPr="00007171">
        <w:t>the time horizon</w:t>
      </w:r>
      <w:r w:rsidR="00DF4F17">
        <w:t>. A</w:t>
      </w:r>
      <w:r w:rsidRPr="00007171">
        <w:t xml:space="preserve"> 10-year time horizon increased the ICER to </w:t>
      </w:r>
      <w:r w:rsidR="00CA7DF9" w:rsidRPr="00CA7DF9">
        <w:t xml:space="preserve">$155,000 to &lt; $255,000 </w:t>
      </w:r>
      <w:r w:rsidRPr="00007171">
        <w:t xml:space="preserve">QALY/gained. </w:t>
      </w:r>
      <w:r w:rsidR="00E03E48" w:rsidRPr="00007171">
        <w:t xml:space="preserve">The ESC noted </w:t>
      </w:r>
      <w:r w:rsidRPr="00007171">
        <w:t xml:space="preserve">that the mean age of PaTHway patients was 48.6 years, the ESC considered that a </w:t>
      </w:r>
      <w:r w:rsidR="00517CDC" w:rsidRPr="00007171">
        <w:t>3</w:t>
      </w:r>
      <w:r w:rsidRPr="00007171">
        <w:t xml:space="preserve">0-year time horizon </w:t>
      </w:r>
      <w:r w:rsidR="00C60963" w:rsidRPr="00007171">
        <w:t>may</w:t>
      </w:r>
      <w:r w:rsidRPr="00007171">
        <w:t xml:space="preserve"> be more reasonable. </w:t>
      </w:r>
    </w:p>
    <w:p w14:paraId="07023625" w14:textId="0C39B215" w:rsidR="00CB7ACB" w:rsidRPr="00007171" w:rsidRDefault="00CB7ACB" w:rsidP="383E5602">
      <w:pPr>
        <w:pStyle w:val="ListParagraph"/>
        <w:ind w:left="1080"/>
        <w:jc w:val="both"/>
      </w:pPr>
      <w:r w:rsidRPr="00007171">
        <w:t>varying utility increment for palopegteriparatide and decrement for conventional therapy</w:t>
      </w:r>
      <w:r w:rsidR="00560D40">
        <w:t>. T</w:t>
      </w:r>
      <w:r w:rsidRPr="00007171">
        <w:t>hese utilities are applied to every cycle from Cycle 2 until the end of treatment. The ESC noted that</w:t>
      </w:r>
      <w:r w:rsidR="00F76550">
        <w:t>,</w:t>
      </w:r>
      <w:r w:rsidRPr="00007171">
        <w:t xml:space="preserve"> although a utility benefit for the treatment arm might be warranted due to independence from </w:t>
      </w:r>
      <w:r w:rsidR="00F76550">
        <w:t>calcium and vitamin D treatment</w:t>
      </w:r>
      <w:r w:rsidRPr="00007171">
        <w:t xml:space="preserve">, the effect size was uncertain due to </w:t>
      </w:r>
      <w:r w:rsidR="009871A4" w:rsidRPr="00007171">
        <w:t xml:space="preserve">the unsupported claim of non-inferior safety, </w:t>
      </w:r>
      <w:r w:rsidRPr="00007171">
        <w:t>small patient numbers</w:t>
      </w:r>
      <w:r w:rsidR="000B3AB6" w:rsidRPr="00007171">
        <w:t xml:space="preserve"> informing the analysis and the use of a generic </w:t>
      </w:r>
      <w:r w:rsidR="002F70BE" w:rsidRPr="00007171">
        <w:t xml:space="preserve">health-related quality of life instrument </w:t>
      </w:r>
      <w:r w:rsidR="005D3C63" w:rsidRPr="00007171">
        <w:t>for a multifac</w:t>
      </w:r>
      <w:r w:rsidR="004972D2" w:rsidRPr="00007171">
        <w:t>eted disease</w:t>
      </w:r>
      <w:r w:rsidRPr="00007171">
        <w:t>.</w:t>
      </w:r>
    </w:p>
    <w:p w14:paraId="7AE3DDD0" w14:textId="29C6F514" w:rsidR="00CB7ACB" w:rsidRPr="00007171" w:rsidRDefault="00CB7ACB" w:rsidP="383E5602">
      <w:pPr>
        <w:pStyle w:val="ListParagraph"/>
        <w:ind w:left="1080"/>
        <w:jc w:val="both"/>
      </w:pPr>
      <w:r w:rsidRPr="00007171">
        <w:t>transition probabilities for CKD health states</w:t>
      </w:r>
      <w:r w:rsidR="00560D40">
        <w:t>. T</w:t>
      </w:r>
      <w:r w:rsidRPr="00007171">
        <w:t xml:space="preserve">he ICER was highly sensitive to the transition probabilities for CKD 1/2 to CKD 3 transitions from Cycle 2. The ESC considered that the distribution of patients in the health states was highly uncertain. </w:t>
      </w:r>
    </w:p>
    <w:p w14:paraId="12C1737E" w14:textId="1181C449" w:rsidR="00CB7ACB" w:rsidRPr="00007171" w:rsidRDefault="00CB7ACB" w:rsidP="00560D40">
      <w:pPr>
        <w:pStyle w:val="ListParagraph"/>
        <w:ind w:left="1080"/>
        <w:jc w:val="both"/>
      </w:pPr>
      <w:r w:rsidRPr="00007171">
        <w:t>patient distribution at baseline across CKD 1/2 and CKD 3</w:t>
      </w:r>
      <w:r w:rsidR="00560D40">
        <w:t>. T</w:t>
      </w:r>
      <w:r w:rsidRPr="00007171">
        <w:t xml:space="preserve">he more patients with CKD 1/ 2 receiving treatment with palopegteriparatide, the higher the ICER. </w:t>
      </w:r>
    </w:p>
    <w:p w14:paraId="4776B312" w14:textId="35666FC2" w:rsidR="003D6625" w:rsidRPr="00007171" w:rsidRDefault="0001421F">
      <w:pPr>
        <w:pStyle w:val="3-BodyText"/>
      </w:pPr>
      <w:r w:rsidRPr="00007171">
        <w:t>The ESC considered that the application of the trial-based utility increment/decrement for the entire model time horizon, in combination with the uncertainty surrounding the estimated incidence/prevalence of CKD</w:t>
      </w:r>
      <w:r w:rsidR="00F76550">
        <w:t>,</w:t>
      </w:r>
      <w:r w:rsidRPr="00007171">
        <w:t xml:space="preserve"> meant that the base case ICER was optimistic and highly uncertain.</w:t>
      </w:r>
    </w:p>
    <w:p w14:paraId="0C7A1FB0" w14:textId="77777777" w:rsidR="00625943" w:rsidRPr="0098262F" w:rsidRDefault="00625943" w:rsidP="00625943">
      <w:pPr>
        <w:pStyle w:val="4-SubsectionHeading"/>
      </w:pPr>
      <w:bookmarkStart w:id="68" w:name="_Toc187766419"/>
      <w:r w:rsidRPr="4D2BAA30">
        <w:t>Palopegteriparatide cost/patient/year</w:t>
      </w:r>
      <w:bookmarkEnd w:id="68"/>
    </w:p>
    <w:p w14:paraId="441E68EC" w14:textId="00D83157" w:rsidR="00625943" w:rsidRPr="0098262F" w:rsidRDefault="00625943" w:rsidP="00625943">
      <w:pPr>
        <w:pStyle w:val="Caption"/>
        <w:rPr>
          <w:rStyle w:val="CommentReference"/>
          <w:b/>
          <w:szCs w:val="24"/>
        </w:rPr>
      </w:pPr>
      <w:bookmarkStart w:id="69" w:name="_Ref104805102"/>
      <w:r w:rsidRPr="0098262F">
        <w:t xml:space="preserve">Table </w:t>
      </w:r>
      <w:r w:rsidR="0065405D">
        <w:fldChar w:fldCharType="begin"/>
      </w:r>
      <w:r w:rsidR="0065405D">
        <w:instrText xml:space="preserve"> SEQ Table \* ARABIC </w:instrText>
      </w:r>
      <w:r w:rsidR="0065405D">
        <w:fldChar w:fldCharType="separate"/>
      </w:r>
      <w:r w:rsidR="00DA35E4">
        <w:rPr>
          <w:noProof/>
        </w:rPr>
        <w:t>17</w:t>
      </w:r>
      <w:r w:rsidR="0065405D">
        <w:rPr>
          <w:noProof/>
        </w:rPr>
        <w:fldChar w:fldCharType="end"/>
      </w:r>
      <w:bookmarkEnd w:id="69"/>
      <w:r w:rsidRPr="0098262F">
        <w:t>:</w:t>
      </w:r>
      <w:r w:rsidRPr="0098262F">
        <w:rPr>
          <w:rStyle w:val="CommentReference"/>
          <w:b/>
          <w:szCs w:val="24"/>
        </w:rPr>
        <w:t xml:space="preserve">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Drug cost per patient for proposed and comparator drugs"/>
      </w:tblPr>
      <w:tblGrid>
        <w:gridCol w:w="1469"/>
        <w:gridCol w:w="1257"/>
        <w:gridCol w:w="1255"/>
        <w:gridCol w:w="1259"/>
        <w:gridCol w:w="1255"/>
        <w:gridCol w:w="1261"/>
        <w:gridCol w:w="1261"/>
      </w:tblGrid>
      <w:tr w:rsidR="005C4807" w:rsidRPr="0098262F" w14:paraId="2D8B5404" w14:textId="77777777">
        <w:trPr>
          <w:cantSplit/>
          <w:tblHeader/>
          <w:jc w:val="center"/>
        </w:trPr>
        <w:tc>
          <w:tcPr>
            <w:tcW w:w="815" w:type="pct"/>
            <w:vMerge w:val="restart"/>
            <w:shd w:val="clear" w:color="auto" w:fill="auto"/>
            <w:vAlign w:val="center"/>
          </w:tcPr>
          <w:p w14:paraId="5DABF23C" w14:textId="77777777" w:rsidR="005C4807" w:rsidRPr="0098262F" w:rsidRDefault="005C4807">
            <w:pPr>
              <w:pStyle w:val="In-tableHeading"/>
              <w:framePr w:wrap="around"/>
            </w:pPr>
          </w:p>
        </w:tc>
        <w:tc>
          <w:tcPr>
            <w:tcW w:w="2091" w:type="pct"/>
            <w:gridSpan w:val="3"/>
            <w:shd w:val="clear" w:color="auto" w:fill="auto"/>
            <w:vAlign w:val="center"/>
          </w:tcPr>
          <w:p w14:paraId="2878D319" w14:textId="77777777" w:rsidR="005C4807" w:rsidRPr="0098262F" w:rsidRDefault="005C4807">
            <w:pPr>
              <w:pStyle w:val="In-tableHeading"/>
              <w:framePr w:wrap="around"/>
              <w:jc w:val="center"/>
            </w:pPr>
            <w:proofErr w:type="spellStart"/>
            <w:r>
              <w:t>Palopegteriparatide</w:t>
            </w:r>
            <w:proofErr w:type="spellEnd"/>
          </w:p>
        </w:tc>
        <w:tc>
          <w:tcPr>
            <w:tcW w:w="2094" w:type="pct"/>
            <w:gridSpan w:val="3"/>
            <w:shd w:val="clear" w:color="auto" w:fill="auto"/>
            <w:vAlign w:val="center"/>
          </w:tcPr>
          <w:p w14:paraId="3E471DC1" w14:textId="77777777" w:rsidR="005C4807" w:rsidRPr="0098262F" w:rsidRDefault="005C4807">
            <w:pPr>
              <w:pStyle w:val="In-tableHeading"/>
              <w:framePr w:wrap="around"/>
              <w:jc w:val="center"/>
            </w:pPr>
            <w:r>
              <w:t>Conventional therapy</w:t>
            </w:r>
          </w:p>
        </w:tc>
      </w:tr>
      <w:tr w:rsidR="005C4807" w:rsidRPr="0098262F" w14:paraId="1FD7BA96" w14:textId="77777777">
        <w:trPr>
          <w:cantSplit/>
          <w:tblHeader/>
          <w:jc w:val="center"/>
        </w:trPr>
        <w:tc>
          <w:tcPr>
            <w:tcW w:w="815" w:type="pct"/>
            <w:vMerge/>
            <w:shd w:val="clear" w:color="auto" w:fill="auto"/>
            <w:vAlign w:val="center"/>
          </w:tcPr>
          <w:p w14:paraId="359E5B07" w14:textId="77777777" w:rsidR="005C4807" w:rsidRPr="0098262F" w:rsidRDefault="005C4807">
            <w:pPr>
              <w:pStyle w:val="In-tableHeading"/>
              <w:framePr w:wrap="around"/>
            </w:pPr>
          </w:p>
        </w:tc>
        <w:tc>
          <w:tcPr>
            <w:tcW w:w="697" w:type="pct"/>
            <w:shd w:val="clear" w:color="auto" w:fill="auto"/>
            <w:vAlign w:val="center"/>
          </w:tcPr>
          <w:p w14:paraId="6837D21B" w14:textId="77777777" w:rsidR="005C4807" w:rsidRPr="0098262F" w:rsidRDefault="005C4807">
            <w:pPr>
              <w:pStyle w:val="In-tableHeading"/>
              <w:framePr w:wrap="around"/>
              <w:jc w:val="center"/>
            </w:pPr>
            <w:r w:rsidRPr="0098262F">
              <w:t>Trial dose and duration</w:t>
            </w:r>
          </w:p>
        </w:tc>
        <w:tc>
          <w:tcPr>
            <w:tcW w:w="696" w:type="pct"/>
            <w:shd w:val="clear" w:color="auto" w:fill="auto"/>
            <w:vAlign w:val="center"/>
          </w:tcPr>
          <w:p w14:paraId="2D5DBFDD" w14:textId="77777777" w:rsidR="005C4807" w:rsidRPr="0098262F" w:rsidRDefault="005C4807">
            <w:pPr>
              <w:pStyle w:val="In-tableHeading"/>
              <w:framePr w:wrap="around"/>
              <w:jc w:val="center"/>
            </w:pPr>
            <w:r w:rsidRPr="0098262F">
              <w:t>Model</w:t>
            </w:r>
          </w:p>
        </w:tc>
        <w:tc>
          <w:tcPr>
            <w:tcW w:w="698" w:type="pct"/>
            <w:shd w:val="clear" w:color="auto" w:fill="auto"/>
            <w:vAlign w:val="center"/>
          </w:tcPr>
          <w:p w14:paraId="1E5BC40A" w14:textId="77777777" w:rsidR="005C4807" w:rsidRPr="0098262F" w:rsidRDefault="005C4807">
            <w:pPr>
              <w:pStyle w:val="In-tableHeading"/>
              <w:framePr w:wrap="around"/>
              <w:jc w:val="center"/>
            </w:pPr>
            <w:r w:rsidRPr="0098262F">
              <w:t>Financial estimates</w:t>
            </w:r>
          </w:p>
        </w:tc>
        <w:tc>
          <w:tcPr>
            <w:tcW w:w="696" w:type="pct"/>
            <w:shd w:val="clear" w:color="auto" w:fill="auto"/>
            <w:vAlign w:val="center"/>
          </w:tcPr>
          <w:p w14:paraId="5E330755" w14:textId="77777777" w:rsidR="005C4807" w:rsidRPr="0098262F" w:rsidRDefault="005C4807">
            <w:pPr>
              <w:pStyle w:val="In-tableHeading"/>
              <w:framePr w:wrap="around"/>
              <w:jc w:val="center"/>
            </w:pPr>
            <w:r w:rsidRPr="0098262F">
              <w:t>Trial dose and duration</w:t>
            </w:r>
          </w:p>
        </w:tc>
        <w:tc>
          <w:tcPr>
            <w:tcW w:w="699" w:type="pct"/>
            <w:shd w:val="clear" w:color="auto" w:fill="auto"/>
            <w:vAlign w:val="center"/>
          </w:tcPr>
          <w:p w14:paraId="1E491B1C" w14:textId="77777777" w:rsidR="005C4807" w:rsidRPr="0098262F" w:rsidRDefault="005C4807">
            <w:pPr>
              <w:pStyle w:val="In-tableHeading"/>
              <w:framePr w:wrap="around"/>
              <w:jc w:val="center"/>
            </w:pPr>
            <w:r w:rsidRPr="0098262F">
              <w:t>Model</w:t>
            </w:r>
          </w:p>
        </w:tc>
        <w:tc>
          <w:tcPr>
            <w:tcW w:w="699" w:type="pct"/>
          </w:tcPr>
          <w:p w14:paraId="5817B06A" w14:textId="77777777" w:rsidR="005C4807" w:rsidRPr="0098262F" w:rsidRDefault="005C4807">
            <w:pPr>
              <w:pStyle w:val="In-tableHeading"/>
              <w:framePr w:wrap="around"/>
              <w:jc w:val="center"/>
            </w:pPr>
            <w:r w:rsidRPr="0098262F">
              <w:t>Financial estimates</w:t>
            </w:r>
          </w:p>
        </w:tc>
      </w:tr>
      <w:tr w:rsidR="00625943" w:rsidRPr="0098262F" w14:paraId="58FFA17E" w14:textId="77777777">
        <w:trPr>
          <w:cantSplit/>
          <w:jc w:val="center"/>
        </w:trPr>
        <w:tc>
          <w:tcPr>
            <w:tcW w:w="815" w:type="pct"/>
            <w:shd w:val="clear" w:color="auto" w:fill="auto"/>
            <w:vAlign w:val="center"/>
          </w:tcPr>
          <w:p w14:paraId="321DCB6F" w14:textId="77777777" w:rsidR="00625943" w:rsidRPr="0098262F" w:rsidRDefault="00625943">
            <w:pPr>
              <w:pStyle w:val="TableText0"/>
              <w:framePr w:wrap="around"/>
            </w:pPr>
            <w:r w:rsidRPr="0098262F">
              <w:t>Mean dose</w:t>
            </w:r>
            <w:r>
              <w:t xml:space="preserve"> / day</w:t>
            </w:r>
          </w:p>
        </w:tc>
        <w:tc>
          <w:tcPr>
            <w:tcW w:w="697" w:type="pct"/>
            <w:shd w:val="clear" w:color="auto" w:fill="auto"/>
            <w:vAlign w:val="center"/>
          </w:tcPr>
          <w:p w14:paraId="3C122AFB" w14:textId="77777777" w:rsidR="00625943" w:rsidRPr="0098262F" w:rsidRDefault="00625943">
            <w:pPr>
              <w:pStyle w:val="TableText0"/>
              <w:framePr w:wrap="around"/>
              <w:jc w:val="center"/>
            </w:pPr>
            <w:r>
              <w:t>21.4 mg</w:t>
            </w:r>
          </w:p>
        </w:tc>
        <w:tc>
          <w:tcPr>
            <w:tcW w:w="696" w:type="pct"/>
            <w:shd w:val="clear" w:color="auto" w:fill="auto"/>
            <w:vAlign w:val="center"/>
          </w:tcPr>
          <w:p w14:paraId="2007A7DE" w14:textId="77777777" w:rsidR="00625943" w:rsidRPr="0098262F" w:rsidRDefault="00625943">
            <w:pPr>
              <w:pStyle w:val="TableText0"/>
              <w:framePr w:wrap="around"/>
              <w:jc w:val="center"/>
            </w:pPr>
            <w:r>
              <w:t xml:space="preserve">22.92 </w:t>
            </w:r>
            <w:r w:rsidRPr="002E0E96">
              <w:rPr>
                <w:vertAlign w:val="superscript"/>
              </w:rPr>
              <w:t>a</w:t>
            </w:r>
            <w:r>
              <w:t xml:space="preserve"> mg</w:t>
            </w:r>
          </w:p>
        </w:tc>
        <w:tc>
          <w:tcPr>
            <w:tcW w:w="698" w:type="pct"/>
            <w:shd w:val="clear" w:color="auto" w:fill="auto"/>
            <w:vAlign w:val="center"/>
          </w:tcPr>
          <w:p w14:paraId="60BFAA77" w14:textId="77777777" w:rsidR="00625943" w:rsidRPr="0098262F" w:rsidRDefault="00625943">
            <w:pPr>
              <w:pStyle w:val="TableText0"/>
              <w:framePr w:wrap="around"/>
              <w:jc w:val="center"/>
            </w:pPr>
            <w:r>
              <w:t>0.47 doses per week</w:t>
            </w:r>
          </w:p>
        </w:tc>
        <w:tc>
          <w:tcPr>
            <w:tcW w:w="696" w:type="pct"/>
            <w:shd w:val="clear" w:color="auto" w:fill="auto"/>
            <w:vAlign w:val="center"/>
          </w:tcPr>
          <w:p w14:paraId="33FB87A0" w14:textId="3EDA0B95" w:rsidR="00625943" w:rsidRDefault="00625943">
            <w:pPr>
              <w:pStyle w:val="TableText0"/>
              <w:framePr w:wrap="around"/>
              <w:jc w:val="center"/>
            </w:pPr>
            <w:r>
              <w:t xml:space="preserve">Calcium: </w:t>
            </w:r>
            <w:r w:rsidR="005C4807">
              <w:br/>
            </w:r>
            <w:r>
              <w:t>1,8479 mg</w:t>
            </w:r>
          </w:p>
          <w:p w14:paraId="538ECA48" w14:textId="4DFB2A7F" w:rsidR="00625943" w:rsidRPr="0098262F" w:rsidRDefault="00625943">
            <w:pPr>
              <w:pStyle w:val="TableText0"/>
              <w:framePr w:wrap="around"/>
              <w:jc w:val="center"/>
            </w:pPr>
            <w:r>
              <w:t xml:space="preserve">Calcitriol: </w:t>
            </w:r>
            <w:r w:rsidR="005C4807">
              <w:br/>
            </w:r>
            <w:r>
              <w:t>0.612 mcg</w:t>
            </w:r>
          </w:p>
        </w:tc>
        <w:tc>
          <w:tcPr>
            <w:tcW w:w="699" w:type="pct"/>
            <w:shd w:val="clear" w:color="auto" w:fill="auto"/>
            <w:vAlign w:val="center"/>
          </w:tcPr>
          <w:p w14:paraId="27F31F19" w14:textId="431F072D" w:rsidR="00625943" w:rsidRDefault="00625943">
            <w:pPr>
              <w:pStyle w:val="TableText0"/>
              <w:framePr w:wrap="around"/>
              <w:jc w:val="center"/>
            </w:pPr>
            <w:r>
              <w:t xml:space="preserve">Calcium: </w:t>
            </w:r>
            <w:r w:rsidR="005C4807">
              <w:br/>
            </w:r>
            <w:r>
              <w:t>1,750 mg</w:t>
            </w:r>
            <w:r>
              <w:rPr>
                <w:vertAlign w:val="superscript"/>
              </w:rPr>
              <w:t xml:space="preserve"> e</w:t>
            </w:r>
          </w:p>
          <w:p w14:paraId="34FCCDFC" w14:textId="18631CAC" w:rsidR="00625943" w:rsidRPr="0098262F" w:rsidRDefault="00625943">
            <w:pPr>
              <w:pStyle w:val="TableText0"/>
              <w:framePr w:wrap="around"/>
              <w:jc w:val="center"/>
            </w:pPr>
            <w:r>
              <w:t xml:space="preserve">Calcitriol: </w:t>
            </w:r>
            <w:r w:rsidR="005C4807">
              <w:br/>
            </w:r>
            <w:r>
              <w:t>0.50 mcg</w:t>
            </w:r>
            <w:r>
              <w:rPr>
                <w:vertAlign w:val="superscript"/>
              </w:rPr>
              <w:t xml:space="preserve"> e</w:t>
            </w:r>
          </w:p>
        </w:tc>
        <w:tc>
          <w:tcPr>
            <w:tcW w:w="699" w:type="pct"/>
            <w:vAlign w:val="center"/>
          </w:tcPr>
          <w:p w14:paraId="61771676" w14:textId="2D4FA55D" w:rsidR="00625943" w:rsidRDefault="00625943">
            <w:pPr>
              <w:pStyle w:val="TableText0"/>
              <w:framePr w:wrap="around"/>
              <w:jc w:val="center"/>
            </w:pPr>
            <w:r>
              <w:t xml:space="preserve">Calcium: </w:t>
            </w:r>
            <w:r w:rsidR="005C4807">
              <w:br/>
            </w:r>
            <w:r>
              <w:t xml:space="preserve">2,400 mg </w:t>
            </w:r>
            <w:r w:rsidRPr="008C4365">
              <w:rPr>
                <w:vertAlign w:val="superscript"/>
              </w:rPr>
              <w:t>f</w:t>
            </w:r>
          </w:p>
          <w:p w14:paraId="30A58582" w14:textId="6387A112" w:rsidR="00625943" w:rsidRPr="0098262F" w:rsidRDefault="00625943">
            <w:pPr>
              <w:pStyle w:val="TableText0"/>
              <w:framePr w:wrap="around"/>
              <w:jc w:val="center"/>
            </w:pPr>
            <w:r>
              <w:t xml:space="preserve">Calcitriol: </w:t>
            </w:r>
            <w:r w:rsidR="005C4807">
              <w:br/>
            </w:r>
            <w:r>
              <w:t xml:space="preserve">1.00 mcg </w:t>
            </w:r>
            <w:r w:rsidRPr="008C4365">
              <w:rPr>
                <w:vertAlign w:val="superscript"/>
              </w:rPr>
              <w:t>f</w:t>
            </w:r>
          </w:p>
        </w:tc>
      </w:tr>
      <w:tr w:rsidR="00625943" w:rsidRPr="0098262F" w14:paraId="06001537" w14:textId="77777777">
        <w:trPr>
          <w:cantSplit/>
          <w:jc w:val="center"/>
        </w:trPr>
        <w:tc>
          <w:tcPr>
            <w:tcW w:w="815" w:type="pct"/>
            <w:shd w:val="clear" w:color="auto" w:fill="auto"/>
            <w:vAlign w:val="center"/>
          </w:tcPr>
          <w:p w14:paraId="61E353BC" w14:textId="77777777" w:rsidR="00625943" w:rsidRPr="0098262F" w:rsidRDefault="00625943">
            <w:pPr>
              <w:pStyle w:val="TableText0"/>
              <w:framePr w:wrap="around"/>
            </w:pPr>
            <w:r>
              <w:t>Days of treatment</w:t>
            </w:r>
          </w:p>
        </w:tc>
        <w:tc>
          <w:tcPr>
            <w:tcW w:w="697" w:type="pct"/>
            <w:shd w:val="clear" w:color="auto" w:fill="auto"/>
            <w:vAlign w:val="center"/>
          </w:tcPr>
          <w:p w14:paraId="691041E4" w14:textId="77777777" w:rsidR="00625943" w:rsidRDefault="00625943">
            <w:pPr>
              <w:pStyle w:val="TableText0"/>
              <w:framePr w:wrap="around"/>
              <w:jc w:val="center"/>
            </w:pPr>
            <w:r>
              <w:t xml:space="preserve">34 </w:t>
            </w:r>
            <w:r w:rsidRPr="009659F7">
              <w:rPr>
                <w:vertAlign w:val="superscript"/>
              </w:rPr>
              <w:t>b</w:t>
            </w:r>
          </w:p>
        </w:tc>
        <w:tc>
          <w:tcPr>
            <w:tcW w:w="696" w:type="pct"/>
            <w:shd w:val="clear" w:color="auto" w:fill="auto"/>
            <w:vAlign w:val="center"/>
          </w:tcPr>
          <w:p w14:paraId="2FBCA591" w14:textId="379A1C09" w:rsidR="00625943" w:rsidRPr="0098262F" w:rsidRDefault="00625943">
            <w:pPr>
              <w:pStyle w:val="TableText0"/>
              <w:framePr w:wrap="around"/>
              <w:jc w:val="center"/>
            </w:pPr>
            <w:r>
              <w:t xml:space="preserve">30.08 </w:t>
            </w:r>
            <w:r w:rsidRPr="002E0E96">
              <w:rPr>
                <w:vertAlign w:val="superscript"/>
              </w:rPr>
              <w:t>a</w:t>
            </w:r>
            <w:r>
              <w:t xml:space="preserve"> </w:t>
            </w:r>
            <w:r w:rsidR="005C4807">
              <w:br/>
            </w:r>
            <w:r>
              <w:t>days per pack</w:t>
            </w:r>
          </w:p>
        </w:tc>
        <w:tc>
          <w:tcPr>
            <w:tcW w:w="698" w:type="pct"/>
            <w:shd w:val="clear" w:color="auto" w:fill="auto"/>
            <w:vAlign w:val="center"/>
          </w:tcPr>
          <w:p w14:paraId="73286811" w14:textId="2E324D34" w:rsidR="00625943" w:rsidRPr="0098262F" w:rsidRDefault="00625943">
            <w:pPr>
              <w:pStyle w:val="TableText0"/>
              <w:framePr w:wrap="around"/>
              <w:jc w:val="center"/>
            </w:pPr>
            <w:r>
              <w:t xml:space="preserve">30.08 </w:t>
            </w:r>
            <w:r w:rsidR="005C4807">
              <w:br/>
            </w:r>
            <w:r>
              <w:t>days per script</w:t>
            </w:r>
          </w:p>
        </w:tc>
        <w:tc>
          <w:tcPr>
            <w:tcW w:w="696" w:type="pct"/>
            <w:shd w:val="clear" w:color="auto" w:fill="auto"/>
            <w:vAlign w:val="center"/>
          </w:tcPr>
          <w:p w14:paraId="702D3D73" w14:textId="77777777" w:rsidR="00625943" w:rsidRPr="0098262F" w:rsidRDefault="00625943">
            <w:pPr>
              <w:pStyle w:val="TableText0"/>
              <w:framePr w:wrap="around"/>
              <w:jc w:val="center"/>
            </w:pPr>
            <w:r>
              <w:t>Ongoing daily</w:t>
            </w:r>
          </w:p>
        </w:tc>
        <w:tc>
          <w:tcPr>
            <w:tcW w:w="699" w:type="pct"/>
            <w:shd w:val="clear" w:color="auto" w:fill="auto"/>
            <w:vAlign w:val="center"/>
          </w:tcPr>
          <w:p w14:paraId="129B4690" w14:textId="77777777" w:rsidR="00625943" w:rsidRPr="0098262F" w:rsidRDefault="00625943">
            <w:pPr>
              <w:pStyle w:val="TableText0"/>
              <w:framePr w:wrap="around"/>
              <w:jc w:val="center"/>
            </w:pPr>
            <w:r>
              <w:t>Ongoing daily</w:t>
            </w:r>
          </w:p>
        </w:tc>
        <w:tc>
          <w:tcPr>
            <w:tcW w:w="699" w:type="pct"/>
            <w:vAlign w:val="center"/>
          </w:tcPr>
          <w:p w14:paraId="69EEB76F" w14:textId="77777777" w:rsidR="00625943" w:rsidRPr="0098262F" w:rsidRDefault="00625943">
            <w:pPr>
              <w:pStyle w:val="TableText0"/>
              <w:framePr w:wrap="around"/>
              <w:jc w:val="center"/>
            </w:pPr>
            <w:r>
              <w:t>Ongoing daily</w:t>
            </w:r>
          </w:p>
        </w:tc>
      </w:tr>
      <w:tr w:rsidR="00625943" w:rsidRPr="0098262F" w14:paraId="3D542EF0" w14:textId="77777777">
        <w:trPr>
          <w:cantSplit/>
          <w:jc w:val="center"/>
        </w:trPr>
        <w:tc>
          <w:tcPr>
            <w:tcW w:w="815" w:type="pct"/>
            <w:shd w:val="clear" w:color="auto" w:fill="auto"/>
            <w:vAlign w:val="center"/>
          </w:tcPr>
          <w:p w14:paraId="4C3A8412" w14:textId="77777777" w:rsidR="00625943" w:rsidRPr="0098262F" w:rsidRDefault="00625943">
            <w:pPr>
              <w:pStyle w:val="TableText0"/>
              <w:framePr w:wrap="around"/>
            </w:pPr>
            <w:r>
              <w:t>Packs per cycle (26 weeks)</w:t>
            </w:r>
          </w:p>
        </w:tc>
        <w:tc>
          <w:tcPr>
            <w:tcW w:w="697" w:type="pct"/>
            <w:shd w:val="clear" w:color="auto" w:fill="auto"/>
            <w:vAlign w:val="center"/>
          </w:tcPr>
          <w:p w14:paraId="7BE97D01" w14:textId="77777777" w:rsidR="00625943" w:rsidRDefault="00625943">
            <w:pPr>
              <w:pStyle w:val="TableText0"/>
              <w:framePr w:wrap="around"/>
              <w:jc w:val="center"/>
            </w:pPr>
            <w:r>
              <w:t xml:space="preserve">5.37 </w:t>
            </w:r>
            <w:r w:rsidRPr="009659F7">
              <w:rPr>
                <w:vertAlign w:val="superscript"/>
              </w:rPr>
              <w:t>b</w:t>
            </w:r>
          </w:p>
        </w:tc>
        <w:tc>
          <w:tcPr>
            <w:tcW w:w="696" w:type="pct"/>
            <w:shd w:val="clear" w:color="auto" w:fill="auto"/>
            <w:vAlign w:val="center"/>
          </w:tcPr>
          <w:p w14:paraId="476D80BB" w14:textId="77777777" w:rsidR="00625943" w:rsidRPr="0098262F" w:rsidRDefault="00625943">
            <w:pPr>
              <w:pStyle w:val="TableText0"/>
              <w:framePr w:wrap="around"/>
              <w:jc w:val="center"/>
            </w:pPr>
            <w:r>
              <w:t>6.07</w:t>
            </w:r>
          </w:p>
        </w:tc>
        <w:tc>
          <w:tcPr>
            <w:tcW w:w="698" w:type="pct"/>
            <w:shd w:val="clear" w:color="auto" w:fill="auto"/>
            <w:vAlign w:val="center"/>
          </w:tcPr>
          <w:p w14:paraId="4EF05907" w14:textId="5AC885C0" w:rsidR="00625943" w:rsidRPr="0098262F" w:rsidRDefault="00625943">
            <w:pPr>
              <w:pStyle w:val="TableText0"/>
              <w:framePr w:wrap="around"/>
              <w:jc w:val="center"/>
            </w:pPr>
            <w:r>
              <w:t xml:space="preserve">12.10 </w:t>
            </w:r>
            <w:r w:rsidRPr="002C0382">
              <w:rPr>
                <w:vertAlign w:val="superscript"/>
              </w:rPr>
              <w:t>d</w:t>
            </w:r>
            <w:r>
              <w:t xml:space="preserve"> </w:t>
            </w:r>
            <w:r w:rsidR="005C4807">
              <w:br/>
            </w:r>
            <w:r>
              <w:t>scripts per year</w:t>
            </w:r>
          </w:p>
        </w:tc>
        <w:tc>
          <w:tcPr>
            <w:tcW w:w="696" w:type="pct"/>
            <w:shd w:val="clear" w:color="auto" w:fill="auto"/>
            <w:vAlign w:val="center"/>
          </w:tcPr>
          <w:p w14:paraId="75944C3D" w14:textId="77777777" w:rsidR="00625943" w:rsidRDefault="00625943">
            <w:pPr>
              <w:pStyle w:val="TableText0"/>
              <w:framePr w:wrap="around"/>
              <w:jc w:val="center"/>
            </w:pPr>
            <w:r>
              <w:t>Calcium: 9.37</w:t>
            </w:r>
          </w:p>
          <w:p w14:paraId="553DB32D" w14:textId="77777777" w:rsidR="00625943" w:rsidRPr="0098262F" w:rsidRDefault="00625943">
            <w:pPr>
              <w:pStyle w:val="TableText0"/>
              <w:framePr w:wrap="around"/>
              <w:jc w:val="center"/>
            </w:pPr>
            <w:r>
              <w:t>Calcitriol: 4.51</w:t>
            </w:r>
          </w:p>
        </w:tc>
        <w:tc>
          <w:tcPr>
            <w:tcW w:w="699" w:type="pct"/>
            <w:shd w:val="clear" w:color="auto" w:fill="auto"/>
            <w:vAlign w:val="center"/>
          </w:tcPr>
          <w:p w14:paraId="3B0F984B" w14:textId="77777777" w:rsidR="00625943" w:rsidRDefault="00625943">
            <w:pPr>
              <w:pStyle w:val="TableText0"/>
              <w:framePr w:wrap="around"/>
              <w:jc w:val="center"/>
            </w:pPr>
            <w:r>
              <w:t>Calcium: 8.88</w:t>
            </w:r>
          </w:p>
          <w:p w14:paraId="60525201" w14:textId="77777777" w:rsidR="00625943" w:rsidRPr="0098262F" w:rsidRDefault="00625943">
            <w:pPr>
              <w:pStyle w:val="TableText0"/>
              <w:framePr w:wrap="around"/>
              <w:jc w:val="center"/>
            </w:pPr>
            <w:r>
              <w:t>Calcitriol: 3.65</w:t>
            </w:r>
          </w:p>
        </w:tc>
        <w:tc>
          <w:tcPr>
            <w:tcW w:w="699" w:type="pct"/>
            <w:vAlign w:val="center"/>
          </w:tcPr>
          <w:p w14:paraId="5120EB9F" w14:textId="77777777" w:rsidR="00625943" w:rsidRDefault="00625943">
            <w:pPr>
              <w:pStyle w:val="TableText0"/>
              <w:framePr w:wrap="around"/>
              <w:jc w:val="center"/>
            </w:pPr>
            <w:r>
              <w:t>Calcium: 6.01</w:t>
            </w:r>
          </w:p>
          <w:p w14:paraId="76FC04E1" w14:textId="77777777" w:rsidR="00625943" w:rsidRPr="0098262F" w:rsidRDefault="00625943">
            <w:pPr>
              <w:pStyle w:val="TableText0"/>
              <w:framePr w:wrap="around"/>
              <w:jc w:val="center"/>
            </w:pPr>
            <w:r>
              <w:t>Calcitriol: 3.64</w:t>
            </w:r>
          </w:p>
        </w:tc>
      </w:tr>
      <w:tr w:rsidR="00625943" w:rsidRPr="0098262F" w14:paraId="42FB28C4" w14:textId="77777777">
        <w:trPr>
          <w:cantSplit/>
          <w:trHeight w:val="563"/>
          <w:jc w:val="center"/>
        </w:trPr>
        <w:tc>
          <w:tcPr>
            <w:tcW w:w="815" w:type="pct"/>
            <w:shd w:val="clear" w:color="auto" w:fill="auto"/>
            <w:vAlign w:val="center"/>
          </w:tcPr>
          <w:p w14:paraId="6199891F" w14:textId="77777777" w:rsidR="00625943" w:rsidRPr="0098262F" w:rsidRDefault="00625943">
            <w:pPr>
              <w:pStyle w:val="TableText0"/>
              <w:framePr w:wrap="around"/>
            </w:pPr>
            <w:r>
              <w:t>Cost per pack</w:t>
            </w:r>
          </w:p>
        </w:tc>
        <w:tc>
          <w:tcPr>
            <w:tcW w:w="697" w:type="pct"/>
            <w:shd w:val="clear" w:color="auto" w:fill="auto"/>
            <w:vAlign w:val="center"/>
          </w:tcPr>
          <w:p w14:paraId="5A2E6598" w14:textId="06FED79B" w:rsidR="00625943" w:rsidRPr="0098262F" w:rsidRDefault="00625943">
            <w:pPr>
              <w:pStyle w:val="TableText0"/>
              <w:framePr w:wrap="around"/>
              <w:jc w:val="center"/>
            </w:pPr>
            <w:r>
              <w:t>$</w:t>
            </w:r>
            <w:r w:rsidR="00836BEA" w:rsidRPr="00836BEA">
              <w:rPr>
                <w:color w:val="000000"/>
                <w:spacing w:val="53"/>
                <w:shd w:val="solid" w:color="000000" w:fill="000000"/>
                <w:fitText w:val="330" w:id="-694428157"/>
                <w14:textFill>
                  <w14:solidFill>
                    <w14:srgbClr w14:val="000000">
                      <w14:alpha w14:val="100000"/>
                    </w14:srgbClr>
                  </w14:solidFill>
                </w14:textFill>
              </w:rPr>
              <w:t>|||</w:t>
            </w:r>
            <w:r w:rsidR="00836BEA" w:rsidRPr="00836BEA">
              <w:rPr>
                <w:color w:val="000000"/>
                <w:spacing w:val="1"/>
                <w:shd w:val="solid" w:color="000000" w:fill="000000"/>
                <w:fitText w:val="330" w:id="-694428157"/>
                <w14:textFill>
                  <w14:solidFill>
                    <w14:srgbClr w14:val="000000">
                      <w14:alpha w14:val="100000"/>
                    </w14:srgbClr>
                  </w14:solidFill>
                </w14:textFill>
              </w:rPr>
              <w:t>|</w:t>
            </w:r>
            <w:r>
              <w:t xml:space="preserve"> (DPMQ)</w:t>
            </w:r>
          </w:p>
        </w:tc>
        <w:tc>
          <w:tcPr>
            <w:tcW w:w="696" w:type="pct"/>
            <w:shd w:val="clear" w:color="auto" w:fill="auto"/>
            <w:vAlign w:val="center"/>
          </w:tcPr>
          <w:p w14:paraId="40FC514F" w14:textId="20A15F1F" w:rsidR="00625943" w:rsidRPr="0098262F" w:rsidRDefault="00625943">
            <w:pPr>
              <w:pStyle w:val="TableText0"/>
              <w:framePr w:wrap="around"/>
              <w:jc w:val="center"/>
            </w:pPr>
            <w:r>
              <w:t>$</w:t>
            </w:r>
            <w:r w:rsidR="00836BEA" w:rsidRPr="00836BEA">
              <w:rPr>
                <w:color w:val="000000"/>
                <w:spacing w:val="53"/>
                <w:shd w:val="solid" w:color="000000" w:fill="000000"/>
                <w:fitText w:val="330" w:id="-694428156"/>
                <w14:textFill>
                  <w14:solidFill>
                    <w14:srgbClr w14:val="000000">
                      <w14:alpha w14:val="100000"/>
                    </w14:srgbClr>
                  </w14:solidFill>
                </w14:textFill>
              </w:rPr>
              <w:t>|||</w:t>
            </w:r>
            <w:r w:rsidR="00836BEA" w:rsidRPr="00836BEA">
              <w:rPr>
                <w:color w:val="000000"/>
                <w:spacing w:val="1"/>
                <w:shd w:val="solid" w:color="000000" w:fill="000000"/>
                <w:fitText w:val="330" w:id="-694428156"/>
                <w14:textFill>
                  <w14:solidFill>
                    <w14:srgbClr w14:val="000000">
                      <w14:alpha w14:val="100000"/>
                    </w14:srgbClr>
                  </w14:solidFill>
                </w14:textFill>
              </w:rPr>
              <w:t>|</w:t>
            </w:r>
            <w:r>
              <w:t xml:space="preserve"> (DPMQ)</w:t>
            </w:r>
          </w:p>
        </w:tc>
        <w:tc>
          <w:tcPr>
            <w:tcW w:w="698" w:type="pct"/>
            <w:shd w:val="clear" w:color="auto" w:fill="auto"/>
            <w:vAlign w:val="center"/>
          </w:tcPr>
          <w:p w14:paraId="2AC81C6A" w14:textId="66F0519F" w:rsidR="00625943" w:rsidRPr="0098262F" w:rsidRDefault="00625943">
            <w:pPr>
              <w:pStyle w:val="TableText0"/>
              <w:framePr w:wrap="around"/>
              <w:jc w:val="center"/>
            </w:pPr>
            <w:r>
              <w:t>$</w:t>
            </w:r>
            <w:r w:rsidR="00836BEA" w:rsidRPr="00836BEA">
              <w:rPr>
                <w:color w:val="000000"/>
                <w:spacing w:val="53"/>
                <w:shd w:val="solid" w:color="000000" w:fill="000000"/>
                <w:fitText w:val="330" w:id="-694428155"/>
                <w14:textFill>
                  <w14:solidFill>
                    <w14:srgbClr w14:val="000000">
                      <w14:alpha w14:val="100000"/>
                    </w14:srgbClr>
                  </w14:solidFill>
                </w14:textFill>
              </w:rPr>
              <w:t>|||</w:t>
            </w:r>
            <w:r w:rsidR="00836BEA" w:rsidRPr="00836BEA">
              <w:rPr>
                <w:color w:val="000000"/>
                <w:spacing w:val="1"/>
                <w:shd w:val="solid" w:color="000000" w:fill="000000"/>
                <w:fitText w:val="330" w:id="-694428155"/>
                <w14:textFill>
                  <w14:solidFill>
                    <w14:srgbClr w14:val="000000">
                      <w14:alpha w14:val="100000"/>
                    </w14:srgbClr>
                  </w14:solidFill>
                </w14:textFill>
              </w:rPr>
              <w:t>|</w:t>
            </w:r>
            <w:r>
              <w:t xml:space="preserve"> (DPMQ)</w:t>
            </w:r>
          </w:p>
        </w:tc>
        <w:tc>
          <w:tcPr>
            <w:tcW w:w="696" w:type="pct"/>
            <w:shd w:val="clear" w:color="auto" w:fill="auto"/>
            <w:vAlign w:val="center"/>
          </w:tcPr>
          <w:p w14:paraId="59F6EABE" w14:textId="77777777" w:rsidR="00625943" w:rsidRDefault="00625943">
            <w:pPr>
              <w:pStyle w:val="TableText0"/>
              <w:framePr w:wrap="around"/>
              <w:jc w:val="center"/>
            </w:pPr>
            <w:r>
              <w:t>Calcium: $11.99 (60 * 600 mg tablets)</w:t>
            </w:r>
          </w:p>
          <w:p w14:paraId="70986BDD" w14:textId="77777777" w:rsidR="00625943" w:rsidRPr="0098262F" w:rsidRDefault="00625943">
            <w:pPr>
              <w:pStyle w:val="TableText0"/>
              <w:framePr w:wrap="around"/>
              <w:jc w:val="center"/>
            </w:pPr>
            <w:r>
              <w:t>Calcitriol: $29.58 (100 * 0.25 mcg capsules)</w:t>
            </w:r>
          </w:p>
        </w:tc>
        <w:tc>
          <w:tcPr>
            <w:tcW w:w="699" w:type="pct"/>
            <w:shd w:val="clear" w:color="auto" w:fill="auto"/>
            <w:vAlign w:val="center"/>
          </w:tcPr>
          <w:p w14:paraId="226EEC42" w14:textId="77777777" w:rsidR="00625943" w:rsidRDefault="00625943">
            <w:pPr>
              <w:pStyle w:val="TableText0"/>
              <w:framePr w:wrap="around"/>
              <w:jc w:val="center"/>
            </w:pPr>
            <w:r>
              <w:t>Calcium: $11.99 (60 * 600 mg tablets)</w:t>
            </w:r>
          </w:p>
          <w:p w14:paraId="146A53E8" w14:textId="77777777" w:rsidR="00625943" w:rsidRPr="0098262F" w:rsidRDefault="00625943">
            <w:pPr>
              <w:pStyle w:val="TableText0"/>
              <w:framePr w:wrap="around"/>
              <w:jc w:val="center"/>
            </w:pPr>
            <w:r>
              <w:t>Calcitriol: $29.58 (100 * 0.25 mcg capsules)</w:t>
            </w:r>
          </w:p>
        </w:tc>
        <w:tc>
          <w:tcPr>
            <w:tcW w:w="699" w:type="pct"/>
            <w:vAlign w:val="center"/>
          </w:tcPr>
          <w:p w14:paraId="4E219A09" w14:textId="77777777" w:rsidR="00625943" w:rsidRDefault="00625943">
            <w:pPr>
              <w:pStyle w:val="TableText0"/>
              <w:framePr w:wrap="around"/>
              <w:jc w:val="center"/>
            </w:pPr>
            <w:r>
              <w:t>Calcium: $19.03 (item 4082W) (120 * 600 mg tablets),</w:t>
            </w:r>
          </w:p>
          <w:p w14:paraId="19D95E16" w14:textId="7D0F275D" w:rsidR="00625943" w:rsidRPr="0098262F" w:rsidRDefault="00625943" w:rsidP="005C4807">
            <w:pPr>
              <w:pStyle w:val="TableText0"/>
              <w:framePr w:wrap="around"/>
              <w:jc w:val="center"/>
            </w:pPr>
            <w:r>
              <w:t>Calcitriol: $45.71 (13457G) (200 * 0.25 mcg capsules)</w:t>
            </w:r>
          </w:p>
        </w:tc>
      </w:tr>
      <w:tr w:rsidR="00625943" w:rsidRPr="0098262F" w14:paraId="4749494E" w14:textId="77777777">
        <w:trPr>
          <w:cantSplit/>
          <w:jc w:val="center"/>
        </w:trPr>
        <w:tc>
          <w:tcPr>
            <w:tcW w:w="815" w:type="pct"/>
            <w:shd w:val="clear" w:color="auto" w:fill="auto"/>
            <w:vAlign w:val="center"/>
          </w:tcPr>
          <w:p w14:paraId="3857B893" w14:textId="77777777" w:rsidR="00625943" w:rsidRPr="0098262F" w:rsidRDefault="00625943">
            <w:pPr>
              <w:pStyle w:val="TableText0"/>
              <w:framePr w:wrap="around"/>
            </w:pPr>
            <w:r w:rsidRPr="0098262F">
              <w:t>Cost/patient/</w:t>
            </w:r>
            <w:r>
              <w:t>cycle</w:t>
            </w:r>
          </w:p>
        </w:tc>
        <w:tc>
          <w:tcPr>
            <w:tcW w:w="697" w:type="pct"/>
            <w:shd w:val="clear" w:color="auto" w:fill="auto"/>
            <w:vAlign w:val="center"/>
          </w:tcPr>
          <w:p w14:paraId="1850C349" w14:textId="085C5024" w:rsidR="00625943" w:rsidRPr="0098262F" w:rsidRDefault="00625943">
            <w:pPr>
              <w:pStyle w:val="TableText0"/>
              <w:framePr w:wrap="around"/>
              <w:jc w:val="center"/>
            </w:pPr>
            <w:r>
              <w:t>$</w:t>
            </w:r>
            <w:r w:rsidR="00836BEA" w:rsidRPr="00836BEA">
              <w:rPr>
                <w:color w:val="000000"/>
                <w:spacing w:val="49"/>
                <w:shd w:val="solid" w:color="000000" w:fill="000000"/>
                <w:fitText w:val="320" w:id="-694428154"/>
                <w14:textFill>
                  <w14:solidFill>
                    <w14:srgbClr w14:val="000000">
                      <w14:alpha w14:val="100000"/>
                    </w14:srgbClr>
                  </w14:solidFill>
                </w14:textFill>
              </w:rPr>
              <w:t>|||</w:t>
            </w:r>
            <w:r w:rsidR="00836BEA" w:rsidRPr="00836BEA">
              <w:rPr>
                <w:color w:val="000000"/>
                <w:spacing w:val="3"/>
                <w:shd w:val="solid" w:color="000000" w:fill="000000"/>
                <w:fitText w:val="320" w:id="-694428154"/>
                <w14:textFill>
                  <w14:solidFill>
                    <w14:srgbClr w14:val="000000">
                      <w14:alpha w14:val="100000"/>
                    </w14:srgbClr>
                  </w14:solidFill>
                </w14:textFill>
              </w:rPr>
              <w:t>|</w:t>
            </w:r>
            <w:r w:rsidRPr="009659F7">
              <w:rPr>
                <w:vertAlign w:val="superscript"/>
              </w:rPr>
              <w:t xml:space="preserve"> </w:t>
            </w:r>
            <w:r>
              <w:rPr>
                <w:vertAlign w:val="superscript"/>
              </w:rPr>
              <w:t>c</w:t>
            </w:r>
          </w:p>
        </w:tc>
        <w:tc>
          <w:tcPr>
            <w:tcW w:w="696" w:type="pct"/>
            <w:shd w:val="clear" w:color="auto" w:fill="auto"/>
            <w:vAlign w:val="center"/>
          </w:tcPr>
          <w:p w14:paraId="6D607FDD" w14:textId="1BCCDFFC" w:rsidR="00625943" w:rsidRPr="0098262F" w:rsidRDefault="00625943">
            <w:pPr>
              <w:pStyle w:val="TableText0"/>
              <w:framePr w:wrap="around"/>
              <w:jc w:val="center"/>
            </w:pPr>
            <w:r>
              <w:t>$</w:t>
            </w:r>
            <w:r w:rsidR="00836BEA" w:rsidRPr="00836BEA">
              <w:rPr>
                <w:color w:val="000000"/>
                <w:spacing w:val="49"/>
                <w:shd w:val="solid" w:color="000000" w:fill="000000"/>
                <w:fitText w:val="320" w:id="-694428153"/>
                <w14:textFill>
                  <w14:solidFill>
                    <w14:srgbClr w14:val="000000">
                      <w14:alpha w14:val="100000"/>
                    </w14:srgbClr>
                  </w14:solidFill>
                </w14:textFill>
              </w:rPr>
              <w:t>|||</w:t>
            </w:r>
            <w:r w:rsidR="00836BEA" w:rsidRPr="00836BEA">
              <w:rPr>
                <w:color w:val="000000"/>
                <w:spacing w:val="3"/>
                <w:shd w:val="solid" w:color="000000" w:fill="000000"/>
                <w:fitText w:val="320" w:id="-694428153"/>
                <w14:textFill>
                  <w14:solidFill>
                    <w14:srgbClr w14:val="000000">
                      <w14:alpha w14:val="100000"/>
                    </w14:srgbClr>
                  </w14:solidFill>
                </w14:textFill>
              </w:rPr>
              <w:t>|</w:t>
            </w:r>
            <w:r>
              <w:t xml:space="preserve"> </w:t>
            </w:r>
            <w:r>
              <w:rPr>
                <w:vertAlign w:val="superscript"/>
              </w:rPr>
              <w:t>c</w:t>
            </w:r>
          </w:p>
        </w:tc>
        <w:tc>
          <w:tcPr>
            <w:tcW w:w="698" w:type="pct"/>
            <w:shd w:val="clear" w:color="auto" w:fill="auto"/>
            <w:vAlign w:val="center"/>
          </w:tcPr>
          <w:p w14:paraId="2A1631E7" w14:textId="77777777" w:rsidR="00625943" w:rsidRPr="0098262F" w:rsidRDefault="00625943">
            <w:pPr>
              <w:pStyle w:val="TableText0"/>
              <w:framePr w:wrap="around"/>
              <w:jc w:val="center"/>
            </w:pPr>
            <w:r>
              <w:t>-</w:t>
            </w:r>
          </w:p>
        </w:tc>
        <w:tc>
          <w:tcPr>
            <w:tcW w:w="696" w:type="pct"/>
            <w:shd w:val="clear" w:color="auto" w:fill="auto"/>
            <w:vAlign w:val="center"/>
          </w:tcPr>
          <w:p w14:paraId="3085450F" w14:textId="77777777" w:rsidR="00625943" w:rsidRDefault="00625943">
            <w:pPr>
              <w:pStyle w:val="TableText0"/>
              <w:framePr w:wrap="around"/>
              <w:jc w:val="center"/>
            </w:pPr>
            <w:r>
              <w:t>Calcium: $112.37</w:t>
            </w:r>
          </w:p>
          <w:p w14:paraId="03B717A3" w14:textId="77777777" w:rsidR="00625943" w:rsidRDefault="00625943">
            <w:pPr>
              <w:pStyle w:val="TableText0"/>
              <w:framePr w:wrap="around"/>
              <w:jc w:val="center"/>
            </w:pPr>
            <w:r>
              <w:t>Calcitriol: $133.54</w:t>
            </w:r>
          </w:p>
          <w:p w14:paraId="22126AC2" w14:textId="77777777" w:rsidR="00625943" w:rsidRPr="0098262F" w:rsidRDefault="00625943">
            <w:pPr>
              <w:pStyle w:val="TableText0"/>
              <w:framePr w:wrap="around"/>
              <w:jc w:val="center"/>
            </w:pPr>
            <w:r>
              <w:t>Total: $245.90</w:t>
            </w:r>
          </w:p>
        </w:tc>
        <w:tc>
          <w:tcPr>
            <w:tcW w:w="699" w:type="pct"/>
            <w:shd w:val="clear" w:color="auto" w:fill="auto"/>
            <w:vAlign w:val="center"/>
          </w:tcPr>
          <w:p w14:paraId="37966433" w14:textId="77777777" w:rsidR="00625943" w:rsidRDefault="00625943">
            <w:pPr>
              <w:pStyle w:val="TableText0"/>
              <w:framePr w:wrap="around"/>
              <w:jc w:val="center"/>
            </w:pPr>
            <w:r>
              <w:t>Calcium: $106.44</w:t>
            </w:r>
          </w:p>
          <w:p w14:paraId="1F8EDC8F" w14:textId="77777777" w:rsidR="00625943" w:rsidRDefault="00625943">
            <w:pPr>
              <w:pStyle w:val="TableText0"/>
              <w:framePr w:wrap="around"/>
              <w:jc w:val="center"/>
            </w:pPr>
            <w:r>
              <w:t>Calcitriol: $108.04</w:t>
            </w:r>
          </w:p>
          <w:p w14:paraId="46B0203B" w14:textId="77777777" w:rsidR="00625943" w:rsidRPr="0098262F" w:rsidRDefault="00625943">
            <w:pPr>
              <w:pStyle w:val="TableText0"/>
              <w:framePr w:wrap="around"/>
              <w:jc w:val="center"/>
            </w:pPr>
            <w:r>
              <w:t>Total: $214.48</w:t>
            </w:r>
          </w:p>
        </w:tc>
        <w:tc>
          <w:tcPr>
            <w:tcW w:w="699" w:type="pct"/>
            <w:vAlign w:val="center"/>
          </w:tcPr>
          <w:p w14:paraId="6DD15FCE" w14:textId="77777777" w:rsidR="00625943" w:rsidRDefault="00625943">
            <w:pPr>
              <w:pStyle w:val="TableText0"/>
              <w:framePr w:wrap="around"/>
              <w:jc w:val="center"/>
            </w:pPr>
            <w:r>
              <w:t>Calcium: $114.37</w:t>
            </w:r>
          </w:p>
          <w:p w14:paraId="14556304" w14:textId="77777777" w:rsidR="00625943" w:rsidRDefault="00625943">
            <w:pPr>
              <w:pStyle w:val="TableText0"/>
              <w:framePr w:wrap="around"/>
              <w:jc w:val="center"/>
            </w:pPr>
            <w:r>
              <w:t>Calcitriol: $166.38</w:t>
            </w:r>
          </w:p>
          <w:p w14:paraId="2AC449A0" w14:textId="77777777" w:rsidR="00625943" w:rsidRPr="0098262F" w:rsidRDefault="00625943">
            <w:pPr>
              <w:pStyle w:val="TableText0"/>
              <w:framePr w:wrap="around"/>
              <w:jc w:val="center"/>
            </w:pPr>
            <w:r>
              <w:t>Total: $281.83</w:t>
            </w:r>
          </w:p>
        </w:tc>
      </w:tr>
      <w:tr w:rsidR="00625943" w:rsidRPr="0098262F" w14:paraId="19438405" w14:textId="77777777">
        <w:trPr>
          <w:cantSplit/>
          <w:jc w:val="center"/>
        </w:trPr>
        <w:tc>
          <w:tcPr>
            <w:tcW w:w="815" w:type="pct"/>
            <w:shd w:val="clear" w:color="auto" w:fill="auto"/>
            <w:vAlign w:val="center"/>
          </w:tcPr>
          <w:p w14:paraId="618E086E" w14:textId="77777777" w:rsidR="00625943" w:rsidRPr="0098262F" w:rsidRDefault="00625943">
            <w:pPr>
              <w:pStyle w:val="TableText0"/>
              <w:framePr w:wrap="around"/>
            </w:pPr>
            <w:r w:rsidRPr="0098262F">
              <w:t xml:space="preserve">Cost/patient/year (chronic) </w:t>
            </w:r>
          </w:p>
        </w:tc>
        <w:tc>
          <w:tcPr>
            <w:tcW w:w="697" w:type="pct"/>
            <w:shd w:val="clear" w:color="auto" w:fill="auto"/>
            <w:vAlign w:val="center"/>
          </w:tcPr>
          <w:p w14:paraId="20E64EA9" w14:textId="19714355" w:rsidR="00625943" w:rsidRPr="0098262F" w:rsidRDefault="00625943">
            <w:pPr>
              <w:pStyle w:val="TableText0"/>
              <w:framePr w:wrap="around"/>
              <w:jc w:val="center"/>
            </w:pPr>
            <w:r w:rsidRPr="009C502C">
              <w:t>$</w:t>
            </w:r>
            <w:r w:rsidR="00836BEA" w:rsidRPr="00836BEA">
              <w:rPr>
                <w:color w:val="000000"/>
                <w:spacing w:val="49"/>
                <w:shd w:val="solid" w:color="000000" w:fill="000000"/>
                <w:fitText w:val="320" w:id="-694428152"/>
                <w14:textFill>
                  <w14:solidFill>
                    <w14:srgbClr w14:val="000000">
                      <w14:alpha w14:val="100000"/>
                    </w14:srgbClr>
                  </w14:solidFill>
                </w14:textFill>
              </w:rPr>
              <w:t>|||</w:t>
            </w:r>
            <w:r w:rsidR="00836BEA" w:rsidRPr="00836BEA">
              <w:rPr>
                <w:color w:val="000000"/>
                <w:spacing w:val="3"/>
                <w:shd w:val="solid" w:color="000000" w:fill="000000"/>
                <w:fitText w:val="320" w:id="-694428152"/>
                <w14:textFill>
                  <w14:solidFill>
                    <w14:srgbClr w14:val="000000">
                      <w14:alpha w14:val="100000"/>
                    </w14:srgbClr>
                  </w14:solidFill>
                </w14:textFill>
              </w:rPr>
              <w:t>|</w:t>
            </w:r>
            <w:r w:rsidRPr="009659F7">
              <w:rPr>
                <w:vertAlign w:val="superscript"/>
              </w:rPr>
              <w:t xml:space="preserve"> </w:t>
            </w:r>
          </w:p>
        </w:tc>
        <w:tc>
          <w:tcPr>
            <w:tcW w:w="696" w:type="pct"/>
            <w:shd w:val="clear" w:color="auto" w:fill="auto"/>
            <w:vAlign w:val="center"/>
          </w:tcPr>
          <w:p w14:paraId="3E64760C" w14:textId="2985A69D" w:rsidR="00625943" w:rsidRPr="0098262F" w:rsidRDefault="00625943">
            <w:pPr>
              <w:pStyle w:val="TableText0"/>
              <w:framePr w:wrap="around"/>
              <w:jc w:val="center"/>
            </w:pPr>
            <w:r>
              <w:t>$</w:t>
            </w:r>
            <w:r w:rsidR="00836BEA" w:rsidRPr="00836BEA">
              <w:rPr>
                <w:color w:val="000000"/>
                <w:spacing w:val="49"/>
                <w:shd w:val="solid" w:color="000000" w:fill="000000"/>
                <w:fitText w:val="320" w:id="-694428151"/>
                <w14:textFill>
                  <w14:solidFill>
                    <w14:srgbClr w14:val="000000">
                      <w14:alpha w14:val="100000"/>
                    </w14:srgbClr>
                  </w14:solidFill>
                </w14:textFill>
              </w:rPr>
              <w:t>|||</w:t>
            </w:r>
            <w:r w:rsidR="00836BEA" w:rsidRPr="00836BEA">
              <w:rPr>
                <w:color w:val="000000"/>
                <w:spacing w:val="3"/>
                <w:shd w:val="solid" w:color="000000" w:fill="000000"/>
                <w:fitText w:val="320" w:id="-694428151"/>
                <w14:textFill>
                  <w14:solidFill>
                    <w14:srgbClr w14:val="000000">
                      <w14:alpha w14:val="100000"/>
                    </w14:srgbClr>
                  </w14:solidFill>
                </w14:textFill>
              </w:rPr>
              <w:t>|</w:t>
            </w:r>
          </w:p>
        </w:tc>
        <w:tc>
          <w:tcPr>
            <w:tcW w:w="698" w:type="pct"/>
            <w:shd w:val="clear" w:color="auto" w:fill="auto"/>
            <w:vAlign w:val="center"/>
          </w:tcPr>
          <w:p w14:paraId="2F117D3B" w14:textId="3609EE03" w:rsidR="00625943" w:rsidRPr="0098262F" w:rsidRDefault="00625943">
            <w:pPr>
              <w:pStyle w:val="TableText0"/>
              <w:framePr w:wrap="around"/>
              <w:jc w:val="center"/>
            </w:pPr>
            <w:r>
              <w:t>$</w:t>
            </w:r>
            <w:r w:rsidR="00836BEA" w:rsidRPr="00836BEA">
              <w:rPr>
                <w:color w:val="000000"/>
                <w:spacing w:val="53"/>
                <w:shd w:val="solid" w:color="000000" w:fill="000000"/>
                <w:fitText w:val="330" w:id="-694428150"/>
                <w14:textFill>
                  <w14:solidFill>
                    <w14:srgbClr w14:val="000000">
                      <w14:alpha w14:val="100000"/>
                    </w14:srgbClr>
                  </w14:solidFill>
                </w14:textFill>
              </w:rPr>
              <w:t>|||</w:t>
            </w:r>
            <w:r w:rsidR="00836BEA" w:rsidRPr="00836BEA">
              <w:rPr>
                <w:color w:val="000000"/>
                <w:spacing w:val="1"/>
                <w:shd w:val="solid" w:color="000000" w:fill="000000"/>
                <w:fitText w:val="330" w:id="-694428150"/>
                <w14:textFill>
                  <w14:solidFill>
                    <w14:srgbClr w14:val="000000">
                      <w14:alpha w14:val="100000"/>
                    </w14:srgbClr>
                  </w14:solidFill>
                </w14:textFill>
              </w:rPr>
              <w:t>|</w:t>
            </w:r>
            <w:r>
              <w:t xml:space="preserve"> </w:t>
            </w:r>
            <w:r>
              <w:rPr>
                <w:vertAlign w:val="superscript"/>
              </w:rPr>
              <w:t>c</w:t>
            </w:r>
          </w:p>
        </w:tc>
        <w:tc>
          <w:tcPr>
            <w:tcW w:w="696" w:type="pct"/>
            <w:shd w:val="clear" w:color="auto" w:fill="auto"/>
            <w:vAlign w:val="center"/>
          </w:tcPr>
          <w:p w14:paraId="4CFE163A" w14:textId="55818FAB" w:rsidR="00625943" w:rsidRPr="0098262F" w:rsidRDefault="00625943">
            <w:pPr>
              <w:pStyle w:val="TableText0"/>
              <w:framePr w:wrap="around"/>
              <w:jc w:val="center"/>
            </w:pPr>
            <w:r>
              <w:t>$492</w:t>
            </w:r>
          </w:p>
        </w:tc>
        <w:tc>
          <w:tcPr>
            <w:tcW w:w="699" w:type="pct"/>
            <w:shd w:val="clear" w:color="auto" w:fill="auto"/>
            <w:vAlign w:val="center"/>
          </w:tcPr>
          <w:p w14:paraId="4AA78816" w14:textId="66717400" w:rsidR="00625943" w:rsidRPr="0098262F" w:rsidRDefault="00625943">
            <w:pPr>
              <w:pStyle w:val="TableText0"/>
              <w:framePr w:wrap="around"/>
              <w:jc w:val="center"/>
            </w:pPr>
            <w:r>
              <w:t>$429</w:t>
            </w:r>
          </w:p>
        </w:tc>
        <w:tc>
          <w:tcPr>
            <w:tcW w:w="699" w:type="pct"/>
            <w:vAlign w:val="center"/>
          </w:tcPr>
          <w:p w14:paraId="181C85BE" w14:textId="297C1EE2" w:rsidR="00625943" w:rsidRPr="0098262F" w:rsidRDefault="00625943">
            <w:pPr>
              <w:pStyle w:val="TableText0"/>
              <w:framePr w:wrap="around"/>
              <w:jc w:val="center"/>
            </w:pPr>
            <w:r>
              <w:t>$564</w:t>
            </w:r>
          </w:p>
        </w:tc>
      </w:tr>
    </w:tbl>
    <w:p w14:paraId="4E2C7DEC" w14:textId="77777777" w:rsidR="00625943" w:rsidRDefault="00625943" w:rsidP="00625943">
      <w:pPr>
        <w:pStyle w:val="FooterTableFigure"/>
      </w:pPr>
      <w:r w:rsidRPr="0098262F">
        <w:t xml:space="preserve">Source: </w:t>
      </w:r>
      <w:r>
        <w:t>Compiled during the evaluation.</w:t>
      </w:r>
    </w:p>
    <w:p w14:paraId="1BE792DD" w14:textId="77777777" w:rsidR="00625943" w:rsidRDefault="00625943" w:rsidP="00625943">
      <w:pPr>
        <w:pStyle w:val="FooterTableFigure"/>
      </w:pPr>
      <w:r>
        <w:t>DPMQ = dispensed price for maximum quantity.</w:t>
      </w:r>
    </w:p>
    <w:p w14:paraId="1DF9F0BE" w14:textId="77777777" w:rsidR="00625943" w:rsidRPr="002E0E96" w:rsidRDefault="00625943" w:rsidP="00625943">
      <w:pPr>
        <w:pStyle w:val="FooterTableFigure"/>
      </w:pPr>
      <w:r w:rsidRPr="4D2BAA30">
        <w:rPr>
          <w:vertAlign w:val="superscript"/>
        </w:rPr>
        <w:t xml:space="preserve">a </w:t>
      </w:r>
      <w:r w:rsidRPr="4D2BAA30">
        <w:t>normal distribution estimated on the mean dose (21.4 mg/day) in PaTHway to estimate the dose distribution in the model.</w:t>
      </w:r>
    </w:p>
    <w:p w14:paraId="1895754E" w14:textId="77777777" w:rsidR="00625943" w:rsidRPr="009659F7" w:rsidRDefault="00625943" w:rsidP="00625943">
      <w:pPr>
        <w:pStyle w:val="FooterTableFigure"/>
      </w:pPr>
      <w:r>
        <w:rPr>
          <w:vertAlign w:val="superscript"/>
        </w:rPr>
        <w:t xml:space="preserve">b </w:t>
      </w:r>
      <w:r>
        <w:t xml:space="preserve">Individual patient data on dose distribution not presented by the submission, days of treatment calculated using the mean dose/day, rounded up to the next daily dose (24mcg). </w:t>
      </w:r>
    </w:p>
    <w:p w14:paraId="38C1E15E" w14:textId="77777777" w:rsidR="00625943" w:rsidRDefault="00625943" w:rsidP="00625943">
      <w:pPr>
        <w:pStyle w:val="FooterTableFigure"/>
      </w:pPr>
      <w:r w:rsidRPr="4D2BAA30">
        <w:rPr>
          <w:vertAlign w:val="superscript"/>
        </w:rPr>
        <w:t xml:space="preserve">c </w:t>
      </w:r>
      <w:r w:rsidRPr="4D2BAA30">
        <w:t>based on compliance rate of 96.4% (PaTHway trial), applied when estimating cost per cycle.</w:t>
      </w:r>
    </w:p>
    <w:p w14:paraId="00EF9730" w14:textId="77777777" w:rsidR="00625943" w:rsidRDefault="00625943" w:rsidP="00625943">
      <w:pPr>
        <w:pStyle w:val="FooterTableFigure"/>
      </w:pPr>
      <w:r>
        <w:rPr>
          <w:vertAlign w:val="superscript"/>
        </w:rPr>
        <w:t xml:space="preserve">d </w:t>
      </w:r>
      <w:r>
        <w:t>based on 364 days (52 weeks * 7 days)</w:t>
      </w:r>
    </w:p>
    <w:p w14:paraId="0287BD38" w14:textId="77777777" w:rsidR="00625943" w:rsidRDefault="00625943" w:rsidP="00625943">
      <w:pPr>
        <w:pStyle w:val="FooterTableFigure"/>
      </w:pPr>
      <w:r w:rsidRPr="4D2BAA30">
        <w:rPr>
          <w:vertAlign w:val="superscript"/>
        </w:rPr>
        <w:t xml:space="preserve">e </w:t>
      </w:r>
      <w:r w:rsidRPr="4D2BAA30">
        <w:t>median dose at Week 26 in PaTHway.</w:t>
      </w:r>
    </w:p>
    <w:p w14:paraId="2C72CA57" w14:textId="13CC4928" w:rsidR="00625943" w:rsidRPr="008C4365" w:rsidRDefault="00625943" w:rsidP="00625943">
      <w:pPr>
        <w:pStyle w:val="FooterTableFigure"/>
      </w:pPr>
      <w:r w:rsidRPr="008C4365">
        <w:rPr>
          <w:vertAlign w:val="superscript"/>
        </w:rPr>
        <w:t>f</w:t>
      </w:r>
      <w:r>
        <w:rPr>
          <w:vertAlign w:val="superscript"/>
        </w:rPr>
        <w:t xml:space="preserve"> </w:t>
      </w:r>
      <w:r>
        <w:t xml:space="preserve">the submission assumed 4 tablets per day of </w:t>
      </w:r>
      <w:r w:rsidR="00845F7B">
        <w:t>calcitriol</w:t>
      </w:r>
      <w:r>
        <w:t xml:space="preserve"> and vitamin D.</w:t>
      </w:r>
    </w:p>
    <w:p w14:paraId="4AC92509" w14:textId="3AE2E475" w:rsidR="00625943" w:rsidRPr="005A3E8C" w:rsidRDefault="00625943" w:rsidP="00625943">
      <w:pPr>
        <w:pStyle w:val="3-BodyText"/>
      </w:pPr>
      <w:bookmarkStart w:id="70" w:name="_Hlk107307804"/>
      <w:r w:rsidRPr="4D2BAA30">
        <w:t>The average cost of treatment of palopegteriparatide per patient per year was estimated by the economic model to be $</w:t>
      </w:r>
      <w:r w:rsidR="00836BEA" w:rsidRPr="00836BEA">
        <w:rPr>
          <w:color w:val="000000"/>
          <w:w w:val="60"/>
          <w:shd w:val="solid" w:color="000000" w:fill="000000"/>
          <w:fitText w:val="470" w:id="-694428149"/>
          <w14:textFill>
            <w14:solidFill>
              <w14:srgbClr w14:val="000000">
                <w14:alpha w14:val="100000"/>
              </w14:srgbClr>
            </w14:solidFill>
          </w14:textFill>
        </w:rPr>
        <w:t>|||  ||</w:t>
      </w:r>
      <w:r w:rsidR="00836BEA" w:rsidRPr="00836BEA">
        <w:rPr>
          <w:color w:val="000000"/>
          <w:spacing w:val="6"/>
          <w:w w:val="60"/>
          <w:shd w:val="solid" w:color="000000" w:fill="000000"/>
          <w:fitText w:val="470" w:id="-694428149"/>
          <w14:textFill>
            <w14:solidFill>
              <w14:srgbClr w14:val="000000">
                <w14:alpha w14:val="100000"/>
              </w14:srgbClr>
            </w14:solidFill>
          </w14:textFill>
        </w:rPr>
        <w:t>|</w:t>
      </w:r>
      <w:r w:rsidRPr="4D2BAA30">
        <w:t xml:space="preserve"> (= $</w:t>
      </w:r>
      <w:r w:rsidR="00836BEA" w:rsidRPr="00836BEA">
        <w:rPr>
          <w:color w:val="000000"/>
          <w:w w:val="60"/>
          <w:shd w:val="solid" w:color="000000" w:fill="000000"/>
          <w:fitText w:val="470" w:id="-694428148"/>
          <w14:textFill>
            <w14:solidFill>
              <w14:srgbClr w14:val="000000">
                <w14:alpha w14:val="100000"/>
              </w14:srgbClr>
            </w14:solidFill>
          </w14:textFill>
        </w:rPr>
        <w:t>|||  ||</w:t>
      </w:r>
      <w:r w:rsidR="00836BEA" w:rsidRPr="00836BEA">
        <w:rPr>
          <w:color w:val="000000"/>
          <w:spacing w:val="6"/>
          <w:w w:val="60"/>
          <w:shd w:val="solid" w:color="000000" w:fill="000000"/>
          <w:fitText w:val="470" w:id="-694428148"/>
          <w14:textFill>
            <w14:solidFill>
              <w14:srgbClr w14:val="000000">
                <w14:alpha w14:val="100000"/>
              </w14:srgbClr>
            </w14:solidFill>
          </w14:textFill>
        </w:rPr>
        <w:t>|</w:t>
      </w:r>
      <w:r w:rsidRPr="4D2BAA30">
        <w:t xml:space="preserve"> (cost per cycle) </w:t>
      </w:r>
      <w:r w:rsidR="005E50D1">
        <w:t>x</w:t>
      </w:r>
      <w:r w:rsidRPr="4D2BAA30">
        <w:t xml:space="preserve"> 2) based on the dispensed price of $</w:t>
      </w:r>
      <w:r w:rsidR="00836BEA" w:rsidRPr="00836BEA">
        <w:rPr>
          <w:color w:val="000000"/>
          <w:w w:val="60"/>
          <w:shd w:val="solid" w:color="000000" w:fill="000000"/>
          <w:fitText w:val="470" w:id="-694428147"/>
          <w14:textFill>
            <w14:solidFill>
              <w14:srgbClr w14:val="000000">
                <w14:alpha w14:val="100000"/>
              </w14:srgbClr>
            </w14:solidFill>
          </w14:textFill>
        </w:rPr>
        <w:t>|||  ||</w:t>
      </w:r>
      <w:r w:rsidR="00836BEA" w:rsidRPr="00836BEA">
        <w:rPr>
          <w:color w:val="000000"/>
          <w:spacing w:val="6"/>
          <w:w w:val="60"/>
          <w:shd w:val="solid" w:color="000000" w:fill="000000"/>
          <w:fitText w:val="470" w:id="-694428147"/>
          <w14:textFill>
            <w14:solidFill>
              <w14:srgbClr w14:val="000000">
                <w14:alpha w14:val="100000"/>
              </w14:srgbClr>
            </w14:solidFill>
          </w14:textFill>
        </w:rPr>
        <w:t>|</w:t>
      </w:r>
      <w:r w:rsidRPr="4D2BAA30">
        <w:t xml:space="preserve"> per pack and compliance rate of 96.4%. The cost of conventional therapy per patient per year was estimated to be $429. </w:t>
      </w:r>
    </w:p>
    <w:p w14:paraId="219EA905" w14:textId="77777777" w:rsidR="00625943" w:rsidRPr="0098262F" w:rsidRDefault="00625943" w:rsidP="00625943">
      <w:pPr>
        <w:pStyle w:val="4-SubsectionHeading"/>
      </w:pPr>
      <w:bookmarkStart w:id="71" w:name="_Toc22897647"/>
      <w:bookmarkStart w:id="72" w:name="_Toc187766420"/>
      <w:bookmarkEnd w:id="70"/>
      <w:r w:rsidRPr="0098262F">
        <w:t>Estimated PBS usage &amp; financial implications</w:t>
      </w:r>
      <w:bookmarkEnd w:id="71"/>
      <w:bookmarkEnd w:id="72"/>
    </w:p>
    <w:p w14:paraId="675E0184" w14:textId="71CC48D4" w:rsidR="0054188F" w:rsidRDefault="0054188F" w:rsidP="0054188F">
      <w:pPr>
        <w:pStyle w:val="3-BodyText"/>
        <w:rPr>
          <w:color w:val="0066FF"/>
        </w:rPr>
      </w:pPr>
      <w:bookmarkStart w:id="73" w:name="_Toc22897648"/>
      <w:bookmarkStart w:id="74" w:name="_Toc187766421"/>
      <w:r w:rsidRPr="0098262F">
        <w:t xml:space="preserve">This submission </w:t>
      </w:r>
      <w:r w:rsidR="002F55FD">
        <w:t xml:space="preserve">was </w:t>
      </w:r>
      <w:r w:rsidRPr="0098262F">
        <w:t xml:space="preserve">considered by </w:t>
      </w:r>
      <w:r>
        <w:t xml:space="preserve">the </w:t>
      </w:r>
      <w:r w:rsidRPr="0098262F">
        <w:t>DUSC</w:t>
      </w:r>
      <w:r w:rsidRPr="002724BC">
        <w:t>.</w:t>
      </w:r>
      <w:r w:rsidRPr="0098262F">
        <w:rPr>
          <w:color w:val="0066FF"/>
        </w:rPr>
        <w:t xml:space="preserve"> </w:t>
      </w:r>
    </w:p>
    <w:p w14:paraId="1F4919F6" w14:textId="0CE961E0" w:rsidR="0054188F" w:rsidRPr="00DD053A" w:rsidRDefault="0054188F">
      <w:pPr>
        <w:pStyle w:val="3-BodyText"/>
      </w:pPr>
      <w:r w:rsidRPr="001142BA">
        <w:t>The submission used an epidemiologic</w:t>
      </w:r>
      <w:r w:rsidRPr="00AF1601">
        <w:t>al approach</w:t>
      </w:r>
      <w:r w:rsidR="00036239">
        <w:t xml:space="preserve"> to estimate utilisation. </w:t>
      </w:r>
      <w:r>
        <w:t>D</w:t>
      </w:r>
      <w:r w:rsidRPr="00DD053A">
        <w:t xml:space="preserve">etails </w:t>
      </w:r>
      <w:r>
        <w:t xml:space="preserve">of the key inputs for the financial estimates </w:t>
      </w:r>
      <w:r w:rsidRPr="00DD053A">
        <w:t>are presented in</w:t>
      </w:r>
      <w:r>
        <w:t xml:space="preserve"> </w:t>
      </w:r>
      <w:r>
        <w:fldChar w:fldCharType="begin"/>
      </w:r>
      <w:r>
        <w:instrText xml:space="preserve"> REF _Ref104805262 \h </w:instrText>
      </w:r>
      <w:r>
        <w:fldChar w:fldCharType="separate"/>
      </w:r>
      <w:r w:rsidR="00DA35E4" w:rsidRPr="0098262F">
        <w:t xml:space="preserve">Table </w:t>
      </w:r>
      <w:r w:rsidR="00DA35E4">
        <w:rPr>
          <w:noProof/>
        </w:rPr>
        <w:t>18</w:t>
      </w:r>
      <w:r>
        <w:fldChar w:fldCharType="end"/>
      </w:r>
      <w:r>
        <w:t>.</w:t>
      </w:r>
    </w:p>
    <w:p w14:paraId="5275C41D" w14:textId="1DF4E8F9" w:rsidR="0054188F" w:rsidRPr="0098262F" w:rsidRDefault="0054188F" w:rsidP="0054188F">
      <w:pPr>
        <w:pStyle w:val="Caption"/>
        <w:rPr>
          <w:rStyle w:val="CommentReference"/>
          <w:b/>
          <w:szCs w:val="24"/>
        </w:rPr>
      </w:pPr>
      <w:bookmarkStart w:id="75" w:name="_Ref104805262"/>
      <w:r w:rsidRPr="0098262F">
        <w:t xml:space="preserve">Table </w:t>
      </w:r>
      <w:r>
        <w:fldChar w:fldCharType="begin"/>
      </w:r>
      <w:r>
        <w:instrText xml:space="preserve"> SEQ Table \* ARABIC </w:instrText>
      </w:r>
      <w:r>
        <w:fldChar w:fldCharType="separate"/>
      </w:r>
      <w:r w:rsidR="00DA35E4">
        <w:rPr>
          <w:noProof/>
        </w:rPr>
        <w:t>18</w:t>
      </w:r>
      <w:r>
        <w:rPr>
          <w:noProof/>
        </w:rPr>
        <w:fldChar w:fldCharType="end"/>
      </w:r>
      <w:bookmarkEnd w:id="75"/>
      <w:r w:rsidRPr="0098262F">
        <w:t>:</w:t>
      </w:r>
      <w:r w:rsidRPr="0098262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Key inputs for financial estimates"/>
      </w:tblPr>
      <w:tblGrid>
        <w:gridCol w:w="1916"/>
        <w:gridCol w:w="3720"/>
        <w:gridCol w:w="3381"/>
      </w:tblGrid>
      <w:tr w:rsidR="0054188F" w:rsidRPr="0098262F" w14:paraId="24EE7D1E" w14:textId="77777777">
        <w:trPr>
          <w:tblHeader/>
        </w:trPr>
        <w:tc>
          <w:tcPr>
            <w:tcW w:w="1062" w:type="pct"/>
            <w:shd w:val="clear" w:color="auto" w:fill="auto"/>
            <w:vAlign w:val="center"/>
          </w:tcPr>
          <w:p w14:paraId="0AF16CE6" w14:textId="77777777" w:rsidR="0054188F" w:rsidRPr="0098262F" w:rsidRDefault="0054188F">
            <w:pPr>
              <w:pStyle w:val="In-tableHeading"/>
              <w:framePr w:wrap="around"/>
            </w:pPr>
            <w:r w:rsidRPr="0098262F">
              <w:t>Parameter</w:t>
            </w:r>
          </w:p>
        </w:tc>
        <w:tc>
          <w:tcPr>
            <w:tcW w:w="2063" w:type="pct"/>
            <w:shd w:val="clear" w:color="auto" w:fill="auto"/>
            <w:vAlign w:val="center"/>
          </w:tcPr>
          <w:p w14:paraId="6AEB574B" w14:textId="77777777" w:rsidR="0054188F" w:rsidRPr="0098262F" w:rsidRDefault="0054188F">
            <w:pPr>
              <w:pStyle w:val="In-tableHeading"/>
              <w:framePr w:wrap="around"/>
            </w:pPr>
            <w:r w:rsidRPr="0098262F">
              <w:t>Value applied and source</w:t>
            </w:r>
          </w:p>
        </w:tc>
        <w:tc>
          <w:tcPr>
            <w:tcW w:w="1875" w:type="pct"/>
            <w:shd w:val="clear" w:color="auto" w:fill="auto"/>
            <w:vAlign w:val="center"/>
          </w:tcPr>
          <w:p w14:paraId="6180CABC" w14:textId="77777777" w:rsidR="0054188F" w:rsidRPr="0098262F" w:rsidRDefault="0054188F">
            <w:pPr>
              <w:pStyle w:val="In-tableHeading"/>
              <w:framePr w:wrap="around"/>
            </w:pPr>
            <w:r w:rsidRPr="0098262F">
              <w:t>Comment</w:t>
            </w:r>
          </w:p>
        </w:tc>
      </w:tr>
      <w:tr w:rsidR="0054188F" w:rsidRPr="0098262F" w14:paraId="50ABD776" w14:textId="77777777">
        <w:tc>
          <w:tcPr>
            <w:tcW w:w="1062" w:type="pct"/>
            <w:shd w:val="clear" w:color="auto" w:fill="auto"/>
            <w:vAlign w:val="center"/>
          </w:tcPr>
          <w:p w14:paraId="6C42B42C" w14:textId="77777777" w:rsidR="0054188F" w:rsidRPr="00297F21" w:rsidRDefault="0054188F">
            <w:pPr>
              <w:pStyle w:val="TableText0"/>
              <w:framePr w:wrap="around"/>
            </w:pPr>
            <w:r w:rsidRPr="001142BA">
              <w:t>Prevalent patients: Adults with chronic HPT</w:t>
            </w:r>
          </w:p>
        </w:tc>
        <w:tc>
          <w:tcPr>
            <w:tcW w:w="2063" w:type="pct"/>
            <w:shd w:val="clear" w:color="auto" w:fill="auto"/>
            <w:vAlign w:val="center"/>
          </w:tcPr>
          <w:p w14:paraId="5606F8BD" w14:textId="77777777" w:rsidR="0054188F" w:rsidRPr="0098262F" w:rsidRDefault="0054188F">
            <w:pPr>
              <w:pStyle w:val="TableText0"/>
              <w:framePr w:wrap="around"/>
            </w:pPr>
            <w:r w:rsidRPr="0098262F">
              <w:t xml:space="preserve">Prevalence of </w:t>
            </w:r>
            <w:r>
              <w:t xml:space="preserve">37.2 per 100,000 population </w:t>
            </w:r>
            <w:r w:rsidRPr="0098262F">
              <w:t xml:space="preserve">based on </w:t>
            </w:r>
            <w:r>
              <w:t xml:space="preserve">DUSC data on calcitriol utilisation. </w:t>
            </w:r>
          </w:p>
        </w:tc>
        <w:tc>
          <w:tcPr>
            <w:tcW w:w="1875" w:type="pct"/>
            <w:shd w:val="clear" w:color="auto" w:fill="auto"/>
            <w:vAlign w:val="center"/>
          </w:tcPr>
          <w:p w14:paraId="64815522" w14:textId="20996D20" w:rsidR="00C46EAA" w:rsidRPr="00150640" w:rsidRDefault="00E8790E">
            <w:pPr>
              <w:pStyle w:val="TableText0"/>
              <w:framePr w:wrap="around"/>
            </w:pPr>
            <w:r w:rsidRPr="00E8790E">
              <w:t xml:space="preserve">The </w:t>
            </w:r>
            <w:r w:rsidR="00C46EAA" w:rsidRPr="00E8790E">
              <w:rPr>
                <w:szCs w:val="20"/>
              </w:rPr>
              <w:t xml:space="preserve">DUSC considered </w:t>
            </w:r>
            <w:r w:rsidRPr="00E8790E">
              <w:rPr>
                <w:szCs w:val="20"/>
              </w:rPr>
              <w:t>the prevalence rate was a</w:t>
            </w:r>
            <w:r w:rsidR="00C46EAA" w:rsidRPr="00E8790E">
              <w:rPr>
                <w:szCs w:val="20"/>
              </w:rPr>
              <w:t>t the higher end of the average pooled global estimate and higher than real-world examples provided in submission. Average pooled global data suggest</w:t>
            </w:r>
            <w:r w:rsidRPr="00E8790E">
              <w:rPr>
                <w:szCs w:val="20"/>
              </w:rPr>
              <w:t xml:space="preserve">ed an incidence of </w:t>
            </w:r>
            <w:r w:rsidR="00C46EAA" w:rsidRPr="00E8790E">
              <w:rPr>
                <w:szCs w:val="20"/>
              </w:rPr>
              <w:t>25-37 per 100,000</w:t>
            </w:r>
            <w:r w:rsidRPr="00E8790E">
              <w:rPr>
                <w:szCs w:val="20"/>
              </w:rPr>
              <w:t xml:space="preserve"> population</w:t>
            </w:r>
            <w:r w:rsidR="00C46EAA" w:rsidRPr="00E8790E">
              <w:rPr>
                <w:szCs w:val="20"/>
              </w:rPr>
              <w:t>.</w:t>
            </w:r>
          </w:p>
        </w:tc>
      </w:tr>
      <w:tr w:rsidR="0054188F" w:rsidRPr="0098262F" w14:paraId="2F0A247A" w14:textId="77777777">
        <w:tc>
          <w:tcPr>
            <w:tcW w:w="1062" w:type="pct"/>
            <w:shd w:val="clear" w:color="auto" w:fill="auto"/>
            <w:vAlign w:val="center"/>
          </w:tcPr>
          <w:p w14:paraId="6B75A919" w14:textId="77777777" w:rsidR="0054188F" w:rsidRPr="0098262F" w:rsidRDefault="0054188F">
            <w:pPr>
              <w:pStyle w:val="TableText0"/>
              <w:framePr w:wrap="around"/>
            </w:pPr>
            <w:r>
              <w:t>Proportion of patients who are inadequately controlled as per the proposed</w:t>
            </w:r>
            <w:r w:rsidRPr="0098262F">
              <w:t xml:space="preserve"> PBS criteria</w:t>
            </w:r>
            <w:r>
              <w:t xml:space="preserve"> </w:t>
            </w:r>
          </w:p>
        </w:tc>
        <w:tc>
          <w:tcPr>
            <w:tcW w:w="2063" w:type="pct"/>
            <w:shd w:val="clear" w:color="auto" w:fill="auto"/>
            <w:vAlign w:val="center"/>
          </w:tcPr>
          <w:p w14:paraId="1BE51F1E" w14:textId="77777777" w:rsidR="0054188F" w:rsidRPr="0098262F" w:rsidRDefault="0054188F">
            <w:pPr>
              <w:pStyle w:val="TableText0"/>
              <w:framePr w:wrap="around"/>
            </w:pPr>
            <w:r w:rsidRPr="001142BA">
              <w:t xml:space="preserve">34.52% based on a survey conducted by the submission of </w:t>
            </w:r>
            <w:r>
              <w:t xml:space="preserve">69 </w:t>
            </w:r>
            <w:r w:rsidRPr="001142BA">
              <w:t>Australian endocrinologists</w:t>
            </w:r>
            <w:r>
              <w:t>.</w:t>
            </w:r>
          </w:p>
        </w:tc>
        <w:tc>
          <w:tcPr>
            <w:tcW w:w="1875" w:type="pct"/>
            <w:shd w:val="clear" w:color="auto" w:fill="auto"/>
            <w:vAlign w:val="center"/>
          </w:tcPr>
          <w:p w14:paraId="3FE77F44" w14:textId="38FC30C1" w:rsidR="00E156C8" w:rsidRPr="00BB3A6D" w:rsidRDefault="007E0938" w:rsidP="00D21919">
            <w:pPr>
              <w:framePr w:hSpace="180" w:wrap="around" w:vAnchor="text" w:hAnchor="text" w:y="1"/>
              <w:suppressOverlap/>
              <w:jc w:val="left"/>
              <w:rPr>
                <w:rFonts w:ascii="Arial Narrow" w:hAnsi="Arial Narrow"/>
                <w:sz w:val="20"/>
                <w:szCs w:val="20"/>
              </w:rPr>
            </w:pPr>
            <w:r w:rsidRPr="00BB3A6D">
              <w:rPr>
                <w:rFonts w:ascii="Arial Narrow" w:hAnsi="Arial Narrow"/>
                <w:sz w:val="20"/>
                <w:szCs w:val="20"/>
              </w:rPr>
              <w:t>-</w:t>
            </w:r>
          </w:p>
        </w:tc>
      </w:tr>
      <w:tr w:rsidR="0054188F" w:rsidRPr="0098262F" w14:paraId="7CD09E87" w14:textId="77777777">
        <w:tc>
          <w:tcPr>
            <w:tcW w:w="1062" w:type="pct"/>
            <w:shd w:val="clear" w:color="auto" w:fill="auto"/>
            <w:vAlign w:val="center"/>
          </w:tcPr>
          <w:p w14:paraId="33262ED1" w14:textId="77777777" w:rsidR="0054188F" w:rsidRPr="0098262F" w:rsidRDefault="0054188F">
            <w:pPr>
              <w:pStyle w:val="TableText0"/>
              <w:framePr w:wrap="around"/>
            </w:pPr>
            <w:r w:rsidRPr="0098262F">
              <w:t>Uptake rate</w:t>
            </w:r>
          </w:p>
        </w:tc>
        <w:tc>
          <w:tcPr>
            <w:tcW w:w="2063" w:type="pct"/>
            <w:shd w:val="clear" w:color="auto" w:fill="auto"/>
            <w:vAlign w:val="center"/>
          </w:tcPr>
          <w:p w14:paraId="5ADEE13D" w14:textId="2A4C51FE" w:rsidR="0054188F" w:rsidRPr="0098262F" w:rsidRDefault="00836BEA">
            <w:pPr>
              <w:pStyle w:val="TableText0"/>
              <w:framePr w:wrap="around"/>
            </w:pPr>
            <w:r w:rsidRPr="00836BEA">
              <w:rPr>
                <w:color w:val="000000"/>
                <w:spacing w:val="53"/>
                <w:shd w:val="solid" w:color="000000" w:fill="000000"/>
                <w:fitText w:val="330" w:id="-694428146"/>
                <w14:textFill>
                  <w14:solidFill>
                    <w14:srgbClr w14:val="000000">
                      <w14:alpha w14:val="100000"/>
                    </w14:srgbClr>
                  </w14:solidFill>
                </w14:textFill>
              </w:rPr>
              <w:t>|||</w:t>
            </w:r>
            <w:r w:rsidRPr="00836BEA">
              <w:rPr>
                <w:color w:val="000000"/>
                <w:spacing w:val="1"/>
                <w:shd w:val="solid" w:color="000000" w:fill="000000"/>
                <w:fitText w:val="330" w:id="-694428146"/>
                <w14:textFill>
                  <w14:solidFill>
                    <w14:srgbClr w14:val="000000">
                      <w14:alpha w14:val="100000"/>
                    </w14:srgbClr>
                  </w14:solidFill>
                </w14:textFill>
              </w:rPr>
              <w:t>|</w:t>
            </w:r>
            <w:r w:rsidR="0054188F">
              <w:t xml:space="preserve">% in Year 1, increasing to </w:t>
            </w:r>
            <w:r w:rsidRPr="00836BEA">
              <w:rPr>
                <w:color w:val="000000"/>
                <w:spacing w:val="53"/>
                <w:shd w:val="solid" w:color="000000" w:fill="000000"/>
                <w:fitText w:val="330" w:id="-694428145"/>
                <w14:textFill>
                  <w14:solidFill>
                    <w14:srgbClr w14:val="000000">
                      <w14:alpha w14:val="100000"/>
                    </w14:srgbClr>
                  </w14:solidFill>
                </w14:textFill>
              </w:rPr>
              <w:t>|||</w:t>
            </w:r>
            <w:r w:rsidRPr="00836BEA">
              <w:rPr>
                <w:color w:val="000000"/>
                <w:spacing w:val="1"/>
                <w:shd w:val="solid" w:color="000000" w:fill="000000"/>
                <w:fitText w:val="330" w:id="-694428145"/>
                <w14:textFill>
                  <w14:solidFill>
                    <w14:srgbClr w14:val="000000">
                      <w14:alpha w14:val="100000"/>
                    </w14:srgbClr>
                  </w14:solidFill>
                </w14:textFill>
              </w:rPr>
              <w:t>|</w:t>
            </w:r>
            <w:r w:rsidR="0054188F">
              <w:t>% in Year 6, based on a survey of 69 Australian endocrinologists.</w:t>
            </w:r>
          </w:p>
        </w:tc>
        <w:tc>
          <w:tcPr>
            <w:tcW w:w="1875" w:type="pct"/>
            <w:shd w:val="clear" w:color="auto" w:fill="auto"/>
            <w:vAlign w:val="center"/>
          </w:tcPr>
          <w:p w14:paraId="3373CEC8" w14:textId="3DE72492" w:rsidR="007B7074" w:rsidRPr="00150640" w:rsidRDefault="003730C5">
            <w:pPr>
              <w:pStyle w:val="TableText0"/>
              <w:framePr w:wrap="around"/>
            </w:pPr>
            <w:r w:rsidRPr="00200DC5">
              <w:t xml:space="preserve">The </w:t>
            </w:r>
            <w:r w:rsidR="007B7074" w:rsidRPr="00200DC5">
              <w:rPr>
                <w:szCs w:val="20"/>
              </w:rPr>
              <w:t xml:space="preserve">DUSC considered that this was uncertain. The DUSC </w:t>
            </w:r>
            <w:r w:rsidRPr="00200DC5">
              <w:rPr>
                <w:szCs w:val="20"/>
              </w:rPr>
              <w:t xml:space="preserve">considered that </w:t>
            </w:r>
            <w:r w:rsidR="00200DC5" w:rsidRPr="00200DC5">
              <w:rPr>
                <w:szCs w:val="20"/>
              </w:rPr>
              <w:t>th</w:t>
            </w:r>
            <w:r w:rsidR="007B7074" w:rsidRPr="00200DC5">
              <w:rPr>
                <w:szCs w:val="20"/>
              </w:rPr>
              <w:t>e uptake rates in early years may be overestimated.</w:t>
            </w:r>
            <w:r w:rsidR="007B7074">
              <w:rPr>
                <w:i/>
                <w:iCs/>
                <w:szCs w:val="20"/>
              </w:rPr>
              <w:t xml:space="preserve">  </w:t>
            </w:r>
          </w:p>
        </w:tc>
      </w:tr>
      <w:tr w:rsidR="007D51E4" w:rsidRPr="0098262F" w14:paraId="69539124" w14:textId="77777777">
        <w:tc>
          <w:tcPr>
            <w:tcW w:w="1062" w:type="pct"/>
            <w:shd w:val="clear" w:color="auto" w:fill="auto"/>
            <w:vAlign w:val="center"/>
          </w:tcPr>
          <w:p w14:paraId="135E746F" w14:textId="07FC1A1E" w:rsidR="007D51E4" w:rsidRPr="0098262F" w:rsidRDefault="007D51E4" w:rsidP="007D51E4">
            <w:pPr>
              <w:pStyle w:val="TableText0"/>
              <w:framePr w:wrap="around"/>
            </w:pPr>
            <w:r w:rsidRPr="001142BA">
              <w:rPr>
                <w:szCs w:val="20"/>
              </w:rPr>
              <w:t>Number of patients responding to treatment with PPT after 26 weeks</w:t>
            </w:r>
          </w:p>
        </w:tc>
        <w:tc>
          <w:tcPr>
            <w:tcW w:w="2063" w:type="pct"/>
            <w:shd w:val="clear" w:color="auto" w:fill="auto"/>
            <w:vAlign w:val="center"/>
          </w:tcPr>
          <w:p w14:paraId="29A578E7" w14:textId="4AE7033B" w:rsidR="007D51E4" w:rsidRDefault="007D51E4" w:rsidP="007D51E4">
            <w:pPr>
              <w:pStyle w:val="TableText0"/>
              <w:framePr w:wrap="around"/>
            </w:pPr>
            <w:r w:rsidRPr="001142BA">
              <w:rPr>
                <w:szCs w:val="20"/>
              </w:rPr>
              <w:t>Based on the response rate of treatment (78.69%) from PaTHway.</w:t>
            </w:r>
          </w:p>
        </w:tc>
        <w:tc>
          <w:tcPr>
            <w:tcW w:w="1875" w:type="pct"/>
            <w:shd w:val="clear" w:color="auto" w:fill="auto"/>
            <w:vAlign w:val="center"/>
          </w:tcPr>
          <w:p w14:paraId="4C1C00B2" w14:textId="1CADB6B8" w:rsidR="007D51E4" w:rsidRPr="007E0938" w:rsidRDefault="00EC78CD" w:rsidP="007D51E4">
            <w:pPr>
              <w:pStyle w:val="TableText0"/>
              <w:framePr w:wrap="around"/>
            </w:pPr>
            <w:r w:rsidRPr="007E0938">
              <w:rPr>
                <w:szCs w:val="20"/>
              </w:rPr>
              <w:t xml:space="preserve">The </w:t>
            </w:r>
            <w:r w:rsidR="00AA732C" w:rsidRPr="007E0938">
              <w:rPr>
                <w:szCs w:val="20"/>
              </w:rPr>
              <w:t xml:space="preserve">DUSC considered that this was uncertain, and likely overestimated. </w:t>
            </w:r>
            <w:r w:rsidRPr="007E0938">
              <w:rPr>
                <w:szCs w:val="20"/>
              </w:rPr>
              <w:t xml:space="preserve">The </w:t>
            </w:r>
            <w:r w:rsidR="00AA732C" w:rsidRPr="007E0938">
              <w:rPr>
                <w:szCs w:val="20"/>
              </w:rPr>
              <w:t xml:space="preserve">DUSC considered that the real-world population </w:t>
            </w:r>
            <w:r w:rsidRPr="007E0938">
              <w:rPr>
                <w:szCs w:val="20"/>
              </w:rPr>
              <w:t>would</w:t>
            </w:r>
            <w:r w:rsidR="00AA732C" w:rsidRPr="007E0938">
              <w:rPr>
                <w:szCs w:val="20"/>
              </w:rPr>
              <w:t xml:space="preserve"> be broader than the trial population and the response rate was likely to be lower.  </w:t>
            </w:r>
          </w:p>
        </w:tc>
      </w:tr>
      <w:tr w:rsidR="00AA732C" w:rsidRPr="0098262F" w14:paraId="53A34E65" w14:textId="77777777">
        <w:tc>
          <w:tcPr>
            <w:tcW w:w="1062" w:type="pct"/>
            <w:shd w:val="clear" w:color="auto" w:fill="auto"/>
            <w:vAlign w:val="center"/>
          </w:tcPr>
          <w:p w14:paraId="42105295" w14:textId="77777777" w:rsidR="00AA732C" w:rsidRPr="001142BA" w:rsidRDefault="00AA732C" w:rsidP="007D51E4">
            <w:pPr>
              <w:pStyle w:val="TableText0"/>
              <w:framePr w:wrap="around"/>
              <w:rPr>
                <w:szCs w:val="20"/>
              </w:rPr>
            </w:pPr>
          </w:p>
        </w:tc>
        <w:tc>
          <w:tcPr>
            <w:tcW w:w="2063" w:type="pct"/>
            <w:shd w:val="clear" w:color="auto" w:fill="auto"/>
            <w:vAlign w:val="center"/>
          </w:tcPr>
          <w:p w14:paraId="073D072F" w14:textId="77777777" w:rsidR="00AA732C" w:rsidRPr="001142BA" w:rsidRDefault="00AA732C" w:rsidP="007D51E4">
            <w:pPr>
              <w:pStyle w:val="TableText0"/>
              <w:framePr w:wrap="around"/>
              <w:rPr>
                <w:szCs w:val="20"/>
              </w:rPr>
            </w:pPr>
          </w:p>
        </w:tc>
        <w:tc>
          <w:tcPr>
            <w:tcW w:w="1875" w:type="pct"/>
            <w:shd w:val="clear" w:color="auto" w:fill="auto"/>
            <w:vAlign w:val="center"/>
          </w:tcPr>
          <w:p w14:paraId="4B493C83" w14:textId="77777777" w:rsidR="00AA732C" w:rsidRDefault="00AA732C" w:rsidP="007D51E4">
            <w:pPr>
              <w:pStyle w:val="TableText0"/>
              <w:framePr w:wrap="around"/>
              <w:rPr>
                <w:i/>
                <w:iCs/>
                <w:szCs w:val="20"/>
              </w:rPr>
            </w:pPr>
          </w:p>
        </w:tc>
      </w:tr>
      <w:tr w:rsidR="007D51E4" w:rsidRPr="0098262F" w14:paraId="51C2C439" w14:textId="77777777">
        <w:tc>
          <w:tcPr>
            <w:tcW w:w="1062" w:type="pct"/>
            <w:shd w:val="clear" w:color="auto" w:fill="auto"/>
            <w:vAlign w:val="center"/>
          </w:tcPr>
          <w:p w14:paraId="6A5E9302" w14:textId="77777777" w:rsidR="007D51E4" w:rsidRPr="0098262F" w:rsidRDefault="007D51E4" w:rsidP="007D51E4">
            <w:pPr>
              <w:pStyle w:val="TableText0"/>
              <w:framePr w:wrap="around"/>
            </w:pPr>
            <w:r>
              <w:t>Discontinuation rate</w:t>
            </w:r>
          </w:p>
          <w:p w14:paraId="493A9835" w14:textId="77777777" w:rsidR="007D51E4" w:rsidRPr="0098262F" w:rsidRDefault="007D51E4" w:rsidP="007D51E4">
            <w:pPr>
              <w:pStyle w:val="TableText0"/>
              <w:framePr w:wrap="around"/>
            </w:pPr>
          </w:p>
        </w:tc>
        <w:tc>
          <w:tcPr>
            <w:tcW w:w="2063" w:type="pct"/>
            <w:shd w:val="clear" w:color="auto" w:fill="auto"/>
            <w:vAlign w:val="center"/>
          </w:tcPr>
          <w:p w14:paraId="67EDF2FB" w14:textId="77777777" w:rsidR="007D51E4" w:rsidRPr="0098262F" w:rsidRDefault="007D51E4" w:rsidP="007D51E4">
            <w:pPr>
              <w:pStyle w:val="TableText0"/>
              <w:framePr w:wrap="around"/>
            </w:pPr>
            <w:r>
              <w:t xml:space="preserve">Assumed 5% discontinuation rate after first 26 weeks (1 cycle, that applied a stopping rule based on response to treatment). </w:t>
            </w:r>
          </w:p>
        </w:tc>
        <w:tc>
          <w:tcPr>
            <w:tcW w:w="1875" w:type="pct"/>
            <w:shd w:val="clear" w:color="auto" w:fill="auto"/>
            <w:vAlign w:val="center"/>
          </w:tcPr>
          <w:p w14:paraId="2E8F7D32" w14:textId="6772C150" w:rsidR="00AA732C" w:rsidRPr="00150640" w:rsidRDefault="005A36E9" w:rsidP="007D51E4">
            <w:pPr>
              <w:pStyle w:val="TableText0"/>
              <w:framePr w:wrap="around"/>
            </w:pPr>
            <w:r w:rsidRPr="00747218">
              <w:rPr>
                <w:szCs w:val="20"/>
              </w:rPr>
              <w:t>The DUSC considered that this</w:t>
            </w:r>
            <w:r w:rsidR="000C73FF" w:rsidRPr="00747218">
              <w:rPr>
                <w:szCs w:val="20"/>
              </w:rPr>
              <w:t xml:space="preserve"> was reasonable but uncertain</w:t>
            </w:r>
            <w:r w:rsidRPr="00747218">
              <w:rPr>
                <w:szCs w:val="20"/>
              </w:rPr>
              <w:t>, noting that a discontinuation rate of 3.6% was observed in the PaTHway trial</w:t>
            </w:r>
            <w:r w:rsidR="000C73FF" w:rsidRPr="00747218">
              <w:rPr>
                <w:szCs w:val="20"/>
              </w:rPr>
              <w:t>.</w:t>
            </w:r>
            <w:r w:rsidR="000C73FF" w:rsidRPr="0002798F">
              <w:rPr>
                <w:i/>
                <w:iCs/>
                <w:szCs w:val="20"/>
              </w:rPr>
              <w:t xml:space="preserve"> </w:t>
            </w:r>
          </w:p>
        </w:tc>
      </w:tr>
    </w:tbl>
    <w:p w14:paraId="37EEAF7A" w14:textId="77777777" w:rsidR="0054188F" w:rsidRDefault="0054188F" w:rsidP="0054188F">
      <w:pPr>
        <w:pStyle w:val="FooterTableFigure"/>
      </w:pPr>
      <w:r w:rsidRPr="0098262F">
        <w:t xml:space="preserve">Source: </w:t>
      </w:r>
      <w:r>
        <w:t>Compiled during the evaluation.</w:t>
      </w:r>
    </w:p>
    <w:p w14:paraId="5ACE9CF5" w14:textId="77777777" w:rsidR="0054188F" w:rsidRPr="0098262F" w:rsidRDefault="0054188F" w:rsidP="0054188F">
      <w:pPr>
        <w:pStyle w:val="FooterTableFigure"/>
      </w:pPr>
      <w:r>
        <w:t>DUSC = Drug Utilisation Sub Committee, HPT = hypoparathyroidism, PBS = Pharmaceutical Benefits Scheme.</w:t>
      </w:r>
    </w:p>
    <w:p w14:paraId="33361C62" w14:textId="77777777" w:rsidR="00DA35E4" w:rsidRDefault="0054188F" w:rsidP="00BA3E2B">
      <w:pPr>
        <w:pStyle w:val="Caption"/>
      </w:pPr>
      <w:r w:rsidRPr="000E72AD">
        <w:t>A summary of</w:t>
      </w:r>
      <w:r>
        <w:t xml:space="preserve"> the estimated use and</w:t>
      </w:r>
      <w:r w:rsidRPr="000E72AD">
        <w:t xml:space="preserve"> financial implications is presented</w:t>
      </w:r>
      <w:r>
        <w:t xml:space="preserve"> </w:t>
      </w:r>
      <w:r w:rsidRPr="00A511A4">
        <w:rPr>
          <w:lang w:val="en-US"/>
        </w:rPr>
        <w:t>in</w:t>
      </w:r>
      <w:r w:rsidRPr="0098262F">
        <w:rPr>
          <w:color w:val="0066FF"/>
        </w:rPr>
        <w:t xml:space="preserve"> </w:t>
      </w:r>
      <w:r>
        <w:rPr>
          <w:color w:val="0066FF"/>
        </w:rPr>
        <w:fldChar w:fldCharType="begin"/>
      </w:r>
      <w:r>
        <w:rPr>
          <w:color w:val="0066FF"/>
        </w:rPr>
        <w:instrText xml:space="preserve"> REF _Ref104805295 \h </w:instrText>
      </w:r>
      <w:r>
        <w:rPr>
          <w:color w:val="0066FF"/>
        </w:rPr>
      </w:r>
      <w:r>
        <w:rPr>
          <w:color w:val="0066FF"/>
        </w:rPr>
        <w:fldChar w:fldCharType="separate"/>
      </w:r>
    </w:p>
    <w:p w14:paraId="3DEBAD6C" w14:textId="77777777" w:rsidR="00DA35E4" w:rsidRDefault="00DA35E4" w:rsidP="00BA3E2B">
      <w:pPr>
        <w:pStyle w:val="Caption"/>
      </w:pPr>
    </w:p>
    <w:p w14:paraId="1568EF90" w14:textId="77777777" w:rsidR="00DA35E4" w:rsidRDefault="00DA35E4" w:rsidP="00BA3E2B">
      <w:pPr>
        <w:pStyle w:val="Caption"/>
      </w:pPr>
    </w:p>
    <w:p w14:paraId="75BB2D4B" w14:textId="77777777" w:rsidR="00DA35E4" w:rsidRDefault="00DA35E4" w:rsidP="00BA3E2B">
      <w:pPr>
        <w:pStyle w:val="Caption"/>
      </w:pPr>
    </w:p>
    <w:p w14:paraId="28C5891D" w14:textId="77777777" w:rsidR="00DA35E4" w:rsidRDefault="00DA35E4" w:rsidP="00BA3E2B">
      <w:pPr>
        <w:pStyle w:val="Caption"/>
      </w:pPr>
    </w:p>
    <w:p w14:paraId="3D29E28B" w14:textId="77777777" w:rsidR="00DA35E4" w:rsidRDefault="00DA35E4" w:rsidP="00BA3E2B">
      <w:pPr>
        <w:pStyle w:val="Caption"/>
      </w:pPr>
    </w:p>
    <w:p w14:paraId="0AE4D381" w14:textId="77777777" w:rsidR="00DA35E4" w:rsidRDefault="00DA35E4" w:rsidP="00BA3E2B">
      <w:pPr>
        <w:pStyle w:val="Caption"/>
      </w:pPr>
    </w:p>
    <w:p w14:paraId="0792A9A6" w14:textId="77777777" w:rsidR="00DA35E4" w:rsidRDefault="00DA35E4" w:rsidP="00BA3E2B">
      <w:pPr>
        <w:pStyle w:val="Caption"/>
      </w:pPr>
    </w:p>
    <w:p w14:paraId="2082F81C" w14:textId="77777777" w:rsidR="00DA35E4" w:rsidRDefault="00DA35E4" w:rsidP="00BA3E2B"/>
    <w:p w14:paraId="5B75037E" w14:textId="77777777" w:rsidR="00DA35E4" w:rsidRDefault="00DA35E4" w:rsidP="00920AFF">
      <w:pPr>
        <w:pStyle w:val="Caption"/>
        <w:keepNext w:val="0"/>
        <w:keepLines w:val="0"/>
      </w:pPr>
    </w:p>
    <w:p w14:paraId="43684157" w14:textId="1A4185AF" w:rsidR="0054188F" w:rsidRPr="006E6A78" w:rsidRDefault="00DA35E4" w:rsidP="006E6A78">
      <w:pPr>
        <w:pStyle w:val="Caption"/>
      </w:pPr>
      <w:r w:rsidRPr="0098262F">
        <w:t xml:space="preserve">Table </w:t>
      </w:r>
      <w:r>
        <w:rPr>
          <w:noProof/>
        </w:rPr>
        <w:t>19</w:t>
      </w:r>
      <w:r w:rsidR="0054188F">
        <w:rPr>
          <w:color w:val="0066FF"/>
        </w:rPr>
        <w:fldChar w:fldCharType="end"/>
      </w:r>
      <w:r w:rsidR="0054188F" w:rsidRPr="00874192">
        <w:t>.</w:t>
      </w:r>
      <w:r w:rsidR="0054188F">
        <w:rPr>
          <w:color w:val="0066FF"/>
        </w:rPr>
        <w:t xml:space="preserve"> </w:t>
      </w:r>
    </w:p>
    <w:p w14:paraId="3D9025DF" w14:textId="77777777" w:rsidR="00BA3E2B" w:rsidRDefault="00BA3E2B" w:rsidP="00BA3E2B">
      <w:pPr>
        <w:pStyle w:val="Caption"/>
      </w:pPr>
      <w:bookmarkStart w:id="76" w:name="_Ref104805295"/>
    </w:p>
    <w:p w14:paraId="34366D84" w14:textId="77777777" w:rsidR="00BA3E2B" w:rsidRDefault="00BA3E2B" w:rsidP="00BA3E2B">
      <w:pPr>
        <w:pStyle w:val="Caption"/>
      </w:pPr>
    </w:p>
    <w:p w14:paraId="4E0C3053" w14:textId="77777777" w:rsidR="00BA3E2B" w:rsidRDefault="00BA3E2B" w:rsidP="00BA3E2B">
      <w:pPr>
        <w:pStyle w:val="Caption"/>
      </w:pPr>
    </w:p>
    <w:p w14:paraId="49BBC825" w14:textId="77777777" w:rsidR="00BA3E2B" w:rsidRDefault="00BA3E2B" w:rsidP="00BA3E2B">
      <w:pPr>
        <w:pStyle w:val="Caption"/>
      </w:pPr>
    </w:p>
    <w:p w14:paraId="6C71A297" w14:textId="77777777" w:rsidR="00BA3E2B" w:rsidRDefault="00BA3E2B" w:rsidP="00BA3E2B">
      <w:pPr>
        <w:pStyle w:val="Caption"/>
      </w:pPr>
    </w:p>
    <w:p w14:paraId="27CFEAC0" w14:textId="77777777" w:rsidR="00BA3E2B" w:rsidRDefault="00BA3E2B" w:rsidP="00BA3E2B">
      <w:pPr>
        <w:pStyle w:val="Caption"/>
      </w:pPr>
    </w:p>
    <w:p w14:paraId="796ACE3F" w14:textId="77777777" w:rsidR="00BA3E2B" w:rsidRDefault="00BA3E2B" w:rsidP="00BA3E2B">
      <w:pPr>
        <w:pStyle w:val="Caption"/>
      </w:pPr>
    </w:p>
    <w:p w14:paraId="28734928" w14:textId="77777777" w:rsidR="00BA3E2B" w:rsidRDefault="00BA3E2B" w:rsidP="00BA3E2B">
      <w:pPr>
        <w:pStyle w:val="Caption"/>
      </w:pPr>
    </w:p>
    <w:p w14:paraId="2D391AD9" w14:textId="77777777" w:rsidR="00BA3E2B" w:rsidRDefault="00BA3E2B" w:rsidP="00BA3E2B"/>
    <w:p w14:paraId="3972DA9E" w14:textId="77777777" w:rsidR="00920AFF" w:rsidRDefault="00920AFF" w:rsidP="00920AFF">
      <w:pPr>
        <w:pStyle w:val="Caption"/>
        <w:keepNext w:val="0"/>
        <w:keepLines w:val="0"/>
      </w:pPr>
    </w:p>
    <w:p w14:paraId="119F7462" w14:textId="17B67488" w:rsidR="0054188F" w:rsidRPr="0098262F" w:rsidRDefault="0054188F" w:rsidP="00920AFF">
      <w:pPr>
        <w:pStyle w:val="Caption"/>
      </w:pPr>
      <w:r w:rsidRPr="0098262F">
        <w:t xml:space="preserve">Table </w:t>
      </w:r>
      <w:r>
        <w:fldChar w:fldCharType="begin"/>
      </w:r>
      <w:r>
        <w:instrText xml:space="preserve"> SEQ Table \* ARABIC </w:instrText>
      </w:r>
      <w:r>
        <w:fldChar w:fldCharType="separate"/>
      </w:r>
      <w:r w:rsidR="00DA35E4">
        <w:rPr>
          <w:noProof/>
        </w:rPr>
        <w:t>19</w:t>
      </w:r>
      <w:r>
        <w:rPr>
          <w:noProof/>
        </w:rPr>
        <w:fldChar w:fldCharType="end"/>
      </w:r>
      <w:bookmarkEnd w:id="76"/>
      <w:r w:rsidRPr="0098262F">
        <w:t>:</w:t>
      </w:r>
      <w:r w:rsidRPr="0098262F">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Estimated use and financial implications"/>
      </w:tblPr>
      <w:tblGrid>
        <w:gridCol w:w="2405"/>
        <w:gridCol w:w="1102"/>
        <w:gridCol w:w="1102"/>
        <w:gridCol w:w="1102"/>
        <w:gridCol w:w="1102"/>
        <w:gridCol w:w="1102"/>
        <w:gridCol w:w="1102"/>
      </w:tblGrid>
      <w:tr w:rsidR="0054188F" w:rsidRPr="0098262F" w14:paraId="2FCF40F7" w14:textId="77777777">
        <w:trPr>
          <w:tblHeader/>
        </w:trPr>
        <w:tc>
          <w:tcPr>
            <w:tcW w:w="1334" w:type="pct"/>
            <w:shd w:val="clear" w:color="auto" w:fill="auto"/>
            <w:vAlign w:val="center"/>
          </w:tcPr>
          <w:p w14:paraId="2D409BE9" w14:textId="77777777" w:rsidR="0054188F" w:rsidRPr="0098262F" w:rsidRDefault="0054188F" w:rsidP="00920AFF">
            <w:pPr>
              <w:pStyle w:val="In-tableHeading"/>
              <w:keepNext/>
              <w:framePr w:wrap="around"/>
            </w:pPr>
          </w:p>
        </w:tc>
        <w:tc>
          <w:tcPr>
            <w:tcW w:w="611" w:type="pct"/>
            <w:shd w:val="clear" w:color="auto" w:fill="auto"/>
            <w:vAlign w:val="center"/>
          </w:tcPr>
          <w:p w14:paraId="22A9F7FD" w14:textId="77777777" w:rsidR="0054188F" w:rsidRPr="0098262F" w:rsidRDefault="0054188F" w:rsidP="00920AFF">
            <w:pPr>
              <w:pStyle w:val="In-tableHeading"/>
              <w:keepNext/>
              <w:framePr w:wrap="around"/>
              <w:jc w:val="center"/>
            </w:pPr>
            <w:r w:rsidRPr="0098262F">
              <w:t>Year 1</w:t>
            </w:r>
          </w:p>
        </w:tc>
        <w:tc>
          <w:tcPr>
            <w:tcW w:w="611" w:type="pct"/>
            <w:shd w:val="clear" w:color="auto" w:fill="auto"/>
            <w:vAlign w:val="center"/>
          </w:tcPr>
          <w:p w14:paraId="6D9B5D2E" w14:textId="77777777" w:rsidR="0054188F" w:rsidRPr="0098262F" w:rsidRDefault="0054188F" w:rsidP="00920AFF">
            <w:pPr>
              <w:pStyle w:val="In-tableHeading"/>
              <w:keepNext/>
              <w:framePr w:wrap="around"/>
              <w:jc w:val="center"/>
            </w:pPr>
            <w:r w:rsidRPr="0098262F">
              <w:t>Year 2</w:t>
            </w:r>
          </w:p>
        </w:tc>
        <w:tc>
          <w:tcPr>
            <w:tcW w:w="611" w:type="pct"/>
            <w:shd w:val="clear" w:color="auto" w:fill="auto"/>
            <w:vAlign w:val="center"/>
          </w:tcPr>
          <w:p w14:paraId="7C52975B" w14:textId="77777777" w:rsidR="0054188F" w:rsidRPr="0098262F" w:rsidRDefault="0054188F" w:rsidP="00920AFF">
            <w:pPr>
              <w:pStyle w:val="In-tableHeading"/>
              <w:keepNext/>
              <w:framePr w:wrap="around"/>
              <w:jc w:val="center"/>
            </w:pPr>
            <w:r w:rsidRPr="0098262F">
              <w:t>Year 3</w:t>
            </w:r>
          </w:p>
        </w:tc>
        <w:tc>
          <w:tcPr>
            <w:tcW w:w="611" w:type="pct"/>
            <w:shd w:val="clear" w:color="auto" w:fill="auto"/>
            <w:vAlign w:val="center"/>
          </w:tcPr>
          <w:p w14:paraId="078582C3" w14:textId="77777777" w:rsidR="0054188F" w:rsidRPr="0098262F" w:rsidRDefault="0054188F" w:rsidP="00920AFF">
            <w:pPr>
              <w:pStyle w:val="In-tableHeading"/>
              <w:keepNext/>
              <w:framePr w:wrap="around"/>
              <w:jc w:val="center"/>
            </w:pPr>
            <w:r w:rsidRPr="0098262F">
              <w:t>Year 4</w:t>
            </w:r>
          </w:p>
        </w:tc>
        <w:tc>
          <w:tcPr>
            <w:tcW w:w="611" w:type="pct"/>
            <w:shd w:val="clear" w:color="auto" w:fill="auto"/>
            <w:vAlign w:val="center"/>
          </w:tcPr>
          <w:p w14:paraId="27F61A54" w14:textId="77777777" w:rsidR="0054188F" w:rsidRPr="0098262F" w:rsidRDefault="0054188F" w:rsidP="00920AFF">
            <w:pPr>
              <w:pStyle w:val="In-tableHeading"/>
              <w:keepNext/>
              <w:framePr w:wrap="around"/>
              <w:jc w:val="center"/>
            </w:pPr>
            <w:r w:rsidRPr="0098262F">
              <w:t>Year 5</w:t>
            </w:r>
          </w:p>
        </w:tc>
        <w:tc>
          <w:tcPr>
            <w:tcW w:w="611" w:type="pct"/>
          </w:tcPr>
          <w:p w14:paraId="275CD7CB" w14:textId="77777777" w:rsidR="0054188F" w:rsidRPr="0098262F" w:rsidRDefault="0054188F" w:rsidP="00920AFF">
            <w:pPr>
              <w:pStyle w:val="In-tableHeading"/>
              <w:keepNext/>
              <w:framePr w:wrap="around"/>
              <w:jc w:val="center"/>
            </w:pPr>
            <w:r w:rsidRPr="0098262F">
              <w:t>Year 6</w:t>
            </w:r>
          </w:p>
        </w:tc>
      </w:tr>
      <w:tr w:rsidR="0054188F" w:rsidRPr="0098262F" w14:paraId="2FCD92CA" w14:textId="77777777">
        <w:tc>
          <w:tcPr>
            <w:tcW w:w="5000" w:type="pct"/>
            <w:gridSpan w:val="7"/>
            <w:shd w:val="clear" w:color="auto" w:fill="auto"/>
            <w:vAlign w:val="center"/>
          </w:tcPr>
          <w:p w14:paraId="3CFC22BD" w14:textId="77777777" w:rsidR="0054188F" w:rsidRPr="0098262F" w:rsidRDefault="0054188F" w:rsidP="00920AFF">
            <w:pPr>
              <w:pStyle w:val="In-tableHeading"/>
              <w:keepNext/>
              <w:framePr w:wrap="around"/>
            </w:pPr>
            <w:r w:rsidRPr="0098262F">
              <w:t>Estimated extent of use</w:t>
            </w:r>
          </w:p>
        </w:tc>
      </w:tr>
      <w:tr w:rsidR="0054188F" w:rsidRPr="0098262F" w14:paraId="0E31D4AE" w14:textId="77777777">
        <w:tc>
          <w:tcPr>
            <w:tcW w:w="1334" w:type="pct"/>
            <w:shd w:val="clear" w:color="auto" w:fill="auto"/>
            <w:vAlign w:val="center"/>
          </w:tcPr>
          <w:p w14:paraId="7C8518F6" w14:textId="77777777" w:rsidR="0054188F" w:rsidRPr="00555459" w:rsidRDefault="0054188F" w:rsidP="00920AFF">
            <w:pPr>
              <w:pStyle w:val="TableText0"/>
              <w:framePr w:wrap="around"/>
              <w:rPr>
                <w:rFonts w:ascii="Times" w:hAnsi="Times"/>
                <w:i/>
                <w:iCs/>
              </w:rPr>
            </w:pPr>
            <w:r w:rsidRPr="00555459">
              <w:t>Number of patients on palopegteriparatide</w:t>
            </w:r>
          </w:p>
        </w:tc>
        <w:tc>
          <w:tcPr>
            <w:tcW w:w="611" w:type="pct"/>
            <w:vAlign w:val="center"/>
          </w:tcPr>
          <w:p w14:paraId="191B7D72" w14:textId="21023C40"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44"/>
                <w14:textFill>
                  <w14:solidFill>
                    <w14:srgbClr w14:val="000000">
                      <w14:alpha w14:val="100000"/>
                    </w14:srgbClr>
                  </w14:solidFill>
                </w14:textFill>
              </w:rPr>
              <w:t>|||</w:t>
            </w:r>
            <w:r w:rsidRPr="00836BEA">
              <w:rPr>
                <w:color w:val="000000"/>
                <w:spacing w:val="1"/>
                <w:shd w:val="solid" w:color="000000" w:fill="000000"/>
                <w:fitText w:val="330" w:id="-694428144"/>
                <w14:textFill>
                  <w14:solidFill>
                    <w14:srgbClr w14:val="000000">
                      <w14:alpha w14:val="100000"/>
                    </w14:srgbClr>
                  </w14:solidFill>
                </w14:textFill>
              </w:rPr>
              <w:t>|</w:t>
            </w:r>
            <w:r w:rsidR="005C51C2" w:rsidRPr="005C51C2">
              <w:rPr>
                <w:vertAlign w:val="superscript"/>
              </w:rPr>
              <w:t>1</w:t>
            </w:r>
          </w:p>
        </w:tc>
        <w:tc>
          <w:tcPr>
            <w:tcW w:w="611" w:type="pct"/>
            <w:vAlign w:val="center"/>
          </w:tcPr>
          <w:p w14:paraId="4EA83D6E" w14:textId="7C4F4153"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60"/>
                <w14:textFill>
                  <w14:solidFill>
                    <w14:srgbClr w14:val="000000">
                      <w14:alpha w14:val="100000"/>
                    </w14:srgbClr>
                  </w14:solidFill>
                </w14:textFill>
              </w:rPr>
              <w:t>|||</w:t>
            </w:r>
            <w:r w:rsidRPr="00836BEA">
              <w:rPr>
                <w:color w:val="000000"/>
                <w:spacing w:val="1"/>
                <w:shd w:val="solid" w:color="000000" w:fill="000000"/>
                <w:fitText w:val="330" w:id="-694428160"/>
                <w14:textFill>
                  <w14:solidFill>
                    <w14:srgbClr w14:val="000000">
                      <w14:alpha w14:val="100000"/>
                    </w14:srgbClr>
                  </w14:solidFill>
                </w14:textFill>
              </w:rPr>
              <w:t>|</w:t>
            </w:r>
            <w:r w:rsidR="005C51C2" w:rsidRPr="005C51C2">
              <w:rPr>
                <w:vertAlign w:val="superscript"/>
              </w:rPr>
              <w:t>1</w:t>
            </w:r>
          </w:p>
        </w:tc>
        <w:tc>
          <w:tcPr>
            <w:tcW w:w="611" w:type="pct"/>
            <w:vAlign w:val="center"/>
          </w:tcPr>
          <w:p w14:paraId="27497596" w14:textId="0C4D14DC"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9"/>
                <w14:textFill>
                  <w14:solidFill>
                    <w14:srgbClr w14:val="000000">
                      <w14:alpha w14:val="100000"/>
                    </w14:srgbClr>
                  </w14:solidFill>
                </w14:textFill>
              </w:rPr>
              <w:t>|||</w:t>
            </w:r>
            <w:r w:rsidRPr="00836BEA">
              <w:rPr>
                <w:color w:val="000000"/>
                <w:spacing w:val="1"/>
                <w:shd w:val="solid" w:color="000000" w:fill="000000"/>
                <w:fitText w:val="330" w:id="-694428159"/>
                <w14:textFill>
                  <w14:solidFill>
                    <w14:srgbClr w14:val="000000">
                      <w14:alpha w14:val="100000"/>
                    </w14:srgbClr>
                  </w14:solidFill>
                </w14:textFill>
              </w:rPr>
              <w:t>|</w:t>
            </w:r>
            <w:r w:rsidR="005C51C2" w:rsidRPr="005C51C2">
              <w:rPr>
                <w:vertAlign w:val="superscript"/>
              </w:rPr>
              <w:t>1</w:t>
            </w:r>
          </w:p>
        </w:tc>
        <w:tc>
          <w:tcPr>
            <w:tcW w:w="611" w:type="pct"/>
            <w:vAlign w:val="center"/>
          </w:tcPr>
          <w:p w14:paraId="4830C00D" w14:textId="25952CE6"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8"/>
                <w14:textFill>
                  <w14:solidFill>
                    <w14:srgbClr w14:val="000000">
                      <w14:alpha w14:val="100000"/>
                    </w14:srgbClr>
                  </w14:solidFill>
                </w14:textFill>
              </w:rPr>
              <w:t>|||</w:t>
            </w:r>
            <w:r w:rsidRPr="00836BEA">
              <w:rPr>
                <w:color w:val="000000"/>
                <w:spacing w:val="1"/>
                <w:shd w:val="solid" w:color="000000" w:fill="000000"/>
                <w:fitText w:val="330" w:id="-694428158"/>
                <w14:textFill>
                  <w14:solidFill>
                    <w14:srgbClr w14:val="000000">
                      <w14:alpha w14:val="100000"/>
                    </w14:srgbClr>
                  </w14:solidFill>
                </w14:textFill>
              </w:rPr>
              <w:t>|</w:t>
            </w:r>
            <w:r w:rsidR="005C51C2" w:rsidRPr="005C51C2">
              <w:rPr>
                <w:vertAlign w:val="superscript"/>
              </w:rPr>
              <w:t>1</w:t>
            </w:r>
          </w:p>
        </w:tc>
        <w:tc>
          <w:tcPr>
            <w:tcW w:w="611" w:type="pct"/>
            <w:vAlign w:val="center"/>
          </w:tcPr>
          <w:p w14:paraId="11449448" w14:textId="62B36E48"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7"/>
                <w14:textFill>
                  <w14:solidFill>
                    <w14:srgbClr w14:val="000000">
                      <w14:alpha w14:val="100000"/>
                    </w14:srgbClr>
                  </w14:solidFill>
                </w14:textFill>
              </w:rPr>
              <w:t>|||</w:t>
            </w:r>
            <w:r w:rsidRPr="00836BEA">
              <w:rPr>
                <w:color w:val="000000"/>
                <w:spacing w:val="1"/>
                <w:shd w:val="solid" w:color="000000" w:fill="000000"/>
                <w:fitText w:val="330" w:id="-694428157"/>
                <w14:textFill>
                  <w14:solidFill>
                    <w14:srgbClr w14:val="000000">
                      <w14:alpha w14:val="100000"/>
                    </w14:srgbClr>
                  </w14:solidFill>
                </w14:textFill>
              </w:rPr>
              <w:t>|</w:t>
            </w:r>
            <w:r w:rsidR="005C51C2" w:rsidRPr="005C51C2">
              <w:rPr>
                <w:vertAlign w:val="superscript"/>
              </w:rPr>
              <w:t>1</w:t>
            </w:r>
          </w:p>
        </w:tc>
        <w:tc>
          <w:tcPr>
            <w:tcW w:w="611" w:type="pct"/>
            <w:vAlign w:val="center"/>
          </w:tcPr>
          <w:p w14:paraId="0EF954AB" w14:textId="337BD25F"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6"/>
                <w14:textFill>
                  <w14:solidFill>
                    <w14:srgbClr w14:val="000000">
                      <w14:alpha w14:val="100000"/>
                    </w14:srgbClr>
                  </w14:solidFill>
                </w14:textFill>
              </w:rPr>
              <w:t>|||</w:t>
            </w:r>
            <w:r w:rsidRPr="00836BEA">
              <w:rPr>
                <w:color w:val="000000"/>
                <w:spacing w:val="1"/>
                <w:shd w:val="solid" w:color="000000" w:fill="000000"/>
                <w:fitText w:val="330" w:id="-694428156"/>
                <w14:textFill>
                  <w14:solidFill>
                    <w14:srgbClr w14:val="000000">
                      <w14:alpha w14:val="100000"/>
                    </w14:srgbClr>
                  </w14:solidFill>
                </w14:textFill>
              </w:rPr>
              <w:t>|</w:t>
            </w:r>
            <w:r w:rsidR="005C51C2" w:rsidRPr="005C51C2">
              <w:rPr>
                <w:vertAlign w:val="superscript"/>
              </w:rPr>
              <w:t>1</w:t>
            </w:r>
          </w:p>
        </w:tc>
      </w:tr>
      <w:tr w:rsidR="0054188F" w:rsidRPr="0098262F" w14:paraId="2E5C3146" w14:textId="77777777">
        <w:tc>
          <w:tcPr>
            <w:tcW w:w="1334" w:type="pct"/>
            <w:shd w:val="clear" w:color="auto" w:fill="auto"/>
            <w:vAlign w:val="center"/>
          </w:tcPr>
          <w:p w14:paraId="28B8BF4D" w14:textId="77777777" w:rsidR="0054188F" w:rsidRPr="00555459" w:rsidRDefault="0054188F" w:rsidP="00920AFF">
            <w:pPr>
              <w:pStyle w:val="TableText0"/>
              <w:framePr w:wrap="around"/>
              <w:rPr>
                <w:rFonts w:ascii="Times" w:hAnsi="Times"/>
                <w:i/>
                <w:iCs/>
              </w:rPr>
            </w:pPr>
            <w:r w:rsidRPr="00555459">
              <w:t xml:space="preserve">Number of scripts dispensed </w:t>
            </w:r>
            <w:r w:rsidRPr="00555459">
              <w:rPr>
                <w:vertAlign w:val="superscript"/>
              </w:rPr>
              <w:t>a</w:t>
            </w:r>
          </w:p>
        </w:tc>
        <w:tc>
          <w:tcPr>
            <w:tcW w:w="611" w:type="pct"/>
          </w:tcPr>
          <w:p w14:paraId="528FA744" w14:textId="5F2A7C69"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5"/>
                <w14:textFill>
                  <w14:solidFill>
                    <w14:srgbClr w14:val="000000">
                      <w14:alpha w14:val="100000"/>
                    </w14:srgbClr>
                  </w14:solidFill>
                </w14:textFill>
              </w:rPr>
              <w:t>|||</w:t>
            </w:r>
            <w:r w:rsidRPr="00836BEA">
              <w:rPr>
                <w:color w:val="000000"/>
                <w:spacing w:val="1"/>
                <w:shd w:val="solid" w:color="000000" w:fill="000000"/>
                <w:fitText w:val="330" w:id="-694428155"/>
                <w14:textFill>
                  <w14:solidFill>
                    <w14:srgbClr w14:val="000000">
                      <w14:alpha w14:val="100000"/>
                    </w14:srgbClr>
                  </w14:solidFill>
                </w14:textFill>
              </w:rPr>
              <w:t>|</w:t>
            </w:r>
            <w:r w:rsidR="00187912">
              <w:rPr>
                <w:vertAlign w:val="superscript"/>
              </w:rPr>
              <w:t>2</w:t>
            </w:r>
          </w:p>
        </w:tc>
        <w:tc>
          <w:tcPr>
            <w:tcW w:w="611" w:type="pct"/>
          </w:tcPr>
          <w:p w14:paraId="6C10C1AE" w14:textId="241A1387"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4"/>
                <w14:textFill>
                  <w14:solidFill>
                    <w14:srgbClr w14:val="000000">
                      <w14:alpha w14:val="100000"/>
                    </w14:srgbClr>
                  </w14:solidFill>
                </w14:textFill>
              </w:rPr>
              <w:t>|||</w:t>
            </w:r>
            <w:r w:rsidRPr="00836BEA">
              <w:rPr>
                <w:color w:val="000000"/>
                <w:spacing w:val="1"/>
                <w:shd w:val="solid" w:color="000000" w:fill="000000"/>
                <w:fitText w:val="330" w:id="-694428154"/>
                <w14:textFill>
                  <w14:solidFill>
                    <w14:srgbClr w14:val="000000">
                      <w14:alpha w14:val="100000"/>
                    </w14:srgbClr>
                  </w14:solidFill>
                </w14:textFill>
              </w:rPr>
              <w:t>|</w:t>
            </w:r>
            <w:r w:rsidR="00187912">
              <w:rPr>
                <w:vertAlign w:val="superscript"/>
              </w:rPr>
              <w:t>2</w:t>
            </w:r>
          </w:p>
        </w:tc>
        <w:tc>
          <w:tcPr>
            <w:tcW w:w="611" w:type="pct"/>
          </w:tcPr>
          <w:p w14:paraId="59E31237" w14:textId="4CC18CF5"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3"/>
                <w14:textFill>
                  <w14:solidFill>
                    <w14:srgbClr w14:val="000000">
                      <w14:alpha w14:val="100000"/>
                    </w14:srgbClr>
                  </w14:solidFill>
                </w14:textFill>
              </w:rPr>
              <w:t>|||</w:t>
            </w:r>
            <w:r w:rsidRPr="00836BEA">
              <w:rPr>
                <w:color w:val="000000"/>
                <w:spacing w:val="1"/>
                <w:shd w:val="solid" w:color="000000" w:fill="000000"/>
                <w:fitText w:val="330" w:id="-694428153"/>
                <w14:textFill>
                  <w14:solidFill>
                    <w14:srgbClr w14:val="000000">
                      <w14:alpha w14:val="100000"/>
                    </w14:srgbClr>
                  </w14:solidFill>
                </w14:textFill>
              </w:rPr>
              <w:t>|</w:t>
            </w:r>
            <w:r w:rsidR="00187912">
              <w:rPr>
                <w:vertAlign w:val="superscript"/>
              </w:rPr>
              <w:t>2</w:t>
            </w:r>
          </w:p>
        </w:tc>
        <w:tc>
          <w:tcPr>
            <w:tcW w:w="611" w:type="pct"/>
          </w:tcPr>
          <w:p w14:paraId="773EB84C" w14:textId="79711F67"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2"/>
                <w14:textFill>
                  <w14:solidFill>
                    <w14:srgbClr w14:val="000000">
                      <w14:alpha w14:val="100000"/>
                    </w14:srgbClr>
                  </w14:solidFill>
                </w14:textFill>
              </w:rPr>
              <w:t>|||</w:t>
            </w:r>
            <w:r w:rsidRPr="00836BEA">
              <w:rPr>
                <w:color w:val="000000"/>
                <w:spacing w:val="1"/>
                <w:shd w:val="solid" w:color="000000" w:fill="000000"/>
                <w:fitText w:val="330" w:id="-694428152"/>
                <w14:textFill>
                  <w14:solidFill>
                    <w14:srgbClr w14:val="000000">
                      <w14:alpha w14:val="100000"/>
                    </w14:srgbClr>
                  </w14:solidFill>
                </w14:textFill>
              </w:rPr>
              <w:t>|</w:t>
            </w:r>
            <w:r w:rsidR="00187912" w:rsidRPr="00187912">
              <w:rPr>
                <w:vertAlign w:val="superscript"/>
              </w:rPr>
              <w:t>3</w:t>
            </w:r>
          </w:p>
        </w:tc>
        <w:tc>
          <w:tcPr>
            <w:tcW w:w="611" w:type="pct"/>
          </w:tcPr>
          <w:p w14:paraId="3C31202A" w14:textId="5632BD19"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1"/>
                <w14:textFill>
                  <w14:solidFill>
                    <w14:srgbClr w14:val="000000">
                      <w14:alpha w14:val="100000"/>
                    </w14:srgbClr>
                  </w14:solidFill>
                </w14:textFill>
              </w:rPr>
              <w:t>|||</w:t>
            </w:r>
            <w:r w:rsidRPr="00836BEA">
              <w:rPr>
                <w:color w:val="000000"/>
                <w:spacing w:val="1"/>
                <w:shd w:val="solid" w:color="000000" w:fill="000000"/>
                <w:fitText w:val="330" w:id="-694428151"/>
                <w14:textFill>
                  <w14:solidFill>
                    <w14:srgbClr w14:val="000000">
                      <w14:alpha w14:val="100000"/>
                    </w14:srgbClr>
                  </w14:solidFill>
                </w14:textFill>
              </w:rPr>
              <w:t>|</w:t>
            </w:r>
            <w:r w:rsidR="00187912" w:rsidRPr="00187912">
              <w:rPr>
                <w:vertAlign w:val="superscript"/>
              </w:rPr>
              <w:t>3</w:t>
            </w:r>
          </w:p>
        </w:tc>
        <w:tc>
          <w:tcPr>
            <w:tcW w:w="611" w:type="pct"/>
          </w:tcPr>
          <w:p w14:paraId="43ABBC1B" w14:textId="0A7D7CE6"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0"/>
                <w14:textFill>
                  <w14:solidFill>
                    <w14:srgbClr w14:val="000000">
                      <w14:alpha w14:val="100000"/>
                    </w14:srgbClr>
                  </w14:solidFill>
                </w14:textFill>
              </w:rPr>
              <w:t>|||</w:t>
            </w:r>
            <w:r w:rsidRPr="00836BEA">
              <w:rPr>
                <w:color w:val="000000"/>
                <w:spacing w:val="1"/>
                <w:shd w:val="solid" w:color="000000" w:fill="000000"/>
                <w:fitText w:val="330" w:id="-694428150"/>
                <w14:textFill>
                  <w14:solidFill>
                    <w14:srgbClr w14:val="000000">
                      <w14:alpha w14:val="100000"/>
                    </w14:srgbClr>
                  </w14:solidFill>
                </w14:textFill>
              </w:rPr>
              <w:t>|</w:t>
            </w:r>
            <w:r w:rsidR="00187912" w:rsidRPr="00187912">
              <w:rPr>
                <w:vertAlign w:val="superscript"/>
              </w:rPr>
              <w:t>3</w:t>
            </w:r>
          </w:p>
        </w:tc>
      </w:tr>
      <w:tr w:rsidR="0054188F" w:rsidRPr="0098262F" w14:paraId="6E5904C1" w14:textId="77777777">
        <w:tc>
          <w:tcPr>
            <w:tcW w:w="5000" w:type="pct"/>
            <w:gridSpan w:val="7"/>
            <w:shd w:val="clear" w:color="auto" w:fill="auto"/>
            <w:vAlign w:val="center"/>
          </w:tcPr>
          <w:p w14:paraId="21DB1FA0" w14:textId="77777777" w:rsidR="0054188F" w:rsidRPr="0098262F" w:rsidRDefault="0054188F" w:rsidP="00920AFF">
            <w:pPr>
              <w:pStyle w:val="In-tableHeading"/>
              <w:keepNext/>
              <w:framePr w:wrap="around"/>
            </w:pPr>
            <w:r w:rsidRPr="0098262F">
              <w:t xml:space="preserve">Estimated financial implications of </w:t>
            </w:r>
            <w:proofErr w:type="spellStart"/>
            <w:r>
              <w:t>palopegteriparatide</w:t>
            </w:r>
            <w:proofErr w:type="spellEnd"/>
          </w:p>
        </w:tc>
      </w:tr>
      <w:tr w:rsidR="0054188F" w:rsidRPr="00555459" w14:paraId="42848D40" w14:textId="77777777">
        <w:tc>
          <w:tcPr>
            <w:tcW w:w="1334" w:type="pct"/>
            <w:shd w:val="clear" w:color="auto" w:fill="auto"/>
            <w:vAlign w:val="center"/>
          </w:tcPr>
          <w:p w14:paraId="681852D4" w14:textId="77777777" w:rsidR="0054188F" w:rsidRPr="00555459" w:rsidRDefault="0054188F" w:rsidP="00920AFF">
            <w:pPr>
              <w:pStyle w:val="TableText0"/>
              <w:framePr w:wrap="around"/>
              <w:rPr>
                <w:i/>
                <w:iCs/>
              </w:rPr>
            </w:pPr>
            <w:r w:rsidRPr="00555459">
              <w:t>Cost to PBS/RPBS less copayments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82E6C74" w14:textId="6DFFF53F"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49"/>
                <w14:textFill>
                  <w14:solidFill>
                    <w14:srgbClr w14:val="000000">
                      <w14:alpha w14:val="100000"/>
                    </w14:srgbClr>
                  </w14:solidFill>
                </w14:textFill>
              </w:rPr>
              <w:t>|||</w:t>
            </w:r>
            <w:r w:rsidRPr="00836BEA">
              <w:rPr>
                <w:color w:val="000000"/>
                <w:spacing w:val="1"/>
                <w:shd w:val="solid" w:color="000000" w:fill="000000"/>
                <w:fitText w:val="330" w:id="-694428149"/>
                <w14:textFill>
                  <w14:solidFill>
                    <w14:srgbClr w14:val="000000">
                      <w14:alpha w14:val="100000"/>
                    </w14:srgbClr>
                  </w14:solidFill>
                </w14:textFill>
              </w:rPr>
              <w:t>|</w:t>
            </w:r>
            <w:r w:rsidR="001B195F" w:rsidRPr="001B195F">
              <w:rPr>
                <w:vertAlign w:val="superscript"/>
              </w:rPr>
              <w:t>4</w:t>
            </w:r>
          </w:p>
        </w:tc>
        <w:tc>
          <w:tcPr>
            <w:tcW w:w="611" w:type="pct"/>
            <w:tcBorders>
              <w:top w:val="single" w:sz="4" w:space="0" w:color="auto"/>
              <w:left w:val="nil"/>
              <w:bottom w:val="single" w:sz="4" w:space="0" w:color="auto"/>
              <w:right w:val="single" w:sz="4" w:space="0" w:color="auto"/>
            </w:tcBorders>
            <w:shd w:val="clear" w:color="auto" w:fill="auto"/>
            <w:vAlign w:val="center"/>
          </w:tcPr>
          <w:p w14:paraId="78036505" w14:textId="70E81678"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48"/>
                <w14:textFill>
                  <w14:solidFill>
                    <w14:srgbClr w14:val="000000">
                      <w14:alpha w14:val="100000"/>
                    </w14:srgbClr>
                  </w14:solidFill>
                </w14:textFill>
              </w:rPr>
              <w:t>|||</w:t>
            </w:r>
            <w:r w:rsidRPr="00836BEA">
              <w:rPr>
                <w:color w:val="000000"/>
                <w:spacing w:val="1"/>
                <w:shd w:val="solid" w:color="000000" w:fill="000000"/>
                <w:fitText w:val="330" w:id="-694428148"/>
                <w14:textFill>
                  <w14:solidFill>
                    <w14:srgbClr w14:val="000000">
                      <w14:alpha w14:val="100000"/>
                    </w14:srgbClr>
                  </w14:solidFill>
                </w14:textFill>
              </w:rPr>
              <w:t>|</w:t>
            </w:r>
            <w:r w:rsidR="0015669C" w:rsidRPr="0015669C">
              <w:rPr>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35476A93" w14:textId="291A4754"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47"/>
                <w14:textFill>
                  <w14:solidFill>
                    <w14:srgbClr w14:val="000000">
                      <w14:alpha w14:val="100000"/>
                    </w14:srgbClr>
                  </w14:solidFill>
                </w14:textFill>
              </w:rPr>
              <w:t>|||</w:t>
            </w:r>
            <w:r w:rsidRPr="00836BEA">
              <w:rPr>
                <w:color w:val="000000"/>
                <w:spacing w:val="1"/>
                <w:shd w:val="solid" w:color="000000" w:fill="000000"/>
                <w:fitText w:val="330" w:id="-694428147"/>
                <w14:textFill>
                  <w14:solidFill>
                    <w14:srgbClr w14:val="000000">
                      <w14:alpha w14:val="100000"/>
                    </w14:srgbClr>
                  </w14:solidFill>
                </w14:textFill>
              </w:rPr>
              <w:t>|</w:t>
            </w:r>
            <w:r w:rsidR="004F5687" w:rsidRPr="004F5687">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0FD069B0" w14:textId="1B5932E2"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46"/>
                <w14:textFill>
                  <w14:solidFill>
                    <w14:srgbClr w14:val="000000">
                      <w14:alpha w14:val="100000"/>
                    </w14:srgbClr>
                  </w14:solidFill>
                </w14:textFill>
              </w:rPr>
              <w:t>|||</w:t>
            </w:r>
            <w:r w:rsidRPr="00836BEA">
              <w:rPr>
                <w:color w:val="000000"/>
                <w:spacing w:val="1"/>
                <w:shd w:val="solid" w:color="000000" w:fill="000000"/>
                <w:fitText w:val="330" w:id="-694428146"/>
                <w14:textFill>
                  <w14:solidFill>
                    <w14:srgbClr w14:val="000000">
                      <w14:alpha w14:val="100000"/>
                    </w14:srgbClr>
                  </w14:solidFill>
                </w14:textFill>
              </w:rPr>
              <w:t>|</w:t>
            </w:r>
            <w:r w:rsidR="004F5687" w:rsidRPr="004F5687">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49734813" w14:textId="5CEF4753"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45"/>
                <w14:textFill>
                  <w14:solidFill>
                    <w14:srgbClr w14:val="000000">
                      <w14:alpha w14:val="100000"/>
                    </w14:srgbClr>
                  </w14:solidFill>
                </w14:textFill>
              </w:rPr>
              <w:t>|||</w:t>
            </w:r>
            <w:r w:rsidRPr="00836BEA">
              <w:rPr>
                <w:color w:val="000000"/>
                <w:spacing w:val="1"/>
                <w:shd w:val="solid" w:color="000000" w:fill="000000"/>
                <w:fitText w:val="330" w:id="-694428145"/>
                <w14:textFill>
                  <w14:solidFill>
                    <w14:srgbClr w14:val="000000">
                      <w14:alpha w14:val="100000"/>
                    </w14:srgbClr>
                  </w14:solidFill>
                </w14:textFill>
              </w:rPr>
              <w:t>|</w:t>
            </w:r>
            <w:r w:rsidR="004F5687" w:rsidRPr="004F5687">
              <w:rPr>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66A0D126" w14:textId="22058F26"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44"/>
                <w14:textFill>
                  <w14:solidFill>
                    <w14:srgbClr w14:val="000000">
                      <w14:alpha w14:val="100000"/>
                    </w14:srgbClr>
                  </w14:solidFill>
                </w14:textFill>
              </w:rPr>
              <w:t>|||</w:t>
            </w:r>
            <w:r w:rsidRPr="00836BEA">
              <w:rPr>
                <w:color w:val="000000"/>
                <w:spacing w:val="1"/>
                <w:shd w:val="solid" w:color="000000" w:fill="000000"/>
                <w:fitText w:val="330" w:id="-694428144"/>
                <w14:textFill>
                  <w14:solidFill>
                    <w14:srgbClr w14:val="000000">
                      <w14:alpha w14:val="100000"/>
                    </w14:srgbClr>
                  </w14:solidFill>
                </w14:textFill>
              </w:rPr>
              <w:t>|</w:t>
            </w:r>
            <w:r w:rsidR="004F5687" w:rsidRPr="004F5687">
              <w:rPr>
                <w:vertAlign w:val="superscript"/>
              </w:rPr>
              <w:t>7</w:t>
            </w:r>
          </w:p>
        </w:tc>
      </w:tr>
      <w:tr w:rsidR="0054188F" w:rsidRPr="00555459" w14:paraId="0EA7D75C" w14:textId="77777777">
        <w:tc>
          <w:tcPr>
            <w:tcW w:w="5000" w:type="pct"/>
            <w:gridSpan w:val="7"/>
            <w:shd w:val="clear" w:color="auto" w:fill="auto"/>
            <w:vAlign w:val="center"/>
          </w:tcPr>
          <w:p w14:paraId="722BA00C" w14:textId="77777777" w:rsidR="0054188F" w:rsidRPr="00295E64" w:rsidRDefault="0054188F" w:rsidP="00920AFF">
            <w:pPr>
              <w:pStyle w:val="TableText0"/>
              <w:framePr w:wrap="around"/>
              <w:rPr>
                <w:b/>
                <w:bCs w:val="0"/>
                <w:i/>
                <w:iCs/>
              </w:rPr>
            </w:pPr>
            <w:r w:rsidRPr="00295E64">
              <w:rPr>
                <w:b/>
                <w:bCs w:val="0"/>
              </w:rPr>
              <w:t>Estimated financial implications for conventional therapy</w:t>
            </w:r>
          </w:p>
        </w:tc>
      </w:tr>
      <w:tr w:rsidR="0054188F" w:rsidRPr="00555459" w14:paraId="149E0234" w14:textId="77777777">
        <w:tc>
          <w:tcPr>
            <w:tcW w:w="1334" w:type="pct"/>
            <w:shd w:val="clear" w:color="auto" w:fill="auto"/>
            <w:vAlign w:val="center"/>
          </w:tcPr>
          <w:p w14:paraId="57FDA695" w14:textId="77777777" w:rsidR="0054188F" w:rsidRPr="00555459" w:rsidRDefault="0054188F" w:rsidP="00920AFF">
            <w:pPr>
              <w:pStyle w:val="TableText0"/>
              <w:framePr w:wrap="around"/>
              <w:rPr>
                <w:i/>
                <w:iCs/>
              </w:rPr>
            </w:pPr>
            <w:r w:rsidRPr="00555459">
              <w:t>Cost to PBS/RPBS less copayments</w:t>
            </w:r>
          </w:p>
        </w:tc>
        <w:tc>
          <w:tcPr>
            <w:tcW w:w="611" w:type="pct"/>
            <w:tcBorders>
              <w:top w:val="single" w:sz="4" w:space="0" w:color="auto"/>
              <w:left w:val="nil"/>
              <w:bottom w:val="single" w:sz="4" w:space="0" w:color="auto"/>
              <w:right w:val="single" w:sz="4" w:space="0" w:color="auto"/>
            </w:tcBorders>
            <w:shd w:val="clear" w:color="auto" w:fill="auto"/>
            <w:vAlign w:val="center"/>
          </w:tcPr>
          <w:p w14:paraId="38EC8AE1" w14:textId="1F7C6BA7"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60"/>
                <w14:textFill>
                  <w14:solidFill>
                    <w14:srgbClr w14:val="000000">
                      <w14:alpha w14:val="100000"/>
                    </w14:srgbClr>
                  </w14:solidFill>
                </w14:textFill>
              </w:rPr>
              <w:t>|||</w:t>
            </w:r>
            <w:r w:rsidRPr="00836BEA">
              <w:rPr>
                <w:color w:val="000000"/>
                <w:spacing w:val="1"/>
                <w:shd w:val="solid" w:color="000000" w:fill="000000"/>
                <w:fitText w:val="330" w:id="-694428160"/>
                <w14:textFill>
                  <w14:solidFill>
                    <w14:srgbClr w14:val="000000">
                      <w14:alpha w14:val="100000"/>
                    </w14:srgbClr>
                  </w14:solidFill>
                </w14:textFill>
              </w:rPr>
              <w:t>|</w:t>
            </w:r>
            <w:r w:rsidR="004F5687" w:rsidRPr="004F5687">
              <w:rPr>
                <w:vertAlign w:val="superscript"/>
              </w:rPr>
              <w:t>8</w:t>
            </w:r>
          </w:p>
        </w:tc>
        <w:tc>
          <w:tcPr>
            <w:tcW w:w="611" w:type="pct"/>
            <w:tcBorders>
              <w:top w:val="single" w:sz="4" w:space="0" w:color="auto"/>
              <w:left w:val="nil"/>
              <w:bottom w:val="single" w:sz="4" w:space="0" w:color="auto"/>
              <w:right w:val="single" w:sz="4" w:space="0" w:color="auto"/>
            </w:tcBorders>
            <w:shd w:val="clear" w:color="auto" w:fill="auto"/>
            <w:vAlign w:val="center"/>
          </w:tcPr>
          <w:p w14:paraId="6598B107" w14:textId="732046ED"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9"/>
                <w14:textFill>
                  <w14:solidFill>
                    <w14:srgbClr w14:val="000000">
                      <w14:alpha w14:val="100000"/>
                    </w14:srgbClr>
                  </w14:solidFill>
                </w14:textFill>
              </w:rPr>
              <w:t>|||</w:t>
            </w:r>
            <w:r w:rsidRPr="00836BEA">
              <w:rPr>
                <w:color w:val="000000"/>
                <w:spacing w:val="1"/>
                <w:shd w:val="solid" w:color="000000" w:fill="000000"/>
                <w:fitText w:val="330" w:id="-694428159"/>
                <w14:textFill>
                  <w14:solidFill>
                    <w14:srgbClr w14:val="000000">
                      <w14:alpha w14:val="100000"/>
                    </w14:srgbClr>
                  </w14:solidFill>
                </w14:textFill>
              </w:rPr>
              <w:t>|</w:t>
            </w:r>
            <w:r w:rsidR="004F5687" w:rsidRPr="004F5687">
              <w:rPr>
                <w:vertAlign w:val="superscript"/>
              </w:rPr>
              <w:t>8</w:t>
            </w:r>
          </w:p>
        </w:tc>
        <w:tc>
          <w:tcPr>
            <w:tcW w:w="611" w:type="pct"/>
            <w:tcBorders>
              <w:top w:val="single" w:sz="4" w:space="0" w:color="auto"/>
              <w:left w:val="nil"/>
              <w:bottom w:val="single" w:sz="4" w:space="0" w:color="auto"/>
              <w:right w:val="single" w:sz="4" w:space="0" w:color="auto"/>
            </w:tcBorders>
            <w:shd w:val="clear" w:color="auto" w:fill="auto"/>
            <w:vAlign w:val="center"/>
          </w:tcPr>
          <w:p w14:paraId="2DCC4AD6" w14:textId="48F7D5F5"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8"/>
                <w14:textFill>
                  <w14:solidFill>
                    <w14:srgbClr w14:val="000000">
                      <w14:alpha w14:val="100000"/>
                    </w14:srgbClr>
                  </w14:solidFill>
                </w14:textFill>
              </w:rPr>
              <w:t>|||</w:t>
            </w:r>
            <w:r w:rsidRPr="00836BEA">
              <w:rPr>
                <w:color w:val="000000"/>
                <w:spacing w:val="1"/>
                <w:shd w:val="solid" w:color="000000" w:fill="000000"/>
                <w:fitText w:val="330" w:id="-694428158"/>
                <w14:textFill>
                  <w14:solidFill>
                    <w14:srgbClr w14:val="000000">
                      <w14:alpha w14:val="100000"/>
                    </w14:srgbClr>
                  </w14:solidFill>
                </w14:textFill>
              </w:rPr>
              <w:t>|</w:t>
            </w:r>
            <w:r w:rsidR="004F5687" w:rsidRPr="004F5687">
              <w:rPr>
                <w:vertAlign w:val="superscript"/>
              </w:rPr>
              <w:t>8</w:t>
            </w:r>
          </w:p>
        </w:tc>
        <w:tc>
          <w:tcPr>
            <w:tcW w:w="611" w:type="pct"/>
            <w:tcBorders>
              <w:top w:val="single" w:sz="4" w:space="0" w:color="auto"/>
              <w:left w:val="nil"/>
              <w:bottom w:val="single" w:sz="4" w:space="0" w:color="auto"/>
              <w:right w:val="single" w:sz="4" w:space="0" w:color="auto"/>
            </w:tcBorders>
            <w:shd w:val="clear" w:color="auto" w:fill="auto"/>
            <w:vAlign w:val="center"/>
          </w:tcPr>
          <w:p w14:paraId="115FBFCC" w14:textId="3E2F68C9"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7"/>
                <w14:textFill>
                  <w14:solidFill>
                    <w14:srgbClr w14:val="000000">
                      <w14:alpha w14:val="100000"/>
                    </w14:srgbClr>
                  </w14:solidFill>
                </w14:textFill>
              </w:rPr>
              <w:t>|||</w:t>
            </w:r>
            <w:r w:rsidRPr="00836BEA">
              <w:rPr>
                <w:color w:val="000000"/>
                <w:spacing w:val="1"/>
                <w:shd w:val="solid" w:color="000000" w:fill="000000"/>
                <w:fitText w:val="330" w:id="-694428157"/>
                <w14:textFill>
                  <w14:solidFill>
                    <w14:srgbClr w14:val="000000">
                      <w14:alpha w14:val="100000"/>
                    </w14:srgbClr>
                  </w14:solidFill>
                </w14:textFill>
              </w:rPr>
              <w:t>|</w:t>
            </w:r>
            <w:r w:rsidR="004F5687" w:rsidRPr="004F5687">
              <w:rPr>
                <w:vertAlign w:val="superscript"/>
              </w:rPr>
              <w:t>8</w:t>
            </w:r>
          </w:p>
        </w:tc>
        <w:tc>
          <w:tcPr>
            <w:tcW w:w="611" w:type="pct"/>
            <w:tcBorders>
              <w:top w:val="single" w:sz="4" w:space="0" w:color="auto"/>
              <w:left w:val="nil"/>
              <w:bottom w:val="single" w:sz="4" w:space="0" w:color="auto"/>
              <w:right w:val="single" w:sz="4" w:space="0" w:color="auto"/>
            </w:tcBorders>
            <w:shd w:val="clear" w:color="auto" w:fill="auto"/>
            <w:vAlign w:val="center"/>
          </w:tcPr>
          <w:p w14:paraId="214DB699" w14:textId="5AD06838"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6"/>
                <w14:textFill>
                  <w14:solidFill>
                    <w14:srgbClr w14:val="000000">
                      <w14:alpha w14:val="100000"/>
                    </w14:srgbClr>
                  </w14:solidFill>
                </w14:textFill>
              </w:rPr>
              <w:t>|||</w:t>
            </w:r>
            <w:r w:rsidRPr="00836BEA">
              <w:rPr>
                <w:color w:val="000000"/>
                <w:spacing w:val="1"/>
                <w:shd w:val="solid" w:color="000000" w:fill="000000"/>
                <w:fitText w:val="330" w:id="-694428156"/>
                <w14:textFill>
                  <w14:solidFill>
                    <w14:srgbClr w14:val="000000">
                      <w14:alpha w14:val="100000"/>
                    </w14:srgbClr>
                  </w14:solidFill>
                </w14:textFill>
              </w:rPr>
              <w:t>|</w:t>
            </w:r>
            <w:r w:rsidR="004F5687" w:rsidRPr="004F5687">
              <w:rPr>
                <w:vertAlign w:val="superscript"/>
              </w:rPr>
              <w:t>8</w:t>
            </w:r>
          </w:p>
        </w:tc>
        <w:tc>
          <w:tcPr>
            <w:tcW w:w="611" w:type="pct"/>
            <w:tcBorders>
              <w:top w:val="single" w:sz="4" w:space="0" w:color="auto"/>
              <w:left w:val="nil"/>
              <w:bottom w:val="single" w:sz="4" w:space="0" w:color="auto"/>
              <w:right w:val="single" w:sz="4" w:space="0" w:color="auto"/>
            </w:tcBorders>
            <w:shd w:val="clear" w:color="auto" w:fill="auto"/>
            <w:vAlign w:val="center"/>
          </w:tcPr>
          <w:p w14:paraId="3D62DBFB" w14:textId="610860C9" w:rsidR="0054188F" w:rsidRPr="00983508" w:rsidRDefault="00836BEA" w:rsidP="00920AFF">
            <w:pPr>
              <w:pStyle w:val="TableText0"/>
              <w:framePr w:wrap="around"/>
              <w:jc w:val="center"/>
              <w:rPr>
                <w:i/>
                <w:iCs/>
                <w:highlight w:val="darkGray"/>
              </w:rPr>
            </w:pPr>
            <w:r w:rsidRPr="00836BEA">
              <w:rPr>
                <w:color w:val="000000"/>
                <w:spacing w:val="53"/>
                <w:shd w:val="solid" w:color="000000" w:fill="000000"/>
                <w:fitText w:val="330" w:id="-694428155"/>
                <w14:textFill>
                  <w14:solidFill>
                    <w14:srgbClr w14:val="000000">
                      <w14:alpha w14:val="100000"/>
                    </w14:srgbClr>
                  </w14:solidFill>
                </w14:textFill>
              </w:rPr>
              <w:t>|||</w:t>
            </w:r>
            <w:r w:rsidRPr="00836BEA">
              <w:rPr>
                <w:color w:val="000000"/>
                <w:spacing w:val="1"/>
                <w:shd w:val="solid" w:color="000000" w:fill="000000"/>
                <w:fitText w:val="330" w:id="-694428155"/>
                <w14:textFill>
                  <w14:solidFill>
                    <w14:srgbClr w14:val="000000">
                      <w14:alpha w14:val="100000"/>
                    </w14:srgbClr>
                  </w14:solidFill>
                </w14:textFill>
              </w:rPr>
              <w:t>|</w:t>
            </w:r>
            <w:r w:rsidR="004F5687" w:rsidRPr="004F5687">
              <w:rPr>
                <w:vertAlign w:val="superscript"/>
              </w:rPr>
              <w:t>8</w:t>
            </w:r>
          </w:p>
        </w:tc>
      </w:tr>
      <w:tr w:rsidR="0054188F" w:rsidRPr="00555459" w14:paraId="54CC9D29" w14:textId="77777777">
        <w:tc>
          <w:tcPr>
            <w:tcW w:w="5000" w:type="pct"/>
            <w:gridSpan w:val="7"/>
            <w:shd w:val="clear" w:color="auto" w:fill="auto"/>
            <w:vAlign w:val="center"/>
          </w:tcPr>
          <w:p w14:paraId="0CC74C73" w14:textId="77777777" w:rsidR="0054188F" w:rsidRPr="00555459" w:rsidRDefault="0054188F" w:rsidP="00920AFF">
            <w:pPr>
              <w:pStyle w:val="In-tableHeading"/>
              <w:keepNext/>
              <w:framePr w:wrap="around"/>
            </w:pPr>
            <w:r w:rsidRPr="00555459">
              <w:t>Net financial implications</w:t>
            </w:r>
          </w:p>
        </w:tc>
      </w:tr>
      <w:tr w:rsidR="0054188F" w:rsidRPr="00555459" w14:paraId="4DC723E0" w14:textId="77777777">
        <w:tc>
          <w:tcPr>
            <w:tcW w:w="1334" w:type="pct"/>
            <w:shd w:val="clear" w:color="auto" w:fill="auto"/>
            <w:vAlign w:val="center"/>
          </w:tcPr>
          <w:p w14:paraId="48B60F60" w14:textId="77777777" w:rsidR="0054188F" w:rsidRPr="00295E64" w:rsidRDefault="0054188F" w:rsidP="00920AFF">
            <w:pPr>
              <w:pStyle w:val="TableText0"/>
              <w:framePr w:wrap="around"/>
              <w:rPr>
                <w:b/>
                <w:bCs w:val="0"/>
                <w:i/>
                <w:iCs/>
              </w:rPr>
            </w:pPr>
            <w:r w:rsidRPr="00295E64">
              <w:rPr>
                <w:b/>
                <w:bCs w:val="0"/>
              </w:rPr>
              <w:t>Net cost to PBS/RPBS</w:t>
            </w:r>
          </w:p>
        </w:tc>
        <w:tc>
          <w:tcPr>
            <w:tcW w:w="611" w:type="pct"/>
            <w:shd w:val="clear" w:color="auto" w:fill="auto"/>
          </w:tcPr>
          <w:p w14:paraId="0B78BBC8" w14:textId="21C64E24" w:rsidR="0054188F" w:rsidRPr="00983508" w:rsidRDefault="00836BEA" w:rsidP="00920AFF">
            <w:pPr>
              <w:pStyle w:val="TableText0"/>
              <w:framePr w:wrap="around"/>
              <w:jc w:val="center"/>
              <w:rPr>
                <w:b/>
                <w:bCs w:val="0"/>
                <w:i/>
                <w:iCs/>
                <w:highlight w:val="darkGray"/>
              </w:rPr>
            </w:pPr>
            <w:r w:rsidRPr="00836BEA">
              <w:rPr>
                <w:b/>
                <w:bCs w:val="0"/>
                <w:color w:val="000000"/>
                <w:spacing w:val="58"/>
                <w:shd w:val="solid" w:color="000000" w:fill="000000"/>
                <w:fitText w:val="360" w:id="-694428154"/>
                <w:lang w:val="en-US" w:eastAsia="en-US"/>
                <w14:textFill>
                  <w14:solidFill>
                    <w14:srgbClr w14:val="000000">
                      <w14:alpha w14:val="100000"/>
                    </w14:srgbClr>
                  </w14:solidFill>
                </w14:textFill>
              </w:rPr>
              <w:t>|||</w:t>
            </w:r>
            <w:r w:rsidRPr="00836BEA">
              <w:rPr>
                <w:b/>
                <w:bCs w:val="0"/>
                <w:color w:val="000000"/>
                <w:spacing w:val="3"/>
                <w:shd w:val="solid" w:color="000000" w:fill="000000"/>
                <w:fitText w:val="360" w:id="-694428154"/>
                <w:lang w:val="en-US" w:eastAsia="en-US"/>
                <w14:textFill>
                  <w14:solidFill>
                    <w14:srgbClr w14:val="000000">
                      <w14:alpha w14:val="100000"/>
                    </w14:srgbClr>
                  </w14:solidFill>
                </w14:textFill>
              </w:rPr>
              <w:t>|</w:t>
            </w:r>
            <w:r w:rsidR="0015669C" w:rsidRPr="001B195F">
              <w:rPr>
                <w:vertAlign w:val="superscript"/>
              </w:rPr>
              <w:t>4</w:t>
            </w:r>
          </w:p>
        </w:tc>
        <w:tc>
          <w:tcPr>
            <w:tcW w:w="611" w:type="pct"/>
            <w:shd w:val="clear" w:color="auto" w:fill="auto"/>
          </w:tcPr>
          <w:p w14:paraId="31C89C55" w14:textId="1BFFCFAA" w:rsidR="0054188F" w:rsidRPr="00983508" w:rsidRDefault="00836BEA" w:rsidP="00920AFF">
            <w:pPr>
              <w:pStyle w:val="TableText0"/>
              <w:framePr w:wrap="around"/>
              <w:jc w:val="center"/>
              <w:rPr>
                <w:b/>
                <w:bCs w:val="0"/>
                <w:i/>
                <w:iCs/>
                <w:highlight w:val="darkGray"/>
              </w:rPr>
            </w:pPr>
            <w:r w:rsidRPr="00836BEA">
              <w:rPr>
                <w:b/>
                <w:bCs w:val="0"/>
                <w:color w:val="000000"/>
                <w:spacing w:val="58"/>
                <w:shd w:val="solid" w:color="000000" w:fill="000000"/>
                <w:fitText w:val="360" w:id="-694428153"/>
                <w:lang w:val="en-US" w:eastAsia="en-US"/>
                <w14:textFill>
                  <w14:solidFill>
                    <w14:srgbClr w14:val="000000">
                      <w14:alpha w14:val="100000"/>
                    </w14:srgbClr>
                  </w14:solidFill>
                </w14:textFill>
              </w:rPr>
              <w:t>|||</w:t>
            </w:r>
            <w:r w:rsidRPr="00836BEA">
              <w:rPr>
                <w:b/>
                <w:bCs w:val="0"/>
                <w:color w:val="000000"/>
                <w:spacing w:val="3"/>
                <w:shd w:val="solid" w:color="000000" w:fill="000000"/>
                <w:fitText w:val="360" w:id="-694428153"/>
                <w:lang w:val="en-US" w:eastAsia="en-US"/>
                <w14:textFill>
                  <w14:solidFill>
                    <w14:srgbClr w14:val="000000">
                      <w14:alpha w14:val="100000"/>
                    </w14:srgbClr>
                  </w14:solidFill>
                </w14:textFill>
              </w:rPr>
              <w:t>|</w:t>
            </w:r>
            <w:r w:rsidR="0015669C" w:rsidRPr="0015669C">
              <w:rPr>
                <w:vertAlign w:val="superscript"/>
              </w:rPr>
              <w:t>5</w:t>
            </w:r>
          </w:p>
        </w:tc>
        <w:tc>
          <w:tcPr>
            <w:tcW w:w="611" w:type="pct"/>
            <w:shd w:val="clear" w:color="auto" w:fill="auto"/>
          </w:tcPr>
          <w:p w14:paraId="782236F3" w14:textId="6842EBA8" w:rsidR="0054188F" w:rsidRPr="00983508" w:rsidRDefault="00836BEA" w:rsidP="00920AFF">
            <w:pPr>
              <w:pStyle w:val="TableText0"/>
              <w:framePr w:wrap="around"/>
              <w:jc w:val="center"/>
              <w:rPr>
                <w:b/>
                <w:bCs w:val="0"/>
                <w:i/>
                <w:iCs/>
                <w:highlight w:val="darkGray"/>
              </w:rPr>
            </w:pPr>
            <w:r w:rsidRPr="00836BEA">
              <w:rPr>
                <w:b/>
                <w:bCs w:val="0"/>
                <w:color w:val="000000"/>
                <w:spacing w:val="58"/>
                <w:shd w:val="solid" w:color="000000" w:fill="000000"/>
                <w:fitText w:val="360" w:id="-694428152"/>
                <w:lang w:val="en-US" w:eastAsia="en-US"/>
                <w14:textFill>
                  <w14:solidFill>
                    <w14:srgbClr w14:val="000000">
                      <w14:alpha w14:val="100000"/>
                    </w14:srgbClr>
                  </w14:solidFill>
                </w14:textFill>
              </w:rPr>
              <w:t>|||</w:t>
            </w:r>
            <w:r w:rsidRPr="00836BEA">
              <w:rPr>
                <w:b/>
                <w:bCs w:val="0"/>
                <w:color w:val="000000"/>
                <w:spacing w:val="3"/>
                <w:shd w:val="solid" w:color="000000" w:fill="000000"/>
                <w:fitText w:val="360" w:id="-694428152"/>
                <w:lang w:val="en-US" w:eastAsia="en-US"/>
                <w14:textFill>
                  <w14:solidFill>
                    <w14:srgbClr w14:val="000000">
                      <w14:alpha w14:val="100000"/>
                    </w14:srgbClr>
                  </w14:solidFill>
                </w14:textFill>
              </w:rPr>
              <w:t>|</w:t>
            </w:r>
            <w:r w:rsidR="004F5687" w:rsidRPr="004F5687">
              <w:rPr>
                <w:vertAlign w:val="superscript"/>
              </w:rPr>
              <w:t>6</w:t>
            </w:r>
          </w:p>
        </w:tc>
        <w:tc>
          <w:tcPr>
            <w:tcW w:w="611" w:type="pct"/>
            <w:shd w:val="clear" w:color="auto" w:fill="auto"/>
          </w:tcPr>
          <w:p w14:paraId="53A312D2" w14:textId="6AA30D37" w:rsidR="0054188F" w:rsidRPr="00983508" w:rsidRDefault="00836BEA" w:rsidP="00920AFF">
            <w:pPr>
              <w:pStyle w:val="TableText0"/>
              <w:framePr w:wrap="around"/>
              <w:jc w:val="center"/>
              <w:rPr>
                <w:b/>
                <w:bCs w:val="0"/>
                <w:i/>
                <w:iCs/>
                <w:highlight w:val="darkGray"/>
              </w:rPr>
            </w:pPr>
            <w:r w:rsidRPr="00836BEA">
              <w:rPr>
                <w:b/>
                <w:bCs w:val="0"/>
                <w:color w:val="000000"/>
                <w:spacing w:val="58"/>
                <w:shd w:val="solid" w:color="000000" w:fill="000000"/>
                <w:fitText w:val="360" w:id="-694428151"/>
                <w:lang w:val="en-US" w:eastAsia="en-US"/>
                <w14:textFill>
                  <w14:solidFill>
                    <w14:srgbClr w14:val="000000">
                      <w14:alpha w14:val="100000"/>
                    </w14:srgbClr>
                  </w14:solidFill>
                </w14:textFill>
              </w:rPr>
              <w:t>|||</w:t>
            </w:r>
            <w:r w:rsidRPr="00836BEA">
              <w:rPr>
                <w:b/>
                <w:bCs w:val="0"/>
                <w:color w:val="000000"/>
                <w:spacing w:val="3"/>
                <w:shd w:val="solid" w:color="000000" w:fill="000000"/>
                <w:fitText w:val="360" w:id="-694428151"/>
                <w:lang w:val="en-US" w:eastAsia="en-US"/>
                <w14:textFill>
                  <w14:solidFill>
                    <w14:srgbClr w14:val="000000">
                      <w14:alpha w14:val="100000"/>
                    </w14:srgbClr>
                  </w14:solidFill>
                </w14:textFill>
              </w:rPr>
              <w:t>|</w:t>
            </w:r>
            <w:r w:rsidR="004F5687" w:rsidRPr="004F5687">
              <w:rPr>
                <w:vertAlign w:val="superscript"/>
              </w:rPr>
              <w:t>6</w:t>
            </w:r>
          </w:p>
        </w:tc>
        <w:tc>
          <w:tcPr>
            <w:tcW w:w="611" w:type="pct"/>
            <w:shd w:val="clear" w:color="auto" w:fill="auto"/>
          </w:tcPr>
          <w:p w14:paraId="3215D696" w14:textId="73D415DA" w:rsidR="0054188F" w:rsidRPr="00983508" w:rsidRDefault="00836BEA" w:rsidP="00920AFF">
            <w:pPr>
              <w:pStyle w:val="TableText0"/>
              <w:framePr w:wrap="around"/>
              <w:jc w:val="center"/>
              <w:rPr>
                <w:b/>
                <w:bCs w:val="0"/>
                <w:i/>
                <w:iCs/>
                <w:highlight w:val="darkGray"/>
              </w:rPr>
            </w:pPr>
            <w:r w:rsidRPr="00836BEA">
              <w:rPr>
                <w:b/>
                <w:bCs w:val="0"/>
                <w:color w:val="000000"/>
                <w:spacing w:val="58"/>
                <w:shd w:val="solid" w:color="000000" w:fill="000000"/>
                <w:fitText w:val="360" w:id="-694428150"/>
                <w:lang w:val="en-US" w:eastAsia="en-US"/>
                <w14:textFill>
                  <w14:solidFill>
                    <w14:srgbClr w14:val="000000">
                      <w14:alpha w14:val="100000"/>
                    </w14:srgbClr>
                  </w14:solidFill>
                </w14:textFill>
              </w:rPr>
              <w:t>|||</w:t>
            </w:r>
            <w:r w:rsidRPr="00836BEA">
              <w:rPr>
                <w:b/>
                <w:bCs w:val="0"/>
                <w:color w:val="000000"/>
                <w:spacing w:val="3"/>
                <w:shd w:val="solid" w:color="000000" w:fill="000000"/>
                <w:fitText w:val="360" w:id="-694428150"/>
                <w:lang w:val="en-US" w:eastAsia="en-US"/>
                <w14:textFill>
                  <w14:solidFill>
                    <w14:srgbClr w14:val="000000">
                      <w14:alpha w14:val="100000"/>
                    </w14:srgbClr>
                  </w14:solidFill>
                </w14:textFill>
              </w:rPr>
              <w:t>|</w:t>
            </w:r>
            <w:r w:rsidR="004F5687" w:rsidRPr="004F5687">
              <w:rPr>
                <w:vertAlign w:val="superscript"/>
              </w:rPr>
              <w:t>6</w:t>
            </w:r>
          </w:p>
        </w:tc>
        <w:tc>
          <w:tcPr>
            <w:tcW w:w="611" w:type="pct"/>
            <w:shd w:val="clear" w:color="auto" w:fill="auto"/>
          </w:tcPr>
          <w:p w14:paraId="0AD5F93C" w14:textId="0725AF7B" w:rsidR="0054188F" w:rsidRPr="00983508" w:rsidRDefault="00836BEA" w:rsidP="00920AFF">
            <w:pPr>
              <w:pStyle w:val="TableText0"/>
              <w:framePr w:wrap="around"/>
              <w:jc w:val="center"/>
              <w:rPr>
                <w:b/>
                <w:bCs w:val="0"/>
                <w:i/>
                <w:iCs/>
                <w:highlight w:val="darkGray"/>
              </w:rPr>
            </w:pPr>
            <w:r>
              <w:rPr>
                <w:b/>
                <w:bCs w:val="0"/>
                <w:color w:val="000000"/>
                <w:spacing w:val="58"/>
                <w:shd w:val="solid" w:color="000000" w:fill="000000"/>
                <w:fitText w:val="360" w:id="-694428149"/>
                <w:lang w:val="en-US" w:eastAsia="en-US"/>
                <w14:textFill>
                  <w14:solidFill>
                    <w14:srgbClr w14:val="000000">
                      <w14:alpha w14:val="100000"/>
                    </w14:srgbClr>
                  </w14:solidFill>
                </w14:textFill>
              </w:rPr>
              <w:t>|||</w:t>
            </w:r>
            <w:r>
              <w:rPr>
                <w:b/>
                <w:bCs w:val="0"/>
                <w:color w:val="000000"/>
                <w:spacing w:val="2"/>
                <w:shd w:val="solid" w:color="000000" w:fill="000000"/>
                <w:fitText w:val="360" w:id="-694428149"/>
                <w:lang w:val="en-US" w:eastAsia="en-US"/>
                <w14:textFill>
                  <w14:solidFill>
                    <w14:srgbClr w14:val="000000">
                      <w14:alpha w14:val="100000"/>
                    </w14:srgbClr>
                  </w14:solidFill>
                </w14:textFill>
              </w:rPr>
              <w:t>|</w:t>
            </w:r>
            <w:r w:rsidR="004F5687" w:rsidRPr="004F5687">
              <w:rPr>
                <w:vertAlign w:val="superscript"/>
              </w:rPr>
              <w:t>6</w:t>
            </w:r>
          </w:p>
        </w:tc>
      </w:tr>
    </w:tbl>
    <w:p w14:paraId="6BB8213D" w14:textId="77777777" w:rsidR="0054188F" w:rsidRDefault="0054188F" w:rsidP="00920AFF">
      <w:pPr>
        <w:pStyle w:val="FooterTableFigure"/>
        <w:keepNext/>
        <w:keepLines/>
      </w:pPr>
      <w:r w:rsidRPr="0098262F">
        <w:t xml:space="preserve">Source: </w:t>
      </w:r>
      <w:r w:rsidRPr="001142BA">
        <w:t>Table 13</w:t>
      </w:r>
      <w:r>
        <w:t>9</w:t>
      </w:r>
      <w:r w:rsidRPr="001142BA">
        <w:t>, p20</w:t>
      </w:r>
      <w:r>
        <w:t>2</w:t>
      </w:r>
      <w:r w:rsidRPr="001142BA">
        <w:t xml:space="preserve"> of the submission</w:t>
      </w:r>
      <w:r>
        <w:t>.</w:t>
      </w:r>
    </w:p>
    <w:p w14:paraId="11E00B56" w14:textId="77777777" w:rsidR="0054188F" w:rsidRPr="00D26815" w:rsidRDefault="0054188F" w:rsidP="00920AFF">
      <w:pPr>
        <w:pStyle w:val="FooterTableFigure"/>
        <w:keepNext/>
        <w:keepLines/>
        <w:rPr>
          <w:bCs/>
        </w:rPr>
      </w:pPr>
      <w:r w:rsidRPr="00D26815">
        <w:rPr>
          <w:bCs/>
        </w:rPr>
        <w:t>PBS = Pharmaceutical Benefits Scheme, RPBS = Repatriation Pharmaceutical Benefits Scheme.</w:t>
      </w:r>
    </w:p>
    <w:p w14:paraId="4F540ECA" w14:textId="77777777" w:rsidR="005C51C2" w:rsidRDefault="0054188F" w:rsidP="00920AFF">
      <w:pPr>
        <w:pStyle w:val="FooterTableFigure"/>
        <w:keepNext/>
        <w:keepLines/>
      </w:pPr>
      <w:r w:rsidRPr="0098262F">
        <w:rPr>
          <w:vertAlign w:val="superscript"/>
        </w:rPr>
        <w:t>a</w:t>
      </w:r>
      <w:r w:rsidRPr="0098262F">
        <w:t xml:space="preserve"> </w:t>
      </w:r>
      <w:r>
        <w:t>Estimation based on 7 scripts (in first 6 months of first year of treatment) for initiating patients on palopegteriparatide, and 4.79 scripts (in second 6 months in the first year of treatment) for responding initiating patients and 11.67 scripts per year for continuing patients in following years.</w:t>
      </w:r>
      <w:r w:rsidR="005C51C2">
        <w:t xml:space="preserve"> </w:t>
      </w:r>
    </w:p>
    <w:p w14:paraId="0989953F" w14:textId="506BDC1A" w:rsidR="005C51C2" w:rsidRPr="000574DD" w:rsidRDefault="005C51C2" w:rsidP="00920AFF">
      <w:pPr>
        <w:pStyle w:val="FooterTableFigure"/>
        <w:keepNext/>
        <w:keepLines/>
        <w:rPr>
          <w:i/>
          <w:iCs/>
        </w:rPr>
      </w:pPr>
      <w:bookmarkStart w:id="77" w:name="_Hlk200657791"/>
      <w:r w:rsidRPr="000574DD">
        <w:rPr>
          <w:i/>
          <w:iCs/>
        </w:rPr>
        <w:t>The redacted values correspond to the following ranges</w:t>
      </w:r>
      <w:r w:rsidR="000574DD" w:rsidRPr="000574DD">
        <w:rPr>
          <w:i/>
          <w:iCs/>
        </w:rPr>
        <w:t>:</w:t>
      </w:r>
    </w:p>
    <w:bookmarkEnd w:id="77"/>
    <w:p w14:paraId="18AF59E2" w14:textId="642B8DB5" w:rsidR="003C5C49" w:rsidRPr="000574DD" w:rsidRDefault="005C51C2" w:rsidP="00920AFF">
      <w:pPr>
        <w:pStyle w:val="FooterTableFigure"/>
        <w:keepNext/>
        <w:keepLines/>
        <w:rPr>
          <w:i/>
          <w:iCs/>
        </w:rPr>
      </w:pPr>
      <w:r w:rsidRPr="000574DD">
        <w:rPr>
          <w:i/>
          <w:iCs/>
          <w:vertAlign w:val="superscript"/>
        </w:rPr>
        <w:t>1</w:t>
      </w:r>
      <w:r w:rsidR="003C5C49" w:rsidRPr="000574DD">
        <w:rPr>
          <w:i/>
          <w:iCs/>
        </w:rPr>
        <w:t xml:space="preserve"> 500 to &lt; 5,000</w:t>
      </w:r>
    </w:p>
    <w:p w14:paraId="1AF62A27" w14:textId="137D2170" w:rsidR="003C5C49" w:rsidRPr="000574DD" w:rsidRDefault="001B195F" w:rsidP="00920AFF">
      <w:pPr>
        <w:pStyle w:val="FooterTableFigure"/>
        <w:keepNext/>
        <w:keepLines/>
        <w:rPr>
          <w:i/>
          <w:iCs/>
        </w:rPr>
      </w:pPr>
      <w:r w:rsidRPr="000574DD">
        <w:rPr>
          <w:i/>
          <w:iCs/>
          <w:vertAlign w:val="superscript"/>
        </w:rPr>
        <w:t>2</w:t>
      </w:r>
      <w:r w:rsidRPr="000574DD">
        <w:rPr>
          <w:i/>
          <w:iCs/>
        </w:rPr>
        <w:t xml:space="preserve"> </w:t>
      </w:r>
      <w:r w:rsidR="003C5C49" w:rsidRPr="000574DD">
        <w:rPr>
          <w:i/>
          <w:iCs/>
        </w:rPr>
        <w:t>20,000 to &lt; 30,000</w:t>
      </w:r>
    </w:p>
    <w:p w14:paraId="35D3C343" w14:textId="77777777" w:rsidR="0015669C" w:rsidRPr="000574DD" w:rsidRDefault="00B80D76" w:rsidP="00920AFF">
      <w:pPr>
        <w:pStyle w:val="FooterTableFigure"/>
        <w:keepNext/>
        <w:keepLines/>
        <w:rPr>
          <w:i/>
          <w:iCs/>
        </w:rPr>
      </w:pPr>
      <w:r w:rsidRPr="000574DD">
        <w:rPr>
          <w:i/>
          <w:iCs/>
          <w:vertAlign w:val="superscript"/>
        </w:rPr>
        <w:t>3</w:t>
      </w:r>
      <w:r w:rsidR="001B195F" w:rsidRPr="000574DD">
        <w:rPr>
          <w:i/>
          <w:iCs/>
        </w:rPr>
        <w:t xml:space="preserve"> </w:t>
      </w:r>
      <w:r w:rsidR="003C5C49" w:rsidRPr="000574DD">
        <w:rPr>
          <w:i/>
          <w:iCs/>
        </w:rPr>
        <w:t>30,000 to &lt; 40,000</w:t>
      </w:r>
      <w:r w:rsidRPr="000574DD">
        <w:rPr>
          <w:i/>
          <w:iCs/>
        </w:rPr>
        <w:t xml:space="preserve"> </w:t>
      </w:r>
    </w:p>
    <w:p w14:paraId="231A188C" w14:textId="24283707" w:rsidR="0015669C" w:rsidRPr="000574DD" w:rsidRDefault="0015669C" w:rsidP="00920AFF">
      <w:pPr>
        <w:pStyle w:val="FooterTableFigure"/>
        <w:keepNext/>
        <w:keepLines/>
        <w:rPr>
          <w:i/>
          <w:iCs/>
        </w:rPr>
      </w:pPr>
      <w:r w:rsidRPr="000574DD">
        <w:rPr>
          <w:i/>
          <w:iCs/>
          <w:vertAlign w:val="superscript"/>
        </w:rPr>
        <w:t>4</w:t>
      </w:r>
      <w:r w:rsidRPr="000574DD">
        <w:rPr>
          <w:i/>
          <w:iCs/>
        </w:rPr>
        <w:t xml:space="preserve"> $40 million to &lt; $50 million</w:t>
      </w:r>
    </w:p>
    <w:p w14:paraId="3B2C6F07" w14:textId="140B61B8" w:rsidR="0015669C" w:rsidRPr="000574DD" w:rsidRDefault="004F5687" w:rsidP="00920AFF">
      <w:pPr>
        <w:pStyle w:val="FooterTableFigure"/>
        <w:keepNext/>
        <w:keepLines/>
        <w:rPr>
          <w:i/>
          <w:iCs/>
        </w:rPr>
      </w:pPr>
      <w:r w:rsidRPr="000574DD">
        <w:rPr>
          <w:i/>
          <w:iCs/>
          <w:vertAlign w:val="superscript"/>
        </w:rPr>
        <w:t>5</w:t>
      </w:r>
      <w:r w:rsidRPr="000574DD">
        <w:rPr>
          <w:i/>
          <w:iCs/>
        </w:rPr>
        <w:t xml:space="preserve"> </w:t>
      </w:r>
      <w:r w:rsidR="0015669C" w:rsidRPr="000574DD">
        <w:rPr>
          <w:i/>
          <w:iCs/>
        </w:rPr>
        <w:t>$50 million to &lt; $60 million</w:t>
      </w:r>
    </w:p>
    <w:p w14:paraId="32AC33EA" w14:textId="1A08EF1E" w:rsidR="0015669C" w:rsidRPr="000574DD" w:rsidRDefault="004F5687" w:rsidP="00920AFF">
      <w:pPr>
        <w:pStyle w:val="FooterTableFigure"/>
        <w:keepNext/>
        <w:keepLines/>
        <w:rPr>
          <w:i/>
          <w:iCs/>
        </w:rPr>
      </w:pPr>
      <w:r w:rsidRPr="000574DD">
        <w:rPr>
          <w:i/>
          <w:iCs/>
          <w:vertAlign w:val="superscript"/>
        </w:rPr>
        <w:t>6</w:t>
      </w:r>
      <w:r w:rsidRPr="000574DD">
        <w:rPr>
          <w:i/>
          <w:iCs/>
        </w:rPr>
        <w:t xml:space="preserve"> </w:t>
      </w:r>
      <w:r w:rsidR="0015669C" w:rsidRPr="000574DD">
        <w:rPr>
          <w:i/>
          <w:iCs/>
        </w:rPr>
        <w:t>$60 million to &lt; $70 million</w:t>
      </w:r>
    </w:p>
    <w:p w14:paraId="63D0751A" w14:textId="77777777" w:rsidR="00CE1A6D" w:rsidRPr="000574DD" w:rsidRDefault="004F5687" w:rsidP="00920AFF">
      <w:pPr>
        <w:pStyle w:val="FooterTableFigure"/>
        <w:keepNext/>
        <w:keepLines/>
        <w:rPr>
          <w:i/>
          <w:iCs/>
        </w:rPr>
      </w:pPr>
      <w:r w:rsidRPr="000574DD">
        <w:rPr>
          <w:i/>
          <w:iCs/>
          <w:vertAlign w:val="superscript"/>
        </w:rPr>
        <w:t>7</w:t>
      </w:r>
      <w:r w:rsidRPr="000574DD">
        <w:rPr>
          <w:i/>
          <w:iCs/>
        </w:rPr>
        <w:t xml:space="preserve"> </w:t>
      </w:r>
      <w:r w:rsidR="0015669C" w:rsidRPr="000574DD">
        <w:rPr>
          <w:i/>
          <w:iCs/>
        </w:rPr>
        <w:t>$70 million to &lt; $80 million</w:t>
      </w:r>
      <w:r w:rsidR="00CE1A6D" w:rsidRPr="000574DD">
        <w:rPr>
          <w:i/>
          <w:iCs/>
        </w:rPr>
        <w:t xml:space="preserve"> </w:t>
      </w:r>
    </w:p>
    <w:p w14:paraId="13505FB8" w14:textId="5EC26CB0" w:rsidR="0015669C" w:rsidRPr="000574DD" w:rsidRDefault="00CE1A6D" w:rsidP="00920AFF">
      <w:pPr>
        <w:pStyle w:val="FooterTableFigure"/>
        <w:keepNext/>
        <w:keepLines/>
        <w:rPr>
          <w:i/>
          <w:iCs/>
        </w:rPr>
      </w:pPr>
      <w:r w:rsidRPr="000574DD">
        <w:rPr>
          <w:i/>
          <w:iCs/>
          <w:vertAlign w:val="superscript"/>
        </w:rPr>
        <w:t>8</w:t>
      </w:r>
      <w:r w:rsidRPr="000574DD">
        <w:rPr>
          <w:i/>
          <w:iCs/>
        </w:rPr>
        <w:t xml:space="preserve"> net cost saving</w:t>
      </w:r>
    </w:p>
    <w:p w14:paraId="5B1FA48D" w14:textId="73A4A927" w:rsidR="0054188F" w:rsidRPr="0098262F" w:rsidRDefault="0054188F" w:rsidP="006633F3">
      <w:pPr>
        <w:pStyle w:val="FooterTableFigure"/>
        <w:keepNext/>
        <w:keepLines/>
      </w:pPr>
    </w:p>
    <w:p w14:paraId="67F8ABE8" w14:textId="555DBE49" w:rsidR="0054188F" w:rsidRPr="0027344B" w:rsidRDefault="0054188F" w:rsidP="0054188F">
      <w:pPr>
        <w:pStyle w:val="3-BodyText"/>
      </w:pPr>
      <w:r>
        <w:t>Based on the effective price of palopegteriparatide t</w:t>
      </w:r>
      <w:r w:rsidRPr="0098262F">
        <w:t xml:space="preserve">he cost to the PBS/RPBS of listing </w:t>
      </w:r>
      <w:r>
        <w:t xml:space="preserve">palopegteriparatide </w:t>
      </w:r>
      <w:r w:rsidRPr="0098262F">
        <w:t xml:space="preserve">was estimated to be </w:t>
      </w:r>
      <w:r w:rsidR="00093380" w:rsidRPr="00093380">
        <w:t>$60 million to &lt; $70 million</w:t>
      </w:r>
      <w:r w:rsidR="00093380" w:rsidRPr="00093380" w:rsidDel="00093380">
        <w:t xml:space="preserve"> </w:t>
      </w:r>
      <w:r w:rsidRPr="0098262F">
        <w:t xml:space="preserve">in Year 6, </w:t>
      </w:r>
      <w:r w:rsidR="00F76550">
        <w:t>with a</w:t>
      </w:r>
      <w:r w:rsidR="00F76550" w:rsidRPr="0098262F">
        <w:t xml:space="preserve"> </w:t>
      </w:r>
      <w:r w:rsidRPr="0098262F">
        <w:t xml:space="preserve">total of </w:t>
      </w:r>
      <w:r w:rsidR="00C26ABD" w:rsidRPr="00C26ABD">
        <w:t>$300 million to &lt; $400 million</w:t>
      </w:r>
      <w:r w:rsidR="00357BF7">
        <w:t xml:space="preserve"> </w:t>
      </w:r>
      <w:r>
        <w:t>over</w:t>
      </w:r>
      <w:r w:rsidRPr="0098262F">
        <w:t xml:space="preserve"> the first 6 years of listing</w:t>
      </w:r>
      <w:r w:rsidRPr="0098262F">
        <w:rPr>
          <w:color w:val="3366FF"/>
        </w:rPr>
        <w:t xml:space="preserve">. </w:t>
      </w:r>
    </w:p>
    <w:p w14:paraId="284B6EB0" w14:textId="63D1F45D" w:rsidR="000C11D5" w:rsidRDefault="0043188B" w:rsidP="000C11D5">
      <w:pPr>
        <w:pStyle w:val="3-BodyText"/>
      </w:pPr>
      <w:bookmarkStart w:id="78" w:name="_Ref194489762"/>
      <w:r w:rsidRPr="00DE68B3">
        <w:t xml:space="preserve">The DUSC </w:t>
      </w:r>
      <w:r w:rsidR="009724AF" w:rsidRPr="00DE68B3">
        <w:t>noted</w:t>
      </w:r>
      <w:r w:rsidRPr="00DE68B3">
        <w:t xml:space="preserve"> that the estimate of prevalent patients </w:t>
      </w:r>
      <w:r w:rsidR="00BF4419" w:rsidRPr="00DE68B3">
        <w:t>(37.2 per 100,000 population)</w:t>
      </w:r>
      <w:r w:rsidR="00A01FCA" w:rsidRPr="00DE68B3">
        <w:t xml:space="preserve">, which was based on </w:t>
      </w:r>
      <w:r w:rsidR="009724AF" w:rsidRPr="00DE68B3">
        <w:t>PBS calcitriol usage,</w:t>
      </w:r>
      <w:r w:rsidR="00BF4419" w:rsidRPr="00DE68B3">
        <w:t xml:space="preserve"> </w:t>
      </w:r>
      <w:r w:rsidRPr="00DE68B3">
        <w:t>was higher than international comparisons</w:t>
      </w:r>
      <w:r w:rsidR="00A86838" w:rsidRPr="00DE68B3">
        <w:t xml:space="preserve">, with average pooled global data suggesting a </w:t>
      </w:r>
      <w:r w:rsidR="009F662D">
        <w:t>prevalence</w:t>
      </w:r>
      <w:r w:rsidR="00A86838" w:rsidRPr="00DE68B3">
        <w:t xml:space="preserve"> of 25-37 per 100,000 population</w:t>
      </w:r>
      <w:r w:rsidRPr="00DE68B3">
        <w:t xml:space="preserve">. The DUSC considered </w:t>
      </w:r>
      <w:r w:rsidR="00A86838" w:rsidRPr="00DE68B3">
        <w:t xml:space="preserve">the </w:t>
      </w:r>
      <w:r w:rsidRPr="00DE68B3">
        <w:t>inclu</w:t>
      </w:r>
      <w:r w:rsidR="00A86838" w:rsidRPr="00DE68B3">
        <w:t xml:space="preserve">sion of </w:t>
      </w:r>
      <w:r w:rsidRPr="00DE68B3">
        <w:t>the streamlined authority code for the use of calcitriol for hypocalcaemia in estimating the prevalent population</w:t>
      </w:r>
      <w:r w:rsidR="00BB4DD8" w:rsidRPr="00DE68B3">
        <w:t xml:space="preserve"> </w:t>
      </w:r>
      <w:r w:rsidR="00A86838" w:rsidRPr="00DE68B3">
        <w:t>was not appropriate</w:t>
      </w:r>
      <w:r w:rsidR="00F76550">
        <w:t>,</w:t>
      </w:r>
      <w:r w:rsidR="00A86838" w:rsidRPr="00DE68B3">
        <w:t xml:space="preserve"> </w:t>
      </w:r>
      <w:r w:rsidR="00F76550" w:rsidRPr="00DE68B3">
        <w:t xml:space="preserve">as it </w:t>
      </w:r>
      <w:r w:rsidR="00F76550">
        <w:t>was specific for</w:t>
      </w:r>
      <w:r w:rsidR="00F76550" w:rsidRPr="00DE68B3">
        <w:t xml:space="preserve"> patients with hypocalcaemia </w:t>
      </w:r>
      <w:r w:rsidR="00F76550">
        <w:t xml:space="preserve">due to </w:t>
      </w:r>
      <w:r w:rsidR="00F76550" w:rsidRPr="00DE68B3">
        <w:t>renal disease, not HPT</w:t>
      </w:r>
      <w:r w:rsidR="00F76550">
        <w:t xml:space="preserve">.  </w:t>
      </w:r>
      <w:r w:rsidR="000E47F9" w:rsidRPr="00DE68B3">
        <w:t>The DUSC noted that a reanalysis of patient numbers between 2018 and 2023</w:t>
      </w:r>
      <w:r w:rsidR="000E47F9">
        <w:t xml:space="preserve"> </w:t>
      </w:r>
      <w:r w:rsidR="000E47F9" w:rsidRPr="00DE68B3">
        <w:t xml:space="preserve">for the PBS listing of calcitriol which only used the streamlined authority codes for HPT </w:t>
      </w:r>
      <w:r w:rsidR="000E47F9">
        <w:t>and excluded</w:t>
      </w:r>
      <w:r w:rsidR="000E47F9" w:rsidRPr="00DE68B3">
        <w:t xml:space="preserve"> the code for hypocalcaemia resulted in a</w:t>
      </w:r>
      <w:r w:rsidR="000E47F9">
        <w:t xml:space="preserve"> lower</w:t>
      </w:r>
      <w:r w:rsidR="000E47F9" w:rsidRPr="00DE68B3">
        <w:t xml:space="preserve"> average prevalence of HPT of 30.1/100,000</w:t>
      </w:r>
      <w:r w:rsidRPr="00DE68B3">
        <w:t xml:space="preserve">. </w:t>
      </w:r>
      <w:bookmarkEnd w:id="78"/>
    </w:p>
    <w:p w14:paraId="0C152C8F" w14:textId="04B9B744" w:rsidR="000C11D5" w:rsidRPr="000C11D5" w:rsidRDefault="000C11D5" w:rsidP="000C11D5">
      <w:pPr>
        <w:pStyle w:val="3-BodyText"/>
      </w:pPr>
      <w:bookmarkStart w:id="79" w:name="_Ref194489952"/>
      <w:r>
        <w:t xml:space="preserve">The DUSC noted that </w:t>
      </w:r>
      <w:r w:rsidRPr="001C6CF2">
        <w:t xml:space="preserve">the uptake rate was based on the high clinical need in this population and based on a survey of Australian endocrinologists (n=69) conducted by the submission. The clinicians reported on the proportion of inadequately controlled patients receiving conventional therapy that they would commence treatment with palopegteriparatide. The average estimate was </w:t>
      </w:r>
      <w:r w:rsidR="00836BEA" w:rsidRPr="00836BEA">
        <w:rPr>
          <w:color w:val="000000"/>
          <w:w w:val="62"/>
          <w:shd w:val="solid" w:color="000000" w:fill="000000"/>
          <w:fitText w:val="480" w:id="-694428148"/>
          <w14:textFill>
            <w14:solidFill>
              <w14:srgbClr w14:val="000000">
                <w14:alpha w14:val="100000"/>
              </w14:srgbClr>
            </w14:solidFill>
          </w14:textFill>
        </w:rPr>
        <w:t>|||  ||</w:t>
      </w:r>
      <w:r w:rsidR="00836BEA" w:rsidRPr="00836BEA">
        <w:rPr>
          <w:color w:val="000000"/>
          <w:spacing w:val="2"/>
          <w:w w:val="62"/>
          <w:shd w:val="solid" w:color="000000" w:fill="000000"/>
          <w:fitText w:val="480" w:id="-694428148"/>
          <w14:textFill>
            <w14:solidFill>
              <w14:srgbClr w14:val="000000">
                <w14:alpha w14:val="100000"/>
              </w14:srgbClr>
            </w14:solidFill>
          </w14:textFill>
        </w:rPr>
        <w:t>|</w:t>
      </w:r>
      <w:r w:rsidRPr="001C6CF2">
        <w:t xml:space="preserve">% (IQR: </w:t>
      </w:r>
      <w:r w:rsidR="00836BEA" w:rsidRPr="00836BEA">
        <w:rPr>
          <w:color w:val="000000"/>
          <w:w w:val="60"/>
          <w:shd w:val="solid" w:color="000000" w:fill="000000"/>
          <w:fitText w:val="470" w:id="-694428147"/>
          <w14:textFill>
            <w14:solidFill>
              <w14:srgbClr w14:val="000000">
                <w14:alpha w14:val="100000"/>
              </w14:srgbClr>
            </w14:solidFill>
          </w14:textFill>
        </w:rPr>
        <w:t>|||  ||</w:t>
      </w:r>
      <w:r w:rsidR="00836BEA" w:rsidRPr="00836BEA">
        <w:rPr>
          <w:color w:val="000000"/>
          <w:spacing w:val="6"/>
          <w:w w:val="60"/>
          <w:shd w:val="solid" w:color="000000" w:fill="000000"/>
          <w:fitText w:val="470" w:id="-694428147"/>
          <w14:textFill>
            <w14:solidFill>
              <w14:srgbClr w14:val="000000">
                <w14:alpha w14:val="100000"/>
              </w14:srgbClr>
            </w14:solidFill>
          </w14:textFill>
        </w:rPr>
        <w:t>|</w:t>
      </w:r>
      <w:r w:rsidRPr="00255588">
        <w:t>%</w:t>
      </w:r>
      <w:r w:rsidRPr="001C6CF2">
        <w:t xml:space="preserve"> to </w:t>
      </w:r>
      <w:r w:rsidR="00836BEA" w:rsidRPr="00836BEA">
        <w:rPr>
          <w:color w:val="000000"/>
          <w:w w:val="60"/>
          <w:shd w:val="solid" w:color="000000" w:fill="000000"/>
          <w:fitText w:val="470" w:id="-694427904"/>
          <w14:textFill>
            <w14:solidFill>
              <w14:srgbClr w14:val="000000">
                <w14:alpha w14:val="100000"/>
              </w14:srgbClr>
            </w14:solidFill>
          </w14:textFill>
        </w:rPr>
        <w:t>|||  ||</w:t>
      </w:r>
      <w:r w:rsidR="00836BEA" w:rsidRPr="00836BEA">
        <w:rPr>
          <w:color w:val="000000"/>
          <w:spacing w:val="6"/>
          <w:w w:val="60"/>
          <w:shd w:val="solid" w:color="000000" w:fill="000000"/>
          <w:fitText w:val="470" w:id="-694427904"/>
          <w14:textFill>
            <w14:solidFill>
              <w14:srgbClr w14:val="000000">
                <w14:alpha w14:val="100000"/>
              </w14:srgbClr>
            </w14:solidFill>
          </w14:textFill>
        </w:rPr>
        <w:t>|</w:t>
      </w:r>
      <w:r w:rsidRPr="001C6CF2">
        <w:t xml:space="preserve">%). Based on these data the submission estimated an uptake of </w:t>
      </w:r>
      <w:r w:rsidR="00836BEA" w:rsidRPr="00836BEA">
        <w:rPr>
          <w:color w:val="000000"/>
          <w:w w:val="62"/>
          <w:shd w:val="solid" w:color="000000" w:fill="000000"/>
          <w:fitText w:val="480" w:id="-694427903"/>
          <w14:textFill>
            <w14:solidFill>
              <w14:srgbClr w14:val="000000">
                <w14:alpha w14:val="100000"/>
              </w14:srgbClr>
            </w14:solidFill>
          </w14:textFill>
        </w:rPr>
        <w:t>|||  ||</w:t>
      </w:r>
      <w:r w:rsidR="00836BEA" w:rsidRPr="00836BEA">
        <w:rPr>
          <w:color w:val="000000"/>
          <w:spacing w:val="2"/>
          <w:w w:val="62"/>
          <w:shd w:val="solid" w:color="000000" w:fill="000000"/>
          <w:fitText w:val="480" w:id="-694427903"/>
          <w14:textFill>
            <w14:solidFill>
              <w14:srgbClr w14:val="000000">
                <w14:alpha w14:val="100000"/>
              </w14:srgbClr>
            </w14:solidFill>
          </w14:textFill>
        </w:rPr>
        <w:t>|</w:t>
      </w:r>
      <w:r w:rsidRPr="001C6CF2">
        <w:t xml:space="preserve">% in Year 1, increasing to </w:t>
      </w:r>
      <w:r w:rsidR="00836BEA" w:rsidRPr="00CA6752">
        <w:rPr>
          <w:color w:val="000000"/>
          <w:w w:val="60"/>
          <w:shd w:val="solid" w:color="000000" w:fill="000000"/>
          <w:fitText w:val="470" w:id="-694427902"/>
          <w14:textFill>
            <w14:solidFill>
              <w14:srgbClr w14:val="000000">
                <w14:alpha w14:val="100000"/>
              </w14:srgbClr>
            </w14:solidFill>
          </w14:textFill>
        </w:rPr>
        <w:t>|||  ||</w:t>
      </w:r>
      <w:r w:rsidR="00836BEA" w:rsidRPr="00CA6752">
        <w:rPr>
          <w:color w:val="000000"/>
          <w:spacing w:val="6"/>
          <w:w w:val="60"/>
          <w:shd w:val="solid" w:color="000000" w:fill="000000"/>
          <w:fitText w:val="470" w:id="-694427902"/>
          <w14:textFill>
            <w14:solidFill>
              <w14:srgbClr w14:val="000000">
                <w14:alpha w14:val="100000"/>
              </w14:srgbClr>
            </w14:solidFill>
          </w14:textFill>
        </w:rPr>
        <w:t>|</w:t>
      </w:r>
      <w:r w:rsidRPr="001C6CF2">
        <w:t>% in Year</w:t>
      </w:r>
      <w:r w:rsidR="00A86F12">
        <w:t>s</w:t>
      </w:r>
      <w:r w:rsidRPr="001C6CF2">
        <w:t xml:space="preserve"> 5</w:t>
      </w:r>
      <w:r w:rsidR="00A86F12">
        <w:t xml:space="preserve"> and 6</w:t>
      </w:r>
      <w:r w:rsidRPr="001C6CF2">
        <w:t xml:space="preserve">.  </w:t>
      </w:r>
      <w:r>
        <w:t xml:space="preserve">The </w:t>
      </w:r>
      <w:r w:rsidRPr="000C11D5">
        <w:t>DUSC considered that initial uptake will most likely be lower than assumed in the submission. This may be due to reluctance for patients to start a daily injection, initial lack of experience and potentially slow adoption of the drug amongst endocrinologists, and the likelihood that many patients may not be reviewed by an endocrinologist more often than every 6</w:t>
      </w:r>
      <w:r w:rsidR="008C2103">
        <w:t xml:space="preserve"> to </w:t>
      </w:r>
      <w:r w:rsidRPr="000C11D5">
        <w:t>12 months.</w:t>
      </w:r>
      <w:bookmarkEnd w:id="79"/>
      <w:r w:rsidRPr="000C11D5">
        <w:t xml:space="preserve"> </w:t>
      </w:r>
    </w:p>
    <w:p w14:paraId="5B613FA6" w14:textId="0409AB09" w:rsidR="00625943" w:rsidRPr="0098262F" w:rsidRDefault="00625943" w:rsidP="00625943">
      <w:pPr>
        <w:pStyle w:val="4-SubsectionHeading"/>
      </w:pPr>
      <w:r w:rsidRPr="0098262F">
        <w:t>Quality Use of Medicines</w:t>
      </w:r>
      <w:bookmarkEnd w:id="73"/>
      <w:bookmarkEnd w:id="74"/>
    </w:p>
    <w:p w14:paraId="3CD3B0DA" w14:textId="77777777" w:rsidR="00625943" w:rsidRPr="000D3454" w:rsidRDefault="00625943" w:rsidP="00625943">
      <w:pPr>
        <w:pStyle w:val="3-BodyText"/>
      </w:pPr>
      <w:r w:rsidRPr="4D2BAA30">
        <w:t>The submission did not include any information under the quality use of medicines. The TGA Delegate noted uncertainties around the long-term safety and efficacy of palopegteriparatide and recommended post-market submission of trial data and a post-market pharmacovigilance plan (p64, palopegteriparatide, TGA Delegate’s Overview, November 2024).</w:t>
      </w:r>
    </w:p>
    <w:p w14:paraId="2034641A" w14:textId="77777777" w:rsidR="00625943" w:rsidRPr="0098262F" w:rsidRDefault="00625943" w:rsidP="00625943">
      <w:pPr>
        <w:pStyle w:val="4-SubsectionHeading"/>
      </w:pPr>
      <w:bookmarkStart w:id="80" w:name="_Toc22897649"/>
      <w:bookmarkStart w:id="81" w:name="_Toc187766422"/>
      <w:r w:rsidRPr="0098262F">
        <w:t>Financial Management – Risk Sharing Arrangements</w:t>
      </w:r>
      <w:bookmarkEnd w:id="80"/>
      <w:bookmarkEnd w:id="81"/>
    </w:p>
    <w:p w14:paraId="14F1092C" w14:textId="68206DFD" w:rsidR="00625943" w:rsidRPr="00556F51" w:rsidRDefault="12BC06F7" w:rsidP="383E5602">
      <w:pPr>
        <w:pStyle w:val="3-BodyText"/>
        <w:rPr>
          <w:color w:val="0066FF"/>
        </w:rPr>
      </w:pPr>
      <w:r w:rsidRPr="383E5602">
        <w:t xml:space="preserve">The submission stated that the sponsor is willing to enter a risk-sharing arrangement related to any uncertainties that require mitigation. </w:t>
      </w:r>
    </w:p>
    <w:p w14:paraId="72489B89" w14:textId="632967E4" w:rsidR="00556F51" w:rsidRDefault="00556F51" w:rsidP="00556F51">
      <w:pPr>
        <w:pStyle w:val="3-BodyText"/>
        <w:numPr>
          <w:ilvl w:val="0"/>
          <w:numId w:val="0"/>
        </w:numPr>
        <w:ind w:left="720"/>
        <w:rPr>
          <w:i/>
        </w:rPr>
      </w:pPr>
      <w:r w:rsidRPr="00C33D30">
        <w:rPr>
          <w:i/>
        </w:rPr>
        <w:t>For more detail on PBAC’s view, see section 7 PBAC outcome.</w:t>
      </w:r>
    </w:p>
    <w:p w14:paraId="2E06EB10" w14:textId="281478DF" w:rsidR="009A2F69" w:rsidRPr="0090150D" w:rsidRDefault="009A2F69" w:rsidP="009A2F69">
      <w:pPr>
        <w:pStyle w:val="2-SectionHeading"/>
        <w:numPr>
          <w:ilvl w:val="0"/>
          <w:numId w:val="1"/>
        </w:numPr>
      </w:pPr>
      <w:bookmarkStart w:id="82" w:name="_Hlk76381249"/>
      <w:bookmarkStart w:id="83" w:name="_Hlk76377955"/>
      <w:r w:rsidRPr="0090150D">
        <w:t>PBAC Outcome</w:t>
      </w:r>
    </w:p>
    <w:p w14:paraId="4A17E29B" w14:textId="3548C952" w:rsidR="005E5FF1" w:rsidRDefault="009A2F69" w:rsidP="009A2F69">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 did not recommend</w:t>
      </w:r>
      <w:r w:rsidR="00C51D9D">
        <w:rPr>
          <w:rFonts w:asciiTheme="minorHAnsi" w:hAnsiTheme="minorHAnsi"/>
          <w:snapToGrid w:val="0"/>
          <w:lang w:val="en-GB"/>
        </w:rPr>
        <w:t xml:space="preserve"> palopegteriparatide for the treatment of </w:t>
      </w:r>
      <w:r w:rsidR="00B32E13">
        <w:rPr>
          <w:rFonts w:asciiTheme="minorHAnsi" w:hAnsiTheme="minorHAnsi"/>
          <w:snapToGrid w:val="0"/>
          <w:lang w:val="en-GB"/>
        </w:rPr>
        <w:t xml:space="preserve">patients with </w:t>
      </w:r>
      <w:r w:rsidR="00E366C4">
        <w:rPr>
          <w:rFonts w:asciiTheme="minorHAnsi" w:hAnsiTheme="minorHAnsi"/>
          <w:snapToGrid w:val="0"/>
          <w:lang w:val="en-GB"/>
        </w:rPr>
        <w:t xml:space="preserve">chronic </w:t>
      </w:r>
      <w:r w:rsidR="00DC6394">
        <w:rPr>
          <w:rFonts w:asciiTheme="minorHAnsi" w:hAnsiTheme="minorHAnsi"/>
          <w:snapToGrid w:val="0"/>
          <w:lang w:val="en-GB"/>
        </w:rPr>
        <w:t xml:space="preserve">hypoparathyroidism (HPT) who are inadequately controlled on conventional therapy (i.e. active vitamin D and calcium supplements). </w:t>
      </w:r>
      <w:r w:rsidR="001E6ED2">
        <w:rPr>
          <w:rFonts w:asciiTheme="minorHAnsi" w:hAnsiTheme="minorHAnsi"/>
          <w:snapToGrid w:val="0"/>
          <w:lang w:val="en-GB"/>
        </w:rPr>
        <w:t xml:space="preserve">The PBAC considered that palopegteriparatide was superior compared to </w:t>
      </w:r>
      <w:r w:rsidR="00312FB3">
        <w:rPr>
          <w:rFonts w:asciiTheme="minorHAnsi" w:hAnsiTheme="minorHAnsi"/>
          <w:snapToGrid w:val="0"/>
          <w:lang w:val="en-GB"/>
        </w:rPr>
        <w:t xml:space="preserve">the nominated comparator of conventional therapy in terms of efficacy and </w:t>
      </w:r>
      <w:r w:rsidR="000E47F9">
        <w:rPr>
          <w:rFonts w:asciiTheme="minorHAnsi" w:hAnsiTheme="minorHAnsi"/>
          <w:snapToGrid w:val="0"/>
          <w:lang w:val="en-GB"/>
        </w:rPr>
        <w:t xml:space="preserve">likely </w:t>
      </w:r>
      <w:r w:rsidR="00244261">
        <w:rPr>
          <w:rFonts w:asciiTheme="minorHAnsi" w:hAnsiTheme="minorHAnsi"/>
          <w:snapToGrid w:val="0"/>
          <w:lang w:val="en-GB"/>
        </w:rPr>
        <w:t>comparable</w:t>
      </w:r>
      <w:r w:rsidR="00312FB3">
        <w:rPr>
          <w:rFonts w:asciiTheme="minorHAnsi" w:hAnsiTheme="minorHAnsi"/>
          <w:snapToGrid w:val="0"/>
          <w:lang w:val="en-GB"/>
        </w:rPr>
        <w:t xml:space="preserve"> in terms of safety.</w:t>
      </w:r>
      <w:r w:rsidR="009B5015">
        <w:rPr>
          <w:rFonts w:asciiTheme="minorHAnsi" w:hAnsiTheme="minorHAnsi"/>
          <w:snapToGrid w:val="0"/>
          <w:lang w:val="en-GB"/>
        </w:rPr>
        <w:t xml:space="preserve"> However, the PBAC considered </w:t>
      </w:r>
      <w:r w:rsidR="00D266F9">
        <w:rPr>
          <w:rFonts w:asciiTheme="minorHAnsi" w:hAnsiTheme="minorHAnsi"/>
          <w:snapToGrid w:val="0"/>
          <w:lang w:val="en-GB"/>
        </w:rPr>
        <w:t xml:space="preserve">that the economic model presented in the submission was </w:t>
      </w:r>
      <w:r w:rsidR="005F73E2">
        <w:rPr>
          <w:rFonts w:asciiTheme="minorHAnsi" w:hAnsiTheme="minorHAnsi"/>
          <w:snapToGrid w:val="0"/>
          <w:lang w:val="en-GB"/>
        </w:rPr>
        <w:t xml:space="preserve">highly uncertain and </w:t>
      </w:r>
      <w:r w:rsidR="005214E1">
        <w:rPr>
          <w:rFonts w:asciiTheme="minorHAnsi" w:hAnsiTheme="minorHAnsi"/>
          <w:snapToGrid w:val="0"/>
          <w:lang w:val="en-GB"/>
        </w:rPr>
        <w:t>may</w:t>
      </w:r>
      <w:r w:rsidR="00C16853">
        <w:rPr>
          <w:rFonts w:asciiTheme="minorHAnsi" w:hAnsiTheme="minorHAnsi"/>
          <w:snapToGrid w:val="0"/>
          <w:lang w:val="en-GB"/>
        </w:rPr>
        <w:t xml:space="preserve"> not </w:t>
      </w:r>
      <w:r w:rsidR="005214E1">
        <w:rPr>
          <w:rFonts w:asciiTheme="minorHAnsi" w:hAnsiTheme="minorHAnsi"/>
          <w:snapToGrid w:val="0"/>
          <w:lang w:val="en-GB"/>
        </w:rPr>
        <w:t xml:space="preserve">be </w:t>
      </w:r>
      <w:r w:rsidR="00C16853">
        <w:rPr>
          <w:rFonts w:asciiTheme="minorHAnsi" w:hAnsiTheme="minorHAnsi"/>
          <w:snapToGrid w:val="0"/>
          <w:lang w:val="en-GB"/>
        </w:rPr>
        <w:t>suitable for decision making</w:t>
      </w:r>
      <w:r w:rsidR="007E6F5A">
        <w:rPr>
          <w:rFonts w:asciiTheme="minorHAnsi" w:hAnsiTheme="minorHAnsi"/>
          <w:snapToGrid w:val="0"/>
          <w:lang w:val="en-GB"/>
        </w:rPr>
        <w:t xml:space="preserve">, given its reliance on </w:t>
      </w:r>
      <w:r w:rsidR="00F03BD3">
        <w:rPr>
          <w:rFonts w:asciiTheme="minorHAnsi" w:hAnsiTheme="minorHAnsi"/>
          <w:snapToGrid w:val="0"/>
          <w:lang w:val="en-GB"/>
        </w:rPr>
        <w:t xml:space="preserve">chronic </w:t>
      </w:r>
      <w:r w:rsidR="00FD11A5" w:rsidRPr="00187D6E">
        <w:t>kidney disease (</w:t>
      </w:r>
      <w:r w:rsidR="007E6F5A">
        <w:rPr>
          <w:rFonts w:asciiTheme="minorHAnsi" w:hAnsiTheme="minorHAnsi"/>
          <w:snapToGrid w:val="0"/>
          <w:lang w:val="en-GB"/>
        </w:rPr>
        <w:t>CKD</w:t>
      </w:r>
      <w:r w:rsidR="00F03BD3">
        <w:rPr>
          <w:rFonts w:asciiTheme="minorHAnsi" w:hAnsiTheme="minorHAnsi"/>
          <w:snapToGrid w:val="0"/>
          <w:lang w:val="en-GB"/>
        </w:rPr>
        <w:t>)</w:t>
      </w:r>
      <w:r w:rsidR="007E6F5A">
        <w:rPr>
          <w:rFonts w:asciiTheme="minorHAnsi" w:hAnsiTheme="minorHAnsi"/>
          <w:snapToGrid w:val="0"/>
          <w:lang w:val="en-GB"/>
        </w:rPr>
        <w:t xml:space="preserve"> outcomes</w:t>
      </w:r>
      <w:r w:rsidR="00EC3880">
        <w:rPr>
          <w:rFonts w:asciiTheme="minorHAnsi" w:hAnsiTheme="minorHAnsi"/>
          <w:snapToGrid w:val="0"/>
          <w:lang w:val="en-GB"/>
        </w:rPr>
        <w:t xml:space="preserve"> </w:t>
      </w:r>
      <w:r w:rsidR="00C937D6">
        <w:rPr>
          <w:rFonts w:asciiTheme="minorHAnsi" w:hAnsiTheme="minorHAnsi"/>
          <w:snapToGrid w:val="0"/>
          <w:lang w:val="en-GB"/>
        </w:rPr>
        <w:t>and</w:t>
      </w:r>
      <w:r w:rsidR="00400797">
        <w:rPr>
          <w:rFonts w:asciiTheme="minorHAnsi" w:hAnsiTheme="minorHAnsi"/>
          <w:snapToGrid w:val="0"/>
          <w:lang w:val="en-GB"/>
        </w:rPr>
        <w:t>, at the price proposed in the submission, that palopegteriparatide was not cost-effective</w:t>
      </w:r>
      <w:r w:rsidR="00C937D6">
        <w:rPr>
          <w:rFonts w:asciiTheme="minorHAnsi" w:hAnsiTheme="minorHAnsi"/>
          <w:snapToGrid w:val="0"/>
          <w:lang w:val="en-GB"/>
        </w:rPr>
        <w:t>.</w:t>
      </w:r>
      <w:r w:rsidR="00E73361">
        <w:rPr>
          <w:rFonts w:asciiTheme="minorHAnsi" w:hAnsiTheme="minorHAnsi"/>
          <w:snapToGrid w:val="0"/>
          <w:lang w:val="en-GB"/>
        </w:rPr>
        <w:t xml:space="preserve"> The PBAC considered that the estimated utilisation </w:t>
      </w:r>
      <w:r w:rsidR="00386667">
        <w:rPr>
          <w:rFonts w:asciiTheme="minorHAnsi" w:hAnsiTheme="minorHAnsi"/>
          <w:snapToGrid w:val="0"/>
          <w:lang w:val="en-GB"/>
        </w:rPr>
        <w:t>was</w:t>
      </w:r>
      <w:r w:rsidR="005E5FF1">
        <w:rPr>
          <w:rFonts w:asciiTheme="minorHAnsi" w:hAnsiTheme="minorHAnsi"/>
          <w:snapToGrid w:val="0"/>
          <w:lang w:val="en-GB"/>
        </w:rPr>
        <w:t xml:space="preserve"> likely overestimated and considered that a risk sharing arrangement (RSA) would be required to mitigate the risk of usage in the first</w:t>
      </w:r>
      <w:r w:rsidR="00FC6F17">
        <w:rPr>
          <w:rFonts w:asciiTheme="minorHAnsi" w:hAnsiTheme="minorHAnsi"/>
          <w:snapToGrid w:val="0"/>
          <w:lang w:val="en-GB"/>
        </w:rPr>
        <w:t xml:space="preserve"> </w:t>
      </w:r>
      <w:r w:rsidR="005E5FF1">
        <w:rPr>
          <w:rFonts w:asciiTheme="minorHAnsi" w:hAnsiTheme="minorHAnsi"/>
          <w:snapToGrid w:val="0"/>
          <w:lang w:val="en-GB"/>
        </w:rPr>
        <w:t>li</w:t>
      </w:r>
      <w:r w:rsidR="00350B43">
        <w:rPr>
          <w:rFonts w:asciiTheme="minorHAnsi" w:hAnsiTheme="minorHAnsi"/>
          <w:snapToGrid w:val="0"/>
          <w:lang w:val="en-GB"/>
        </w:rPr>
        <w:t>ne</w:t>
      </w:r>
      <w:r w:rsidR="005E5FF1">
        <w:rPr>
          <w:rFonts w:asciiTheme="minorHAnsi" w:hAnsiTheme="minorHAnsi"/>
          <w:snapToGrid w:val="0"/>
          <w:lang w:val="en-GB"/>
        </w:rPr>
        <w:t xml:space="preserve"> setting.</w:t>
      </w:r>
    </w:p>
    <w:p w14:paraId="2A93F7D2" w14:textId="77777777" w:rsidR="00A26569" w:rsidRDefault="00FC6F17" w:rsidP="009A2F6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w:t>
      </w:r>
      <w:r w:rsidR="00A26569">
        <w:rPr>
          <w:rFonts w:asciiTheme="minorHAnsi" w:hAnsiTheme="minorHAnsi"/>
          <w:snapToGrid w:val="0"/>
          <w:lang w:val="en-GB"/>
        </w:rPr>
        <w:t>primary reason for this outcome was due to the economic evaluation.</w:t>
      </w:r>
    </w:p>
    <w:p w14:paraId="4DEB9141" w14:textId="04CA21DE" w:rsidR="00FC6F17" w:rsidRDefault="005260C5" w:rsidP="00A01456">
      <w:pPr>
        <w:widowControl w:val="0"/>
        <w:numPr>
          <w:ilvl w:val="1"/>
          <w:numId w:val="1"/>
        </w:numPr>
        <w:tabs>
          <w:tab w:val="left" w:pos="4962"/>
        </w:tabs>
        <w:spacing w:after="120"/>
        <w:rPr>
          <w:rFonts w:asciiTheme="minorHAnsi" w:hAnsiTheme="minorHAnsi"/>
          <w:snapToGrid w:val="0"/>
          <w:lang w:val="en-GB"/>
        </w:rPr>
      </w:pPr>
      <w:r>
        <w:rPr>
          <w:rFonts w:asciiTheme="minorHAnsi" w:hAnsiTheme="minorHAnsi"/>
          <w:snapToGrid w:val="0"/>
          <w:lang w:val="en-GB"/>
        </w:rPr>
        <w:t xml:space="preserve">The PBAC noted </w:t>
      </w:r>
      <w:r w:rsidR="003A298B">
        <w:rPr>
          <w:rFonts w:asciiTheme="minorHAnsi" w:hAnsiTheme="minorHAnsi"/>
          <w:snapToGrid w:val="0"/>
          <w:lang w:val="en-GB"/>
        </w:rPr>
        <w:t xml:space="preserve">the consumer input </w:t>
      </w:r>
      <w:r w:rsidR="00966AAA">
        <w:rPr>
          <w:rFonts w:asciiTheme="minorHAnsi" w:hAnsiTheme="minorHAnsi"/>
          <w:snapToGrid w:val="0"/>
          <w:lang w:val="en-GB"/>
        </w:rPr>
        <w:t>which was in support of the submission. The PBAC noted th</w:t>
      </w:r>
      <w:r w:rsidR="002171D4">
        <w:rPr>
          <w:rFonts w:asciiTheme="minorHAnsi" w:hAnsiTheme="minorHAnsi"/>
          <w:snapToGrid w:val="0"/>
          <w:lang w:val="en-GB"/>
        </w:rPr>
        <w:t xml:space="preserve">e debilitating symptoms of </w:t>
      </w:r>
      <w:r w:rsidR="00474FEE">
        <w:rPr>
          <w:rFonts w:asciiTheme="minorHAnsi" w:hAnsiTheme="minorHAnsi"/>
          <w:snapToGrid w:val="0"/>
          <w:lang w:val="en-GB"/>
        </w:rPr>
        <w:t>HPT,</w:t>
      </w:r>
      <w:r w:rsidR="002171D4">
        <w:rPr>
          <w:rFonts w:asciiTheme="minorHAnsi" w:hAnsiTheme="minorHAnsi"/>
          <w:snapToGrid w:val="0"/>
          <w:lang w:val="en-GB"/>
        </w:rPr>
        <w:t xml:space="preserve"> and the burden associated with conventional therapy. The PBAC noted </w:t>
      </w:r>
      <w:r w:rsidR="00EC7D15">
        <w:rPr>
          <w:rFonts w:asciiTheme="minorHAnsi" w:hAnsiTheme="minorHAnsi"/>
          <w:snapToGrid w:val="0"/>
          <w:lang w:val="en-GB"/>
        </w:rPr>
        <w:t xml:space="preserve">that palopegteriparatide was likely to improve </w:t>
      </w:r>
      <w:r w:rsidR="008F364B">
        <w:rPr>
          <w:rFonts w:asciiTheme="minorHAnsi" w:hAnsiTheme="minorHAnsi"/>
          <w:snapToGrid w:val="0"/>
          <w:lang w:val="en-GB"/>
        </w:rPr>
        <w:t>HPT control and reduce complications</w:t>
      </w:r>
      <w:r w:rsidR="000E47F9">
        <w:rPr>
          <w:rFonts w:asciiTheme="minorHAnsi" w:hAnsiTheme="minorHAnsi"/>
          <w:snapToGrid w:val="0"/>
          <w:lang w:val="en-GB"/>
        </w:rPr>
        <w:t xml:space="preserve"> in patients who are inadequately controlled on calcium a</w:t>
      </w:r>
      <w:r w:rsidR="00FC7D01">
        <w:rPr>
          <w:rFonts w:asciiTheme="minorHAnsi" w:hAnsiTheme="minorHAnsi"/>
          <w:snapToGrid w:val="0"/>
          <w:lang w:val="en-GB"/>
        </w:rPr>
        <w:t>n</w:t>
      </w:r>
      <w:r w:rsidR="000E47F9">
        <w:rPr>
          <w:rFonts w:asciiTheme="minorHAnsi" w:hAnsiTheme="minorHAnsi"/>
          <w:snapToGrid w:val="0"/>
          <w:lang w:val="en-GB"/>
        </w:rPr>
        <w:t>d vitamin D supplements</w:t>
      </w:r>
      <w:r w:rsidR="00D119F7">
        <w:rPr>
          <w:rFonts w:asciiTheme="minorHAnsi" w:hAnsiTheme="minorHAnsi"/>
          <w:snapToGrid w:val="0"/>
          <w:lang w:val="en-GB"/>
        </w:rPr>
        <w:t>.</w:t>
      </w:r>
    </w:p>
    <w:p w14:paraId="7CB8AEBF" w14:textId="60FF80F6" w:rsidR="00D119F7" w:rsidRDefault="00D119F7" w:rsidP="00A01456">
      <w:pPr>
        <w:widowControl w:val="0"/>
        <w:numPr>
          <w:ilvl w:val="1"/>
          <w:numId w:val="1"/>
        </w:numPr>
        <w:tabs>
          <w:tab w:val="left" w:pos="4962"/>
        </w:tabs>
        <w:spacing w:after="120"/>
        <w:rPr>
          <w:rFonts w:asciiTheme="minorHAnsi" w:hAnsiTheme="minorHAnsi"/>
          <w:snapToGrid w:val="0"/>
          <w:lang w:val="en-GB"/>
        </w:rPr>
      </w:pPr>
      <w:r>
        <w:rPr>
          <w:rFonts w:asciiTheme="minorHAnsi" w:hAnsiTheme="minorHAnsi"/>
          <w:snapToGrid w:val="0"/>
          <w:lang w:val="en-GB"/>
        </w:rPr>
        <w:t>The PBAC considered that the proposed place in therapy, as a second-line treatment for patients who are inadequately controlled on conventional therapy, was reasonable.</w:t>
      </w:r>
      <w:r w:rsidR="006635F6">
        <w:rPr>
          <w:rFonts w:asciiTheme="minorHAnsi" w:hAnsiTheme="minorHAnsi"/>
          <w:snapToGrid w:val="0"/>
          <w:lang w:val="en-GB"/>
        </w:rPr>
        <w:t xml:space="preserve"> </w:t>
      </w:r>
      <w:r w:rsidR="005648B4">
        <w:rPr>
          <w:rFonts w:asciiTheme="minorHAnsi" w:hAnsiTheme="minorHAnsi"/>
          <w:snapToGrid w:val="0"/>
          <w:lang w:val="en-GB"/>
        </w:rPr>
        <w:t xml:space="preserve">The PBAC considered that the nomination of conventional therapy, consisting of </w:t>
      </w:r>
      <w:r w:rsidR="00EE3E8D">
        <w:rPr>
          <w:rFonts w:asciiTheme="minorHAnsi" w:hAnsiTheme="minorHAnsi"/>
          <w:snapToGrid w:val="0"/>
          <w:lang w:val="en-GB"/>
        </w:rPr>
        <w:t xml:space="preserve">active vitamin D and calcium supplements, </w:t>
      </w:r>
      <w:r w:rsidR="00351AFC">
        <w:rPr>
          <w:rFonts w:asciiTheme="minorHAnsi" w:hAnsiTheme="minorHAnsi"/>
          <w:snapToGrid w:val="0"/>
          <w:lang w:val="en-GB"/>
        </w:rPr>
        <w:t xml:space="preserve">as the comparator </w:t>
      </w:r>
      <w:r w:rsidR="00EE3E8D">
        <w:rPr>
          <w:rFonts w:asciiTheme="minorHAnsi" w:hAnsiTheme="minorHAnsi"/>
          <w:snapToGrid w:val="0"/>
          <w:lang w:val="en-GB"/>
        </w:rPr>
        <w:t>was appropriate.</w:t>
      </w:r>
    </w:p>
    <w:p w14:paraId="5112FAF8" w14:textId="5CA70E20" w:rsidR="001C5C41" w:rsidRDefault="00564624" w:rsidP="009A2F69">
      <w:pPr>
        <w:widowControl w:val="0"/>
        <w:numPr>
          <w:ilvl w:val="1"/>
          <w:numId w:val="1"/>
        </w:numPr>
        <w:spacing w:after="120"/>
        <w:rPr>
          <w:rFonts w:asciiTheme="minorHAnsi" w:hAnsiTheme="minorHAnsi"/>
          <w:snapToGrid w:val="0"/>
          <w:lang w:val="en-GB"/>
        </w:rPr>
      </w:pPr>
      <w:bookmarkStart w:id="84" w:name="_Ref194490266"/>
      <w:r>
        <w:rPr>
          <w:rFonts w:asciiTheme="minorHAnsi" w:hAnsiTheme="minorHAnsi"/>
          <w:snapToGrid w:val="0"/>
          <w:lang w:val="en-GB"/>
        </w:rPr>
        <w:t>In terms of the proposed restriction</w:t>
      </w:r>
      <w:r w:rsidR="0034387A">
        <w:rPr>
          <w:rFonts w:asciiTheme="minorHAnsi" w:hAnsiTheme="minorHAnsi"/>
          <w:snapToGrid w:val="0"/>
          <w:lang w:val="en-GB"/>
        </w:rPr>
        <w:t>s</w:t>
      </w:r>
      <w:r>
        <w:rPr>
          <w:rFonts w:asciiTheme="minorHAnsi" w:hAnsiTheme="minorHAnsi"/>
          <w:snapToGrid w:val="0"/>
          <w:lang w:val="en-GB"/>
        </w:rPr>
        <w:t xml:space="preserve">, the PBAC considered </w:t>
      </w:r>
      <w:r w:rsidR="00764EF1">
        <w:rPr>
          <w:rFonts w:asciiTheme="minorHAnsi" w:hAnsiTheme="minorHAnsi"/>
          <w:snapToGrid w:val="0"/>
          <w:lang w:val="en-GB"/>
        </w:rPr>
        <w:t xml:space="preserve">that the Authority Required (telephone/online) </w:t>
      </w:r>
      <w:r w:rsidR="00284A36">
        <w:rPr>
          <w:rFonts w:asciiTheme="minorHAnsi" w:hAnsiTheme="minorHAnsi"/>
          <w:snapToGrid w:val="0"/>
          <w:lang w:val="en-GB"/>
        </w:rPr>
        <w:t xml:space="preserve">listing </w:t>
      </w:r>
      <w:r w:rsidR="00764EF1">
        <w:rPr>
          <w:rFonts w:asciiTheme="minorHAnsi" w:hAnsiTheme="minorHAnsi"/>
          <w:snapToGrid w:val="0"/>
          <w:lang w:val="en-GB"/>
        </w:rPr>
        <w:t xml:space="preserve">was reasonable. </w:t>
      </w:r>
      <w:r w:rsidR="000D1592">
        <w:rPr>
          <w:rFonts w:asciiTheme="minorHAnsi" w:hAnsiTheme="minorHAnsi"/>
          <w:snapToGrid w:val="0"/>
          <w:lang w:val="en-GB"/>
        </w:rPr>
        <w:t xml:space="preserve">The PBAC </w:t>
      </w:r>
      <w:r w:rsidR="0034387A">
        <w:rPr>
          <w:rFonts w:asciiTheme="minorHAnsi" w:hAnsiTheme="minorHAnsi"/>
          <w:snapToGrid w:val="0"/>
          <w:lang w:val="en-GB"/>
        </w:rPr>
        <w:t>advised</w:t>
      </w:r>
      <w:r w:rsidR="00B26837">
        <w:rPr>
          <w:rFonts w:asciiTheme="minorHAnsi" w:hAnsiTheme="minorHAnsi"/>
          <w:snapToGrid w:val="0"/>
          <w:lang w:val="en-GB"/>
        </w:rPr>
        <w:t xml:space="preserve"> that </w:t>
      </w:r>
      <w:r w:rsidR="001C5C41">
        <w:rPr>
          <w:rFonts w:asciiTheme="minorHAnsi" w:hAnsiTheme="minorHAnsi"/>
          <w:snapToGrid w:val="0"/>
          <w:lang w:val="en-GB"/>
        </w:rPr>
        <w:t xml:space="preserve">the following amendments </w:t>
      </w:r>
      <w:r w:rsidR="0034387A">
        <w:rPr>
          <w:rFonts w:asciiTheme="minorHAnsi" w:hAnsiTheme="minorHAnsi"/>
          <w:snapToGrid w:val="0"/>
          <w:lang w:val="en-GB"/>
        </w:rPr>
        <w:t xml:space="preserve">to the proposed restrictions </w:t>
      </w:r>
      <w:r w:rsidR="00FF4C33">
        <w:rPr>
          <w:rFonts w:asciiTheme="minorHAnsi" w:hAnsiTheme="minorHAnsi"/>
          <w:snapToGrid w:val="0"/>
          <w:lang w:val="en-GB"/>
        </w:rPr>
        <w:t>sh</w:t>
      </w:r>
      <w:r w:rsidR="001C5C41">
        <w:rPr>
          <w:rFonts w:asciiTheme="minorHAnsi" w:hAnsiTheme="minorHAnsi"/>
          <w:snapToGrid w:val="0"/>
          <w:lang w:val="en-GB"/>
        </w:rPr>
        <w:t>ould be considered:</w:t>
      </w:r>
      <w:bookmarkEnd w:id="84"/>
    </w:p>
    <w:p w14:paraId="62EFE21F" w14:textId="77777777" w:rsidR="009016DC" w:rsidRDefault="00AD617A" w:rsidP="00FF4C33">
      <w:pPr>
        <w:widowControl w:val="0"/>
        <w:numPr>
          <w:ilvl w:val="1"/>
          <w:numId w:val="48"/>
        </w:numPr>
        <w:spacing w:after="120"/>
        <w:ind w:left="1080"/>
        <w:rPr>
          <w:rFonts w:asciiTheme="minorHAnsi" w:hAnsiTheme="minorHAnsi"/>
          <w:snapToGrid w:val="0"/>
          <w:lang w:val="en-GB"/>
        </w:rPr>
      </w:pPr>
      <w:r w:rsidRPr="009016DC">
        <w:rPr>
          <w:rFonts w:asciiTheme="minorHAnsi" w:hAnsiTheme="minorHAnsi"/>
          <w:snapToGrid w:val="0"/>
          <w:lang w:val="en-GB"/>
        </w:rPr>
        <w:t xml:space="preserve">The restriction should algin with the </w:t>
      </w:r>
      <w:proofErr w:type="spellStart"/>
      <w:r w:rsidRPr="009016DC">
        <w:rPr>
          <w:rFonts w:asciiTheme="minorHAnsi" w:hAnsiTheme="minorHAnsi"/>
          <w:snapToGrid w:val="0"/>
          <w:lang w:val="en-GB"/>
        </w:rPr>
        <w:t>PaTHway</w:t>
      </w:r>
      <w:proofErr w:type="spellEnd"/>
      <w:r w:rsidRPr="009016DC">
        <w:rPr>
          <w:rFonts w:asciiTheme="minorHAnsi" w:hAnsiTheme="minorHAnsi"/>
          <w:snapToGrid w:val="0"/>
          <w:lang w:val="en-GB"/>
        </w:rPr>
        <w:t xml:space="preserve"> trial and exclude patients with a</w:t>
      </w:r>
      <w:r w:rsidR="00857B11" w:rsidRPr="009016DC">
        <w:rPr>
          <w:rFonts w:asciiTheme="minorHAnsi" w:hAnsiTheme="minorHAnsi"/>
          <w:snapToGrid w:val="0"/>
          <w:lang w:val="en-GB"/>
        </w:rPr>
        <w:t>n eGFR of less than or equal to</w:t>
      </w:r>
      <w:r w:rsidR="009016DC" w:rsidRPr="009016DC">
        <w:rPr>
          <w:rFonts w:asciiTheme="minorHAnsi" w:hAnsiTheme="minorHAnsi"/>
          <w:snapToGrid w:val="0"/>
          <w:lang w:val="en-GB"/>
        </w:rPr>
        <w:t xml:space="preserve"> 30 mL/min/1.73 </w:t>
      </w:r>
      <w:proofErr w:type="gramStart"/>
      <w:r w:rsidR="009016DC" w:rsidRPr="009016DC">
        <w:rPr>
          <w:rFonts w:asciiTheme="minorHAnsi" w:hAnsiTheme="minorHAnsi"/>
          <w:snapToGrid w:val="0"/>
          <w:lang w:val="en-GB"/>
        </w:rPr>
        <w:t>m</w:t>
      </w:r>
      <w:r w:rsidR="009016DC" w:rsidRPr="009016DC">
        <w:rPr>
          <w:rFonts w:asciiTheme="minorHAnsi" w:hAnsiTheme="minorHAnsi"/>
          <w:snapToGrid w:val="0"/>
          <w:vertAlign w:val="superscript"/>
          <w:lang w:val="en-GB"/>
        </w:rPr>
        <w:t>2</w:t>
      </w:r>
      <w:r w:rsidR="009016DC" w:rsidRPr="009016DC">
        <w:rPr>
          <w:rFonts w:asciiTheme="minorHAnsi" w:hAnsiTheme="minorHAnsi"/>
          <w:snapToGrid w:val="0"/>
          <w:lang w:val="en-GB"/>
        </w:rPr>
        <w:t>;</w:t>
      </w:r>
      <w:proofErr w:type="gramEnd"/>
    </w:p>
    <w:p w14:paraId="3A5C23FC" w14:textId="134EB717" w:rsidR="005D16D2" w:rsidRDefault="00351AFC" w:rsidP="00FF4C33">
      <w:pPr>
        <w:widowControl w:val="0"/>
        <w:numPr>
          <w:ilvl w:val="1"/>
          <w:numId w:val="48"/>
        </w:numPr>
        <w:spacing w:after="120"/>
        <w:ind w:left="1080"/>
        <w:rPr>
          <w:rFonts w:asciiTheme="minorHAnsi" w:hAnsiTheme="minorHAnsi"/>
          <w:snapToGrid w:val="0"/>
          <w:lang w:val="en-GB"/>
        </w:rPr>
      </w:pPr>
      <w:r>
        <w:rPr>
          <w:rFonts w:asciiTheme="minorHAnsi" w:hAnsiTheme="minorHAnsi"/>
          <w:snapToGrid w:val="0"/>
          <w:lang w:val="en-GB"/>
        </w:rPr>
        <w:t>T</w:t>
      </w:r>
      <w:r w:rsidR="00044827">
        <w:rPr>
          <w:rFonts w:asciiTheme="minorHAnsi" w:hAnsiTheme="minorHAnsi"/>
          <w:snapToGrid w:val="0"/>
          <w:lang w:val="en-GB"/>
        </w:rPr>
        <w:t xml:space="preserve">he </w:t>
      </w:r>
      <w:r w:rsidR="009E10DA">
        <w:rPr>
          <w:rFonts w:asciiTheme="minorHAnsi" w:hAnsiTheme="minorHAnsi"/>
          <w:snapToGrid w:val="0"/>
          <w:lang w:val="en-GB"/>
        </w:rPr>
        <w:t xml:space="preserve">initial </w:t>
      </w:r>
      <w:r w:rsidR="00080C0E">
        <w:rPr>
          <w:rFonts w:asciiTheme="minorHAnsi" w:hAnsiTheme="minorHAnsi"/>
          <w:snapToGrid w:val="0"/>
          <w:lang w:val="en-GB"/>
        </w:rPr>
        <w:t xml:space="preserve">and first continuing </w:t>
      </w:r>
      <w:r w:rsidR="009E10DA">
        <w:rPr>
          <w:rFonts w:asciiTheme="minorHAnsi" w:hAnsiTheme="minorHAnsi"/>
          <w:snapToGrid w:val="0"/>
          <w:lang w:val="en-GB"/>
        </w:rPr>
        <w:t>restriction</w:t>
      </w:r>
      <w:r w:rsidR="00080C0E">
        <w:rPr>
          <w:rFonts w:asciiTheme="minorHAnsi" w:hAnsiTheme="minorHAnsi"/>
          <w:snapToGrid w:val="0"/>
          <w:lang w:val="en-GB"/>
        </w:rPr>
        <w:t>s</w:t>
      </w:r>
      <w:r w:rsidR="009E10DA">
        <w:rPr>
          <w:rFonts w:asciiTheme="minorHAnsi" w:hAnsiTheme="minorHAnsi"/>
          <w:snapToGrid w:val="0"/>
          <w:lang w:val="en-GB"/>
        </w:rPr>
        <w:t xml:space="preserve"> should </w:t>
      </w:r>
      <w:r w:rsidR="00B26837">
        <w:rPr>
          <w:rFonts w:asciiTheme="minorHAnsi" w:hAnsiTheme="minorHAnsi"/>
          <w:snapToGrid w:val="0"/>
          <w:lang w:val="en-GB"/>
        </w:rPr>
        <w:t xml:space="preserve">require treatment by an </w:t>
      </w:r>
      <w:r w:rsidR="00E658D3">
        <w:rPr>
          <w:rFonts w:asciiTheme="minorHAnsi" w:hAnsiTheme="minorHAnsi"/>
          <w:snapToGrid w:val="0"/>
          <w:lang w:val="en-GB"/>
        </w:rPr>
        <w:t>endocrinologist,</w:t>
      </w:r>
      <w:r w:rsidR="00B26837">
        <w:rPr>
          <w:rFonts w:asciiTheme="minorHAnsi" w:hAnsiTheme="minorHAnsi"/>
          <w:snapToGrid w:val="0"/>
          <w:lang w:val="en-GB"/>
        </w:rPr>
        <w:t xml:space="preserve"> or a specialist experienced in the treatment of </w:t>
      </w:r>
      <w:proofErr w:type="gramStart"/>
      <w:r w:rsidR="00B26837">
        <w:rPr>
          <w:rFonts w:asciiTheme="minorHAnsi" w:hAnsiTheme="minorHAnsi"/>
          <w:snapToGrid w:val="0"/>
          <w:lang w:val="en-GB"/>
        </w:rPr>
        <w:t>HPT</w:t>
      </w:r>
      <w:r w:rsidR="001C5C41">
        <w:rPr>
          <w:rFonts w:asciiTheme="minorHAnsi" w:hAnsiTheme="minorHAnsi"/>
          <w:snapToGrid w:val="0"/>
          <w:lang w:val="en-GB"/>
        </w:rPr>
        <w:t>;</w:t>
      </w:r>
      <w:proofErr w:type="gramEnd"/>
    </w:p>
    <w:p w14:paraId="26F717B1" w14:textId="2E1FD814" w:rsidR="001C5C41" w:rsidRDefault="00351AFC" w:rsidP="00FF4C33">
      <w:pPr>
        <w:widowControl w:val="0"/>
        <w:numPr>
          <w:ilvl w:val="1"/>
          <w:numId w:val="48"/>
        </w:numPr>
        <w:spacing w:after="120"/>
        <w:ind w:left="1080"/>
        <w:rPr>
          <w:rFonts w:asciiTheme="minorHAnsi" w:hAnsiTheme="minorHAnsi"/>
          <w:snapToGrid w:val="0"/>
          <w:lang w:val="en-GB"/>
        </w:rPr>
      </w:pPr>
      <w:r>
        <w:rPr>
          <w:rFonts w:asciiTheme="minorHAnsi" w:hAnsiTheme="minorHAnsi"/>
          <w:snapToGrid w:val="0"/>
          <w:lang w:val="en-GB"/>
        </w:rPr>
        <w:t>T</w:t>
      </w:r>
      <w:r w:rsidR="00E658D3">
        <w:rPr>
          <w:rFonts w:asciiTheme="minorHAnsi" w:hAnsiTheme="minorHAnsi"/>
          <w:snapToGrid w:val="0"/>
          <w:lang w:val="en-GB"/>
        </w:rPr>
        <w:t>he restriction should be age agnostic;</w:t>
      </w:r>
      <w:r w:rsidR="00575F17">
        <w:rPr>
          <w:rFonts w:asciiTheme="minorHAnsi" w:hAnsiTheme="minorHAnsi"/>
          <w:snapToGrid w:val="0"/>
          <w:lang w:val="en-GB"/>
        </w:rPr>
        <w:t xml:space="preserve"> and</w:t>
      </w:r>
    </w:p>
    <w:p w14:paraId="75F254B6" w14:textId="4AB6F979" w:rsidR="00E658D3" w:rsidRDefault="00351AFC" w:rsidP="00FF4C33">
      <w:pPr>
        <w:widowControl w:val="0"/>
        <w:numPr>
          <w:ilvl w:val="1"/>
          <w:numId w:val="48"/>
        </w:numPr>
        <w:spacing w:after="120"/>
        <w:ind w:left="1080"/>
        <w:rPr>
          <w:rFonts w:asciiTheme="minorHAnsi" w:hAnsiTheme="minorHAnsi"/>
          <w:snapToGrid w:val="0"/>
          <w:lang w:val="en-GB"/>
        </w:rPr>
      </w:pPr>
      <w:r>
        <w:rPr>
          <w:rFonts w:asciiTheme="minorHAnsi" w:hAnsiTheme="minorHAnsi"/>
          <w:snapToGrid w:val="0"/>
          <w:lang w:val="en-GB"/>
        </w:rPr>
        <w:t>T</w:t>
      </w:r>
      <w:r w:rsidR="00E658D3">
        <w:rPr>
          <w:rFonts w:asciiTheme="minorHAnsi" w:hAnsiTheme="minorHAnsi"/>
          <w:snapToGrid w:val="0"/>
          <w:lang w:val="en-GB"/>
        </w:rPr>
        <w:t>h</w:t>
      </w:r>
      <w:r w:rsidR="00BA4C30">
        <w:rPr>
          <w:rFonts w:asciiTheme="minorHAnsi" w:hAnsiTheme="minorHAnsi"/>
          <w:snapToGrid w:val="0"/>
          <w:lang w:val="en-GB"/>
        </w:rPr>
        <w:t xml:space="preserve">e subsequent continuing treatment </w:t>
      </w:r>
      <w:r w:rsidR="00564FBD">
        <w:rPr>
          <w:rFonts w:asciiTheme="minorHAnsi" w:hAnsiTheme="minorHAnsi"/>
          <w:snapToGrid w:val="0"/>
          <w:lang w:val="en-GB"/>
        </w:rPr>
        <w:t>restriction</w:t>
      </w:r>
      <w:r w:rsidR="00EB3071">
        <w:rPr>
          <w:rFonts w:asciiTheme="minorHAnsi" w:hAnsiTheme="minorHAnsi"/>
          <w:snapToGrid w:val="0"/>
          <w:lang w:val="en-GB"/>
        </w:rPr>
        <w:t xml:space="preserve"> sh</w:t>
      </w:r>
      <w:r w:rsidR="00564FBD">
        <w:rPr>
          <w:rFonts w:asciiTheme="minorHAnsi" w:hAnsiTheme="minorHAnsi"/>
          <w:snapToGrid w:val="0"/>
          <w:lang w:val="en-GB"/>
        </w:rPr>
        <w:t xml:space="preserve">ould include the </w:t>
      </w:r>
      <w:r w:rsidR="000345EA">
        <w:rPr>
          <w:rFonts w:asciiTheme="minorHAnsi" w:hAnsiTheme="minorHAnsi"/>
          <w:snapToGrid w:val="0"/>
          <w:lang w:val="en-GB"/>
        </w:rPr>
        <w:t xml:space="preserve">response </w:t>
      </w:r>
      <w:r w:rsidR="00564FBD">
        <w:rPr>
          <w:rFonts w:asciiTheme="minorHAnsi" w:hAnsiTheme="minorHAnsi"/>
          <w:snapToGrid w:val="0"/>
          <w:lang w:val="en-GB"/>
        </w:rPr>
        <w:t xml:space="preserve">criteria currently </w:t>
      </w:r>
      <w:r w:rsidR="00FF4C33">
        <w:rPr>
          <w:rFonts w:asciiTheme="minorHAnsi" w:hAnsiTheme="minorHAnsi"/>
          <w:snapToGrid w:val="0"/>
          <w:lang w:val="en-GB"/>
        </w:rPr>
        <w:t>described in the first continuing treatment restriction.</w:t>
      </w:r>
    </w:p>
    <w:p w14:paraId="0CE6A907" w14:textId="5C6A8A71" w:rsidR="00BF44AC" w:rsidRDefault="00EB3071" w:rsidP="009A2F6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EE3E8D">
        <w:rPr>
          <w:rFonts w:asciiTheme="minorHAnsi" w:hAnsiTheme="minorHAnsi"/>
          <w:snapToGrid w:val="0"/>
          <w:lang w:val="en-GB"/>
        </w:rPr>
        <w:t xml:space="preserve">noted that the </w:t>
      </w:r>
      <w:r w:rsidR="006B1BA5">
        <w:rPr>
          <w:rFonts w:asciiTheme="minorHAnsi" w:hAnsiTheme="minorHAnsi"/>
          <w:snapToGrid w:val="0"/>
          <w:lang w:val="en-GB"/>
        </w:rPr>
        <w:t xml:space="preserve">primary </w:t>
      </w:r>
      <w:r w:rsidR="0033653D">
        <w:rPr>
          <w:rFonts w:asciiTheme="minorHAnsi" w:hAnsiTheme="minorHAnsi"/>
          <w:snapToGrid w:val="0"/>
          <w:lang w:val="en-GB"/>
        </w:rPr>
        <w:t xml:space="preserve">efficacy and safety </w:t>
      </w:r>
      <w:r w:rsidR="006B1BA5">
        <w:rPr>
          <w:rFonts w:asciiTheme="minorHAnsi" w:hAnsiTheme="minorHAnsi"/>
          <w:snapToGrid w:val="0"/>
          <w:lang w:val="en-GB"/>
        </w:rPr>
        <w:t xml:space="preserve">evidence </w:t>
      </w:r>
      <w:r w:rsidR="001514B5">
        <w:rPr>
          <w:rFonts w:asciiTheme="minorHAnsi" w:hAnsiTheme="minorHAnsi"/>
          <w:snapToGrid w:val="0"/>
          <w:lang w:val="en-GB"/>
        </w:rPr>
        <w:t xml:space="preserve">presented in the submission was from the </w:t>
      </w:r>
      <w:proofErr w:type="spellStart"/>
      <w:r w:rsidR="00EE3E8D">
        <w:rPr>
          <w:rFonts w:asciiTheme="minorHAnsi" w:hAnsiTheme="minorHAnsi"/>
          <w:snapToGrid w:val="0"/>
          <w:lang w:val="en-GB"/>
        </w:rPr>
        <w:t>PaTHway</w:t>
      </w:r>
      <w:proofErr w:type="spellEnd"/>
      <w:r w:rsidR="00EE3E8D">
        <w:rPr>
          <w:rFonts w:asciiTheme="minorHAnsi" w:hAnsiTheme="minorHAnsi"/>
          <w:snapToGrid w:val="0"/>
          <w:lang w:val="en-GB"/>
        </w:rPr>
        <w:t xml:space="preserve"> trial, a </w:t>
      </w:r>
      <w:r w:rsidR="001514B5">
        <w:rPr>
          <w:rFonts w:asciiTheme="minorHAnsi" w:hAnsiTheme="minorHAnsi"/>
          <w:snapToGrid w:val="0"/>
          <w:lang w:val="en-GB"/>
        </w:rPr>
        <w:t>randomised controlled trial that compared palopegteriparatide to conventional therapy</w:t>
      </w:r>
      <w:r w:rsidR="00DA56D1">
        <w:rPr>
          <w:rFonts w:asciiTheme="minorHAnsi" w:hAnsiTheme="minorHAnsi"/>
          <w:snapToGrid w:val="0"/>
          <w:lang w:val="en-GB"/>
        </w:rPr>
        <w:t xml:space="preserve"> (N = 84)</w:t>
      </w:r>
      <w:r w:rsidR="00850AAD">
        <w:rPr>
          <w:rFonts w:asciiTheme="minorHAnsi" w:hAnsiTheme="minorHAnsi"/>
          <w:snapToGrid w:val="0"/>
          <w:lang w:val="en-GB"/>
        </w:rPr>
        <w:t xml:space="preserve"> over 26 weeks</w:t>
      </w:r>
      <w:r w:rsidR="00DA56D1">
        <w:rPr>
          <w:rFonts w:asciiTheme="minorHAnsi" w:hAnsiTheme="minorHAnsi"/>
          <w:snapToGrid w:val="0"/>
          <w:lang w:val="en-GB"/>
        </w:rPr>
        <w:t xml:space="preserve">, </w:t>
      </w:r>
      <w:r w:rsidR="00C30200">
        <w:rPr>
          <w:rFonts w:asciiTheme="minorHAnsi" w:hAnsiTheme="minorHAnsi"/>
          <w:snapToGrid w:val="0"/>
          <w:lang w:val="en-GB"/>
        </w:rPr>
        <w:t>followed by an open-label extension study</w:t>
      </w:r>
      <w:r w:rsidR="00E5083E">
        <w:rPr>
          <w:rFonts w:asciiTheme="minorHAnsi" w:hAnsiTheme="minorHAnsi"/>
          <w:snapToGrid w:val="0"/>
          <w:lang w:val="en-GB"/>
        </w:rPr>
        <w:t>. A</w:t>
      </w:r>
      <w:r w:rsidR="00C30200">
        <w:rPr>
          <w:rFonts w:asciiTheme="minorHAnsi" w:hAnsiTheme="minorHAnsi"/>
          <w:snapToGrid w:val="0"/>
          <w:lang w:val="en-GB"/>
        </w:rPr>
        <w:t xml:space="preserve">dditional </w:t>
      </w:r>
      <w:r w:rsidR="00DA56D1">
        <w:rPr>
          <w:rFonts w:asciiTheme="minorHAnsi" w:hAnsiTheme="minorHAnsi"/>
          <w:snapToGrid w:val="0"/>
          <w:lang w:val="en-GB"/>
        </w:rPr>
        <w:t xml:space="preserve">long term follow-up </w:t>
      </w:r>
      <w:r w:rsidR="0033653D">
        <w:rPr>
          <w:rFonts w:asciiTheme="minorHAnsi" w:hAnsiTheme="minorHAnsi"/>
          <w:snapToGrid w:val="0"/>
          <w:lang w:val="en-GB"/>
        </w:rPr>
        <w:t>safety data</w:t>
      </w:r>
      <w:r w:rsidR="00DA56D1">
        <w:rPr>
          <w:rFonts w:asciiTheme="minorHAnsi" w:hAnsiTheme="minorHAnsi"/>
          <w:snapToGrid w:val="0"/>
          <w:lang w:val="en-GB"/>
        </w:rPr>
        <w:t xml:space="preserve"> </w:t>
      </w:r>
      <w:r w:rsidR="00E5083E">
        <w:rPr>
          <w:rFonts w:asciiTheme="minorHAnsi" w:hAnsiTheme="minorHAnsi"/>
          <w:snapToGrid w:val="0"/>
          <w:lang w:val="en-GB"/>
        </w:rPr>
        <w:t xml:space="preserve">was presented </w:t>
      </w:r>
      <w:r w:rsidR="00DA56D1">
        <w:rPr>
          <w:rFonts w:asciiTheme="minorHAnsi" w:hAnsiTheme="minorHAnsi"/>
          <w:snapToGrid w:val="0"/>
          <w:lang w:val="en-GB"/>
        </w:rPr>
        <w:t xml:space="preserve">from the </w:t>
      </w:r>
      <w:proofErr w:type="spellStart"/>
      <w:r w:rsidR="00DA56D1">
        <w:rPr>
          <w:rFonts w:asciiTheme="minorHAnsi" w:hAnsiTheme="minorHAnsi"/>
          <w:snapToGrid w:val="0"/>
          <w:lang w:val="en-GB"/>
        </w:rPr>
        <w:t>PaTH</w:t>
      </w:r>
      <w:proofErr w:type="spellEnd"/>
      <w:r w:rsidR="00DA56D1">
        <w:rPr>
          <w:rFonts w:asciiTheme="minorHAnsi" w:hAnsiTheme="minorHAnsi"/>
          <w:snapToGrid w:val="0"/>
          <w:lang w:val="en-GB"/>
        </w:rPr>
        <w:t xml:space="preserve"> Forward trial </w:t>
      </w:r>
      <w:r w:rsidR="0033653D">
        <w:rPr>
          <w:rFonts w:asciiTheme="minorHAnsi" w:hAnsiTheme="minorHAnsi"/>
          <w:snapToGrid w:val="0"/>
          <w:lang w:val="en-GB"/>
        </w:rPr>
        <w:t xml:space="preserve">(N = 59). </w:t>
      </w:r>
    </w:p>
    <w:p w14:paraId="06EA8EAA" w14:textId="2C990E7D" w:rsidR="00C97660" w:rsidRDefault="00B875D4">
      <w:pPr>
        <w:widowControl w:val="0"/>
        <w:numPr>
          <w:ilvl w:val="1"/>
          <w:numId w:val="1"/>
        </w:numPr>
        <w:spacing w:after="120"/>
        <w:rPr>
          <w:rFonts w:asciiTheme="minorHAnsi" w:hAnsiTheme="minorHAnsi"/>
          <w:snapToGrid w:val="0"/>
          <w:lang w:val="en-GB"/>
        </w:rPr>
      </w:pPr>
      <w:r w:rsidRPr="00B875D4">
        <w:rPr>
          <w:rFonts w:asciiTheme="minorHAnsi" w:hAnsiTheme="minorHAnsi"/>
          <w:snapToGrid w:val="0"/>
          <w:lang w:val="en-GB"/>
        </w:rPr>
        <w:t xml:space="preserve">The PBAC noted that response was represented by a multi-component outcome which was defined as albumin-adjusted serum calcium in the normal range (2.07-2.64 mmol/L), independence from active vitamin D, independence from therapeutic doses of elemental calcium (&lt; 600 mg/day) and no increase in study drug. </w:t>
      </w:r>
      <w:r w:rsidR="004C46CF" w:rsidRPr="00B875D4">
        <w:rPr>
          <w:rFonts w:asciiTheme="minorHAnsi" w:hAnsiTheme="minorHAnsi"/>
          <w:snapToGrid w:val="0"/>
          <w:lang w:val="en-GB"/>
        </w:rPr>
        <w:t xml:space="preserve">The PBAC noted </w:t>
      </w:r>
      <w:r w:rsidR="00E942E6" w:rsidRPr="00B875D4">
        <w:rPr>
          <w:rFonts w:asciiTheme="minorHAnsi" w:hAnsiTheme="minorHAnsi"/>
          <w:snapToGrid w:val="0"/>
          <w:lang w:val="en-GB"/>
        </w:rPr>
        <w:t>that the dose titration algorithm</w:t>
      </w:r>
      <w:r w:rsidR="00406F60" w:rsidRPr="00B875D4">
        <w:rPr>
          <w:rFonts w:asciiTheme="minorHAnsi" w:hAnsiTheme="minorHAnsi"/>
          <w:snapToGrid w:val="0"/>
          <w:lang w:val="en-GB"/>
        </w:rPr>
        <w:t xml:space="preserve"> </w:t>
      </w:r>
      <w:r w:rsidR="00F56122">
        <w:rPr>
          <w:rFonts w:asciiTheme="minorHAnsi" w:hAnsiTheme="minorHAnsi"/>
          <w:snapToGrid w:val="0"/>
          <w:lang w:val="en-GB"/>
        </w:rPr>
        <w:t xml:space="preserve">in </w:t>
      </w:r>
      <w:r w:rsidR="00406F60" w:rsidRPr="00B875D4">
        <w:rPr>
          <w:rFonts w:asciiTheme="minorHAnsi" w:hAnsiTheme="minorHAnsi"/>
          <w:snapToGrid w:val="0"/>
          <w:lang w:val="en-GB"/>
        </w:rPr>
        <w:t xml:space="preserve">the </w:t>
      </w:r>
      <w:proofErr w:type="spellStart"/>
      <w:r w:rsidR="00406F60" w:rsidRPr="00B875D4">
        <w:rPr>
          <w:rFonts w:asciiTheme="minorHAnsi" w:hAnsiTheme="minorHAnsi"/>
          <w:snapToGrid w:val="0"/>
          <w:lang w:val="en-GB"/>
        </w:rPr>
        <w:t>PaTHway</w:t>
      </w:r>
      <w:proofErr w:type="spellEnd"/>
      <w:r w:rsidR="00406F60" w:rsidRPr="00B875D4">
        <w:rPr>
          <w:rFonts w:asciiTheme="minorHAnsi" w:hAnsiTheme="minorHAnsi"/>
          <w:snapToGrid w:val="0"/>
          <w:lang w:val="en-GB"/>
        </w:rPr>
        <w:t xml:space="preserve"> trial meant that patients in the comparator arm who had normal serum calcium levels received dose reductions to their conventional therapy</w:t>
      </w:r>
      <w:r w:rsidR="00153CE0" w:rsidRPr="00B875D4">
        <w:rPr>
          <w:rFonts w:asciiTheme="minorHAnsi" w:hAnsiTheme="minorHAnsi"/>
          <w:snapToGrid w:val="0"/>
          <w:lang w:val="en-GB"/>
        </w:rPr>
        <w:t>, while their dose of placebo was unchanged</w:t>
      </w:r>
      <w:r w:rsidR="003F6E84">
        <w:rPr>
          <w:rFonts w:asciiTheme="minorHAnsi" w:hAnsiTheme="minorHAnsi"/>
          <w:snapToGrid w:val="0"/>
          <w:lang w:val="en-GB"/>
        </w:rPr>
        <w:t xml:space="preserve"> or increased</w:t>
      </w:r>
      <w:r w:rsidR="00153CE0" w:rsidRPr="00B875D4">
        <w:rPr>
          <w:rFonts w:asciiTheme="minorHAnsi" w:hAnsiTheme="minorHAnsi"/>
          <w:snapToGrid w:val="0"/>
          <w:lang w:val="en-GB"/>
        </w:rPr>
        <w:t>. Whilst noting that this was not representative of standard management</w:t>
      </w:r>
      <w:r w:rsidR="00FA4F0F">
        <w:rPr>
          <w:rFonts w:asciiTheme="minorHAnsi" w:hAnsiTheme="minorHAnsi"/>
          <w:snapToGrid w:val="0"/>
          <w:lang w:val="en-GB"/>
        </w:rPr>
        <w:t>,</w:t>
      </w:r>
      <w:r w:rsidR="00153CE0" w:rsidRPr="00B875D4">
        <w:rPr>
          <w:rFonts w:asciiTheme="minorHAnsi" w:hAnsiTheme="minorHAnsi"/>
          <w:snapToGrid w:val="0"/>
          <w:lang w:val="en-GB"/>
        </w:rPr>
        <w:t xml:space="preserve"> </w:t>
      </w:r>
      <w:r w:rsidR="00D667B6" w:rsidRPr="00B875D4">
        <w:rPr>
          <w:rFonts w:asciiTheme="minorHAnsi" w:hAnsiTheme="minorHAnsi"/>
          <w:snapToGrid w:val="0"/>
          <w:lang w:val="en-GB"/>
        </w:rPr>
        <w:t xml:space="preserve">the PBAC accepted that </w:t>
      </w:r>
      <w:r w:rsidR="004C5B48" w:rsidRPr="00B875D4">
        <w:rPr>
          <w:rFonts w:asciiTheme="minorHAnsi" w:hAnsiTheme="minorHAnsi"/>
          <w:snapToGrid w:val="0"/>
          <w:lang w:val="en-GB"/>
        </w:rPr>
        <w:t xml:space="preserve">the dose </w:t>
      </w:r>
      <w:r w:rsidR="005A7752" w:rsidRPr="00B875D4">
        <w:rPr>
          <w:rFonts w:asciiTheme="minorHAnsi" w:hAnsiTheme="minorHAnsi"/>
          <w:snapToGrid w:val="0"/>
          <w:lang w:val="en-GB"/>
        </w:rPr>
        <w:t>protocol</w:t>
      </w:r>
      <w:r w:rsidR="004C5B48" w:rsidRPr="00B875D4">
        <w:rPr>
          <w:rFonts w:asciiTheme="minorHAnsi" w:hAnsiTheme="minorHAnsi"/>
          <w:snapToGrid w:val="0"/>
          <w:lang w:val="en-GB"/>
        </w:rPr>
        <w:t xml:space="preserve"> was required to maintain </w:t>
      </w:r>
      <w:r w:rsidR="005A7752" w:rsidRPr="00B875D4">
        <w:rPr>
          <w:rFonts w:asciiTheme="minorHAnsi" w:hAnsiTheme="minorHAnsi"/>
          <w:snapToGrid w:val="0"/>
          <w:lang w:val="en-GB"/>
        </w:rPr>
        <w:t>the double-blind</w:t>
      </w:r>
      <w:r w:rsidR="009106D1" w:rsidRPr="00B875D4">
        <w:rPr>
          <w:rFonts w:asciiTheme="minorHAnsi" w:hAnsiTheme="minorHAnsi"/>
          <w:snapToGrid w:val="0"/>
          <w:lang w:val="en-GB"/>
        </w:rPr>
        <w:t xml:space="preserve"> aspect of the trial. </w:t>
      </w:r>
    </w:p>
    <w:p w14:paraId="6A4869E2" w14:textId="5BC94A69" w:rsidR="00B875D4" w:rsidRDefault="009638FF">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w:t>
      </w:r>
      <w:r w:rsidR="00AB2FDD">
        <w:rPr>
          <w:rFonts w:asciiTheme="minorHAnsi" w:hAnsiTheme="minorHAnsi"/>
          <w:snapToGrid w:val="0"/>
          <w:lang w:val="en-GB"/>
        </w:rPr>
        <w:t>,</w:t>
      </w:r>
      <w:r w:rsidR="00E82253">
        <w:rPr>
          <w:rFonts w:asciiTheme="minorHAnsi" w:hAnsiTheme="minorHAnsi"/>
          <w:snapToGrid w:val="0"/>
          <w:lang w:val="en-GB"/>
        </w:rPr>
        <w:t xml:space="preserve"> at the end of the 26-week </w:t>
      </w:r>
      <w:r w:rsidR="00AB2FDD">
        <w:rPr>
          <w:rFonts w:asciiTheme="minorHAnsi" w:hAnsiTheme="minorHAnsi"/>
          <w:snapToGrid w:val="0"/>
          <w:lang w:val="en-GB"/>
        </w:rPr>
        <w:t xml:space="preserve">blinded period of the </w:t>
      </w:r>
      <w:proofErr w:type="spellStart"/>
      <w:r w:rsidR="00AB2FDD">
        <w:rPr>
          <w:rFonts w:asciiTheme="minorHAnsi" w:hAnsiTheme="minorHAnsi"/>
          <w:snapToGrid w:val="0"/>
          <w:lang w:val="en-GB"/>
        </w:rPr>
        <w:t>PaTHway</w:t>
      </w:r>
      <w:proofErr w:type="spellEnd"/>
      <w:r w:rsidR="00AB2FDD">
        <w:rPr>
          <w:rFonts w:asciiTheme="minorHAnsi" w:hAnsiTheme="minorHAnsi"/>
          <w:snapToGrid w:val="0"/>
          <w:lang w:val="en-GB"/>
        </w:rPr>
        <w:t xml:space="preserve"> trial</w:t>
      </w:r>
      <w:r w:rsidR="00C1583C">
        <w:rPr>
          <w:rFonts w:asciiTheme="minorHAnsi" w:hAnsiTheme="minorHAnsi"/>
          <w:snapToGrid w:val="0"/>
          <w:lang w:val="en-GB"/>
        </w:rPr>
        <w:t>,</w:t>
      </w:r>
      <w:r>
        <w:rPr>
          <w:rFonts w:asciiTheme="minorHAnsi" w:hAnsiTheme="minorHAnsi"/>
          <w:snapToGrid w:val="0"/>
          <w:lang w:val="en-GB"/>
        </w:rPr>
        <w:t xml:space="preserve"> </w:t>
      </w:r>
      <w:r w:rsidR="004D52D8">
        <w:rPr>
          <w:rFonts w:asciiTheme="minorHAnsi" w:hAnsiTheme="minorHAnsi"/>
          <w:snapToGrid w:val="0"/>
          <w:lang w:val="en-GB"/>
        </w:rPr>
        <w:t>significantly more</w:t>
      </w:r>
      <w:r w:rsidR="00CB3348">
        <w:rPr>
          <w:rFonts w:asciiTheme="minorHAnsi" w:hAnsiTheme="minorHAnsi"/>
          <w:snapToGrid w:val="0"/>
          <w:lang w:val="en-GB"/>
        </w:rPr>
        <w:t xml:space="preserve"> patients in the palopegteriparatide </w:t>
      </w:r>
      <w:r w:rsidR="00DB5F0F">
        <w:rPr>
          <w:rFonts w:asciiTheme="minorHAnsi" w:hAnsiTheme="minorHAnsi"/>
          <w:snapToGrid w:val="0"/>
          <w:lang w:val="en-GB"/>
        </w:rPr>
        <w:t xml:space="preserve">(78.7%) </w:t>
      </w:r>
      <w:r w:rsidR="00CB3348">
        <w:rPr>
          <w:rFonts w:asciiTheme="minorHAnsi" w:hAnsiTheme="minorHAnsi"/>
          <w:snapToGrid w:val="0"/>
          <w:lang w:val="en-GB"/>
        </w:rPr>
        <w:t xml:space="preserve">arm met the multicomponent primary outcome </w:t>
      </w:r>
      <w:r w:rsidR="00DB5F0F">
        <w:rPr>
          <w:rFonts w:asciiTheme="minorHAnsi" w:hAnsiTheme="minorHAnsi"/>
          <w:snapToGrid w:val="0"/>
          <w:lang w:val="en-GB"/>
        </w:rPr>
        <w:t xml:space="preserve">compared to patients in the </w:t>
      </w:r>
      <w:r w:rsidR="00074255">
        <w:rPr>
          <w:rFonts w:asciiTheme="minorHAnsi" w:hAnsiTheme="minorHAnsi"/>
          <w:snapToGrid w:val="0"/>
          <w:lang w:val="en-GB"/>
        </w:rPr>
        <w:t>conventional therapy</w:t>
      </w:r>
      <w:r w:rsidR="00DB5F0F">
        <w:rPr>
          <w:rFonts w:asciiTheme="minorHAnsi" w:hAnsiTheme="minorHAnsi"/>
          <w:snapToGrid w:val="0"/>
          <w:lang w:val="en-GB"/>
        </w:rPr>
        <w:t xml:space="preserve"> arm (4.8%)</w:t>
      </w:r>
      <w:r w:rsidR="00AB2FDD">
        <w:rPr>
          <w:rFonts w:asciiTheme="minorHAnsi" w:hAnsiTheme="minorHAnsi"/>
          <w:snapToGrid w:val="0"/>
          <w:lang w:val="en-GB"/>
        </w:rPr>
        <w:t xml:space="preserve"> in the intention to treat (ITT) population</w:t>
      </w:r>
      <w:r w:rsidR="00B12335">
        <w:rPr>
          <w:rFonts w:asciiTheme="minorHAnsi" w:hAnsiTheme="minorHAnsi"/>
          <w:snapToGrid w:val="0"/>
          <w:lang w:val="en-GB"/>
        </w:rPr>
        <w:t xml:space="preserve">. The PBAC noted that </w:t>
      </w:r>
      <w:r w:rsidR="00EB3800">
        <w:rPr>
          <w:rFonts w:asciiTheme="minorHAnsi" w:hAnsiTheme="minorHAnsi"/>
          <w:snapToGrid w:val="0"/>
          <w:lang w:val="en-GB"/>
        </w:rPr>
        <w:t xml:space="preserve">the </w:t>
      </w:r>
      <w:r w:rsidR="003C01D2">
        <w:rPr>
          <w:rFonts w:asciiTheme="minorHAnsi" w:hAnsiTheme="minorHAnsi"/>
          <w:snapToGrid w:val="0"/>
          <w:lang w:val="en-GB"/>
        </w:rPr>
        <w:t xml:space="preserve">outcome was </w:t>
      </w:r>
      <w:r w:rsidR="00EB3800">
        <w:rPr>
          <w:rFonts w:asciiTheme="minorHAnsi" w:hAnsiTheme="minorHAnsi"/>
          <w:snapToGrid w:val="0"/>
          <w:lang w:val="en-GB"/>
        </w:rPr>
        <w:t>maintained</w:t>
      </w:r>
      <w:r w:rsidR="003C01D2">
        <w:rPr>
          <w:rFonts w:asciiTheme="minorHAnsi" w:hAnsiTheme="minorHAnsi"/>
          <w:snapToGrid w:val="0"/>
          <w:lang w:val="en-GB"/>
        </w:rPr>
        <w:t xml:space="preserve"> with palope</w:t>
      </w:r>
      <w:r w:rsidR="00F57EA5">
        <w:rPr>
          <w:rFonts w:asciiTheme="minorHAnsi" w:hAnsiTheme="minorHAnsi"/>
          <w:snapToGrid w:val="0"/>
          <w:lang w:val="en-GB"/>
        </w:rPr>
        <w:t>gteriparatide</w:t>
      </w:r>
      <w:r w:rsidR="00EB3800">
        <w:rPr>
          <w:rFonts w:asciiTheme="minorHAnsi" w:hAnsiTheme="minorHAnsi"/>
          <w:snapToGrid w:val="0"/>
          <w:lang w:val="en-GB"/>
        </w:rPr>
        <w:t xml:space="preserve"> in the open-label extension </w:t>
      </w:r>
      <w:r w:rsidR="00C17485">
        <w:rPr>
          <w:rFonts w:asciiTheme="minorHAnsi" w:hAnsiTheme="minorHAnsi"/>
          <w:snapToGrid w:val="0"/>
          <w:lang w:val="en-GB"/>
        </w:rPr>
        <w:t>study</w:t>
      </w:r>
      <w:r w:rsidR="0032004C">
        <w:rPr>
          <w:rFonts w:asciiTheme="minorHAnsi" w:hAnsiTheme="minorHAnsi"/>
          <w:snapToGrid w:val="0"/>
          <w:lang w:val="en-GB"/>
        </w:rPr>
        <w:t xml:space="preserve"> (see </w:t>
      </w:r>
      <w:r w:rsidR="0032004C">
        <w:rPr>
          <w:rFonts w:asciiTheme="minorHAnsi" w:hAnsiTheme="minorHAnsi"/>
          <w:snapToGrid w:val="0"/>
          <w:lang w:val="en-GB"/>
        </w:rPr>
        <w:fldChar w:fldCharType="begin"/>
      </w:r>
      <w:r w:rsidR="0032004C">
        <w:rPr>
          <w:rFonts w:asciiTheme="minorHAnsi" w:hAnsiTheme="minorHAnsi"/>
          <w:snapToGrid w:val="0"/>
          <w:lang w:val="en-GB"/>
        </w:rPr>
        <w:instrText xml:space="preserve"> REF _Ref184726557 \h </w:instrText>
      </w:r>
      <w:r w:rsidR="0032004C">
        <w:rPr>
          <w:rFonts w:asciiTheme="minorHAnsi" w:hAnsiTheme="minorHAnsi"/>
          <w:snapToGrid w:val="0"/>
          <w:lang w:val="en-GB"/>
        </w:rPr>
      </w:r>
      <w:r w:rsidR="0032004C">
        <w:rPr>
          <w:rFonts w:asciiTheme="minorHAnsi" w:hAnsiTheme="minorHAnsi"/>
          <w:snapToGrid w:val="0"/>
          <w:lang w:val="en-GB"/>
        </w:rPr>
        <w:fldChar w:fldCharType="separate"/>
      </w:r>
      <w:r w:rsidR="00DA35E4" w:rsidRPr="4D2BAA30">
        <w:t xml:space="preserve">Table </w:t>
      </w:r>
      <w:r w:rsidR="00DA35E4">
        <w:rPr>
          <w:noProof/>
        </w:rPr>
        <w:t>4</w:t>
      </w:r>
      <w:r w:rsidR="0032004C">
        <w:rPr>
          <w:rFonts w:asciiTheme="minorHAnsi" w:hAnsiTheme="minorHAnsi"/>
          <w:snapToGrid w:val="0"/>
          <w:lang w:val="en-GB"/>
        </w:rPr>
        <w:fldChar w:fldCharType="end"/>
      </w:r>
      <w:r w:rsidR="0032004C">
        <w:rPr>
          <w:rFonts w:asciiTheme="minorHAnsi" w:hAnsiTheme="minorHAnsi"/>
          <w:snapToGrid w:val="0"/>
          <w:lang w:val="en-GB"/>
        </w:rPr>
        <w:t>)</w:t>
      </w:r>
      <w:r w:rsidR="00EB3800">
        <w:rPr>
          <w:rFonts w:asciiTheme="minorHAnsi" w:hAnsiTheme="minorHAnsi"/>
          <w:snapToGrid w:val="0"/>
          <w:lang w:val="en-GB"/>
        </w:rPr>
        <w:t>.</w:t>
      </w:r>
      <w:r w:rsidR="00C1583C">
        <w:rPr>
          <w:rFonts w:asciiTheme="minorHAnsi" w:hAnsiTheme="minorHAnsi"/>
          <w:snapToGrid w:val="0"/>
          <w:lang w:val="en-GB"/>
        </w:rPr>
        <w:t xml:space="preserve"> The results </w:t>
      </w:r>
      <w:r w:rsidR="00527390">
        <w:rPr>
          <w:rFonts w:asciiTheme="minorHAnsi" w:hAnsiTheme="minorHAnsi"/>
          <w:snapToGrid w:val="0"/>
          <w:lang w:val="en-GB"/>
        </w:rPr>
        <w:t xml:space="preserve">from </w:t>
      </w:r>
      <w:r w:rsidR="00555A1E">
        <w:rPr>
          <w:rFonts w:asciiTheme="minorHAnsi" w:hAnsiTheme="minorHAnsi"/>
          <w:snapToGrid w:val="0"/>
          <w:lang w:val="en-GB"/>
        </w:rPr>
        <w:t xml:space="preserve">the </w:t>
      </w:r>
      <w:r w:rsidR="00484E5C" w:rsidRPr="00484E5C">
        <w:rPr>
          <w:rFonts w:asciiTheme="minorHAnsi" w:hAnsiTheme="minorHAnsi"/>
          <w:i/>
          <w:iCs/>
          <w:snapToGrid w:val="0"/>
          <w:lang w:val="en-GB"/>
        </w:rPr>
        <w:t>post hoc</w:t>
      </w:r>
      <w:r w:rsidR="00484E5C">
        <w:rPr>
          <w:rFonts w:asciiTheme="minorHAnsi" w:hAnsiTheme="minorHAnsi"/>
          <w:snapToGrid w:val="0"/>
          <w:lang w:val="en-GB"/>
        </w:rPr>
        <w:t xml:space="preserve"> </w:t>
      </w:r>
      <w:r w:rsidR="00FD0834">
        <w:rPr>
          <w:rFonts w:asciiTheme="minorHAnsi" w:hAnsiTheme="minorHAnsi"/>
          <w:snapToGrid w:val="0"/>
          <w:lang w:val="en-GB"/>
        </w:rPr>
        <w:t xml:space="preserve">subgroup </w:t>
      </w:r>
      <w:r w:rsidR="00484E5C">
        <w:rPr>
          <w:rFonts w:asciiTheme="minorHAnsi" w:hAnsiTheme="minorHAnsi"/>
          <w:snapToGrid w:val="0"/>
          <w:lang w:val="en-GB"/>
        </w:rPr>
        <w:t xml:space="preserve">analysis </w:t>
      </w:r>
      <w:r w:rsidR="00FD0834">
        <w:rPr>
          <w:rFonts w:asciiTheme="minorHAnsi" w:hAnsiTheme="minorHAnsi"/>
          <w:snapToGrid w:val="0"/>
          <w:lang w:val="en-GB"/>
        </w:rPr>
        <w:t>of patients who</w:t>
      </w:r>
      <w:r w:rsidR="00440F54">
        <w:rPr>
          <w:rFonts w:asciiTheme="minorHAnsi" w:hAnsiTheme="minorHAnsi"/>
          <w:snapToGrid w:val="0"/>
          <w:lang w:val="en-GB"/>
        </w:rPr>
        <w:t xml:space="preserve"> better</w:t>
      </w:r>
      <w:r w:rsidR="00FD0834">
        <w:rPr>
          <w:rFonts w:asciiTheme="minorHAnsi" w:hAnsiTheme="minorHAnsi"/>
          <w:snapToGrid w:val="0"/>
          <w:lang w:val="en-GB"/>
        </w:rPr>
        <w:t xml:space="preserve"> matched the</w:t>
      </w:r>
      <w:r w:rsidR="001765BE">
        <w:rPr>
          <w:rFonts w:asciiTheme="minorHAnsi" w:hAnsiTheme="minorHAnsi"/>
          <w:snapToGrid w:val="0"/>
          <w:lang w:val="en-GB"/>
        </w:rPr>
        <w:t xml:space="preserve"> proposed</w:t>
      </w:r>
      <w:r w:rsidR="00FD0834">
        <w:rPr>
          <w:rFonts w:asciiTheme="minorHAnsi" w:hAnsiTheme="minorHAnsi"/>
          <w:snapToGrid w:val="0"/>
          <w:lang w:val="en-GB"/>
        </w:rPr>
        <w:t xml:space="preserve"> PBS criteria were </w:t>
      </w:r>
      <w:proofErr w:type="gramStart"/>
      <w:r w:rsidR="00FD0834">
        <w:rPr>
          <w:rFonts w:asciiTheme="minorHAnsi" w:hAnsiTheme="minorHAnsi"/>
          <w:snapToGrid w:val="0"/>
          <w:lang w:val="en-GB"/>
        </w:rPr>
        <w:t>similar to</w:t>
      </w:r>
      <w:proofErr w:type="gramEnd"/>
      <w:r w:rsidR="00FD0834">
        <w:rPr>
          <w:rFonts w:asciiTheme="minorHAnsi" w:hAnsiTheme="minorHAnsi"/>
          <w:snapToGrid w:val="0"/>
          <w:lang w:val="en-GB"/>
        </w:rPr>
        <w:t xml:space="preserve"> the ITT population at Week 26.</w:t>
      </w:r>
    </w:p>
    <w:p w14:paraId="47170A03" w14:textId="74F86006" w:rsidR="00696D3B" w:rsidRDefault="00696D3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pill burden was </w:t>
      </w:r>
      <w:r w:rsidR="00CB2763">
        <w:rPr>
          <w:rFonts w:asciiTheme="minorHAnsi" w:hAnsiTheme="minorHAnsi"/>
          <w:snapToGrid w:val="0"/>
          <w:lang w:val="en-GB"/>
        </w:rPr>
        <w:t xml:space="preserve">significantly </w:t>
      </w:r>
      <w:r>
        <w:rPr>
          <w:rFonts w:asciiTheme="minorHAnsi" w:hAnsiTheme="minorHAnsi"/>
          <w:snapToGrid w:val="0"/>
          <w:lang w:val="en-GB"/>
        </w:rPr>
        <w:t>reduced</w:t>
      </w:r>
      <w:r w:rsidR="000758BC">
        <w:rPr>
          <w:rFonts w:asciiTheme="minorHAnsi" w:hAnsiTheme="minorHAnsi"/>
          <w:snapToGrid w:val="0"/>
          <w:lang w:val="en-GB"/>
        </w:rPr>
        <w:t xml:space="preserve"> for patients in the palopegteriparatide arm</w:t>
      </w:r>
      <w:r w:rsidR="00484E5C">
        <w:rPr>
          <w:rFonts w:asciiTheme="minorHAnsi" w:hAnsiTheme="minorHAnsi"/>
          <w:snapToGrid w:val="0"/>
          <w:lang w:val="en-GB"/>
        </w:rPr>
        <w:t xml:space="preserve"> (mean number of </w:t>
      </w:r>
      <w:r w:rsidR="00B4507D">
        <w:rPr>
          <w:rFonts w:asciiTheme="minorHAnsi" w:hAnsiTheme="minorHAnsi"/>
          <w:snapToGrid w:val="0"/>
          <w:lang w:val="en-GB"/>
        </w:rPr>
        <w:t xml:space="preserve">daily </w:t>
      </w:r>
      <w:r w:rsidR="00484E5C">
        <w:rPr>
          <w:rFonts w:asciiTheme="minorHAnsi" w:hAnsiTheme="minorHAnsi"/>
          <w:snapToGrid w:val="0"/>
          <w:lang w:val="en-GB"/>
        </w:rPr>
        <w:t xml:space="preserve">pills </w:t>
      </w:r>
      <w:r w:rsidR="000758BC">
        <w:rPr>
          <w:rFonts w:asciiTheme="minorHAnsi" w:hAnsiTheme="minorHAnsi"/>
          <w:snapToGrid w:val="0"/>
          <w:lang w:val="en-GB"/>
        </w:rPr>
        <w:t>reduc</w:t>
      </w:r>
      <w:r w:rsidR="00527390">
        <w:rPr>
          <w:rFonts w:asciiTheme="minorHAnsi" w:hAnsiTheme="minorHAnsi"/>
          <w:snapToGrid w:val="0"/>
          <w:lang w:val="en-GB"/>
        </w:rPr>
        <w:t>ed</w:t>
      </w:r>
      <w:r w:rsidR="000758BC">
        <w:rPr>
          <w:rFonts w:asciiTheme="minorHAnsi" w:hAnsiTheme="minorHAnsi"/>
          <w:snapToGrid w:val="0"/>
          <w:lang w:val="en-GB"/>
        </w:rPr>
        <w:t xml:space="preserve"> from 6.7 to 0.45 </w:t>
      </w:r>
      <w:r w:rsidR="00757839">
        <w:rPr>
          <w:rFonts w:asciiTheme="minorHAnsi" w:hAnsiTheme="minorHAnsi"/>
          <w:snapToGrid w:val="0"/>
          <w:lang w:val="en-GB"/>
        </w:rPr>
        <w:t>from baseline to Week 26</w:t>
      </w:r>
      <w:r w:rsidR="00527390">
        <w:rPr>
          <w:rFonts w:asciiTheme="minorHAnsi" w:hAnsiTheme="minorHAnsi"/>
          <w:snapToGrid w:val="0"/>
          <w:lang w:val="en-GB"/>
        </w:rPr>
        <w:t>)</w:t>
      </w:r>
      <w:r w:rsidR="00757839">
        <w:rPr>
          <w:rFonts w:asciiTheme="minorHAnsi" w:hAnsiTheme="minorHAnsi"/>
          <w:snapToGrid w:val="0"/>
          <w:lang w:val="en-GB"/>
        </w:rPr>
        <w:t xml:space="preserve">. For patients in the </w:t>
      </w:r>
      <w:r w:rsidR="00074255">
        <w:rPr>
          <w:rFonts w:asciiTheme="minorHAnsi" w:hAnsiTheme="minorHAnsi"/>
          <w:snapToGrid w:val="0"/>
          <w:lang w:val="en-GB"/>
        </w:rPr>
        <w:t>conventional therapy</w:t>
      </w:r>
      <w:r w:rsidR="00757839">
        <w:rPr>
          <w:rFonts w:asciiTheme="minorHAnsi" w:hAnsiTheme="minorHAnsi"/>
          <w:snapToGrid w:val="0"/>
          <w:lang w:val="en-GB"/>
        </w:rPr>
        <w:t xml:space="preserve"> arm, the mean </w:t>
      </w:r>
      <w:r w:rsidR="00007AE7">
        <w:rPr>
          <w:rFonts w:asciiTheme="minorHAnsi" w:hAnsiTheme="minorHAnsi"/>
          <w:snapToGrid w:val="0"/>
          <w:lang w:val="en-GB"/>
        </w:rPr>
        <w:t xml:space="preserve">daily </w:t>
      </w:r>
      <w:r w:rsidR="00757839">
        <w:rPr>
          <w:rFonts w:asciiTheme="minorHAnsi" w:hAnsiTheme="minorHAnsi"/>
          <w:snapToGrid w:val="0"/>
          <w:lang w:val="en-GB"/>
        </w:rPr>
        <w:t>pill burden</w:t>
      </w:r>
      <w:r w:rsidR="00C82741">
        <w:rPr>
          <w:rFonts w:asciiTheme="minorHAnsi" w:hAnsiTheme="minorHAnsi"/>
          <w:snapToGrid w:val="0"/>
          <w:lang w:val="en-GB"/>
        </w:rPr>
        <w:t xml:space="preserve"> reduced from 6.7 at baseline to 5.4 at Week 26.</w:t>
      </w:r>
      <w:r w:rsidR="00CB2763">
        <w:rPr>
          <w:rFonts w:asciiTheme="minorHAnsi" w:hAnsiTheme="minorHAnsi"/>
          <w:snapToGrid w:val="0"/>
          <w:lang w:val="en-GB"/>
        </w:rPr>
        <w:t xml:space="preserve"> The PBAC also noted that </w:t>
      </w:r>
      <w:r w:rsidR="009F58FD">
        <w:rPr>
          <w:rFonts w:asciiTheme="minorHAnsi" w:hAnsiTheme="minorHAnsi"/>
          <w:snapToGrid w:val="0"/>
          <w:lang w:val="en-GB"/>
        </w:rPr>
        <w:t xml:space="preserve">the mean calcium dose, mean active vitamin D dose and mean serum calcium were significantly reduced </w:t>
      </w:r>
      <w:r w:rsidR="005F58FA">
        <w:rPr>
          <w:rFonts w:asciiTheme="minorHAnsi" w:hAnsiTheme="minorHAnsi"/>
          <w:snapToGrid w:val="0"/>
          <w:lang w:val="en-GB"/>
        </w:rPr>
        <w:t>in the palopegteriparatide arm compare</w:t>
      </w:r>
      <w:r w:rsidR="000861F9">
        <w:rPr>
          <w:rFonts w:asciiTheme="minorHAnsi" w:hAnsiTheme="minorHAnsi"/>
          <w:snapToGrid w:val="0"/>
          <w:lang w:val="en-GB"/>
        </w:rPr>
        <w:t>d</w:t>
      </w:r>
      <w:r w:rsidR="005F58FA">
        <w:rPr>
          <w:rFonts w:asciiTheme="minorHAnsi" w:hAnsiTheme="minorHAnsi"/>
          <w:snapToGrid w:val="0"/>
          <w:lang w:val="en-GB"/>
        </w:rPr>
        <w:t xml:space="preserve"> to the </w:t>
      </w:r>
      <w:r w:rsidR="00074255">
        <w:rPr>
          <w:rFonts w:asciiTheme="minorHAnsi" w:hAnsiTheme="minorHAnsi"/>
          <w:snapToGrid w:val="0"/>
          <w:lang w:val="en-GB"/>
        </w:rPr>
        <w:t xml:space="preserve">conventional therapy </w:t>
      </w:r>
      <w:r w:rsidR="005F58FA">
        <w:rPr>
          <w:rFonts w:asciiTheme="minorHAnsi" w:hAnsiTheme="minorHAnsi"/>
          <w:snapToGrid w:val="0"/>
          <w:lang w:val="en-GB"/>
        </w:rPr>
        <w:t xml:space="preserve">arm at Week 26 (see </w:t>
      </w:r>
      <w:r w:rsidR="005F58FA">
        <w:rPr>
          <w:rFonts w:asciiTheme="minorHAnsi" w:hAnsiTheme="minorHAnsi"/>
          <w:snapToGrid w:val="0"/>
          <w:lang w:val="en-GB"/>
        </w:rPr>
        <w:fldChar w:fldCharType="begin"/>
      </w:r>
      <w:r w:rsidR="005F58FA">
        <w:rPr>
          <w:rFonts w:asciiTheme="minorHAnsi" w:hAnsiTheme="minorHAnsi"/>
          <w:snapToGrid w:val="0"/>
          <w:lang w:val="en-GB"/>
        </w:rPr>
        <w:instrText xml:space="preserve"> REF _Ref184727072 \h </w:instrText>
      </w:r>
      <w:r w:rsidR="005F58FA">
        <w:rPr>
          <w:rFonts w:asciiTheme="minorHAnsi" w:hAnsiTheme="minorHAnsi"/>
          <w:snapToGrid w:val="0"/>
          <w:lang w:val="en-GB"/>
        </w:rPr>
      </w:r>
      <w:r w:rsidR="005F58FA">
        <w:rPr>
          <w:rFonts w:asciiTheme="minorHAnsi" w:hAnsiTheme="minorHAnsi"/>
          <w:snapToGrid w:val="0"/>
          <w:lang w:val="en-GB"/>
        </w:rPr>
        <w:fldChar w:fldCharType="separate"/>
      </w:r>
      <w:r w:rsidR="00DA35E4" w:rsidRPr="4D2BAA30">
        <w:t xml:space="preserve">Table </w:t>
      </w:r>
      <w:r w:rsidR="00DA35E4">
        <w:rPr>
          <w:noProof/>
        </w:rPr>
        <w:t>5</w:t>
      </w:r>
      <w:r w:rsidR="005F58FA">
        <w:rPr>
          <w:rFonts w:asciiTheme="minorHAnsi" w:hAnsiTheme="minorHAnsi"/>
          <w:snapToGrid w:val="0"/>
          <w:lang w:val="en-GB"/>
        </w:rPr>
        <w:fldChar w:fldCharType="end"/>
      </w:r>
      <w:r w:rsidR="005F58FA">
        <w:rPr>
          <w:rFonts w:asciiTheme="minorHAnsi" w:hAnsiTheme="minorHAnsi"/>
          <w:snapToGrid w:val="0"/>
          <w:lang w:val="en-GB"/>
        </w:rPr>
        <w:t>).</w:t>
      </w:r>
      <w:r w:rsidR="001D65A7">
        <w:rPr>
          <w:rFonts w:asciiTheme="minorHAnsi" w:hAnsiTheme="minorHAnsi"/>
          <w:snapToGrid w:val="0"/>
          <w:lang w:val="en-GB"/>
        </w:rPr>
        <w:t xml:space="preserve"> Further, the PBAC noted that </w:t>
      </w:r>
      <w:r w:rsidR="0012625D">
        <w:rPr>
          <w:rFonts w:asciiTheme="minorHAnsi" w:hAnsiTheme="minorHAnsi"/>
          <w:snapToGrid w:val="0"/>
          <w:lang w:val="en-GB"/>
        </w:rPr>
        <w:t xml:space="preserve">palopegteriparatide was associated with improvements in </w:t>
      </w:r>
      <w:r w:rsidR="00452626">
        <w:rPr>
          <w:rFonts w:asciiTheme="minorHAnsi" w:hAnsiTheme="minorHAnsi"/>
          <w:snapToGrid w:val="0"/>
          <w:lang w:val="en-GB"/>
        </w:rPr>
        <w:t xml:space="preserve">health-related quality of life scores (see </w:t>
      </w:r>
      <w:r w:rsidR="00452626">
        <w:rPr>
          <w:rFonts w:asciiTheme="minorHAnsi" w:hAnsiTheme="minorHAnsi"/>
          <w:snapToGrid w:val="0"/>
          <w:lang w:val="en-GB"/>
        </w:rPr>
        <w:fldChar w:fldCharType="begin"/>
      </w:r>
      <w:r w:rsidR="00452626">
        <w:rPr>
          <w:rFonts w:asciiTheme="minorHAnsi" w:hAnsiTheme="minorHAnsi"/>
          <w:snapToGrid w:val="0"/>
          <w:lang w:val="en-GB"/>
        </w:rPr>
        <w:instrText xml:space="preserve"> REF _Ref184726970 \h </w:instrText>
      </w:r>
      <w:r w:rsidR="00452626">
        <w:rPr>
          <w:rFonts w:asciiTheme="minorHAnsi" w:hAnsiTheme="minorHAnsi"/>
          <w:snapToGrid w:val="0"/>
          <w:lang w:val="en-GB"/>
        </w:rPr>
      </w:r>
      <w:r w:rsidR="00452626">
        <w:rPr>
          <w:rFonts w:asciiTheme="minorHAnsi" w:hAnsiTheme="minorHAnsi"/>
          <w:snapToGrid w:val="0"/>
          <w:lang w:val="en-GB"/>
        </w:rPr>
        <w:fldChar w:fldCharType="separate"/>
      </w:r>
      <w:r w:rsidR="00DA35E4" w:rsidRPr="4D2BAA30">
        <w:t xml:space="preserve">Table </w:t>
      </w:r>
      <w:r w:rsidR="00DA35E4">
        <w:rPr>
          <w:noProof/>
        </w:rPr>
        <w:t>6</w:t>
      </w:r>
      <w:r w:rsidR="00452626">
        <w:rPr>
          <w:rFonts w:asciiTheme="minorHAnsi" w:hAnsiTheme="minorHAnsi"/>
          <w:snapToGrid w:val="0"/>
          <w:lang w:val="en-GB"/>
        </w:rPr>
        <w:fldChar w:fldCharType="end"/>
      </w:r>
      <w:r w:rsidR="00452626">
        <w:rPr>
          <w:rFonts w:asciiTheme="minorHAnsi" w:hAnsiTheme="minorHAnsi"/>
          <w:snapToGrid w:val="0"/>
          <w:lang w:val="en-GB"/>
        </w:rPr>
        <w:t>).</w:t>
      </w:r>
    </w:p>
    <w:p w14:paraId="0488285C" w14:textId="2A68377E" w:rsidR="00555A1E" w:rsidRDefault="00D91176">
      <w:pPr>
        <w:widowControl w:val="0"/>
        <w:numPr>
          <w:ilvl w:val="1"/>
          <w:numId w:val="1"/>
        </w:numPr>
        <w:spacing w:after="120"/>
        <w:rPr>
          <w:rFonts w:asciiTheme="minorHAnsi" w:hAnsiTheme="minorHAnsi"/>
          <w:snapToGrid w:val="0"/>
          <w:lang w:val="en-GB"/>
        </w:rPr>
      </w:pPr>
      <w:r w:rsidRPr="00555A1E">
        <w:rPr>
          <w:rFonts w:asciiTheme="minorHAnsi" w:hAnsiTheme="minorHAnsi"/>
          <w:snapToGrid w:val="0"/>
          <w:lang w:val="en-GB"/>
        </w:rPr>
        <w:t xml:space="preserve">The PBAC noted that a </w:t>
      </w:r>
      <w:r w:rsidRPr="00555A1E">
        <w:rPr>
          <w:rFonts w:asciiTheme="minorHAnsi" w:hAnsiTheme="minorHAnsi"/>
          <w:i/>
          <w:iCs/>
          <w:snapToGrid w:val="0"/>
          <w:lang w:val="en-GB"/>
        </w:rPr>
        <w:t>post hoc</w:t>
      </w:r>
      <w:r w:rsidRPr="00555A1E">
        <w:rPr>
          <w:rFonts w:asciiTheme="minorHAnsi" w:hAnsiTheme="minorHAnsi"/>
          <w:snapToGrid w:val="0"/>
          <w:lang w:val="en-GB"/>
        </w:rPr>
        <w:t xml:space="preserve"> analysis </w:t>
      </w:r>
      <w:r w:rsidR="00056481" w:rsidRPr="00555A1E">
        <w:rPr>
          <w:rFonts w:asciiTheme="minorHAnsi" w:hAnsiTheme="minorHAnsi"/>
          <w:snapToGrid w:val="0"/>
          <w:lang w:val="en-GB"/>
        </w:rPr>
        <w:t xml:space="preserve">demonstrated that palopegteriparatide was associated with a statistically significant </w:t>
      </w:r>
      <w:r w:rsidR="00E50241" w:rsidRPr="00555A1E">
        <w:rPr>
          <w:rFonts w:asciiTheme="minorHAnsi" w:hAnsiTheme="minorHAnsi"/>
          <w:snapToGrid w:val="0"/>
          <w:lang w:val="en-GB"/>
        </w:rPr>
        <w:t xml:space="preserve">improvement in estimated glomerular filtration rate (eGFR) compared to </w:t>
      </w:r>
      <w:r w:rsidR="00074255">
        <w:rPr>
          <w:rFonts w:asciiTheme="minorHAnsi" w:hAnsiTheme="minorHAnsi"/>
          <w:snapToGrid w:val="0"/>
          <w:lang w:val="en-GB"/>
        </w:rPr>
        <w:t>conventional therapy</w:t>
      </w:r>
      <w:r w:rsidR="00E50241" w:rsidRPr="00555A1E">
        <w:rPr>
          <w:rFonts w:asciiTheme="minorHAnsi" w:hAnsiTheme="minorHAnsi"/>
          <w:snapToGrid w:val="0"/>
          <w:lang w:val="en-GB"/>
        </w:rPr>
        <w:t xml:space="preserve"> after 26 weeks (see </w:t>
      </w:r>
      <w:r w:rsidR="00E663D2" w:rsidRPr="00555A1E">
        <w:rPr>
          <w:rFonts w:asciiTheme="minorHAnsi" w:hAnsiTheme="minorHAnsi"/>
          <w:snapToGrid w:val="0"/>
          <w:lang w:val="en-GB"/>
        </w:rPr>
        <w:fldChar w:fldCharType="begin"/>
      </w:r>
      <w:r w:rsidR="00E663D2" w:rsidRPr="00555A1E">
        <w:rPr>
          <w:rFonts w:asciiTheme="minorHAnsi" w:hAnsiTheme="minorHAnsi"/>
          <w:snapToGrid w:val="0"/>
          <w:lang w:val="en-GB"/>
        </w:rPr>
        <w:instrText xml:space="preserve"> REF _Ref184728865 \h </w:instrText>
      </w:r>
      <w:r w:rsidR="00E663D2" w:rsidRPr="00555A1E">
        <w:rPr>
          <w:rFonts w:asciiTheme="minorHAnsi" w:hAnsiTheme="minorHAnsi"/>
          <w:snapToGrid w:val="0"/>
          <w:lang w:val="en-GB"/>
        </w:rPr>
      </w:r>
      <w:r w:rsidR="00E663D2" w:rsidRPr="00555A1E">
        <w:rPr>
          <w:rFonts w:asciiTheme="minorHAnsi" w:hAnsiTheme="minorHAnsi"/>
          <w:snapToGrid w:val="0"/>
          <w:lang w:val="en-GB"/>
        </w:rPr>
        <w:fldChar w:fldCharType="separate"/>
      </w:r>
      <w:r w:rsidR="00DA35E4" w:rsidRPr="383E5602">
        <w:t xml:space="preserve">Table </w:t>
      </w:r>
      <w:r w:rsidR="00DA35E4">
        <w:rPr>
          <w:noProof/>
        </w:rPr>
        <w:t>7</w:t>
      </w:r>
      <w:r w:rsidR="00E663D2" w:rsidRPr="00555A1E">
        <w:rPr>
          <w:rFonts w:asciiTheme="minorHAnsi" w:hAnsiTheme="minorHAnsi"/>
          <w:snapToGrid w:val="0"/>
          <w:lang w:val="en-GB"/>
        </w:rPr>
        <w:fldChar w:fldCharType="end"/>
      </w:r>
      <w:r w:rsidR="00E663D2" w:rsidRPr="00555A1E">
        <w:rPr>
          <w:rFonts w:asciiTheme="minorHAnsi" w:hAnsiTheme="minorHAnsi"/>
          <w:snapToGrid w:val="0"/>
          <w:lang w:val="en-GB"/>
        </w:rPr>
        <w:t xml:space="preserve">). </w:t>
      </w:r>
      <w:r w:rsidR="00C17485" w:rsidRPr="00555A1E">
        <w:rPr>
          <w:rFonts w:asciiTheme="minorHAnsi" w:hAnsiTheme="minorHAnsi"/>
          <w:snapToGrid w:val="0"/>
          <w:lang w:val="en-GB"/>
        </w:rPr>
        <w:t>The PBAC noted that the improvement was maintained in the open-label extension study</w:t>
      </w:r>
      <w:r w:rsidR="006F3032">
        <w:rPr>
          <w:rFonts w:asciiTheme="minorHAnsi" w:hAnsiTheme="minorHAnsi"/>
          <w:snapToGrid w:val="0"/>
          <w:lang w:val="en-GB"/>
        </w:rPr>
        <w:t>,</w:t>
      </w:r>
      <w:r w:rsidR="00E5083E">
        <w:rPr>
          <w:rFonts w:asciiTheme="minorHAnsi" w:hAnsiTheme="minorHAnsi"/>
          <w:snapToGrid w:val="0"/>
          <w:lang w:val="en-GB"/>
        </w:rPr>
        <w:t xml:space="preserve"> in which all patients received </w:t>
      </w:r>
      <w:r w:rsidR="006F3032">
        <w:rPr>
          <w:rFonts w:asciiTheme="minorHAnsi" w:hAnsiTheme="minorHAnsi"/>
          <w:snapToGrid w:val="0"/>
          <w:lang w:val="en-GB"/>
        </w:rPr>
        <w:t>palopegteriparatide</w:t>
      </w:r>
      <w:r w:rsidR="00C17485" w:rsidRPr="00555A1E">
        <w:rPr>
          <w:rFonts w:asciiTheme="minorHAnsi" w:hAnsiTheme="minorHAnsi"/>
          <w:snapToGrid w:val="0"/>
          <w:lang w:val="en-GB"/>
        </w:rPr>
        <w:t>.</w:t>
      </w:r>
      <w:r w:rsidR="00BD51B0" w:rsidRPr="00555A1E">
        <w:rPr>
          <w:rFonts w:asciiTheme="minorHAnsi" w:hAnsiTheme="minorHAnsi"/>
          <w:snapToGrid w:val="0"/>
          <w:lang w:val="en-GB"/>
        </w:rPr>
        <w:t xml:space="preserve"> </w:t>
      </w:r>
      <w:r w:rsidR="00555A1E">
        <w:rPr>
          <w:rFonts w:asciiTheme="minorHAnsi" w:hAnsiTheme="minorHAnsi"/>
          <w:snapToGrid w:val="0"/>
          <w:lang w:val="en-GB"/>
        </w:rPr>
        <w:t xml:space="preserve">The results </w:t>
      </w:r>
      <w:r w:rsidR="00527390">
        <w:rPr>
          <w:rFonts w:asciiTheme="minorHAnsi" w:hAnsiTheme="minorHAnsi"/>
          <w:snapToGrid w:val="0"/>
          <w:lang w:val="en-GB"/>
        </w:rPr>
        <w:t xml:space="preserve">from the </w:t>
      </w:r>
      <w:r w:rsidR="00527390" w:rsidRPr="00527390">
        <w:rPr>
          <w:rFonts w:asciiTheme="minorHAnsi" w:hAnsiTheme="minorHAnsi"/>
          <w:i/>
          <w:iCs/>
          <w:snapToGrid w:val="0"/>
          <w:lang w:val="en-GB"/>
        </w:rPr>
        <w:t>post hoc</w:t>
      </w:r>
      <w:r w:rsidR="00555A1E">
        <w:rPr>
          <w:rFonts w:asciiTheme="minorHAnsi" w:hAnsiTheme="minorHAnsi"/>
          <w:snapToGrid w:val="0"/>
          <w:lang w:val="en-GB"/>
        </w:rPr>
        <w:t xml:space="preserve"> subgroup </w:t>
      </w:r>
      <w:r w:rsidR="00527390">
        <w:rPr>
          <w:rFonts w:asciiTheme="minorHAnsi" w:hAnsiTheme="minorHAnsi"/>
          <w:snapToGrid w:val="0"/>
          <w:lang w:val="en-GB"/>
        </w:rPr>
        <w:t xml:space="preserve">analysis </w:t>
      </w:r>
      <w:r w:rsidR="00555A1E">
        <w:rPr>
          <w:rFonts w:asciiTheme="minorHAnsi" w:hAnsiTheme="minorHAnsi"/>
          <w:snapToGrid w:val="0"/>
          <w:lang w:val="en-GB"/>
        </w:rPr>
        <w:t xml:space="preserve">of patients who </w:t>
      </w:r>
      <w:r w:rsidR="00920289">
        <w:rPr>
          <w:rFonts w:asciiTheme="minorHAnsi" w:hAnsiTheme="minorHAnsi"/>
          <w:snapToGrid w:val="0"/>
          <w:lang w:val="en-GB"/>
        </w:rPr>
        <w:t xml:space="preserve">better </w:t>
      </w:r>
      <w:r w:rsidR="00555A1E">
        <w:rPr>
          <w:rFonts w:asciiTheme="minorHAnsi" w:hAnsiTheme="minorHAnsi"/>
          <w:snapToGrid w:val="0"/>
          <w:lang w:val="en-GB"/>
        </w:rPr>
        <w:t xml:space="preserve">matched the </w:t>
      </w:r>
      <w:r w:rsidR="00CD3A8B">
        <w:rPr>
          <w:rFonts w:asciiTheme="minorHAnsi" w:hAnsiTheme="minorHAnsi"/>
          <w:snapToGrid w:val="0"/>
          <w:lang w:val="en-GB"/>
        </w:rPr>
        <w:t xml:space="preserve">proposed </w:t>
      </w:r>
      <w:r w:rsidR="00555A1E">
        <w:rPr>
          <w:rFonts w:asciiTheme="minorHAnsi" w:hAnsiTheme="minorHAnsi"/>
          <w:snapToGrid w:val="0"/>
          <w:lang w:val="en-GB"/>
        </w:rPr>
        <w:t xml:space="preserve">PBS criteria were </w:t>
      </w:r>
      <w:proofErr w:type="gramStart"/>
      <w:r w:rsidR="00555A1E">
        <w:rPr>
          <w:rFonts w:asciiTheme="minorHAnsi" w:hAnsiTheme="minorHAnsi"/>
          <w:snapToGrid w:val="0"/>
          <w:lang w:val="en-GB"/>
        </w:rPr>
        <w:t>similar to</w:t>
      </w:r>
      <w:proofErr w:type="gramEnd"/>
      <w:r w:rsidR="00555A1E">
        <w:rPr>
          <w:rFonts w:asciiTheme="minorHAnsi" w:hAnsiTheme="minorHAnsi"/>
          <w:snapToGrid w:val="0"/>
          <w:lang w:val="en-GB"/>
        </w:rPr>
        <w:t xml:space="preserve"> the ITT population at Week 26.</w:t>
      </w:r>
    </w:p>
    <w:p w14:paraId="0D93E61A" w14:textId="071BC959" w:rsidR="00496924" w:rsidRDefault="0085500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w:t>
      </w:r>
      <w:r w:rsidR="00496924">
        <w:rPr>
          <w:rFonts w:asciiTheme="minorHAnsi" w:hAnsiTheme="minorHAnsi"/>
          <w:snapToGrid w:val="0"/>
          <w:lang w:val="en-GB"/>
        </w:rPr>
        <w:t xml:space="preserve">he PBAC considered that palopegteriparatide was superior compared to </w:t>
      </w:r>
      <w:r w:rsidR="00074255">
        <w:rPr>
          <w:rFonts w:asciiTheme="minorHAnsi" w:hAnsiTheme="minorHAnsi"/>
          <w:snapToGrid w:val="0"/>
          <w:lang w:val="en-GB"/>
        </w:rPr>
        <w:t>standard of care</w:t>
      </w:r>
      <w:r w:rsidR="00A948EE">
        <w:rPr>
          <w:rFonts w:asciiTheme="minorHAnsi" w:hAnsiTheme="minorHAnsi"/>
          <w:snapToGrid w:val="0"/>
          <w:lang w:val="en-GB"/>
        </w:rPr>
        <w:t xml:space="preserve"> in terms of effectiveness</w:t>
      </w:r>
      <w:r>
        <w:rPr>
          <w:rFonts w:asciiTheme="minorHAnsi" w:hAnsiTheme="minorHAnsi"/>
          <w:snapToGrid w:val="0"/>
          <w:lang w:val="en-GB"/>
        </w:rPr>
        <w:t>; however</w:t>
      </w:r>
      <w:r w:rsidR="00124054">
        <w:rPr>
          <w:rFonts w:asciiTheme="minorHAnsi" w:hAnsiTheme="minorHAnsi"/>
          <w:snapToGrid w:val="0"/>
          <w:lang w:val="en-GB"/>
        </w:rPr>
        <w:t xml:space="preserve">, noted that </w:t>
      </w:r>
      <w:r w:rsidR="00843216">
        <w:rPr>
          <w:rFonts w:asciiTheme="minorHAnsi" w:hAnsiTheme="minorHAnsi"/>
          <w:snapToGrid w:val="0"/>
          <w:lang w:val="en-GB"/>
        </w:rPr>
        <w:t xml:space="preserve">the </w:t>
      </w:r>
      <w:r>
        <w:rPr>
          <w:rFonts w:asciiTheme="minorHAnsi" w:hAnsiTheme="minorHAnsi"/>
          <w:snapToGrid w:val="0"/>
          <w:lang w:val="en-GB"/>
        </w:rPr>
        <w:t xml:space="preserve">magnitude of the benefit was uncertain </w:t>
      </w:r>
      <w:r w:rsidR="0036551C">
        <w:rPr>
          <w:rFonts w:asciiTheme="minorHAnsi" w:hAnsiTheme="minorHAnsi"/>
          <w:snapToGrid w:val="0"/>
          <w:lang w:val="en-GB"/>
        </w:rPr>
        <w:t>as the trial population was small</w:t>
      </w:r>
      <w:r w:rsidR="00720203">
        <w:rPr>
          <w:rFonts w:asciiTheme="minorHAnsi" w:hAnsiTheme="minorHAnsi"/>
          <w:snapToGrid w:val="0"/>
          <w:lang w:val="en-GB"/>
        </w:rPr>
        <w:t xml:space="preserve">, </w:t>
      </w:r>
      <w:r w:rsidR="0036551C">
        <w:rPr>
          <w:rFonts w:asciiTheme="minorHAnsi" w:hAnsiTheme="minorHAnsi"/>
          <w:snapToGrid w:val="0"/>
          <w:lang w:val="en-GB"/>
        </w:rPr>
        <w:t xml:space="preserve">the </w:t>
      </w:r>
      <w:r w:rsidR="00246F23">
        <w:rPr>
          <w:rFonts w:asciiTheme="minorHAnsi" w:hAnsiTheme="minorHAnsi"/>
          <w:snapToGrid w:val="0"/>
          <w:lang w:val="en-GB"/>
        </w:rPr>
        <w:t xml:space="preserve">surrogate </w:t>
      </w:r>
      <w:r w:rsidR="0036551C">
        <w:rPr>
          <w:rFonts w:asciiTheme="minorHAnsi" w:hAnsiTheme="minorHAnsi"/>
          <w:snapToGrid w:val="0"/>
          <w:lang w:val="en-GB"/>
        </w:rPr>
        <w:t xml:space="preserve">trial outcomes were not directly related to </w:t>
      </w:r>
      <w:r w:rsidR="000C205A">
        <w:rPr>
          <w:rFonts w:asciiTheme="minorHAnsi" w:hAnsiTheme="minorHAnsi"/>
          <w:snapToGrid w:val="0"/>
          <w:lang w:val="en-GB"/>
        </w:rPr>
        <w:t>morbidity</w:t>
      </w:r>
      <w:r w:rsidR="0036551C">
        <w:rPr>
          <w:rFonts w:asciiTheme="minorHAnsi" w:hAnsiTheme="minorHAnsi"/>
          <w:snapToGrid w:val="0"/>
          <w:lang w:val="en-GB"/>
        </w:rPr>
        <w:t xml:space="preserve"> or mortality</w:t>
      </w:r>
      <w:r w:rsidR="00150979">
        <w:rPr>
          <w:rFonts w:asciiTheme="minorHAnsi" w:hAnsiTheme="minorHAnsi"/>
          <w:snapToGrid w:val="0"/>
          <w:lang w:val="en-GB"/>
        </w:rPr>
        <w:t xml:space="preserve"> and </w:t>
      </w:r>
      <w:r w:rsidR="00F2322F">
        <w:rPr>
          <w:rFonts w:asciiTheme="minorHAnsi" w:hAnsiTheme="minorHAnsi"/>
          <w:snapToGrid w:val="0"/>
          <w:lang w:val="en-GB"/>
        </w:rPr>
        <w:t xml:space="preserve">the </w:t>
      </w:r>
      <w:r w:rsidR="00BD3A33">
        <w:rPr>
          <w:rFonts w:asciiTheme="minorHAnsi" w:hAnsiTheme="minorHAnsi"/>
          <w:snapToGrid w:val="0"/>
          <w:lang w:val="en-GB"/>
        </w:rPr>
        <w:t xml:space="preserve">dose </w:t>
      </w:r>
      <w:r w:rsidR="00066D20">
        <w:rPr>
          <w:rFonts w:asciiTheme="minorHAnsi" w:hAnsiTheme="minorHAnsi"/>
          <w:snapToGrid w:val="0"/>
          <w:lang w:val="en-GB"/>
        </w:rPr>
        <w:t xml:space="preserve">titration algorithm </w:t>
      </w:r>
      <w:r w:rsidR="00946169">
        <w:rPr>
          <w:rFonts w:asciiTheme="minorHAnsi" w:hAnsiTheme="minorHAnsi"/>
          <w:snapToGrid w:val="0"/>
          <w:lang w:val="en-GB"/>
        </w:rPr>
        <w:t>for the conventional therapy arm was not representative of standard clinical management</w:t>
      </w:r>
      <w:r w:rsidR="000C205A">
        <w:rPr>
          <w:rFonts w:asciiTheme="minorHAnsi" w:hAnsiTheme="minorHAnsi"/>
          <w:snapToGrid w:val="0"/>
          <w:lang w:val="en-GB"/>
        </w:rPr>
        <w:t xml:space="preserve">. </w:t>
      </w:r>
    </w:p>
    <w:p w14:paraId="7FA44EEB" w14:textId="6CC8B480" w:rsidR="00A37DDB" w:rsidRDefault="00A37DD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In terms of safety, the PBAC noted that palopegteriparatide was </w:t>
      </w:r>
      <w:r w:rsidR="00AF3DF0">
        <w:rPr>
          <w:rFonts w:asciiTheme="minorHAnsi" w:hAnsiTheme="minorHAnsi"/>
          <w:snapToGrid w:val="0"/>
          <w:lang w:val="en-GB"/>
        </w:rPr>
        <w:t xml:space="preserve">associated with </w:t>
      </w:r>
      <w:r w:rsidR="00A34932">
        <w:rPr>
          <w:rFonts w:asciiTheme="minorHAnsi" w:hAnsiTheme="minorHAnsi"/>
          <w:snapToGrid w:val="0"/>
          <w:lang w:val="en-GB"/>
        </w:rPr>
        <w:t>injection site reactions</w:t>
      </w:r>
      <w:r w:rsidR="00D3748D">
        <w:rPr>
          <w:rFonts w:asciiTheme="minorHAnsi" w:hAnsiTheme="minorHAnsi"/>
          <w:snapToGrid w:val="0"/>
          <w:lang w:val="en-GB"/>
        </w:rPr>
        <w:t xml:space="preserve"> but considered that these were transient in nature. Overall, the PBAC considered that </w:t>
      </w:r>
      <w:r w:rsidR="00074255">
        <w:rPr>
          <w:rFonts w:asciiTheme="minorHAnsi" w:hAnsiTheme="minorHAnsi"/>
          <w:snapToGrid w:val="0"/>
          <w:lang w:val="en-GB"/>
        </w:rPr>
        <w:t>palopegteriparatide was likely comparable to standard of care in term of safety.</w:t>
      </w:r>
    </w:p>
    <w:p w14:paraId="507055DE" w14:textId="6DBC5AA8" w:rsidR="0019120D" w:rsidRDefault="0019120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presented a cost utility analysis model </w:t>
      </w:r>
      <w:r w:rsidR="005A6E24">
        <w:rPr>
          <w:rFonts w:asciiTheme="minorHAnsi" w:hAnsiTheme="minorHAnsi"/>
          <w:snapToGrid w:val="0"/>
          <w:lang w:val="en-GB"/>
        </w:rPr>
        <w:t xml:space="preserve">which </w:t>
      </w:r>
      <w:r w:rsidR="003D7BC1">
        <w:rPr>
          <w:rFonts w:asciiTheme="minorHAnsi" w:hAnsiTheme="minorHAnsi"/>
          <w:snapToGrid w:val="0"/>
          <w:lang w:val="en-GB"/>
        </w:rPr>
        <w:t>assumed</w:t>
      </w:r>
      <w:r w:rsidR="00C01410">
        <w:rPr>
          <w:rFonts w:asciiTheme="minorHAnsi" w:hAnsiTheme="minorHAnsi"/>
          <w:snapToGrid w:val="0"/>
          <w:lang w:val="en-GB"/>
        </w:rPr>
        <w:t xml:space="preserve"> that palopegteriparatide had superior effectiveness in kidney function compared to </w:t>
      </w:r>
      <w:r w:rsidR="003D7BC1">
        <w:rPr>
          <w:rFonts w:asciiTheme="minorHAnsi" w:hAnsiTheme="minorHAnsi"/>
          <w:snapToGrid w:val="0"/>
          <w:lang w:val="en-GB"/>
        </w:rPr>
        <w:t>conventional therapy. The PBAC noted that</w:t>
      </w:r>
      <w:r w:rsidR="00C942FF">
        <w:rPr>
          <w:rFonts w:asciiTheme="minorHAnsi" w:hAnsiTheme="minorHAnsi"/>
          <w:snapToGrid w:val="0"/>
          <w:lang w:val="en-GB"/>
        </w:rPr>
        <w:t>,</w:t>
      </w:r>
      <w:r w:rsidR="003D7BC1">
        <w:rPr>
          <w:rFonts w:asciiTheme="minorHAnsi" w:hAnsiTheme="minorHAnsi"/>
          <w:snapToGrid w:val="0"/>
          <w:lang w:val="en-GB"/>
        </w:rPr>
        <w:t xml:space="preserve"> although palopegteriparatide was associated with </w:t>
      </w:r>
      <w:r w:rsidR="00BE5504">
        <w:rPr>
          <w:rFonts w:asciiTheme="minorHAnsi" w:hAnsiTheme="minorHAnsi"/>
          <w:snapToGrid w:val="0"/>
          <w:lang w:val="en-GB"/>
        </w:rPr>
        <w:t>improved eGFR</w:t>
      </w:r>
      <w:r w:rsidR="00E23116">
        <w:rPr>
          <w:rFonts w:asciiTheme="minorHAnsi" w:hAnsiTheme="minorHAnsi"/>
          <w:snapToGrid w:val="0"/>
          <w:lang w:val="en-GB"/>
        </w:rPr>
        <w:t xml:space="preserve">, this claim was uncertain given the </w:t>
      </w:r>
      <w:r w:rsidR="00FF0E5E">
        <w:rPr>
          <w:rFonts w:asciiTheme="minorHAnsi" w:hAnsiTheme="minorHAnsi"/>
          <w:snapToGrid w:val="0"/>
          <w:lang w:val="en-GB"/>
        </w:rPr>
        <w:t xml:space="preserve">small sample size of the </w:t>
      </w:r>
      <w:proofErr w:type="spellStart"/>
      <w:r w:rsidR="00FF0E5E">
        <w:rPr>
          <w:rFonts w:asciiTheme="minorHAnsi" w:hAnsiTheme="minorHAnsi"/>
          <w:snapToGrid w:val="0"/>
          <w:lang w:val="en-GB"/>
        </w:rPr>
        <w:t>PaTHway</w:t>
      </w:r>
      <w:proofErr w:type="spellEnd"/>
      <w:r w:rsidR="00FF0E5E">
        <w:rPr>
          <w:rFonts w:asciiTheme="minorHAnsi" w:hAnsiTheme="minorHAnsi"/>
          <w:snapToGrid w:val="0"/>
          <w:lang w:val="en-GB"/>
        </w:rPr>
        <w:t xml:space="preserve"> trial</w:t>
      </w:r>
      <w:r w:rsidR="00AE15B4">
        <w:rPr>
          <w:rFonts w:asciiTheme="minorHAnsi" w:hAnsiTheme="minorHAnsi"/>
          <w:snapToGrid w:val="0"/>
          <w:lang w:val="en-GB"/>
        </w:rPr>
        <w:t xml:space="preserve">, the </w:t>
      </w:r>
      <w:r w:rsidR="00AE15B4" w:rsidRPr="00D21033">
        <w:rPr>
          <w:rFonts w:asciiTheme="minorHAnsi" w:hAnsiTheme="minorHAnsi"/>
          <w:i/>
          <w:iCs/>
          <w:snapToGrid w:val="0"/>
          <w:lang w:val="en-GB"/>
        </w:rPr>
        <w:t>post-hoc</w:t>
      </w:r>
      <w:r w:rsidR="00AE15B4">
        <w:rPr>
          <w:rFonts w:asciiTheme="minorHAnsi" w:hAnsiTheme="minorHAnsi"/>
          <w:snapToGrid w:val="0"/>
          <w:lang w:val="en-GB"/>
        </w:rPr>
        <w:t xml:space="preserve"> nature of the analysis and as comparative data were only available for 26 weeks</w:t>
      </w:r>
      <w:r w:rsidR="006C66CF">
        <w:rPr>
          <w:rFonts w:asciiTheme="minorHAnsi" w:hAnsiTheme="minorHAnsi"/>
          <w:snapToGrid w:val="0"/>
          <w:lang w:val="en-GB"/>
        </w:rPr>
        <w:t xml:space="preserve"> (Cycle 1)</w:t>
      </w:r>
      <w:r w:rsidR="00CA369D">
        <w:rPr>
          <w:rFonts w:asciiTheme="minorHAnsi" w:hAnsiTheme="minorHAnsi"/>
          <w:snapToGrid w:val="0"/>
          <w:lang w:val="en-GB"/>
        </w:rPr>
        <w:t>, with literature</w:t>
      </w:r>
      <w:r w:rsidR="00225E2F">
        <w:rPr>
          <w:rFonts w:asciiTheme="minorHAnsi" w:hAnsiTheme="minorHAnsi"/>
          <w:snapToGrid w:val="0"/>
          <w:lang w:val="en-GB"/>
        </w:rPr>
        <w:t>-</w:t>
      </w:r>
      <w:r w:rsidR="00CA369D">
        <w:rPr>
          <w:rFonts w:asciiTheme="minorHAnsi" w:hAnsiTheme="minorHAnsi"/>
          <w:snapToGrid w:val="0"/>
          <w:lang w:val="en-GB"/>
        </w:rPr>
        <w:t>based inputs</w:t>
      </w:r>
      <w:r w:rsidR="00225E2F">
        <w:rPr>
          <w:rFonts w:asciiTheme="minorHAnsi" w:hAnsiTheme="minorHAnsi"/>
          <w:snapToGrid w:val="0"/>
          <w:lang w:val="en-GB"/>
        </w:rPr>
        <w:t>, which were not representative of the Australian clinical context,</w:t>
      </w:r>
      <w:r w:rsidR="00CA369D">
        <w:rPr>
          <w:rFonts w:asciiTheme="minorHAnsi" w:hAnsiTheme="minorHAnsi"/>
          <w:snapToGrid w:val="0"/>
          <w:lang w:val="en-GB"/>
        </w:rPr>
        <w:t xml:space="preserve"> </w:t>
      </w:r>
      <w:r w:rsidR="006C66CF">
        <w:rPr>
          <w:rFonts w:asciiTheme="minorHAnsi" w:hAnsiTheme="minorHAnsi"/>
          <w:snapToGrid w:val="0"/>
          <w:lang w:val="en-GB"/>
        </w:rPr>
        <w:t>applied from Cycle 2</w:t>
      </w:r>
      <w:r w:rsidR="00AE15B4">
        <w:rPr>
          <w:rFonts w:asciiTheme="minorHAnsi" w:hAnsiTheme="minorHAnsi"/>
          <w:snapToGrid w:val="0"/>
          <w:lang w:val="en-GB"/>
        </w:rPr>
        <w:t xml:space="preserve">. </w:t>
      </w:r>
      <w:r w:rsidR="00D91C0E">
        <w:rPr>
          <w:rFonts w:asciiTheme="minorHAnsi" w:hAnsiTheme="minorHAnsi"/>
          <w:snapToGrid w:val="0"/>
          <w:lang w:val="en-GB"/>
        </w:rPr>
        <w:t xml:space="preserve">The PBAC noted that </w:t>
      </w:r>
      <w:r w:rsidR="00D467D2">
        <w:rPr>
          <w:rFonts w:asciiTheme="minorHAnsi" w:hAnsiTheme="minorHAnsi"/>
          <w:snapToGrid w:val="0"/>
          <w:lang w:val="en-GB"/>
        </w:rPr>
        <w:t xml:space="preserve">the model structure relied on the assumption that </w:t>
      </w:r>
      <w:r w:rsidR="00254529">
        <w:rPr>
          <w:rFonts w:asciiTheme="minorHAnsi" w:hAnsiTheme="minorHAnsi"/>
          <w:snapToGrid w:val="0"/>
          <w:lang w:val="en-GB"/>
        </w:rPr>
        <w:t xml:space="preserve">HPT symptoms and the side effects of conventional therapy were captured by the </w:t>
      </w:r>
      <w:r w:rsidR="00AB5476">
        <w:rPr>
          <w:rFonts w:asciiTheme="minorHAnsi" w:hAnsiTheme="minorHAnsi"/>
          <w:snapToGrid w:val="0"/>
          <w:lang w:val="en-GB"/>
        </w:rPr>
        <w:t xml:space="preserve">CKD </w:t>
      </w:r>
      <w:r w:rsidR="0008657D">
        <w:rPr>
          <w:rFonts w:asciiTheme="minorHAnsi" w:hAnsiTheme="minorHAnsi"/>
          <w:snapToGrid w:val="0"/>
          <w:lang w:val="en-GB"/>
        </w:rPr>
        <w:t>stage-related health states.</w:t>
      </w:r>
      <w:r w:rsidR="00A0596E">
        <w:rPr>
          <w:rFonts w:asciiTheme="minorHAnsi" w:hAnsiTheme="minorHAnsi"/>
          <w:snapToGrid w:val="0"/>
          <w:lang w:val="en-GB"/>
        </w:rPr>
        <w:t xml:space="preserve"> The PBAC</w:t>
      </w:r>
      <w:r w:rsidR="00677C3B">
        <w:rPr>
          <w:rFonts w:asciiTheme="minorHAnsi" w:hAnsiTheme="minorHAnsi"/>
          <w:snapToGrid w:val="0"/>
          <w:lang w:val="en-GB"/>
        </w:rPr>
        <w:t xml:space="preserve">, noting </w:t>
      </w:r>
      <w:r w:rsidR="00A0596E">
        <w:rPr>
          <w:rFonts w:asciiTheme="minorHAnsi" w:hAnsiTheme="minorHAnsi"/>
          <w:snapToGrid w:val="0"/>
          <w:lang w:val="en-GB"/>
        </w:rPr>
        <w:t xml:space="preserve">that </w:t>
      </w:r>
      <w:r w:rsidR="00AB5476">
        <w:rPr>
          <w:rFonts w:asciiTheme="minorHAnsi" w:hAnsiTheme="minorHAnsi"/>
          <w:snapToGrid w:val="0"/>
          <w:lang w:val="en-GB"/>
        </w:rPr>
        <w:t>that the prevalence of CKD varied considerably in patients with HPT</w:t>
      </w:r>
      <w:r w:rsidR="0088162E">
        <w:rPr>
          <w:rFonts w:asciiTheme="minorHAnsi" w:hAnsiTheme="minorHAnsi"/>
          <w:snapToGrid w:val="0"/>
          <w:lang w:val="en-GB"/>
        </w:rPr>
        <w:t xml:space="preserve"> (see paragraph </w:t>
      </w:r>
      <w:r w:rsidR="0088162E">
        <w:rPr>
          <w:rFonts w:asciiTheme="minorHAnsi" w:hAnsiTheme="minorHAnsi"/>
          <w:snapToGrid w:val="0"/>
          <w:lang w:val="en-GB"/>
        </w:rPr>
        <w:fldChar w:fldCharType="begin"/>
      </w:r>
      <w:r w:rsidR="0088162E">
        <w:rPr>
          <w:rFonts w:asciiTheme="minorHAnsi" w:hAnsiTheme="minorHAnsi"/>
          <w:snapToGrid w:val="0"/>
          <w:lang w:val="en-GB"/>
        </w:rPr>
        <w:instrText xml:space="preserve"> REF _Ref194563698 \r \h </w:instrText>
      </w:r>
      <w:r w:rsidR="0088162E">
        <w:rPr>
          <w:rFonts w:asciiTheme="minorHAnsi" w:hAnsiTheme="minorHAnsi"/>
          <w:snapToGrid w:val="0"/>
          <w:lang w:val="en-GB"/>
        </w:rPr>
      </w:r>
      <w:r w:rsidR="0088162E">
        <w:rPr>
          <w:rFonts w:asciiTheme="minorHAnsi" w:hAnsiTheme="minorHAnsi"/>
          <w:snapToGrid w:val="0"/>
          <w:lang w:val="en-GB"/>
        </w:rPr>
        <w:fldChar w:fldCharType="separate"/>
      </w:r>
      <w:r w:rsidR="00DA35E4">
        <w:rPr>
          <w:rFonts w:asciiTheme="minorHAnsi" w:hAnsiTheme="minorHAnsi"/>
          <w:snapToGrid w:val="0"/>
          <w:lang w:val="en-GB"/>
        </w:rPr>
        <w:t>6.56</w:t>
      </w:r>
      <w:r w:rsidR="0088162E">
        <w:rPr>
          <w:rFonts w:asciiTheme="minorHAnsi" w:hAnsiTheme="minorHAnsi"/>
          <w:snapToGrid w:val="0"/>
          <w:lang w:val="en-GB"/>
        </w:rPr>
        <w:fldChar w:fldCharType="end"/>
      </w:r>
      <w:r w:rsidR="0088162E">
        <w:rPr>
          <w:rFonts w:asciiTheme="minorHAnsi" w:hAnsiTheme="minorHAnsi"/>
          <w:snapToGrid w:val="0"/>
          <w:lang w:val="en-GB"/>
        </w:rPr>
        <w:t xml:space="preserve">), </w:t>
      </w:r>
      <w:r w:rsidR="00677C3B">
        <w:rPr>
          <w:rFonts w:asciiTheme="minorHAnsi" w:hAnsiTheme="minorHAnsi"/>
          <w:snapToGrid w:val="0"/>
          <w:lang w:val="en-GB"/>
        </w:rPr>
        <w:t xml:space="preserve">considered that </w:t>
      </w:r>
      <w:r w:rsidR="0088162E">
        <w:rPr>
          <w:rFonts w:asciiTheme="minorHAnsi" w:hAnsiTheme="minorHAnsi"/>
          <w:snapToGrid w:val="0"/>
          <w:lang w:val="en-GB"/>
        </w:rPr>
        <w:t>the relationship between CKD and HPT was uncertain.</w:t>
      </w:r>
    </w:p>
    <w:p w14:paraId="176BFDFE" w14:textId="241737F9" w:rsidR="0064783F" w:rsidRDefault="008D0BF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276635">
        <w:rPr>
          <w:rFonts w:asciiTheme="minorHAnsi" w:hAnsiTheme="minorHAnsi"/>
          <w:snapToGrid w:val="0"/>
          <w:lang w:val="en-GB"/>
        </w:rPr>
        <w:t>c</w:t>
      </w:r>
      <w:r>
        <w:rPr>
          <w:rFonts w:asciiTheme="minorHAnsi" w:hAnsiTheme="minorHAnsi"/>
          <w:snapToGrid w:val="0"/>
          <w:lang w:val="en-GB"/>
        </w:rPr>
        <w:t xml:space="preserve">onsidered that the time horizon of 51 years applied in the model was </w:t>
      </w:r>
      <w:r w:rsidR="00276635">
        <w:rPr>
          <w:rFonts w:asciiTheme="minorHAnsi" w:hAnsiTheme="minorHAnsi"/>
          <w:snapToGrid w:val="0"/>
          <w:lang w:val="en-GB"/>
        </w:rPr>
        <w:t xml:space="preserve">long compared to the 26 weeks of comparative evidence </w:t>
      </w:r>
      <w:r w:rsidR="00225E2F">
        <w:rPr>
          <w:rFonts w:asciiTheme="minorHAnsi" w:hAnsiTheme="minorHAnsi"/>
          <w:snapToGrid w:val="0"/>
          <w:lang w:val="en-GB"/>
        </w:rPr>
        <w:t xml:space="preserve">from the </w:t>
      </w:r>
      <w:proofErr w:type="spellStart"/>
      <w:r w:rsidR="00225E2F">
        <w:rPr>
          <w:rFonts w:asciiTheme="minorHAnsi" w:hAnsiTheme="minorHAnsi"/>
          <w:snapToGrid w:val="0"/>
          <w:lang w:val="en-GB"/>
        </w:rPr>
        <w:t>PaTHway</w:t>
      </w:r>
      <w:proofErr w:type="spellEnd"/>
      <w:r w:rsidR="00225E2F">
        <w:rPr>
          <w:rFonts w:asciiTheme="minorHAnsi" w:hAnsiTheme="minorHAnsi"/>
          <w:snapToGrid w:val="0"/>
          <w:lang w:val="en-GB"/>
        </w:rPr>
        <w:t xml:space="preserve"> trial</w:t>
      </w:r>
      <w:r w:rsidR="008C2289">
        <w:rPr>
          <w:rFonts w:asciiTheme="minorHAnsi" w:hAnsiTheme="minorHAnsi"/>
          <w:snapToGrid w:val="0"/>
          <w:lang w:val="en-GB"/>
        </w:rPr>
        <w:t xml:space="preserve">. The PBAC noted that </w:t>
      </w:r>
      <w:r w:rsidR="001935FA">
        <w:rPr>
          <w:rFonts w:asciiTheme="minorHAnsi" w:hAnsiTheme="minorHAnsi"/>
          <w:snapToGrid w:val="0"/>
          <w:lang w:val="en-GB"/>
        </w:rPr>
        <w:t xml:space="preserve">that </w:t>
      </w:r>
      <w:r w:rsidR="00230868">
        <w:rPr>
          <w:rFonts w:asciiTheme="minorHAnsi" w:hAnsiTheme="minorHAnsi"/>
          <w:snapToGrid w:val="0"/>
          <w:lang w:val="en-GB"/>
        </w:rPr>
        <w:t>the modelled effectiveness of palo</w:t>
      </w:r>
      <w:r w:rsidR="008C2289">
        <w:rPr>
          <w:rFonts w:asciiTheme="minorHAnsi" w:hAnsiTheme="minorHAnsi"/>
          <w:snapToGrid w:val="0"/>
          <w:lang w:val="en-GB"/>
        </w:rPr>
        <w:t>p</w:t>
      </w:r>
      <w:r w:rsidR="00230868">
        <w:rPr>
          <w:rFonts w:asciiTheme="minorHAnsi" w:hAnsiTheme="minorHAnsi"/>
          <w:snapToGrid w:val="0"/>
          <w:lang w:val="en-GB"/>
        </w:rPr>
        <w:t>egteriparatide was perpetuated over this period</w:t>
      </w:r>
      <w:r w:rsidR="00E80178">
        <w:rPr>
          <w:rFonts w:asciiTheme="minorHAnsi" w:hAnsiTheme="minorHAnsi"/>
          <w:snapToGrid w:val="0"/>
          <w:lang w:val="en-GB"/>
        </w:rPr>
        <w:t xml:space="preserve">, biasing the results in </w:t>
      </w:r>
      <w:r w:rsidR="005E1A6B">
        <w:rPr>
          <w:rFonts w:asciiTheme="minorHAnsi" w:hAnsiTheme="minorHAnsi"/>
          <w:snapToGrid w:val="0"/>
          <w:lang w:val="en-GB"/>
        </w:rPr>
        <w:t>favour</w:t>
      </w:r>
      <w:r w:rsidR="008C2289">
        <w:rPr>
          <w:rFonts w:asciiTheme="minorHAnsi" w:hAnsiTheme="minorHAnsi"/>
          <w:snapToGrid w:val="0"/>
          <w:lang w:val="en-GB"/>
        </w:rPr>
        <w:t xml:space="preserve"> palopegteriparatide</w:t>
      </w:r>
      <w:r w:rsidR="00225E2F">
        <w:rPr>
          <w:rFonts w:asciiTheme="minorHAnsi" w:hAnsiTheme="minorHAnsi"/>
          <w:snapToGrid w:val="0"/>
          <w:lang w:val="en-GB"/>
        </w:rPr>
        <w:t>.</w:t>
      </w:r>
      <w:r w:rsidR="00982860">
        <w:rPr>
          <w:rFonts w:asciiTheme="minorHAnsi" w:hAnsiTheme="minorHAnsi"/>
          <w:snapToGrid w:val="0"/>
          <w:lang w:val="en-GB"/>
        </w:rPr>
        <w:t xml:space="preserve"> </w:t>
      </w:r>
    </w:p>
    <w:p w14:paraId="6E77A83A" w14:textId="7F1C5C5E" w:rsidR="008D0BF1" w:rsidRDefault="0098286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also considered that the application of treatment </w:t>
      </w:r>
      <w:r w:rsidR="00A532FE">
        <w:rPr>
          <w:rFonts w:asciiTheme="minorHAnsi" w:hAnsiTheme="minorHAnsi"/>
          <w:snapToGrid w:val="0"/>
          <w:lang w:val="en-GB"/>
        </w:rPr>
        <w:t xml:space="preserve">specific utility increments and decrements </w:t>
      </w:r>
      <w:r w:rsidR="000F5D1B">
        <w:rPr>
          <w:rFonts w:asciiTheme="minorHAnsi" w:hAnsiTheme="minorHAnsi"/>
          <w:snapToGrid w:val="0"/>
          <w:lang w:val="en-GB"/>
        </w:rPr>
        <w:t>from Cycle 2 was inappropriate</w:t>
      </w:r>
      <w:r w:rsidR="006E494F">
        <w:rPr>
          <w:rFonts w:asciiTheme="minorHAnsi" w:hAnsiTheme="minorHAnsi"/>
          <w:snapToGrid w:val="0"/>
          <w:lang w:val="en-GB"/>
        </w:rPr>
        <w:t xml:space="preserve">. The PBAC noted that the </w:t>
      </w:r>
      <w:r w:rsidR="006E1A36">
        <w:rPr>
          <w:rFonts w:asciiTheme="minorHAnsi" w:hAnsiTheme="minorHAnsi"/>
          <w:snapToGrid w:val="0"/>
          <w:lang w:val="en-GB"/>
        </w:rPr>
        <w:t xml:space="preserve">application of the utility increment resulted in </w:t>
      </w:r>
      <w:r w:rsidR="005A5C72">
        <w:rPr>
          <w:rFonts w:asciiTheme="minorHAnsi" w:hAnsiTheme="minorHAnsi"/>
          <w:snapToGrid w:val="0"/>
          <w:lang w:val="en-GB"/>
        </w:rPr>
        <w:t xml:space="preserve">patients </w:t>
      </w:r>
      <w:r w:rsidR="00E33247">
        <w:rPr>
          <w:rFonts w:asciiTheme="minorHAnsi" w:hAnsiTheme="minorHAnsi"/>
          <w:snapToGrid w:val="0"/>
          <w:lang w:val="en-GB"/>
        </w:rPr>
        <w:t xml:space="preserve">in the palopegteriparatide arm </w:t>
      </w:r>
      <w:r w:rsidR="005A5C72">
        <w:rPr>
          <w:rFonts w:asciiTheme="minorHAnsi" w:hAnsiTheme="minorHAnsi"/>
          <w:snapToGrid w:val="0"/>
          <w:lang w:val="en-GB"/>
        </w:rPr>
        <w:t xml:space="preserve">with </w:t>
      </w:r>
      <w:r w:rsidR="000C0D85">
        <w:rPr>
          <w:rFonts w:asciiTheme="minorHAnsi" w:hAnsiTheme="minorHAnsi"/>
          <w:snapToGrid w:val="0"/>
          <w:lang w:val="en-GB"/>
        </w:rPr>
        <w:t>CKD Stage</w:t>
      </w:r>
      <w:r w:rsidR="00E33247">
        <w:rPr>
          <w:rFonts w:asciiTheme="minorHAnsi" w:hAnsiTheme="minorHAnsi"/>
          <w:snapToGrid w:val="0"/>
          <w:lang w:val="en-GB"/>
        </w:rPr>
        <w:t>s</w:t>
      </w:r>
      <w:r w:rsidR="000C0D85">
        <w:rPr>
          <w:rFonts w:asciiTheme="minorHAnsi" w:hAnsiTheme="minorHAnsi"/>
          <w:snapToGrid w:val="0"/>
          <w:lang w:val="en-GB"/>
        </w:rPr>
        <w:t xml:space="preserve"> 1/2 having a higher utility that the </w:t>
      </w:r>
      <w:r w:rsidR="005D01DC">
        <w:rPr>
          <w:rFonts w:asciiTheme="minorHAnsi" w:hAnsiTheme="minorHAnsi"/>
          <w:snapToGrid w:val="0"/>
          <w:lang w:val="en-GB"/>
        </w:rPr>
        <w:t xml:space="preserve">general population (see paragraph </w:t>
      </w:r>
      <w:r w:rsidR="005D01DC">
        <w:rPr>
          <w:rFonts w:asciiTheme="minorHAnsi" w:hAnsiTheme="minorHAnsi"/>
          <w:snapToGrid w:val="0"/>
          <w:lang w:val="en-GB"/>
        </w:rPr>
        <w:fldChar w:fldCharType="begin"/>
      </w:r>
      <w:r w:rsidR="005D01DC">
        <w:rPr>
          <w:rFonts w:asciiTheme="minorHAnsi" w:hAnsiTheme="minorHAnsi"/>
          <w:snapToGrid w:val="0"/>
          <w:lang w:val="en-GB"/>
        </w:rPr>
        <w:instrText xml:space="preserve"> REF _Ref195258878 \r \h </w:instrText>
      </w:r>
      <w:r w:rsidR="005D01DC">
        <w:rPr>
          <w:rFonts w:asciiTheme="minorHAnsi" w:hAnsiTheme="minorHAnsi"/>
          <w:snapToGrid w:val="0"/>
          <w:lang w:val="en-GB"/>
        </w:rPr>
      </w:r>
      <w:r w:rsidR="005D01DC">
        <w:rPr>
          <w:rFonts w:asciiTheme="minorHAnsi" w:hAnsiTheme="minorHAnsi"/>
          <w:snapToGrid w:val="0"/>
          <w:lang w:val="en-GB"/>
        </w:rPr>
        <w:fldChar w:fldCharType="separate"/>
      </w:r>
      <w:r w:rsidR="00DA35E4">
        <w:rPr>
          <w:rFonts w:asciiTheme="minorHAnsi" w:hAnsiTheme="minorHAnsi"/>
          <w:snapToGrid w:val="0"/>
          <w:lang w:val="en-GB"/>
        </w:rPr>
        <w:t>6.65</w:t>
      </w:r>
      <w:r w:rsidR="005D01DC">
        <w:rPr>
          <w:rFonts w:asciiTheme="minorHAnsi" w:hAnsiTheme="minorHAnsi"/>
          <w:snapToGrid w:val="0"/>
          <w:lang w:val="en-GB"/>
        </w:rPr>
        <w:fldChar w:fldCharType="end"/>
      </w:r>
      <w:r w:rsidR="005D01DC">
        <w:rPr>
          <w:rFonts w:asciiTheme="minorHAnsi" w:hAnsiTheme="minorHAnsi"/>
          <w:snapToGrid w:val="0"/>
          <w:lang w:val="en-GB"/>
        </w:rPr>
        <w:t>)</w:t>
      </w:r>
      <w:r w:rsidR="00F47692">
        <w:rPr>
          <w:rFonts w:asciiTheme="minorHAnsi" w:hAnsiTheme="minorHAnsi"/>
          <w:snapToGrid w:val="0"/>
          <w:lang w:val="en-GB"/>
        </w:rPr>
        <w:t xml:space="preserve">, </w:t>
      </w:r>
      <w:r w:rsidR="000F5D1B">
        <w:rPr>
          <w:rFonts w:asciiTheme="minorHAnsi" w:hAnsiTheme="minorHAnsi"/>
          <w:snapToGrid w:val="0"/>
          <w:lang w:val="en-GB"/>
        </w:rPr>
        <w:t>likely overestimat</w:t>
      </w:r>
      <w:r w:rsidR="00F47692">
        <w:rPr>
          <w:rFonts w:asciiTheme="minorHAnsi" w:hAnsiTheme="minorHAnsi"/>
          <w:snapToGrid w:val="0"/>
          <w:lang w:val="en-GB"/>
        </w:rPr>
        <w:t>ing</w:t>
      </w:r>
      <w:r w:rsidR="000F5D1B">
        <w:rPr>
          <w:rFonts w:asciiTheme="minorHAnsi" w:hAnsiTheme="minorHAnsi"/>
          <w:snapToGrid w:val="0"/>
          <w:lang w:val="en-GB"/>
        </w:rPr>
        <w:t xml:space="preserve"> the benefits in the palopegteriparatide arm.</w:t>
      </w:r>
      <w:r w:rsidR="00F47692">
        <w:rPr>
          <w:rFonts w:asciiTheme="minorHAnsi" w:hAnsiTheme="minorHAnsi"/>
          <w:snapToGrid w:val="0"/>
          <w:lang w:val="en-GB"/>
        </w:rPr>
        <w:t xml:space="preserve"> </w:t>
      </w:r>
    </w:p>
    <w:p w14:paraId="7E16D750" w14:textId="2A757B72" w:rsidR="00C1257C" w:rsidRDefault="00C1257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w:t>
      </w:r>
      <w:r w:rsidR="0031643C">
        <w:rPr>
          <w:rFonts w:asciiTheme="minorHAnsi" w:hAnsiTheme="minorHAnsi"/>
          <w:snapToGrid w:val="0"/>
          <w:lang w:val="en-GB"/>
        </w:rPr>
        <w:t xml:space="preserve">inappropriately </w:t>
      </w:r>
      <w:r>
        <w:rPr>
          <w:rFonts w:asciiTheme="minorHAnsi" w:hAnsiTheme="minorHAnsi"/>
          <w:snapToGrid w:val="0"/>
          <w:lang w:val="en-GB"/>
        </w:rPr>
        <w:t>included anniversary price re</w:t>
      </w:r>
      <w:r w:rsidR="0049290E">
        <w:rPr>
          <w:rFonts w:asciiTheme="minorHAnsi" w:hAnsiTheme="minorHAnsi"/>
          <w:snapToGrid w:val="0"/>
          <w:lang w:val="en-GB"/>
        </w:rPr>
        <w:t>ductions in the base case incremental cost effectiveness ratio (ICER). The PBAC noted that the base case ICER, when the anniversary price reductions were removed</w:t>
      </w:r>
      <w:r w:rsidR="00294ECB">
        <w:rPr>
          <w:rFonts w:asciiTheme="minorHAnsi" w:hAnsiTheme="minorHAnsi"/>
          <w:snapToGrid w:val="0"/>
          <w:lang w:val="en-GB"/>
        </w:rPr>
        <w:t>,</w:t>
      </w:r>
      <w:r w:rsidR="0049290E">
        <w:rPr>
          <w:rFonts w:asciiTheme="minorHAnsi" w:hAnsiTheme="minorHAnsi"/>
          <w:snapToGrid w:val="0"/>
          <w:lang w:val="en-GB"/>
        </w:rPr>
        <w:t xml:space="preserve"> was </w:t>
      </w:r>
      <w:r w:rsidR="00200800" w:rsidRPr="00200800">
        <w:rPr>
          <w:rFonts w:asciiTheme="minorHAnsi" w:hAnsiTheme="minorHAnsi"/>
          <w:snapToGrid w:val="0"/>
          <w:lang w:val="en-GB"/>
        </w:rPr>
        <w:t xml:space="preserve">$95,000 to &lt; $115,000 </w:t>
      </w:r>
      <w:r w:rsidR="0049290E">
        <w:rPr>
          <w:rFonts w:asciiTheme="minorHAnsi" w:hAnsiTheme="minorHAnsi"/>
          <w:snapToGrid w:val="0"/>
          <w:lang w:val="en-GB"/>
        </w:rPr>
        <w:t>per quality adjusted life year (QALY).</w:t>
      </w:r>
      <w:r w:rsidR="0048031F">
        <w:rPr>
          <w:rFonts w:asciiTheme="minorHAnsi" w:hAnsiTheme="minorHAnsi"/>
          <w:snapToGrid w:val="0"/>
          <w:lang w:val="en-GB"/>
        </w:rPr>
        <w:t xml:space="preserve"> </w:t>
      </w:r>
    </w:p>
    <w:p w14:paraId="5E8B0B1C" w14:textId="322AA20E" w:rsidR="00225E2F" w:rsidRDefault="00F40C9D">
      <w:pPr>
        <w:widowControl w:val="0"/>
        <w:numPr>
          <w:ilvl w:val="1"/>
          <w:numId w:val="1"/>
        </w:numPr>
        <w:spacing w:after="120"/>
        <w:rPr>
          <w:rFonts w:asciiTheme="minorHAnsi" w:hAnsiTheme="minorHAnsi"/>
          <w:snapToGrid w:val="0"/>
          <w:lang w:val="en-GB"/>
        </w:rPr>
      </w:pPr>
      <w:bookmarkStart w:id="85" w:name="_Ref194490318"/>
      <w:r>
        <w:rPr>
          <w:rFonts w:asciiTheme="minorHAnsi" w:hAnsiTheme="minorHAnsi"/>
          <w:snapToGrid w:val="0"/>
          <w:lang w:val="en-GB"/>
        </w:rPr>
        <w:t xml:space="preserve">The PBAC considered that a more reasonable base case would </w:t>
      </w:r>
      <w:r w:rsidR="000C35D7">
        <w:rPr>
          <w:rFonts w:asciiTheme="minorHAnsi" w:hAnsiTheme="minorHAnsi"/>
          <w:snapToGrid w:val="0"/>
          <w:lang w:val="en-GB"/>
        </w:rPr>
        <w:t>apply a</w:t>
      </w:r>
      <w:r>
        <w:rPr>
          <w:rFonts w:asciiTheme="minorHAnsi" w:hAnsiTheme="minorHAnsi"/>
          <w:snapToGrid w:val="0"/>
          <w:lang w:val="en-GB"/>
        </w:rPr>
        <w:t xml:space="preserve"> time horizon of 30 years and </w:t>
      </w:r>
      <w:r w:rsidR="003D4782">
        <w:rPr>
          <w:rFonts w:asciiTheme="minorHAnsi" w:hAnsiTheme="minorHAnsi"/>
          <w:snapToGrid w:val="0"/>
          <w:lang w:val="en-GB"/>
        </w:rPr>
        <w:t xml:space="preserve">halve the utility increment/decrement </w:t>
      </w:r>
      <w:r w:rsidR="003C1064">
        <w:rPr>
          <w:rFonts w:asciiTheme="minorHAnsi" w:hAnsiTheme="minorHAnsi"/>
          <w:snapToGrid w:val="0"/>
          <w:lang w:val="en-GB"/>
        </w:rPr>
        <w:t xml:space="preserve">from Cycle 2 in both the palopegteriparatide and conventional therapy arms. </w:t>
      </w:r>
      <w:r w:rsidR="00064775">
        <w:rPr>
          <w:rFonts w:asciiTheme="minorHAnsi" w:hAnsiTheme="minorHAnsi"/>
          <w:snapToGrid w:val="0"/>
          <w:lang w:val="en-GB"/>
        </w:rPr>
        <w:t xml:space="preserve">Noting the </w:t>
      </w:r>
      <w:r w:rsidR="00CD3156">
        <w:rPr>
          <w:rFonts w:asciiTheme="minorHAnsi" w:hAnsiTheme="minorHAnsi"/>
          <w:snapToGrid w:val="0"/>
          <w:lang w:val="en-GB"/>
        </w:rPr>
        <w:t xml:space="preserve">uncertainties associated with the </w:t>
      </w:r>
      <w:r w:rsidR="00DD7092">
        <w:rPr>
          <w:rFonts w:asciiTheme="minorHAnsi" w:hAnsiTheme="minorHAnsi"/>
          <w:snapToGrid w:val="0"/>
          <w:lang w:val="en-GB"/>
        </w:rPr>
        <w:t xml:space="preserve">reliance on CKD </w:t>
      </w:r>
      <w:proofErr w:type="gramStart"/>
      <w:r w:rsidR="00DD7092">
        <w:rPr>
          <w:rFonts w:asciiTheme="minorHAnsi" w:hAnsiTheme="minorHAnsi"/>
          <w:snapToGrid w:val="0"/>
          <w:lang w:val="en-GB"/>
        </w:rPr>
        <w:t>outcomes ,</w:t>
      </w:r>
      <w:proofErr w:type="gramEnd"/>
      <w:r w:rsidR="00DD7092">
        <w:rPr>
          <w:rFonts w:asciiTheme="minorHAnsi" w:hAnsiTheme="minorHAnsi"/>
          <w:snapToGrid w:val="0"/>
          <w:lang w:val="en-GB"/>
        </w:rPr>
        <w:t xml:space="preserve"> the </w:t>
      </w:r>
      <w:r w:rsidR="0061649C">
        <w:rPr>
          <w:rFonts w:asciiTheme="minorHAnsi" w:hAnsiTheme="minorHAnsi"/>
          <w:snapToGrid w:val="0"/>
          <w:lang w:val="en-GB"/>
        </w:rPr>
        <w:t xml:space="preserve">derivation and application of </w:t>
      </w:r>
      <w:r w:rsidR="000A44F0">
        <w:rPr>
          <w:rFonts w:asciiTheme="minorHAnsi" w:hAnsiTheme="minorHAnsi"/>
          <w:snapToGrid w:val="0"/>
          <w:lang w:val="en-GB"/>
        </w:rPr>
        <w:t>utilities</w:t>
      </w:r>
      <w:r w:rsidR="0061649C">
        <w:rPr>
          <w:rFonts w:asciiTheme="minorHAnsi" w:hAnsiTheme="minorHAnsi"/>
          <w:snapToGrid w:val="0"/>
          <w:lang w:val="en-GB"/>
        </w:rPr>
        <w:t>,</w:t>
      </w:r>
      <w:r w:rsidR="003C1064">
        <w:rPr>
          <w:rFonts w:asciiTheme="minorHAnsi" w:hAnsiTheme="minorHAnsi"/>
          <w:snapToGrid w:val="0"/>
          <w:lang w:val="en-GB"/>
        </w:rPr>
        <w:t xml:space="preserve"> and</w:t>
      </w:r>
      <w:r w:rsidR="00CD3156">
        <w:rPr>
          <w:rFonts w:asciiTheme="minorHAnsi" w:hAnsiTheme="minorHAnsi"/>
          <w:snapToGrid w:val="0"/>
          <w:lang w:val="en-GB"/>
        </w:rPr>
        <w:t xml:space="preserve"> </w:t>
      </w:r>
      <w:r w:rsidR="00BB4F79">
        <w:rPr>
          <w:rFonts w:asciiTheme="minorHAnsi" w:hAnsiTheme="minorHAnsi"/>
          <w:snapToGrid w:val="0"/>
          <w:lang w:val="en-GB"/>
        </w:rPr>
        <w:t xml:space="preserve">the </w:t>
      </w:r>
      <w:r w:rsidR="00F64CB3">
        <w:rPr>
          <w:rFonts w:asciiTheme="minorHAnsi" w:hAnsiTheme="minorHAnsi"/>
          <w:snapToGrid w:val="0"/>
          <w:lang w:val="en-GB"/>
        </w:rPr>
        <w:t xml:space="preserve">lack of comparative data to inform the inputs, the PBAC considered that palopegteriparatide would be cost effective </w:t>
      </w:r>
      <w:r w:rsidR="00DD4A9A">
        <w:rPr>
          <w:rFonts w:asciiTheme="minorHAnsi" w:hAnsiTheme="minorHAnsi"/>
          <w:snapToGrid w:val="0"/>
          <w:lang w:val="en-GB"/>
        </w:rPr>
        <w:t xml:space="preserve">at an ICER of </w:t>
      </w:r>
      <w:r w:rsidR="00652113" w:rsidRPr="00652113">
        <w:rPr>
          <w:rFonts w:asciiTheme="minorHAnsi" w:hAnsiTheme="minorHAnsi"/>
          <w:snapToGrid w:val="0"/>
          <w:lang w:val="en-GB"/>
        </w:rPr>
        <w:t>$45,000 to &lt; $55,000</w:t>
      </w:r>
      <w:r w:rsidR="001B433A">
        <w:rPr>
          <w:rFonts w:asciiTheme="minorHAnsi" w:hAnsiTheme="minorHAnsi"/>
          <w:snapToGrid w:val="0"/>
          <w:lang w:val="en-GB"/>
        </w:rPr>
        <w:t>/</w:t>
      </w:r>
      <w:r w:rsidR="00DD4A9A">
        <w:rPr>
          <w:rFonts w:asciiTheme="minorHAnsi" w:hAnsiTheme="minorHAnsi"/>
          <w:snapToGrid w:val="0"/>
          <w:lang w:val="en-GB"/>
        </w:rPr>
        <w:t xml:space="preserve"> QALY</w:t>
      </w:r>
      <w:r w:rsidR="000423D8">
        <w:rPr>
          <w:rFonts w:asciiTheme="minorHAnsi" w:hAnsiTheme="minorHAnsi"/>
          <w:snapToGrid w:val="0"/>
          <w:lang w:val="en-GB"/>
        </w:rPr>
        <w:t xml:space="preserve"> (with anniversary price reductions removed</w:t>
      </w:r>
      <w:r w:rsidR="00136972">
        <w:rPr>
          <w:rFonts w:asciiTheme="minorHAnsi" w:hAnsiTheme="minorHAnsi"/>
          <w:snapToGrid w:val="0"/>
          <w:lang w:val="en-GB"/>
        </w:rPr>
        <w:t xml:space="preserve">). </w:t>
      </w:r>
      <w:r w:rsidR="0099599E">
        <w:rPr>
          <w:rFonts w:asciiTheme="minorHAnsi" w:hAnsiTheme="minorHAnsi"/>
          <w:snapToGrid w:val="0"/>
          <w:lang w:val="en-GB"/>
        </w:rPr>
        <w:t xml:space="preserve">The PBAC </w:t>
      </w:r>
      <w:r w:rsidR="00FC4896">
        <w:rPr>
          <w:rFonts w:asciiTheme="minorHAnsi" w:hAnsiTheme="minorHAnsi"/>
          <w:snapToGrid w:val="0"/>
          <w:lang w:val="en-GB"/>
        </w:rPr>
        <w:t xml:space="preserve">advised that all </w:t>
      </w:r>
      <w:r w:rsidR="00DE652E">
        <w:rPr>
          <w:rFonts w:asciiTheme="minorHAnsi" w:hAnsiTheme="minorHAnsi"/>
          <w:snapToGrid w:val="0"/>
          <w:lang w:val="en-GB"/>
        </w:rPr>
        <w:t xml:space="preserve">other </w:t>
      </w:r>
      <w:r w:rsidR="00FC4896">
        <w:rPr>
          <w:rFonts w:asciiTheme="minorHAnsi" w:hAnsiTheme="minorHAnsi"/>
          <w:snapToGrid w:val="0"/>
          <w:lang w:val="en-GB"/>
        </w:rPr>
        <w:t>model inputs should remain the same</w:t>
      </w:r>
      <w:r w:rsidR="00DF4D9C">
        <w:rPr>
          <w:rFonts w:asciiTheme="minorHAnsi" w:hAnsiTheme="minorHAnsi"/>
          <w:snapToGrid w:val="0"/>
          <w:lang w:val="en-GB"/>
        </w:rPr>
        <w:t>.</w:t>
      </w:r>
      <w:bookmarkEnd w:id="85"/>
      <w:r w:rsidR="00DF4D9C">
        <w:rPr>
          <w:rFonts w:asciiTheme="minorHAnsi" w:hAnsiTheme="minorHAnsi"/>
          <w:snapToGrid w:val="0"/>
          <w:lang w:val="en-GB"/>
        </w:rPr>
        <w:t xml:space="preserve"> </w:t>
      </w:r>
    </w:p>
    <w:p w14:paraId="37D8BFF8" w14:textId="67AC55D8" w:rsidR="00400B86" w:rsidRDefault="007A6A4A">
      <w:pPr>
        <w:widowControl w:val="0"/>
        <w:numPr>
          <w:ilvl w:val="1"/>
          <w:numId w:val="1"/>
        </w:numPr>
        <w:spacing w:after="120"/>
        <w:rPr>
          <w:rFonts w:asciiTheme="minorHAnsi" w:hAnsiTheme="minorHAnsi"/>
          <w:snapToGrid w:val="0"/>
          <w:lang w:val="en-GB"/>
        </w:rPr>
      </w:pPr>
      <w:bookmarkStart w:id="86" w:name="_Ref194490381"/>
      <w:r>
        <w:rPr>
          <w:rFonts w:asciiTheme="minorHAnsi" w:hAnsiTheme="minorHAnsi"/>
          <w:snapToGrid w:val="0"/>
          <w:lang w:val="en-GB"/>
        </w:rPr>
        <w:t xml:space="preserve">The PBAC considered that the methods used to derive the utilisation and financial estimates </w:t>
      </w:r>
      <w:r w:rsidR="00633DA2">
        <w:rPr>
          <w:rFonts w:asciiTheme="minorHAnsi" w:hAnsiTheme="minorHAnsi"/>
          <w:snapToGrid w:val="0"/>
          <w:lang w:val="en-GB"/>
        </w:rPr>
        <w:t xml:space="preserve">was </w:t>
      </w:r>
      <w:r w:rsidR="00F95C25">
        <w:rPr>
          <w:rFonts w:asciiTheme="minorHAnsi" w:hAnsiTheme="minorHAnsi"/>
          <w:snapToGrid w:val="0"/>
          <w:lang w:val="en-GB"/>
        </w:rPr>
        <w:t xml:space="preserve">mostly </w:t>
      </w:r>
      <w:r w:rsidR="00633DA2">
        <w:rPr>
          <w:rFonts w:asciiTheme="minorHAnsi" w:hAnsiTheme="minorHAnsi"/>
          <w:snapToGrid w:val="0"/>
          <w:lang w:val="en-GB"/>
        </w:rPr>
        <w:t xml:space="preserve">reasonable. However, the PBAC considered that overall, the </w:t>
      </w:r>
      <w:r w:rsidR="00FA744C">
        <w:rPr>
          <w:rFonts w:asciiTheme="minorHAnsi" w:hAnsiTheme="minorHAnsi"/>
          <w:snapToGrid w:val="0"/>
          <w:lang w:val="en-GB"/>
        </w:rPr>
        <w:t>utilisation was overestimated as:</w:t>
      </w:r>
      <w:bookmarkEnd w:id="86"/>
    </w:p>
    <w:p w14:paraId="41CA8D9E" w14:textId="5C53F232" w:rsidR="00FA744C" w:rsidRDefault="00351F20" w:rsidP="002E2F71">
      <w:pPr>
        <w:widowControl w:val="0"/>
        <w:numPr>
          <w:ilvl w:val="1"/>
          <w:numId w:val="49"/>
        </w:numPr>
        <w:spacing w:after="120"/>
        <w:ind w:left="1080"/>
        <w:rPr>
          <w:rFonts w:asciiTheme="minorHAnsi" w:hAnsiTheme="minorHAnsi"/>
          <w:snapToGrid w:val="0"/>
          <w:lang w:val="en-GB"/>
        </w:rPr>
      </w:pPr>
      <w:r>
        <w:rPr>
          <w:rFonts w:asciiTheme="minorHAnsi" w:hAnsiTheme="minorHAnsi"/>
          <w:snapToGrid w:val="0"/>
          <w:lang w:val="en-GB"/>
        </w:rPr>
        <w:t xml:space="preserve">The prevalence rate applied of 37.2 per 100,000 was likely </w:t>
      </w:r>
      <w:r w:rsidR="00280050">
        <w:rPr>
          <w:rFonts w:asciiTheme="minorHAnsi" w:hAnsiTheme="minorHAnsi"/>
          <w:snapToGrid w:val="0"/>
          <w:lang w:val="en-GB"/>
        </w:rPr>
        <w:t xml:space="preserve">overestimated. The PBAC considered that the DUSC estimate of prevalence of 30.1 per 100,000 population was more reasonable (see paragraph </w:t>
      </w:r>
      <w:r w:rsidR="00280050">
        <w:rPr>
          <w:rFonts w:asciiTheme="minorHAnsi" w:hAnsiTheme="minorHAnsi"/>
          <w:snapToGrid w:val="0"/>
          <w:lang w:val="en-GB"/>
        </w:rPr>
        <w:fldChar w:fldCharType="begin"/>
      </w:r>
      <w:r w:rsidR="00280050">
        <w:rPr>
          <w:rFonts w:asciiTheme="minorHAnsi" w:hAnsiTheme="minorHAnsi"/>
          <w:snapToGrid w:val="0"/>
          <w:lang w:val="en-GB"/>
        </w:rPr>
        <w:instrText xml:space="preserve"> REF _Ref194489762 \r \h </w:instrText>
      </w:r>
      <w:r w:rsidR="00280050">
        <w:rPr>
          <w:rFonts w:asciiTheme="minorHAnsi" w:hAnsiTheme="minorHAnsi"/>
          <w:snapToGrid w:val="0"/>
          <w:lang w:val="en-GB"/>
        </w:rPr>
      </w:r>
      <w:r w:rsidR="00280050">
        <w:rPr>
          <w:rFonts w:asciiTheme="minorHAnsi" w:hAnsiTheme="minorHAnsi"/>
          <w:snapToGrid w:val="0"/>
          <w:lang w:val="en-GB"/>
        </w:rPr>
        <w:fldChar w:fldCharType="separate"/>
      </w:r>
      <w:r w:rsidR="00DA35E4">
        <w:rPr>
          <w:rFonts w:asciiTheme="minorHAnsi" w:hAnsiTheme="minorHAnsi"/>
          <w:snapToGrid w:val="0"/>
          <w:lang w:val="en-GB"/>
        </w:rPr>
        <w:t>6.83</w:t>
      </w:r>
      <w:r w:rsidR="00280050">
        <w:rPr>
          <w:rFonts w:asciiTheme="minorHAnsi" w:hAnsiTheme="minorHAnsi"/>
          <w:snapToGrid w:val="0"/>
          <w:lang w:val="en-GB"/>
        </w:rPr>
        <w:fldChar w:fldCharType="end"/>
      </w:r>
      <w:proofErr w:type="gramStart"/>
      <w:r w:rsidR="00280050">
        <w:rPr>
          <w:rFonts w:asciiTheme="minorHAnsi" w:hAnsiTheme="minorHAnsi"/>
          <w:snapToGrid w:val="0"/>
          <w:lang w:val="en-GB"/>
        </w:rPr>
        <w:t>);</w:t>
      </w:r>
      <w:proofErr w:type="gramEnd"/>
    </w:p>
    <w:p w14:paraId="1878BE17" w14:textId="00134400" w:rsidR="00280050" w:rsidRDefault="00B505ED" w:rsidP="002E2F71">
      <w:pPr>
        <w:widowControl w:val="0"/>
        <w:numPr>
          <w:ilvl w:val="1"/>
          <w:numId w:val="49"/>
        </w:numPr>
        <w:spacing w:after="120"/>
        <w:ind w:left="1080"/>
        <w:rPr>
          <w:rFonts w:asciiTheme="minorHAnsi" w:hAnsiTheme="minorHAnsi"/>
          <w:snapToGrid w:val="0"/>
          <w:lang w:val="en-GB"/>
        </w:rPr>
      </w:pPr>
      <w:r>
        <w:rPr>
          <w:rFonts w:asciiTheme="minorHAnsi" w:hAnsiTheme="minorHAnsi"/>
          <w:snapToGrid w:val="0"/>
          <w:lang w:val="en-GB"/>
        </w:rPr>
        <w:t xml:space="preserve">The uptake rate applied, which assumed an uptake of </w:t>
      </w:r>
      <w:r w:rsidR="00836BEA" w:rsidRPr="00836BEA">
        <w:rPr>
          <w:rFonts w:asciiTheme="minorHAnsi" w:hAnsiTheme="minorHAnsi"/>
          <w:snapToGrid w:val="0"/>
          <w:color w:val="000000"/>
          <w:w w:val="60"/>
          <w:shd w:val="solid" w:color="000000" w:fill="000000"/>
          <w:fitText w:val="470" w:id="-694427901"/>
          <w:lang w:val="en-GB"/>
          <w14:textFill>
            <w14:solidFill>
              <w14:srgbClr w14:val="000000">
                <w14:alpha w14:val="100000"/>
              </w14:srgbClr>
            </w14:solidFill>
          </w14:textFill>
        </w:rPr>
        <w:t>||</w:t>
      </w:r>
      <w:proofErr w:type="gramStart"/>
      <w:r w:rsidR="00836BEA" w:rsidRPr="00836BEA">
        <w:rPr>
          <w:rFonts w:asciiTheme="minorHAnsi" w:hAnsiTheme="minorHAnsi"/>
          <w:snapToGrid w:val="0"/>
          <w:color w:val="000000"/>
          <w:w w:val="60"/>
          <w:shd w:val="solid" w:color="000000" w:fill="000000"/>
          <w:fitText w:val="470" w:id="-694427901"/>
          <w:lang w:val="en-GB"/>
          <w14:textFill>
            <w14:solidFill>
              <w14:srgbClr w14:val="000000">
                <w14:alpha w14:val="100000"/>
              </w14:srgbClr>
            </w14:solidFill>
          </w14:textFill>
        </w:rPr>
        <w:t>|  |</w:t>
      </w:r>
      <w:proofErr w:type="gramEnd"/>
      <w:r w:rsidR="00836BEA" w:rsidRPr="00836BEA">
        <w:rPr>
          <w:rFonts w:asciiTheme="minorHAnsi" w:hAnsiTheme="minorHAnsi"/>
          <w:snapToGrid w:val="0"/>
          <w:color w:val="000000"/>
          <w:w w:val="60"/>
          <w:shd w:val="solid" w:color="000000" w:fill="000000"/>
          <w:fitText w:val="470" w:id="-694427901"/>
          <w:lang w:val="en-GB"/>
          <w14:textFill>
            <w14:solidFill>
              <w14:srgbClr w14:val="000000">
                <w14:alpha w14:val="100000"/>
              </w14:srgbClr>
            </w14:solidFill>
          </w14:textFill>
        </w:rPr>
        <w:t>|</w:t>
      </w:r>
      <w:r w:rsidR="00836BEA" w:rsidRPr="00836BEA">
        <w:rPr>
          <w:rFonts w:asciiTheme="minorHAnsi" w:hAnsiTheme="minorHAnsi"/>
          <w:snapToGrid w:val="0"/>
          <w:color w:val="000000"/>
          <w:spacing w:val="6"/>
          <w:w w:val="60"/>
          <w:shd w:val="solid" w:color="000000" w:fill="000000"/>
          <w:fitText w:val="470" w:id="-694427901"/>
          <w:lang w:val="en-GB"/>
          <w14:textFill>
            <w14:solidFill>
              <w14:srgbClr w14:val="000000">
                <w14:alpha w14:val="100000"/>
              </w14:srgbClr>
            </w14:solidFill>
          </w14:textFill>
        </w:rPr>
        <w:t>|</w:t>
      </w:r>
      <w:r>
        <w:rPr>
          <w:rFonts w:asciiTheme="minorHAnsi" w:hAnsiTheme="minorHAnsi"/>
          <w:snapToGrid w:val="0"/>
          <w:lang w:val="en-GB"/>
        </w:rPr>
        <w:t xml:space="preserve">% in Year 1, increasing to </w:t>
      </w:r>
      <w:r w:rsidR="00836BEA" w:rsidRPr="00836BEA">
        <w:rPr>
          <w:rFonts w:asciiTheme="minorHAnsi" w:hAnsiTheme="minorHAnsi"/>
          <w:snapToGrid w:val="0"/>
          <w:color w:val="000000"/>
          <w:w w:val="60"/>
          <w:shd w:val="solid" w:color="000000" w:fill="000000"/>
          <w:fitText w:val="470" w:id="-694427900"/>
          <w:lang w:val="en-GB"/>
          <w14:textFill>
            <w14:solidFill>
              <w14:srgbClr w14:val="000000">
                <w14:alpha w14:val="100000"/>
              </w14:srgbClr>
            </w14:solidFill>
          </w14:textFill>
        </w:rPr>
        <w:t>||</w:t>
      </w:r>
      <w:proofErr w:type="gramStart"/>
      <w:r w:rsidR="00836BEA" w:rsidRPr="00836BEA">
        <w:rPr>
          <w:rFonts w:asciiTheme="minorHAnsi" w:hAnsiTheme="minorHAnsi"/>
          <w:snapToGrid w:val="0"/>
          <w:color w:val="000000"/>
          <w:w w:val="60"/>
          <w:shd w:val="solid" w:color="000000" w:fill="000000"/>
          <w:fitText w:val="470" w:id="-694427900"/>
          <w:lang w:val="en-GB"/>
          <w14:textFill>
            <w14:solidFill>
              <w14:srgbClr w14:val="000000">
                <w14:alpha w14:val="100000"/>
              </w14:srgbClr>
            </w14:solidFill>
          </w14:textFill>
        </w:rPr>
        <w:t>|  |</w:t>
      </w:r>
      <w:proofErr w:type="gramEnd"/>
      <w:r w:rsidR="00836BEA" w:rsidRPr="00836BEA">
        <w:rPr>
          <w:rFonts w:asciiTheme="minorHAnsi" w:hAnsiTheme="minorHAnsi"/>
          <w:snapToGrid w:val="0"/>
          <w:color w:val="000000"/>
          <w:w w:val="60"/>
          <w:shd w:val="solid" w:color="000000" w:fill="000000"/>
          <w:fitText w:val="470" w:id="-694427900"/>
          <w:lang w:val="en-GB"/>
          <w14:textFill>
            <w14:solidFill>
              <w14:srgbClr w14:val="000000">
                <w14:alpha w14:val="100000"/>
              </w14:srgbClr>
            </w14:solidFill>
          </w14:textFill>
        </w:rPr>
        <w:t>|</w:t>
      </w:r>
      <w:r w:rsidR="00836BEA" w:rsidRPr="00836BEA">
        <w:rPr>
          <w:rFonts w:asciiTheme="minorHAnsi" w:hAnsiTheme="minorHAnsi"/>
          <w:snapToGrid w:val="0"/>
          <w:color w:val="000000"/>
          <w:spacing w:val="6"/>
          <w:w w:val="60"/>
          <w:shd w:val="solid" w:color="000000" w:fill="000000"/>
          <w:fitText w:val="470" w:id="-694427900"/>
          <w:lang w:val="en-GB"/>
          <w14:textFill>
            <w14:solidFill>
              <w14:srgbClr w14:val="000000">
                <w14:alpha w14:val="100000"/>
              </w14:srgbClr>
            </w14:solidFill>
          </w14:textFill>
        </w:rPr>
        <w:t>|</w:t>
      </w:r>
      <w:r>
        <w:rPr>
          <w:rFonts w:asciiTheme="minorHAnsi" w:hAnsiTheme="minorHAnsi"/>
          <w:snapToGrid w:val="0"/>
          <w:lang w:val="en-GB"/>
        </w:rPr>
        <w:t xml:space="preserve">% in Years 5 and 6 was </w:t>
      </w:r>
      <w:r w:rsidR="008D3EC5">
        <w:rPr>
          <w:rFonts w:asciiTheme="minorHAnsi" w:hAnsiTheme="minorHAnsi"/>
          <w:snapToGrid w:val="0"/>
          <w:lang w:val="en-GB"/>
        </w:rPr>
        <w:t xml:space="preserve">high. The PBAC considered that </w:t>
      </w:r>
      <w:r w:rsidR="00FC227F">
        <w:rPr>
          <w:rFonts w:asciiTheme="minorHAnsi" w:hAnsiTheme="minorHAnsi"/>
          <w:snapToGrid w:val="0"/>
          <w:lang w:val="en-GB"/>
        </w:rPr>
        <w:t xml:space="preserve">more reasonable estimates </w:t>
      </w:r>
      <w:r w:rsidR="00A24831">
        <w:rPr>
          <w:rFonts w:asciiTheme="minorHAnsi" w:hAnsiTheme="minorHAnsi"/>
          <w:snapToGrid w:val="0"/>
          <w:lang w:val="en-GB"/>
        </w:rPr>
        <w:t xml:space="preserve">would be </w:t>
      </w:r>
      <w:r w:rsidR="008D3EC5">
        <w:rPr>
          <w:rFonts w:asciiTheme="minorHAnsi" w:hAnsiTheme="minorHAnsi"/>
          <w:snapToGrid w:val="0"/>
          <w:lang w:val="en-GB"/>
        </w:rPr>
        <w:t xml:space="preserve">uptake </w:t>
      </w:r>
      <w:r w:rsidR="004561CC">
        <w:rPr>
          <w:rFonts w:asciiTheme="minorHAnsi" w:hAnsiTheme="minorHAnsi"/>
          <w:snapToGrid w:val="0"/>
          <w:lang w:val="en-GB"/>
        </w:rPr>
        <w:t>of</w:t>
      </w:r>
      <w:r w:rsidR="008D3EC5">
        <w:rPr>
          <w:rFonts w:asciiTheme="minorHAnsi" w:hAnsiTheme="minorHAnsi"/>
          <w:snapToGrid w:val="0"/>
          <w:lang w:val="en-GB"/>
        </w:rPr>
        <w:t xml:space="preserve"> </w:t>
      </w:r>
      <w:r w:rsidR="00836BEA" w:rsidRPr="00836BEA">
        <w:rPr>
          <w:rFonts w:asciiTheme="minorHAnsi" w:hAnsiTheme="minorHAnsi"/>
          <w:snapToGrid w:val="0"/>
          <w:color w:val="000000"/>
          <w:w w:val="60"/>
          <w:shd w:val="solid" w:color="000000" w:fill="000000"/>
          <w:fitText w:val="470" w:id="-694427899"/>
          <w:lang w:val="en-GB"/>
          <w14:textFill>
            <w14:solidFill>
              <w14:srgbClr w14:val="000000">
                <w14:alpha w14:val="100000"/>
              </w14:srgbClr>
            </w14:solidFill>
          </w14:textFill>
        </w:rPr>
        <w:t>|||  ||</w:t>
      </w:r>
      <w:r w:rsidR="00836BEA" w:rsidRPr="00836BEA">
        <w:rPr>
          <w:rFonts w:asciiTheme="minorHAnsi" w:hAnsiTheme="minorHAnsi"/>
          <w:snapToGrid w:val="0"/>
          <w:color w:val="000000"/>
          <w:spacing w:val="6"/>
          <w:w w:val="60"/>
          <w:shd w:val="solid" w:color="000000" w:fill="000000"/>
          <w:fitText w:val="470" w:id="-694427899"/>
          <w:lang w:val="en-GB"/>
          <w14:textFill>
            <w14:solidFill>
              <w14:srgbClr w14:val="000000">
                <w14:alpha w14:val="100000"/>
              </w14:srgbClr>
            </w14:solidFill>
          </w14:textFill>
        </w:rPr>
        <w:t>|</w:t>
      </w:r>
      <w:r w:rsidR="00EB5505">
        <w:rPr>
          <w:rFonts w:asciiTheme="minorHAnsi" w:hAnsiTheme="minorHAnsi"/>
          <w:snapToGrid w:val="0"/>
          <w:lang w:val="en-GB"/>
        </w:rPr>
        <w:t xml:space="preserve">% in Year 1, increasing to </w:t>
      </w:r>
      <w:r w:rsidR="00836BEA" w:rsidRPr="00836BEA">
        <w:rPr>
          <w:rFonts w:asciiTheme="minorHAnsi" w:hAnsiTheme="minorHAnsi"/>
          <w:snapToGrid w:val="0"/>
          <w:color w:val="000000"/>
          <w:w w:val="60"/>
          <w:shd w:val="solid" w:color="000000" w:fill="000000"/>
          <w:fitText w:val="470" w:id="-694427898"/>
          <w:lang w:val="en-GB"/>
          <w14:textFill>
            <w14:solidFill>
              <w14:srgbClr w14:val="000000">
                <w14:alpha w14:val="100000"/>
              </w14:srgbClr>
            </w14:solidFill>
          </w14:textFill>
        </w:rPr>
        <w:t>|||  ||</w:t>
      </w:r>
      <w:r w:rsidR="00836BEA" w:rsidRPr="00836BEA">
        <w:rPr>
          <w:rFonts w:asciiTheme="minorHAnsi" w:hAnsiTheme="minorHAnsi"/>
          <w:snapToGrid w:val="0"/>
          <w:color w:val="000000"/>
          <w:spacing w:val="6"/>
          <w:w w:val="60"/>
          <w:shd w:val="solid" w:color="000000" w:fill="000000"/>
          <w:fitText w:val="470" w:id="-694427898"/>
          <w:lang w:val="en-GB"/>
          <w14:textFill>
            <w14:solidFill>
              <w14:srgbClr w14:val="000000">
                <w14:alpha w14:val="100000"/>
              </w14:srgbClr>
            </w14:solidFill>
          </w14:textFill>
        </w:rPr>
        <w:t>|</w:t>
      </w:r>
      <w:r w:rsidR="00EB5505">
        <w:rPr>
          <w:rFonts w:asciiTheme="minorHAnsi" w:hAnsiTheme="minorHAnsi"/>
          <w:snapToGrid w:val="0"/>
          <w:lang w:val="en-GB"/>
        </w:rPr>
        <w:t>% in Year 6</w:t>
      </w:r>
      <w:r w:rsidR="00B8248E">
        <w:rPr>
          <w:rFonts w:asciiTheme="minorHAnsi" w:hAnsiTheme="minorHAnsi"/>
          <w:snapToGrid w:val="0"/>
          <w:lang w:val="en-GB"/>
        </w:rPr>
        <w:t xml:space="preserve"> due to the likelihood that many patients may not be reviewed by an endocrinologists more often than every 6 to 12 months (see paragraph </w:t>
      </w:r>
      <w:r w:rsidR="00B8248E">
        <w:rPr>
          <w:rFonts w:asciiTheme="minorHAnsi" w:hAnsiTheme="minorHAnsi"/>
          <w:snapToGrid w:val="0"/>
          <w:lang w:val="en-GB"/>
        </w:rPr>
        <w:fldChar w:fldCharType="begin"/>
      </w:r>
      <w:r w:rsidR="00B8248E">
        <w:rPr>
          <w:rFonts w:asciiTheme="minorHAnsi" w:hAnsiTheme="minorHAnsi"/>
          <w:snapToGrid w:val="0"/>
          <w:lang w:val="en-GB"/>
        </w:rPr>
        <w:instrText xml:space="preserve"> REF _Ref194489952 \r \h </w:instrText>
      </w:r>
      <w:r w:rsidR="00B8248E">
        <w:rPr>
          <w:rFonts w:asciiTheme="minorHAnsi" w:hAnsiTheme="minorHAnsi"/>
          <w:snapToGrid w:val="0"/>
          <w:lang w:val="en-GB"/>
        </w:rPr>
      </w:r>
      <w:r w:rsidR="00B8248E">
        <w:rPr>
          <w:rFonts w:asciiTheme="minorHAnsi" w:hAnsiTheme="minorHAnsi"/>
          <w:snapToGrid w:val="0"/>
          <w:lang w:val="en-GB"/>
        </w:rPr>
        <w:fldChar w:fldCharType="separate"/>
      </w:r>
      <w:r w:rsidR="00DA35E4">
        <w:rPr>
          <w:rFonts w:asciiTheme="minorHAnsi" w:hAnsiTheme="minorHAnsi"/>
          <w:snapToGrid w:val="0"/>
          <w:lang w:val="en-GB"/>
        </w:rPr>
        <w:t>6.84</w:t>
      </w:r>
      <w:r w:rsidR="00B8248E">
        <w:rPr>
          <w:rFonts w:asciiTheme="minorHAnsi" w:hAnsiTheme="minorHAnsi"/>
          <w:snapToGrid w:val="0"/>
          <w:lang w:val="en-GB"/>
        </w:rPr>
        <w:fldChar w:fldCharType="end"/>
      </w:r>
      <w:r w:rsidR="00B8248E">
        <w:rPr>
          <w:rFonts w:asciiTheme="minorHAnsi" w:hAnsiTheme="minorHAnsi"/>
          <w:snapToGrid w:val="0"/>
          <w:lang w:val="en-GB"/>
        </w:rPr>
        <w:t>)</w:t>
      </w:r>
      <w:r w:rsidR="00F95C25">
        <w:rPr>
          <w:rFonts w:asciiTheme="minorHAnsi" w:hAnsiTheme="minorHAnsi"/>
          <w:snapToGrid w:val="0"/>
          <w:lang w:val="en-GB"/>
        </w:rPr>
        <w:t>.</w:t>
      </w:r>
    </w:p>
    <w:p w14:paraId="4D10C6B1" w14:textId="2625B1FC" w:rsidR="002E2F71" w:rsidRDefault="00E43F0D" w:rsidP="002E2F71">
      <w:pPr>
        <w:widowControl w:val="0"/>
        <w:numPr>
          <w:ilvl w:val="1"/>
          <w:numId w:val="1"/>
        </w:numPr>
        <w:spacing w:after="120"/>
        <w:rPr>
          <w:rFonts w:asciiTheme="minorHAnsi" w:hAnsiTheme="minorHAnsi"/>
          <w:snapToGrid w:val="0"/>
          <w:lang w:val="en-GB"/>
        </w:rPr>
      </w:pPr>
      <w:bookmarkStart w:id="87" w:name="_Ref194490399"/>
      <w:r>
        <w:rPr>
          <w:rFonts w:asciiTheme="minorHAnsi" w:hAnsiTheme="minorHAnsi"/>
          <w:snapToGrid w:val="0"/>
          <w:lang w:val="en-GB"/>
        </w:rPr>
        <w:t xml:space="preserve">The PBAC considered that </w:t>
      </w:r>
      <w:r w:rsidR="00D6427A">
        <w:rPr>
          <w:rFonts w:asciiTheme="minorHAnsi" w:hAnsiTheme="minorHAnsi"/>
          <w:snapToGrid w:val="0"/>
          <w:lang w:val="en-GB"/>
        </w:rPr>
        <w:t>a</w:t>
      </w:r>
      <w:r w:rsidR="00982FA4">
        <w:rPr>
          <w:rFonts w:asciiTheme="minorHAnsi" w:hAnsiTheme="minorHAnsi"/>
          <w:snapToGrid w:val="0"/>
          <w:lang w:val="en-GB"/>
        </w:rPr>
        <w:t>n</w:t>
      </w:r>
      <w:r w:rsidR="00D6427A">
        <w:rPr>
          <w:rFonts w:asciiTheme="minorHAnsi" w:hAnsiTheme="minorHAnsi"/>
          <w:snapToGrid w:val="0"/>
          <w:lang w:val="en-GB"/>
        </w:rPr>
        <w:t xml:space="preserve"> RSA, with a rebate of </w:t>
      </w:r>
      <w:r w:rsidR="00836BEA" w:rsidRPr="00CA6752">
        <w:rPr>
          <w:rFonts w:asciiTheme="minorHAnsi" w:hAnsiTheme="minorHAnsi"/>
          <w:snapToGrid w:val="0"/>
          <w:color w:val="000000"/>
          <w:w w:val="60"/>
          <w:shd w:val="solid" w:color="000000" w:fill="000000"/>
          <w:fitText w:val="470" w:id="-694427897"/>
          <w:lang w:val="en-GB"/>
          <w14:textFill>
            <w14:solidFill>
              <w14:srgbClr w14:val="000000">
                <w14:alpha w14:val="100000"/>
              </w14:srgbClr>
            </w14:solidFill>
          </w14:textFill>
        </w:rPr>
        <w:t>||</w:t>
      </w:r>
      <w:proofErr w:type="gramStart"/>
      <w:r w:rsidR="00836BEA" w:rsidRPr="00CA6752">
        <w:rPr>
          <w:rFonts w:asciiTheme="minorHAnsi" w:hAnsiTheme="minorHAnsi"/>
          <w:snapToGrid w:val="0"/>
          <w:color w:val="000000"/>
          <w:w w:val="60"/>
          <w:shd w:val="solid" w:color="000000" w:fill="000000"/>
          <w:fitText w:val="470" w:id="-694427897"/>
          <w:lang w:val="en-GB"/>
          <w14:textFill>
            <w14:solidFill>
              <w14:srgbClr w14:val="000000">
                <w14:alpha w14:val="100000"/>
              </w14:srgbClr>
            </w14:solidFill>
          </w14:textFill>
        </w:rPr>
        <w:t>|  |</w:t>
      </w:r>
      <w:proofErr w:type="gramEnd"/>
      <w:r w:rsidR="00836BEA" w:rsidRPr="00CA6752">
        <w:rPr>
          <w:rFonts w:asciiTheme="minorHAnsi" w:hAnsiTheme="minorHAnsi"/>
          <w:snapToGrid w:val="0"/>
          <w:color w:val="000000"/>
          <w:w w:val="60"/>
          <w:shd w:val="solid" w:color="000000" w:fill="000000"/>
          <w:fitText w:val="470" w:id="-694427897"/>
          <w:lang w:val="en-GB"/>
          <w14:textFill>
            <w14:solidFill>
              <w14:srgbClr w14:val="000000">
                <w14:alpha w14:val="100000"/>
              </w14:srgbClr>
            </w14:solidFill>
          </w14:textFill>
        </w:rPr>
        <w:t>|</w:t>
      </w:r>
      <w:r w:rsidR="00836BEA" w:rsidRPr="00CA6752">
        <w:rPr>
          <w:rFonts w:asciiTheme="minorHAnsi" w:hAnsiTheme="minorHAnsi"/>
          <w:snapToGrid w:val="0"/>
          <w:color w:val="000000"/>
          <w:spacing w:val="6"/>
          <w:w w:val="60"/>
          <w:shd w:val="solid" w:color="000000" w:fill="000000"/>
          <w:fitText w:val="470" w:id="-694427897"/>
          <w:lang w:val="en-GB"/>
          <w14:textFill>
            <w14:solidFill>
              <w14:srgbClr w14:val="000000">
                <w14:alpha w14:val="100000"/>
              </w14:srgbClr>
            </w14:solidFill>
          </w14:textFill>
        </w:rPr>
        <w:t>|</w:t>
      </w:r>
      <w:r w:rsidR="00D6427A">
        <w:rPr>
          <w:rFonts w:asciiTheme="minorHAnsi" w:hAnsiTheme="minorHAnsi"/>
          <w:snapToGrid w:val="0"/>
          <w:lang w:val="en-GB"/>
        </w:rPr>
        <w:t xml:space="preserve">% for use above the expenditure caps would be required to </w:t>
      </w:r>
      <w:r w:rsidR="009225C3">
        <w:rPr>
          <w:rFonts w:asciiTheme="minorHAnsi" w:hAnsiTheme="minorHAnsi"/>
          <w:snapToGrid w:val="0"/>
          <w:lang w:val="en-GB"/>
        </w:rPr>
        <w:t>mitigate the risk of usage in the first line HPT population</w:t>
      </w:r>
      <w:r w:rsidR="00C942FF">
        <w:rPr>
          <w:rFonts w:asciiTheme="minorHAnsi" w:hAnsiTheme="minorHAnsi"/>
          <w:snapToGrid w:val="0"/>
          <w:lang w:val="en-GB"/>
        </w:rPr>
        <w:t xml:space="preserve"> who are adequately controlled on conventional therapy</w:t>
      </w:r>
      <w:r w:rsidR="009225C3">
        <w:rPr>
          <w:rFonts w:asciiTheme="minorHAnsi" w:hAnsiTheme="minorHAnsi"/>
          <w:snapToGrid w:val="0"/>
          <w:lang w:val="en-GB"/>
        </w:rPr>
        <w:t>.</w:t>
      </w:r>
      <w:bookmarkEnd w:id="87"/>
    </w:p>
    <w:p w14:paraId="38EE4931" w14:textId="1781FBE3" w:rsidR="009A2F69" w:rsidRDefault="009A2F69" w:rsidP="002E2F71">
      <w:pPr>
        <w:widowControl w:val="0"/>
        <w:numPr>
          <w:ilvl w:val="1"/>
          <w:numId w:val="1"/>
        </w:numPr>
        <w:spacing w:after="120"/>
        <w:rPr>
          <w:rFonts w:asciiTheme="minorHAnsi" w:hAnsiTheme="minorHAnsi"/>
          <w:snapToGrid w:val="0"/>
          <w:lang w:val="en-GB"/>
        </w:rPr>
      </w:pPr>
      <w:r w:rsidRPr="002E2F71">
        <w:rPr>
          <w:rFonts w:asciiTheme="minorHAnsi" w:hAnsiTheme="minorHAnsi"/>
          <w:snapToGrid w:val="0"/>
          <w:lang w:val="en-GB"/>
        </w:rPr>
        <w:t xml:space="preserve">The PBAC considered the outstanding issues could be easily resolved in a simple resubmission for </w:t>
      </w:r>
      <w:r w:rsidR="002E2F71">
        <w:rPr>
          <w:rFonts w:asciiTheme="minorHAnsi" w:hAnsiTheme="minorHAnsi"/>
          <w:snapToGrid w:val="0"/>
          <w:lang w:val="en-GB"/>
        </w:rPr>
        <w:t>palopegteriparatide</w:t>
      </w:r>
      <w:r w:rsidRPr="002E2F71">
        <w:rPr>
          <w:rFonts w:asciiTheme="minorHAnsi" w:hAnsiTheme="minorHAnsi"/>
          <w:snapToGrid w:val="0"/>
          <w:lang w:val="en-GB"/>
        </w:rPr>
        <w:t xml:space="preserve"> using the early re-entry pathway. If the sponsor accepts this pathway, the following changes may address these outstanding issues without requiring further re-evaluation. </w:t>
      </w:r>
    </w:p>
    <w:p w14:paraId="421D10A5" w14:textId="542CD5CE" w:rsidR="002E2F71" w:rsidRDefault="002E2F71" w:rsidP="004444C8">
      <w:pPr>
        <w:widowControl w:val="0"/>
        <w:numPr>
          <w:ilvl w:val="1"/>
          <w:numId w:val="50"/>
        </w:numPr>
        <w:spacing w:after="120"/>
        <w:ind w:left="1080"/>
        <w:rPr>
          <w:rFonts w:asciiTheme="minorHAnsi" w:hAnsiTheme="minorHAnsi"/>
          <w:snapToGrid w:val="0"/>
          <w:lang w:val="en-GB"/>
        </w:rPr>
      </w:pPr>
      <w:r>
        <w:rPr>
          <w:rFonts w:asciiTheme="minorHAnsi" w:hAnsiTheme="minorHAnsi"/>
          <w:snapToGrid w:val="0"/>
          <w:lang w:val="en-GB"/>
        </w:rPr>
        <w:t xml:space="preserve">A revised restriction that incorporates the changes suggested in paragraph </w:t>
      </w:r>
      <w:r>
        <w:rPr>
          <w:rFonts w:asciiTheme="minorHAnsi" w:hAnsiTheme="minorHAnsi"/>
          <w:snapToGrid w:val="0"/>
          <w:lang w:val="en-GB"/>
        </w:rPr>
        <w:fldChar w:fldCharType="begin"/>
      </w:r>
      <w:r>
        <w:rPr>
          <w:rFonts w:asciiTheme="minorHAnsi" w:hAnsiTheme="minorHAnsi"/>
          <w:snapToGrid w:val="0"/>
          <w:lang w:val="en-GB"/>
        </w:rPr>
        <w:instrText xml:space="preserve"> REF _Ref194490266 \r \h </w:instrText>
      </w:r>
      <w:r>
        <w:rPr>
          <w:rFonts w:asciiTheme="minorHAnsi" w:hAnsiTheme="minorHAnsi"/>
          <w:snapToGrid w:val="0"/>
          <w:lang w:val="en-GB"/>
        </w:rPr>
      </w:r>
      <w:r>
        <w:rPr>
          <w:rFonts w:asciiTheme="minorHAnsi" w:hAnsiTheme="minorHAnsi"/>
          <w:snapToGrid w:val="0"/>
          <w:lang w:val="en-GB"/>
        </w:rPr>
        <w:fldChar w:fldCharType="separate"/>
      </w:r>
      <w:r w:rsidR="00DA35E4">
        <w:rPr>
          <w:rFonts w:asciiTheme="minorHAnsi" w:hAnsiTheme="minorHAnsi"/>
          <w:snapToGrid w:val="0"/>
          <w:lang w:val="en-GB"/>
        </w:rPr>
        <w:t>7.5</w:t>
      </w:r>
      <w:r>
        <w:rPr>
          <w:rFonts w:asciiTheme="minorHAnsi" w:hAnsiTheme="minorHAnsi"/>
          <w:snapToGrid w:val="0"/>
          <w:lang w:val="en-GB"/>
        </w:rPr>
        <w:fldChar w:fldCharType="end"/>
      </w:r>
      <w:r w:rsidR="007B38B5">
        <w:rPr>
          <w:rFonts w:asciiTheme="minorHAnsi" w:hAnsiTheme="minorHAnsi"/>
          <w:snapToGrid w:val="0"/>
          <w:lang w:val="en-GB"/>
        </w:rPr>
        <w:t>;</w:t>
      </w:r>
    </w:p>
    <w:p w14:paraId="1F709386" w14:textId="1498BED5" w:rsidR="007B38B5" w:rsidRDefault="007B38B5" w:rsidP="004444C8">
      <w:pPr>
        <w:widowControl w:val="0"/>
        <w:numPr>
          <w:ilvl w:val="1"/>
          <w:numId w:val="50"/>
        </w:numPr>
        <w:spacing w:after="120"/>
        <w:ind w:left="1080"/>
        <w:rPr>
          <w:rFonts w:asciiTheme="minorHAnsi" w:hAnsiTheme="minorHAnsi"/>
          <w:snapToGrid w:val="0"/>
          <w:lang w:val="en-GB"/>
        </w:rPr>
      </w:pPr>
      <w:r>
        <w:rPr>
          <w:rFonts w:asciiTheme="minorHAnsi" w:hAnsiTheme="minorHAnsi"/>
          <w:snapToGrid w:val="0"/>
          <w:lang w:val="en-GB"/>
        </w:rPr>
        <w:t xml:space="preserve">A </w:t>
      </w:r>
      <w:r w:rsidR="00477038">
        <w:rPr>
          <w:rFonts w:asciiTheme="minorHAnsi" w:hAnsiTheme="minorHAnsi"/>
          <w:snapToGrid w:val="0"/>
          <w:lang w:val="en-GB"/>
        </w:rPr>
        <w:t xml:space="preserve">price reduction </w:t>
      </w:r>
      <w:r w:rsidR="0051468B">
        <w:rPr>
          <w:rFonts w:asciiTheme="minorHAnsi" w:hAnsiTheme="minorHAnsi"/>
          <w:snapToGrid w:val="0"/>
          <w:lang w:val="en-GB"/>
        </w:rPr>
        <w:t xml:space="preserve">for palopegteriparatide </w:t>
      </w:r>
      <w:r>
        <w:rPr>
          <w:rFonts w:asciiTheme="minorHAnsi" w:hAnsiTheme="minorHAnsi"/>
          <w:snapToGrid w:val="0"/>
          <w:lang w:val="en-GB"/>
        </w:rPr>
        <w:t xml:space="preserve">that results in an ICER of no more than </w:t>
      </w:r>
      <w:r w:rsidR="009A208B" w:rsidRPr="009A208B">
        <w:rPr>
          <w:rFonts w:asciiTheme="minorHAnsi" w:hAnsiTheme="minorHAnsi"/>
          <w:snapToGrid w:val="0"/>
          <w:lang w:val="en-GB"/>
        </w:rPr>
        <w:t>$45,000 to &lt; $55,000</w:t>
      </w:r>
      <w:r w:rsidR="001B433A">
        <w:rPr>
          <w:rFonts w:asciiTheme="minorHAnsi" w:hAnsiTheme="minorHAnsi"/>
          <w:snapToGrid w:val="0"/>
          <w:lang w:val="en-GB"/>
        </w:rPr>
        <w:t>/</w:t>
      </w:r>
      <w:r>
        <w:rPr>
          <w:rFonts w:asciiTheme="minorHAnsi" w:hAnsiTheme="minorHAnsi"/>
          <w:snapToGrid w:val="0"/>
          <w:lang w:val="en-GB"/>
        </w:rPr>
        <w:t xml:space="preserve">QALY, as per paragraph </w:t>
      </w:r>
      <w:r>
        <w:rPr>
          <w:rFonts w:asciiTheme="minorHAnsi" w:hAnsiTheme="minorHAnsi"/>
          <w:snapToGrid w:val="0"/>
          <w:lang w:val="en-GB"/>
        </w:rPr>
        <w:fldChar w:fldCharType="begin"/>
      </w:r>
      <w:r>
        <w:rPr>
          <w:rFonts w:asciiTheme="minorHAnsi" w:hAnsiTheme="minorHAnsi"/>
          <w:snapToGrid w:val="0"/>
          <w:lang w:val="en-GB"/>
        </w:rPr>
        <w:instrText xml:space="preserve"> REF _Ref194490318 \r \h </w:instrText>
      </w:r>
      <w:r>
        <w:rPr>
          <w:rFonts w:asciiTheme="minorHAnsi" w:hAnsiTheme="minorHAnsi"/>
          <w:snapToGrid w:val="0"/>
          <w:lang w:val="en-GB"/>
        </w:rPr>
      </w:r>
      <w:r>
        <w:rPr>
          <w:rFonts w:asciiTheme="minorHAnsi" w:hAnsiTheme="minorHAnsi"/>
          <w:snapToGrid w:val="0"/>
          <w:lang w:val="en-GB"/>
        </w:rPr>
        <w:fldChar w:fldCharType="separate"/>
      </w:r>
      <w:r w:rsidR="00DA35E4">
        <w:rPr>
          <w:rFonts w:asciiTheme="minorHAnsi" w:hAnsiTheme="minorHAnsi"/>
          <w:snapToGrid w:val="0"/>
          <w:lang w:val="en-GB"/>
        </w:rPr>
        <w:t>7.17</w:t>
      </w:r>
      <w:r>
        <w:rPr>
          <w:rFonts w:asciiTheme="minorHAnsi" w:hAnsiTheme="minorHAnsi"/>
          <w:snapToGrid w:val="0"/>
          <w:lang w:val="en-GB"/>
        </w:rPr>
        <w:fldChar w:fldCharType="end"/>
      </w:r>
      <w:r>
        <w:rPr>
          <w:rFonts w:asciiTheme="minorHAnsi" w:hAnsiTheme="minorHAnsi"/>
          <w:snapToGrid w:val="0"/>
          <w:lang w:val="en-GB"/>
        </w:rPr>
        <w:t xml:space="preserve">; </w:t>
      </w:r>
    </w:p>
    <w:p w14:paraId="2F24DF9C" w14:textId="4AE5046C" w:rsidR="004444C8" w:rsidRDefault="009F293D" w:rsidP="004444C8">
      <w:pPr>
        <w:widowControl w:val="0"/>
        <w:numPr>
          <w:ilvl w:val="1"/>
          <w:numId w:val="50"/>
        </w:numPr>
        <w:spacing w:after="120"/>
        <w:ind w:left="1080"/>
        <w:rPr>
          <w:rFonts w:asciiTheme="minorHAnsi" w:hAnsiTheme="minorHAnsi"/>
          <w:snapToGrid w:val="0"/>
          <w:lang w:val="en-GB"/>
        </w:rPr>
      </w:pPr>
      <w:r>
        <w:rPr>
          <w:rFonts w:asciiTheme="minorHAnsi" w:hAnsiTheme="minorHAnsi"/>
          <w:snapToGrid w:val="0"/>
          <w:lang w:val="en-GB"/>
        </w:rPr>
        <w:t xml:space="preserve">Revised utilisation and financial impact estimates that incorporate </w:t>
      </w:r>
      <w:r w:rsidR="001E1F95">
        <w:rPr>
          <w:rFonts w:asciiTheme="minorHAnsi" w:hAnsiTheme="minorHAnsi"/>
          <w:snapToGrid w:val="0"/>
          <w:lang w:val="en-GB"/>
        </w:rPr>
        <w:t>the revised price of palopegteriparatide</w:t>
      </w:r>
      <w:r w:rsidR="0051468B">
        <w:rPr>
          <w:rFonts w:asciiTheme="minorHAnsi" w:hAnsiTheme="minorHAnsi"/>
          <w:snapToGrid w:val="0"/>
          <w:lang w:val="en-GB"/>
        </w:rPr>
        <w:t xml:space="preserve"> and the changes </w:t>
      </w:r>
      <w:r>
        <w:rPr>
          <w:rFonts w:asciiTheme="minorHAnsi" w:hAnsiTheme="minorHAnsi"/>
          <w:snapToGrid w:val="0"/>
          <w:lang w:val="en-GB"/>
        </w:rPr>
        <w:t xml:space="preserve">suggested in paragraph </w:t>
      </w:r>
      <w:r>
        <w:rPr>
          <w:rFonts w:asciiTheme="minorHAnsi" w:hAnsiTheme="minorHAnsi"/>
          <w:snapToGrid w:val="0"/>
          <w:lang w:val="en-GB"/>
        </w:rPr>
        <w:fldChar w:fldCharType="begin"/>
      </w:r>
      <w:r>
        <w:rPr>
          <w:rFonts w:asciiTheme="minorHAnsi" w:hAnsiTheme="minorHAnsi"/>
          <w:snapToGrid w:val="0"/>
          <w:lang w:val="en-GB"/>
        </w:rPr>
        <w:instrText xml:space="preserve"> REF _Ref194490381 \r \h </w:instrText>
      </w:r>
      <w:r>
        <w:rPr>
          <w:rFonts w:asciiTheme="minorHAnsi" w:hAnsiTheme="minorHAnsi"/>
          <w:snapToGrid w:val="0"/>
          <w:lang w:val="en-GB"/>
        </w:rPr>
      </w:r>
      <w:r>
        <w:rPr>
          <w:rFonts w:asciiTheme="minorHAnsi" w:hAnsiTheme="minorHAnsi"/>
          <w:snapToGrid w:val="0"/>
          <w:lang w:val="en-GB"/>
        </w:rPr>
        <w:fldChar w:fldCharType="separate"/>
      </w:r>
      <w:r w:rsidR="00DA35E4">
        <w:rPr>
          <w:rFonts w:asciiTheme="minorHAnsi" w:hAnsiTheme="minorHAnsi"/>
          <w:snapToGrid w:val="0"/>
          <w:lang w:val="en-GB"/>
        </w:rPr>
        <w:t>7.18</w:t>
      </w:r>
      <w:r>
        <w:rPr>
          <w:rFonts w:asciiTheme="minorHAnsi" w:hAnsiTheme="minorHAnsi"/>
          <w:snapToGrid w:val="0"/>
          <w:lang w:val="en-GB"/>
        </w:rPr>
        <w:fldChar w:fldCharType="end"/>
      </w:r>
      <w:r>
        <w:rPr>
          <w:rFonts w:asciiTheme="minorHAnsi" w:hAnsiTheme="minorHAnsi"/>
          <w:snapToGrid w:val="0"/>
          <w:lang w:val="en-GB"/>
        </w:rPr>
        <w:t xml:space="preserve">; and </w:t>
      </w:r>
    </w:p>
    <w:p w14:paraId="3777C5DC" w14:textId="21659733" w:rsidR="004444C8" w:rsidRPr="004444C8" w:rsidRDefault="009F293D" w:rsidP="004444C8">
      <w:pPr>
        <w:widowControl w:val="0"/>
        <w:numPr>
          <w:ilvl w:val="1"/>
          <w:numId w:val="50"/>
        </w:numPr>
        <w:spacing w:after="120"/>
        <w:ind w:left="1080"/>
        <w:rPr>
          <w:rFonts w:asciiTheme="minorHAnsi" w:hAnsiTheme="minorHAnsi"/>
          <w:snapToGrid w:val="0"/>
          <w:lang w:val="en-GB"/>
        </w:rPr>
      </w:pPr>
      <w:r w:rsidRPr="004444C8">
        <w:rPr>
          <w:rFonts w:asciiTheme="minorHAnsi" w:hAnsiTheme="minorHAnsi"/>
          <w:snapToGrid w:val="0"/>
          <w:lang w:val="en-GB"/>
        </w:rPr>
        <w:t>A</w:t>
      </w:r>
      <w:r w:rsidR="001C155B">
        <w:rPr>
          <w:rFonts w:asciiTheme="minorHAnsi" w:hAnsiTheme="minorHAnsi"/>
          <w:snapToGrid w:val="0"/>
          <w:lang w:val="en-GB"/>
        </w:rPr>
        <w:t>n</w:t>
      </w:r>
      <w:r w:rsidRPr="004444C8">
        <w:rPr>
          <w:rFonts w:asciiTheme="minorHAnsi" w:hAnsiTheme="minorHAnsi"/>
          <w:snapToGrid w:val="0"/>
          <w:lang w:val="en-GB"/>
        </w:rPr>
        <w:t xml:space="preserve"> RSA, as per paragraph </w:t>
      </w:r>
      <w:r w:rsidRPr="004444C8">
        <w:rPr>
          <w:rFonts w:asciiTheme="minorHAnsi" w:hAnsiTheme="minorHAnsi"/>
          <w:snapToGrid w:val="0"/>
          <w:lang w:val="en-GB"/>
        </w:rPr>
        <w:fldChar w:fldCharType="begin"/>
      </w:r>
      <w:r w:rsidRPr="004444C8">
        <w:rPr>
          <w:rFonts w:asciiTheme="minorHAnsi" w:hAnsiTheme="minorHAnsi"/>
          <w:snapToGrid w:val="0"/>
          <w:lang w:val="en-GB"/>
        </w:rPr>
        <w:instrText xml:space="preserve"> REF _Ref194490399 \r \h </w:instrText>
      </w:r>
      <w:r w:rsidRPr="004444C8">
        <w:rPr>
          <w:rFonts w:asciiTheme="minorHAnsi" w:hAnsiTheme="minorHAnsi"/>
          <w:snapToGrid w:val="0"/>
          <w:lang w:val="en-GB"/>
        </w:rPr>
      </w:r>
      <w:r w:rsidRPr="004444C8">
        <w:rPr>
          <w:rFonts w:asciiTheme="minorHAnsi" w:hAnsiTheme="minorHAnsi"/>
          <w:snapToGrid w:val="0"/>
          <w:lang w:val="en-GB"/>
        </w:rPr>
        <w:fldChar w:fldCharType="separate"/>
      </w:r>
      <w:r w:rsidR="00DA35E4">
        <w:rPr>
          <w:rFonts w:asciiTheme="minorHAnsi" w:hAnsiTheme="minorHAnsi"/>
          <w:snapToGrid w:val="0"/>
          <w:lang w:val="en-GB"/>
        </w:rPr>
        <w:t>7.19</w:t>
      </w:r>
      <w:r w:rsidRPr="004444C8">
        <w:rPr>
          <w:rFonts w:asciiTheme="minorHAnsi" w:hAnsiTheme="minorHAnsi"/>
          <w:snapToGrid w:val="0"/>
          <w:lang w:val="en-GB"/>
        </w:rPr>
        <w:fldChar w:fldCharType="end"/>
      </w:r>
      <w:r w:rsidR="004444C8" w:rsidRPr="004444C8">
        <w:rPr>
          <w:rFonts w:asciiTheme="minorHAnsi" w:hAnsiTheme="minorHAnsi"/>
          <w:snapToGrid w:val="0"/>
          <w:lang w:val="en-GB"/>
        </w:rPr>
        <w:t>.</w:t>
      </w:r>
    </w:p>
    <w:p w14:paraId="692A1A45" w14:textId="4DDA7135" w:rsidR="0070347C" w:rsidRPr="0070347C" w:rsidRDefault="009A2F69" w:rsidP="0070347C">
      <w:pPr>
        <w:widowControl w:val="0"/>
        <w:spacing w:after="120"/>
        <w:ind w:left="720"/>
        <w:rPr>
          <w:rFonts w:asciiTheme="minorHAnsi" w:hAnsiTheme="minorHAnsi"/>
          <w:snapToGrid w:val="0"/>
          <w:lang w:val="en-GB"/>
        </w:rPr>
      </w:pPr>
      <w:r w:rsidRPr="009F293D">
        <w:rPr>
          <w:rFonts w:asciiTheme="minorHAnsi" w:hAnsiTheme="minorHAnsi"/>
          <w:snapToGrid w:val="0"/>
          <w:lang w:val="en-GB"/>
        </w:rPr>
        <w:t xml:space="preserve">The early re-entry resubmission must be lodged by </w:t>
      </w:r>
      <w:r w:rsidR="00644E27">
        <w:rPr>
          <w:rFonts w:asciiTheme="minorHAnsi" w:hAnsiTheme="minorHAnsi"/>
          <w:snapToGrid w:val="0"/>
          <w:lang w:val="en-GB"/>
        </w:rPr>
        <w:t>W</w:t>
      </w:r>
      <w:r w:rsidR="00644E27" w:rsidRPr="009F293D">
        <w:rPr>
          <w:rFonts w:asciiTheme="minorHAnsi" w:hAnsiTheme="minorHAnsi"/>
          <w:snapToGrid w:val="0"/>
          <w:lang w:val="en-GB"/>
        </w:rPr>
        <w:t xml:space="preserve">eek </w:t>
      </w:r>
      <w:r w:rsidRPr="009F293D">
        <w:rPr>
          <w:rFonts w:asciiTheme="minorHAnsi" w:hAnsiTheme="minorHAnsi"/>
          <w:snapToGrid w:val="0"/>
          <w:lang w:val="en-GB"/>
        </w:rPr>
        <w:t>7 of the current PBAC cycle or the next cycle. If the issues cannot be addressed by the sponsor in a simple resubmission and the early re-entry timing is not acceptable, a standard re-entry pathway is available</w:t>
      </w:r>
      <w:r w:rsidR="0070347C">
        <w:rPr>
          <w:rFonts w:asciiTheme="minorHAnsi" w:hAnsiTheme="minorHAnsi"/>
          <w:bCs/>
          <w:snapToGrid w:val="0"/>
          <w:lang w:val="en-GB"/>
        </w:rPr>
        <w:t xml:space="preserve">. </w:t>
      </w:r>
    </w:p>
    <w:p w14:paraId="2F472D53" w14:textId="47136D77" w:rsidR="009A2F69" w:rsidRPr="0070347C" w:rsidRDefault="009A2F69">
      <w:pPr>
        <w:widowControl w:val="0"/>
        <w:numPr>
          <w:ilvl w:val="1"/>
          <w:numId w:val="1"/>
        </w:numPr>
        <w:spacing w:after="120"/>
        <w:rPr>
          <w:rFonts w:asciiTheme="minorHAnsi" w:hAnsiTheme="minorHAnsi"/>
          <w:bCs/>
          <w:snapToGrid w:val="0"/>
          <w:lang w:val="en-GB"/>
        </w:rPr>
      </w:pPr>
      <w:r w:rsidRPr="0070347C">
        <w:rPr>
          <w:rFonts w:asciiTheme="minorHAnsi" w:hAnsiTheme="minorHAnsi"/>
          <w:bCs/>
          <w:snapToGrid w:val="0"/>
          <w:lang w:val="en-GB"/>
        </w:rPr>
        <w:t xml:space="preserve">The PBAC noted that this submission is eligible for an Independent </w:t>
      </w:r>
      <w:r w:rsidR="004444C8">
        <w:rPr>
          <w:rFonts w:asciiTheme="minorHAnsi" w:hAnsiTheme="minorHAnsi"/>
          <w:bCs/>
          <w:snapToGrid w:val="0"/>
          <w:lang w:val="en-GB"/>
        </w:rPr>
        <w:t>Review.</w:t>
      </w:r>
    </w:p>
    <w:p w14:paraId="58A2A2B1" w14:textId="77777777" w:rsidR="009A2F69" w:rsidRPr="00525B39" w:rsidRDefault="009A2F69" w:rsidP="009A2F69">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2483C76" w14:textId="11FC6CFA" w:rsidR="009A2F69" w:rsidRDefault="009A2F69" w:rsidP="009A2F69">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bookmarkEnd w:id="82"/>
      <w:bookmarkEnd w:id="83"/>
    </w:p>
    <w:p w14:paraId="42311310" w14:textId="77777777" w:rsidR="00B857EB" w:rsidRPr="00B857EB" w:rsidRDefault="00B857EB" w:rsidP="00B857EB">
      <w:pPr>
        <w:pStyle w:val="2-SectionHeading"/>
        <w:numPr>
          <w:ilvl w:val="0"/>
          <w:numId w:val="1"/>
        </w:numPr>
      </w:pPr>
      <w:r w:rsidRPr="00B857EB">
        <w:t>Context for Decision</w:t>
      </w:r>
    </w:p>
    <w:p w14:paraId="6FB52440" w14:textId="77777777" w:rsidR="00B857EB" w:rsidRPr="00B857EB" w:rsidRDefault="00B857EB" w:rsidP="00B857EB">
      <w:pPr>
        <w:spacing w:after="120"/>
        <w:ind w:left="720"/>
        <w:rPr>
          <w:bCs/>
          <w:lang w:val="en-GB"/>
        </w:rPr>
      </w:pPr>
      <w:r w:rsidRPr="00B857EB">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33CAA7B" w14:textId="77777777" w:rsidR="00B857EB" w:rsidRPr="00B857EB" w:rsidRDefault="00B857EB" w:rsidP="00B857EB">
      <w:pPr>
        <w:pStyle w:val="2-SectionHeading"/>
        <w:numPr>
          <w:ilvl w:val="0"/>
          <w:numId w:val="1"/>
        </w:numPr>
      </w:pPr>
      <w:r w:rsidRPr="00B857EB">
        <w:t>Sponsor’s Comment</w:t>
      </w:r>
    </w:p>
    <w:p w14:paraId="21916F73" w14:textId="59587D6C" w:rsidR="00B857EB" w:rsidRPr="00525B39" w:rsidRDefault="00127210" w:rsidP="00127210">
      <w:pPr>
        <w:spacing w:after="120" w:line="276" w:lineRule="auto"/>
        <w:ind w:left="720"/>
        <w:rPr>
          <w:rFonts w:asciiTheme="minorHAnsi" w:hAnsiTheme="minorHAnsi"/>
          <w:bCs/>
          <w:snapToGrid w:val="0"/>
          <w:lang w:val="en-GB"/>
        </w:rPr>
      </w:pPr>
      <w:r>
        <w:rPr>
          <w:rFonts w:eastAsia="Calibri"/>
          <w:bCs/>
          <w:szCs w:val="22"/>
          <w:lang w:eastAsia="en-US"/>
        </w:rPr>
        <w:t>S</w:t>
      </w:r>
      <w:r w:rsidRPr="00127210">
        <w:rPr>
          <w:rFonts w:eastAsia="Calibri"/>
          <w:bCs/>
          <w:szCs w:val="22"/>
          <w:lang w:eastAsia="en-US"/>
        </w:rPr>
        <w:t>pecialised Therapeutics is committed</w:t>
      </w:r>
      <w:r w:rsidRPr="00127210" w:rsidDel="00127210">
        <w:rPr>
          <w:rFonts w:eastAsia="Calibri"/>
          <w:bCs/>
          <w:szCs w:val="22"/>
          <w:lang w:eastAsia="en-US"/>
        </w:rPr>
        <w:t xml:space="preserve"> </w:t>
      </w:r>
      <w:r>
        <w:rPr>
          <w:rFonts w:eastAsia="Calibri"/>
          <w:bCs/>
          <w:szCs w:val="22"/>
          <w:lang w:eastAsia="en-US"/>
        </w:rPr>
        <w:t xml:space="preserve">to working with the PBAC to ensure timely access to palopegteriparatide for patients with HPT in Australia. </w:t>
      </w:r>
    </w:p>
    <w:sectPr w:rsidR="00B857EB" w:rsidRPr="00525B39" w:rsidSect="006F4C64">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50E0" w14:textId="77777777" w:rsidR="003F6CB4" w:rsidRDefault="003F6CB4" w:rsidP="00124A51">
      <w:r>
        <w:separator/>
      </w:r>
    </w:p>
    <w:p w14:paraId="04105754" w14:textId="77777777" w:rsidR="003F6CB4" w:rsidRDefault="003F6CB4"/>
  </w:endnote>
  <w:endnote w:type="continuationSeparator" w:id="0">
    <w:p w14:paraId="5D05C46E" w14:textId="77777777" w:rsidR="003F6CB4" w:rsidRDefault="003F6CB4" w:rsidP="00124A51">
      <w:r>
        <w:continuationSeparator/>
      </w:r>
    </w:p>
    <w:p w14:paraId="414D8A8D" w14:textId="77777777" w:rsidR="003F6CB4" w:rsidRDefault="003F6CB4"/>
  </w:endnote>
  <w:endnote w:type="continuationNotice" w:id="1">
    <w:p w14:paraId="7D97B308" w14:textId="77777777" w:rsidR="003F6CB4" w:rsidRDefault="003F6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BE97" w14:textId="77777777" w:rsidR="00836BEA" w:rsidRDefault="00836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FF48" w14:textId="77777777" w:rsidR="001E756B" w:rsidRDefault="001E756B" w:rsidP="00753B29">
    <w:pPr>
      <w:pStyle w:val="Footer"/>
      <w:jc w:val="center"/>
    </w:pPr>
  </w:p>
  <w:p w14:paraId="42023311" w14:textId="31DCFB30" w:rsidR="001E756B" w:rsidRPr="00A272B0" w:rsidRDefault="00000000" w:rsidP="006028D3">
    <w:pPr>
      <w:pStyle w:val="PageFooter"/>
    </w:pPr>
    <w:sdt>
      <w:sdtPr>
        <w:id w:val="-262992380"/>
        <w:docPartObj>
          <w:docPartGallery w:val="Page Numbers (Bottom of Page)"/>
          <w:docPartUnique/>
        </w:docPartObj>
      </w:sdtPr>
      <w:sdtEndPr>
        <w:rPr>
          <w:noProof/>
        </w:rPr>
      </w:sdtEndPr>
      <w:sdtContent>
        <w:r w:rsidR="001E756B" w:rsidRPr="00A272B0">
          <w:fldChar w:fldCharType="begin"/>
        </w:r>
        <w:r w:rsidR="001E756B" w:rsidRPr="00A272B0">
          <w:instrText xml:space="preserve"> PAGE   \* MERGEFORMAT </w:instrText>
        </w:r>
        <w:r w:rsidR="001E756B" w:rsidRPr="00A272B0">
          <w:fldChar w:fldCharType="separate"/>
        </w:r>
        <w:r w:rsidR="001E756B" w:rsidRPr="00A272B0">
          <w:rPr>
            <w:noProof/>
          </w:rPr>
          <w:t>2</w:t>
        </w:r>
        <w:r w:rsidR="001E756B" w:rsidRPr="00A272B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13F7" w14:textId="77777777" w:rsidR="00836BEA" w:rsidRDefault="00836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536D" w14:textId="77777777" w:rsidR="003F6CB4" w:rsidRDefault="003F6CB4" w:rsidP="00124A51">
      <w:r>
        <w:separator/>
      </w:r>
    </w:p>
    <w:p w14:paraId="49982E93" w14:textId="77777777" w:rsidR="003F6CB4" w:rsidRDefault="003F6CB4"/>
  </w:footnote>
  <w:footnote w:type="continuationSeparator" w:id="0">
    <w:p w14:paraId="197D0CFB" w14:textId="77777777" w:rsidR="003F6CB4" w:rsidRDefault="003F6CB4" w:rsidP="00124A51">
      <w:r>
        <w:continuationSeparator/>
      </w:r>
    </w:p>
    <w:p w14:paraId="6D67BFFD" w14:textId="77777777" w:rsidR="003F6CB4" w:rsidRDefault="003F6CB4"/>
  </w:footnote>
  <w:footnote w:type="continuationNotice" w:id="1">
    <w:p w14:paraId="08C19A5C" w14:textId="77777777" w:rsidR="003F6CB4" w:rsidRDefault="003F6CB4"/>
  </w:footnote>
  <w:footnote w:id="2">
    <w:p w14:paraId="6D44C864" w14:textId="0CABB34F" w:rsidR="0082518E" w:rsidRPr="006A07E9" w:rsidRDefault="0082518E">
      <w:pPr>
        <w:pStyle w:val="FootnoteText"/>
        <w:rPr>
          <w:lang w:val="sv-SE"/>
        </w:rPr>
      </w:pPr>
      <w:r>
        <w:rPr>
          <w:rStyle w:val="FootnoteReference"/>
        </w:rPr>
        <w:footnoteRef/>
      </w:r>
      <w:r>
        <w:t xml:space="preserve"> </w:t>
      </w:r>
      <w:r w:rsidR="00D8158D">
        <w:t>Khan et al.</w:t>
      </w:r>
      <w:r w:rsidR="004A3235">
        <w:t>,</w:t>
      </w:r>
      <w:r w:rsidR="00D8158D">
        <w:t xml:space="preserve"> 2022</w:t>
      </w:r>
      <w:r w:rsidR="004A3235">
        <w:t>.</w:t>
      </w:r>
      <w:r w:rsidR="00D8158D">
        <w:t xml:space="preserve"> </w:t>
      </w:r>
      <w:r w:rsidR="00D8158D" w:rsidRPr="00D8158D">
        <w:t xml:space="preserve">Evaluation and Management of Hypoparathyroidism Summary Statement and Guidelines from the Second International Workshop. </w:t>
      </w:r>
      <w:r w:rsidR="00D8158D" w:rsidRPr="006A07E9">
        <w:rPr>
          <w:lang w:val="sv-SE"/>
        </w:rPr>
        <w:t>J Bone Miner Res</w:t>
      </w:r>
      <w:r w:rsidR="00C92F8B" w:rsidRPr="006A07E9">
        <w:rPr>
          <w:lang w:val="sv-SE"/>
        </w:rPr>
        <w:t xml:space="preserve">, </w:t>
      </w:r>
      <w:r w:rsidR="00D8158D" w:rsidRPr="006A07E9">
        <w:rPr>
          <w:lang w:val="sv-SE"/>
        </w:rPr>
        <w:t>37(12):2568-2585.</w:t>
      </w:r>
    </w:p>
  </w:footnote>
  <w:footnote w:id="3">
    <w:p w14:paraId="7FF9A794" w14:textId="77777777" w:rsidR="00FD484D" w:rsidRPr="006A07E9" w:rsidRDefault="00FD484D" w:rsidP="00890EEB">
      <w:pPr>
        <w:pStyle w:val="FootnoteText"/>
        <w:rPr>
          <w:rFonts w:asciiTheme="minorHAnsi" w:hAnsiTheme="minorHAnsi" w:cstheme="minorBidi"/>
          <w:kern w:val="2"/>
          <w:lang w:val="sv-SE" w:eastAsia="en-US"/>
          <w14:ligatures w14:val="standardContextual"/>
        </w:rPr>
      </w:pPr>
      <w:r>
        <w:rPr>
          <w:rStyle w:val="FootnoteReference"/>
        </w:rPr>
        <w:footnoteRef/>
      </w:r>
      <w:r w:rsidRPr="006A07E9">
        <w:rPr>
          <w:lang w:val="sv-SE"/>
        </w:rPr>
        <w:t xml:space="preserve"> </w:t>
      </w:r>
      <w:r w:rsidRPr="006A07E9">
        <w:rPr>
          <w:lang w:val="sv-SE"/>
        </w:rPr>
        <w:t xml:space="preserve">Underbjerg, </w:t>
      </w:r>
      <w:r w:rsidRPr="006A07E9">
        <w:rPr>
          <w:lang w:val="sv-SE"/>
        </w:rPr>
        <w:t xml:space="preserve">L., Sikjaer, T., Mosekilde, L. and Rejnmark, L., 2013. </w:t>
      </w:r>
      <w:r>
        <w:t xml:space="preserve">Cardiovascular and renal complications to postsurgical hypoparathyroidism: A Danish nationwide controlled historic follow-up study. </w:t>
      </w:r>
      <w:r w:rsidRPr="006A07E9">
        <w:rPr>
          <w:lang w:val="sv-SE"/>
        </w:rPr>
        <w:t>J Bone Miner Res, 28: 2277-2285.</w:t>
      </w:r>
    </w:p>
  </w:footnote>
  <w:footnote w:id="4">
    <w:p w14:paraId="4C53F174" w14:textId="77777777" w:rsidR="00D60B3E" w:rsidRDefault="00D60B3E" w:rsidP="004A2C65">
      <w:pPr>
        <w:pStyle w:val="FootnoteText"/>
      </w:pPr>
      <w:r>
        <w:rPr>
          <w:rStyle w:val="FootnoteReference"/>
        </w:rPr>
        <w:footnoteRef/>
      </w:r>
      <w:r w:rsidRPr="006A07E9">
        <w:rPr>
          <w:lang w:val="sv-SE"/>
        </w:rPr>
        <w:t xml:space="preserve"> </w:t>
      </w:r>
      <w:r w:rsidRPr="006A07E9">
        <w:rPr>
          <w:lang w:val="sv-SE"/>
        </w:rPr>
        <w:t xml:space="preserve">Brandi </w:t>
      </w:r>
      <w:r w:rsidRPr="006A07E9">
        <w:rPr>
          <w:lang w:val="sv-SE"/>
        </w:rPr>
        <w:t xml:space="preserve">M, Bilezikian J, Shoback D, et al., 2016. </w:t>
      </w:r>
      <w:r w:rsidRPr="005249F8">
        <w:t>Management of Hypoparathyroidism: Summary Statement and Guidelines. J Clin Endocrinol Metab,</w:t>
      </w:r>
      <w:r>
        <w:t xml:space="preserve"> </w:t>
      </w:r>
      <w:r w:rsidRPr="005249F8">
        <w:t>101(6):2273-2283</w:t>
      </w:r>
      <w:r>
        <w:t>.</w:t>
      </w:r>
    </w:p>
  </w:footnote>
  <w:footnote w:id="5">
    <w:p w14:paraId="61F5DF32" w14:textId="6C048508" w:rsidR="00E80E87" w:rsidRPr="00E80E87" w:rsidRDefault="00E80E87">
      <w:pPr>
        <w:pStyle w:val="FootnoteText"/>
        <w:rPr>
          <w:lang w:val="en-GB"/>
        </w:rPr>
      </w:pPr>
      <w:r>
        <w:rPr>
          <w:rStyle w:val="FootnoteReference"/>
        </w:rPr>
        <w:footnoteRef/>
      </w:r>
      <w:r>
        <w:t xml:space="preserve"> </w:t>
      </w:r>
      <w:r w:rsidRPr="00E80E87">
        <w:rPr>
          <w:lang w:val="en-GB"/>
        </w:rPr>
        <w:t xml:space="preserve">Brod, M. </w:t>
      </w:r>
      <w:r w:rsidRPr="00E80E87">
        <w:rPr>
          <w:i/>
          <w:iCs/>
          <w:lang w:val="en-GB"/>
        </w:rPr>
        <w:t>et al.</w:t>
      </w:r>
      <w:r w:rsidRPr="00E80E87">
        <w:rPr>
          <w:lang w:val="en-GB"/>
        </w:rPr>
        <w:t xml:space="preserve"> (2021) ‘Psychometric validation of the Hypoparathyroidism Patient Experience Scales (HPES)’, Journal of Patient-Reported Outcomes, 5(1). doi:10.1186/s41687-021-00320-2. </w:t>
      </w:r>
    </w:p>
  </w:footnote>
  <w:footnote w:id="6">
    <w:p w14:paraId="7FDE2ACD" w14:textId="77777777" w:rsidR="00E80E87" w:rsidRDefault="00E80E87" w:rsidP="00E80E87">
      <w:pPr>
        <w:pStyle w:val="FootnoteText"/>
      </w:pPr>
      <w:r>
        <w:rPr>
          <w:rStyle w:val="FootnoteReference"/>
        </w:rPr>
        <w:footnoteRef/>
      </w:r>
      <w:r w:rsidRPr="006A07E9">
        <w:rPr>
          <w:lang w:val="sv-SE"/>
        </w:rPr>
        <w:t xml:space="preserve"> </w:t>
      </w:r>
      <w:r w:rsidRPr="006A07E9">
        <w:rPr>
          <w:lang w:val="sv-SE"/>
        </w:rPr>
        <w:t xml:space="preserve">Norman R, Mulhern B, Lancsar E, et al., 2023. </w:t>
      </w:r>
      <w:r w:rsidRPr="0017409D">
        <w:t>The Use of a Discrete Choice Experiment Including Both Duration and Dead for the Development of an EQ-5D-5L Value Set for Australia. Pharmacoeconomics. 41(4):427-438.</w:t>
      </w:r>
    </w:p>
  </w:footnote>
  <w:footnote w:id="7">
    <w:p w14:paraId="56C3C3C0" w14:textId="77777777" w:rsidR="00C92D2C" w:rsidRDefault="00C92D2C" w:rsidP="00C92D2C">
      <w:pPr>
        <w:pStyle w:val="FootnoteText"/>
      </w:pPr>
      <w:r>
        <w:rPr>
          <w:rStyle w:val="FootnoteReference"/>
        </w:rPr>
        <w:footnoteRef/>
      </w:r>
      <w:r>
        <w:t xml:space="preserve"> Mayne et al., 2021. </w:t>
      </w:r>
      <w:r w:rsidRPr="00A81472">
        <w:t>Defining a minimal clinically meaningful difference in 12-month estimated glomerular filtration rate for clinical trials in deceased donor kidney transplantation. Clin Transplant. 2021;35(7): e14326.</w:t>
      </w:r>
    </w:p>
  </w:footnote>
  <w:footnote w:id="8">
    <w:p w14:paraId="4B70E4CB" w14:textId="77777777" w:rsidR="00962079" w:rsidRPr="002322D3" w:rsidRDefault="00962079" w:rsidP="00962079">
      <w:pPr>
        <w:pStyle w:val="FootnoteText"/>
        <w:rPr>
          <w:lang w:val="en-US"/>
        </w:rPr>
      </w:pPr>
      <w:r w:rsidRPr="002322D3">
        <w:rPr>
          <w:rStyle w:val="FootnoteReference"/>
        </w:rPr>
        <w:footnoteRef/>
      </w:r>
      <w:r w:rsidRPr="002322D3">
        <w:t xml:space="preserve"> Rejnmark, L., Ayodele, O., Lax, A., Mu, F., Swallow, E. and </w:t>
      </w:r>
      <w:proofErr w:type="spellStart"/>
      <w:r w:rsidRPr="002322D3">
        <w:t>Gosmanova</w:t>
      </w:r>
      <w:proofErr w:type="spellEnd"/>
      <w:r w:rsidRPr="002322D3">
        <w:t xml:space="preserve">, E.O., 2023. The risk of chronic kidney disease development in adult patients with chronic hypoparathyroidism treated with </w:t>
      </w:r>
      <w:proofErr w:type="spellStart"/>
      <w:r w:rsidRPr="002322D3">
        <w:t>rhPTH</w:t>
      </w:r>
      <w:proofErr w:type="spellEnd"/>
      <w:r w:rsidRPr="002322D3">
        <w:t xml:space="preserve"> (1‐84): A retrospective cohort study. Clinical Endocrinology, 98(4), pp.496-504.</w:t>
      </w:r>
    </w:p>
  </w:footnote>
  <w:footnote w:id="9">
    <w:p w14:paraId="45061936" w14:textId="77777777" w:rsidR="00962079" w:rsidRPr="00893361" w:rsidRDefault="00962079" w:rsidP="00962079">
      <w:pPr>
        <w:pStyle w:val="FootnoteText"/>
        <w:rPr>
          <w:lang w:val="en-US"/>
        </w:rPr>
      </w:pPr>
      <w:r>
        <w:rPr>
          <w:rStyle w:val="FootnoteReference"/>
        </w:rPr>
        <w:footnoteRef/>
      </w:r>
      <w:r>
        <w:t xml:space="preserve"> </w:t>
      </w:r>
      <w:proofErr w:type="spellStart"/>
      <w:r w:rsidRPr="00893361">
        <w:t>Gosmanova</w:t>
      </w:r>
      <w:proofErr w:type="spellEnd"/>
      <w:r w:rsidRPr="00893361">
        <w:t>, E.O., Chen, K., Rejnmark, L., Mu, F., Swallow, E., Briggs, A., Ayodele, O., Sherry, N. and Ketteler, M., 2021. Risk of chronic kidney disease and estimated glomerular filtration rate decline in patients with chronic hypoparathyroidism: a retrospective cohort study. Advances in therapy, 38, pp.1876-1888.</w:t>
      </w:r>
    </w:p>
  </w:footnote>
  <w:footnote w:id="10">
    <w:p w14:paraId="13AEAED5" w14:textId="77777777" w:rsidR="00625943" w:rsidRPr="0086021A" w:rsidRDefault="00625943" w:rsidP="00625943">
      <w:pPr>
        <w:pStyle w:val="FootnoteText"/>
        <w:rPr>
          <w:lang w:val="en-US"/>
        </w:rPr>
      </w:pPr>
      <w:r>
        <w:rPr>
          <w:rStyle w:val="FootnoteReference"/>
        </w:rPr>
        <w:footnoteRef/>
      </w:r>
      <w:r>
        <w:t xml:space="preserve"> </w:t>
      </w:r>
      <w:proofErr w:type="spellStart"/>
      <w:r w:rsidRPr="00A20A44">
        <w:rPr>
          <w:lang w:val="en-US"/>
        </w:rPr>
        <w:t>Gosmanova</w:t>
      </w:r>
      <w:proofErr w:type="spellEnd"/>
      <w:r w:rsidRPr="00A20A44">
        <w:rPr>
          <w:lang w:val="en-US"/>
        </w:rPr>
        <w:t xml:space="preserve">, E.O., </w:t>
      </w:r>
      <w:proofErr w:type="spellStart"/>
      <w:r w:rsidRPr="00A20A44">
        <w:rPr>
          <w:lang w:val="en-US"/>
        </w:rPr>
        <w:t>Houillier</w:t>
      </w:r>
      <w:proofErr w:type="spellEnd"/>
      <w:r w:rsidRPr="00A20A44">
        <w:rPr>
          <w:lang w:val="en-US"/>
        </w:rPr>
        <w:t xml:space="preserve">, P., Rejnmark, L., Marelli, C. and </w:t>
      </w:r>
      <w:proofErr w:type="spellStart"/>
      <w:r w:rsidRPr="00A20A44">
        <w:rPr>
          <w:lang w:val="en-US"/>
        </w:rPr>
        <w:t>Bilezikian</w:t>
      </w:r>
      <w:proofErr w:type="spellEnd"/>
      <w:r w:rsidRPr="00A20A44">
        <w:rPr>
          <w:lang w:val="en-US"/>
        </w:rPr>
        <w:t>, J.P., 2021. Renal complications in patients with chronic hypoparathyroidism on conventional therapy: a systematic literature review: renal disease in chronic hypoparathyroidism. Reviews in Endocrine and Metabolic Disorders, 22(2), pp.297-316.</w:t>
      </w:r>
    </w:p>
  </w:footnote>
  <w:footnote w:id="11">
    <w:p w14:paraId="2F75D468" w14:textId="77777777" w:rsidR="00625943" w:rsidRPr="009F6DE1" w:rsidRDefault="00625943" w:rsidP="00625943">
      <w:pPr>
        <w:pStyle w:val="FootnoteText"/>
      </w:pPr>
      <w:r>
        <w:rPr>
          <w:rStyle w:val="FootnoteReference"/>
        </w:rPr>
        <w:footnoteRef/>
      </w:r>
      <w:r>
        <w:t xml:space="preserve"> </w:t>
      </w:r>
      <w:r w:rsidRPr="009F6DE1">
        <w:t>Luk, Y., Fung, M.M.H., Lui, D.T.W., Liu, X., Li, L., Wong, C.K.H. and Lang, B.H.H., 2024. Long-term kidney outcomes in patients with permanent hypoparathyroidism after total thyroidectomy for benign disease: A population-based study. Surgery.</w:t>
      </w:r>
    </w:p>
  </w:footnote>
  <w:footnote w:id="12">
    <w:p w14:paraId="56626801" w14:textId="77777777" w:rsidR="00625943" w:rsidRPr="003E21A2" w:rsidRDefault="00625943" w:rsidP="00625943">
      <w:pPr>
        <w:pStyle w:val="FootnoteText"/>
        <w:rPr>
          <w:lang w:val="en-US"/>
        </w:rPr>
      </w:pPr>
      <w:r>
        <w:rPr>
          <w:rStyle w:val="FootnoteReference"/>
        </w:rPr>
        <w:footnoteRef/>
      </w:r>
      <w:r>
        <w:t xml:space="preserve"> </w:t>
      </w:r>
      <w:r w:rsidRPr="003E21A2">
        <w:t xml:space="preserve">Underbjerg, L., </w:t>
      </w:r>
      <w:proofErr w:type="spellStart"/>
      <w:r w:rsidRPr="003E21A2">
        <w:t>Sikjaer</w:t>
      </w:r>
      <w:proofErr w:type="spellEnd"/>
      <w:r w:rsidRPr="003E21A2">
        <w:t>, T., Mosekilde, L. and Rejnmark, L., 2013. Cardiovascular and renal complications to postsurgical hypoparathyroidism: a Danish nationwide controlled historic follow‐up study. Journal of Bone and Mineral Research, 28(11), pp.2277-2285.</w:t>
      </w:r>
    </w:p>
  </w:footnote>
  <w:footnote w:id="13">
    <w:p w14:paraId="183CE07B" w14:textId="77777777" w:rsidR="00625943" w:rsidRPr="00570361" w:rsidRDefault="00625943" w:rsidP="00625943">
      <w:pPr>
        <w:pStyle w:val="FootnoteText"/>
        <w:rPr>
          <w:lang w:val="en-US"/>
        </w:rPr>
      </w:pPr>
      <w:r>
        <w:rPr>
          <w:rStyle w:val="FootnoteReference"/>
        </w:rPr>
        <w:footnoteRef/>
      </w:r>
      <w:r>
        <w:t xml:space="preserve"> </w:t>
      </w:r>
      <w:proofErr w:type="spellStart"/>
      <w:r w:rsidRPr="00570361">
        <w:t>Hadedeya</w:t>
      </w:r>
      <w:proofErr w:type="spellEnd"/>
      <w:r w:rsidRPr="00570361">
        <w:t xml:space="preserve">, D., Kay, J., Attia, A., Omar, M., Shalaby, M., Youssef, M.R., Shama, M., </w:t>
      </w:r>
      <w:proofErr w:type="spellStart"/>
      <w:r w:rsidRPr="00570361">
        <w:t>Toraih</w:t>
      </w:r>
      <w:proofErr w:type="spellEnd"/>
      <w:r w:rsidRPr="00570361">
        <w:t>, E. and Kandil, E., 2021. Effect of postsurgical chronic hypoparathyroidism on morbidity and mortality: a systematic review and meta-analysis. </w:t>
      </w:r>
      <w:r w:rsidRPr="007B1CC2">
        <w:t>Gland Surgery, 10(10), p.3007</w:t>
      </w:r>
      <w:r w:rsidRPr="00570361">
        <w:t>.</w:t>
      </w:r>
    </w:p>
  </w:footnote>
  <w:footnote w:id="14">
    <w:p w14:paraId="727C9AA8" w14:textId="77777777" w:rsidR="00625943" w:rsidRPr="0060744E" w:rsidRDefault="00625943" w:rsidP="00625943">
      <w:pPr>
        <w:pStyle w:val="FootnoteText"/>
        <w:rPr>
          <w:lang w:val="en-US"/>
        </w:rPr>
      </w:pPr>
      <w:r>
        <w:rPr>
          <w:rStyle w:val="FootnoteReference"/>
        </w:rPr>
        <w:footnoteRef/>
      </w:r>
      <w:r>
        <w:t xml:space="preserve"> </w:t>
      </w:r>
      <w:proofErr w:type="spellStart"/>
      <w:r w:rsidRPr="0060744E">
        <w:t>Vadiveloo</w:t>
      </w:r>
      <w:proofErr w:type="spellEnd"/>
      <w:r w:rsidRPr="0060744E">
        <w:t>, T., Donnan, P.T., Leese, C.J., Abraham, K.J. and Leese, G.P., 2019. Increased mortality and morbidity in patients with chronic hypoparathyroidism: a population‐based study. Clinical endocrinology, 90(2), pp.285-292.</w:t>
      </w:r>
    </w:p>
  </w:footnote>
  <w:footnote w:id="15">
    <w:p w14:paraId="31462647" w14:textId="77777777" w:rsidR="00625943" w:rsidRPr="00B53E9F" w:rsidRDefault="00625943" w:rsidP="00625943">
      <w:pPr>
        <w:pStyle w:val="FootnoteText"/>
        <w:rPr>
          <w:lang w:val="en-US"/>
        </w:rPr>
      </w:pPr>
      <w:r>
        <w:rPr>
          <w:rStyle w:val="FootnoteReference"/>
        </w:rPr>
        <w:footnoteRef/>
      </w:r>
      <w:r>
        <w:t xml:space="preserve"> </w:t>
      </w:r>
      <w:r w:rsidRPr="00007051">
        <w:t xml:space="preserve">Redwood, L., </w:t>
      </w:r>
      <w:proofErr w:type="spellStart"/>
      <w:r w:rsidRPr="00007051">
        <w:t>Currow</w:t>
      </w:r>
      <w:proofErr w:type="spellEnd"/>
      <w:r w:rsidRPr="00007051">
        <w:t xml:space="preserve">, D., </w:t>
      </w:r>
      <w:proofErr w:type="spellStart"/>
      <w:r w:rsidRPr="00007051">
        <w:t>Kochovska</w:t>
      </w:r>
      <w:proofErr w:type="spellEnd"/>
      <w:r w:rsidRPr="00007051">
        <w:t>, S. and Thomas, S.J., 2024. Australian population norms for health-related quality of life measured using the EQ-5D–5L, and relationships with sociodemographic characteristics. Quality of Life Research, 33(3), pp.721-733.</w:t>
      </w:r>
    </w:p>
  </w:footnote>
  <w:footnote w:id="16">
    <w:p w14:paraId="6B374662" w14:textId="77777777" w:rsidR="00625943" w:rsidRDefault="00625943" w:rsidP="00625943">
      <w:pPr>
        <w:pStyle w:val="FootnoteText"/>
      </w:pPr>
      <w:r>
        <w:rPr>
          <w:rStyle w:val="FootnoteReference"/>
        </w:rPr>
        <w:footnoteRef/>
      </w:r>
      <w:r>
        <w:t xml:space="preserve"> </w:t>
      </w:r>
      <w:r w:rsidRPr="001E1CA4">
        <w:t xml:space="preserve">Deloitte Access Economics. </w:t>
      </w:r>
      <w:r>
        <w:t xml:space="preserve">2023. </w:t>
      </w:r>
      <w:r w:rsidRPr="001E1CA4">
        <w:t xml:space="preserve">Changing the chronic kidney disease landscape: The economic benefits of early detection and treatment. </w:t>
      </w:r>
    </w:p>
  </w:footnote>
  <w:footnote w:id="17">
    <w:p w14:paraId="42942094" w14:textId="77777777" w:rsidR="00625943" w:rsidRPr="00495F3B" w:rsidRDefault="00625943" w:rsidP="00625943">
      <w:pPr>
        <w:pStyle w:val="FootnoteText"/>
        <w:rPr>
          <w:lang w:val="en-US"/>
        </w:rPr>
      </w:pPr>
      <w:r>
        <w:rPr>
          <w:rStyle w:val="FootnoteReference"/>
        </w:rPr>
        <w:footnoteRef/>
      </w:r>
      <w:r>
        <w:t xml:space="preserve"> </w:t>
      </w:r>
      <w:r w:rsidRPr="00495F3B">
        <w:t xml:space="preserve">Cooper, J.T., Lloyd, A., Sanchez, J.J.G., </w:t>
      </w:r>
      <w:proofErr w:type="spellStart"/>
      <w:r w:rsidRPr="00495F3B">
        <w:t>Sörstadius</w:t>
      </w:r>
      <w:proofErr w:type="spellEnd"/>
      <w:r w:rsidRPr="00495F3B">
        <w:t>, E., Briggs, A. and McFarlane, P., 2020. Health related quality of life utility weights for economic evaluation through different stages of chronic kidney disease: a systematic literature review. Health and Quality of Life Outcomes, 18(1), p.310.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C4A8" w14:textId="77777777" w:rsidR="00836BEA" w:rsidRDefault="00836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FECA" w14:textId="1977E658" w:rsidR="001E756B" w:rsidRPr="00195452" w:rsidRDefault="00163E8F" w:rsidP="00D822E2">
    <w:pPr>
      <w:pStyle w:val="Header"/>
      <w:rPr>
        <w:rFonts w:asciiTheme="minorHAnsi" w:hAnsiTheme="minorHAnsi"/>
        <w:i w:val="0"/>
        <w:color w:val="808080"/>
      </w:rPr>
    </w:pPr>
    <w:r w:rsidRPr="00163E8F">
      <w:rPr>
        <w:rFonts w:asciiTheme="minorHAnsi" w:hAnsiTheme="minorHAnsi"/>
        <w:color w:val="808080"/>
      </w:rPr>
      <w:t xml:space="preserve">Public Summary Document </w:t>
    </w:r>
    <w:r w:rsidR="00007171">
      <w:rPr>
        <w:rFonts w:asciiTheme="minorHAnsi" w:hAnsiTheme="minorHAnsi"/>
        <w:color w:val="808080"/>
      </w:rPr>
      <w:t xml:space="preserve">- </w:t>
    </w:r>
    <w:r w:rsidR="001E756B">
      <w:rPr>
        <w:rFonts w:asciiTheme="minorHAnsi" w:hAnsiTheme="minorHAnsi"/>
        <w:color w:val="808080"/>
      </w:rPr>
      <w:t xml:space="preserve">March 2025 </w:t>
    </w:r>
    <w:r w:rsidR="001E756B" w:rsidRPr="00195452">
      <w:rPr>
        <w:rFonts w:asciiTheme="minorHAnsi" w:hAnsiTheme="minorHAnsi"/>
        <w:color w:val="808080"/>
      </w:rPr>
      <w:t>PBAC Meeting</w:t>
    </w:r>
  </w:p>
  <w:p w14:paraId="7A866983" w14:textId="77777777" w:rsidR="001E756B" w:rsidRPr="008C7ECB" w:rsidRDefault="001E7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51105" w14:textId="77777777" w:rsidR="00836BEA" w:rsidRDefault="00836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34C22"/>
    <w:multiLevelType w:val="hybridMultilevel"/>
    <w:tmpl w:val="E9388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74272D"/>
    <w:multiLevelType w:val="hybridMultilevel"/>
    <w:tmpl w:val="5622E4F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7D7F7B"/>
    <w:multiLevelType w:val="hybridMultilevel"/>
    <w:tmpl w:val="1EC2390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0554B61"/>
    <w:multiLevelType w:val="hybridMultilevel"/>
    <w:tmpl w:val="11CE6ED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F82716"/>
    <w:multiLevelType w:val="multilevel"/>
    <w:tmpl w:val="0CAC99E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0F03EC"/>
    <w:multiLevelType w:val="hybridMultilevel"/>
    <w:tmpl w:val="A8903AE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D26077"/>
    <w:multiLevelType w:val="hybridMultilevel"/>
    <w:tmpl w:val="F6E8B8E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A3347F"/>
    <w:multiLevelType w:val="multilevel"/>
    <w:tmpl w:val="8494C20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B23AC"/>
    <w:multiLevelType w:val="hybridMultilevel"/>
    <w:tmpl w:val="4AEEF8F4"/>
    <w:lvl w:ilvl="0" w:tplc="0C090001">
      <w:start w:val="1"/>
      <w:numFmt w:val="bullet"/>
      <w:lvlText w:val=""/>
      <w:lvlJc w:val="left"/>
      <w:pPr>
        <w:ind w:left="1547" w:hanging="360"/>
      </w:pPr>
      <w:rPr>
        <w:rFonts w:ascii="Symbol" w:hAnsi="Symbol" w:hint="default"/>
      </w:rPr>
    </w:lvl>
    <w:lvl w:ilvl="1" w:tplc="0C090003" w:tentative="1">
      <w:start w:val="1"/>
      <w:numFmt w:val="bullet"/>
      <w:lvlText w:val="o"/>
      <w:lvlJc w:val="left"/>
      <w:pPr>
        <w:ind w:left="2267" w:hanging="360"/>
      </w:pPr>
      <w:rPr>
        <w:rFonts w:ascii="Courier New" w:hAnsi="Courier New" w:cs="Courier New" w:hint="default"/>
      </w:rPr>
    </w:lvl>
    <w:lvl w:ilvl="2" w:tplc="0C090005" w:tentative="1">
      <w:start w:val="1"/>
      <w:numFmt w:val="bullet"/>
      <w:lvlText w:val=""/>
      <w:lvlJc w:val="left"/>
      <w:pPr>
        <w:ind w:left="2987" w:hanging="360"/>
      </w:pPr>
      <w:rPr>
        <w:rFonts w:ascii="Wingdings" w:hAnsi="Wingdings" w:hint="default"/>
      </w:rPr>
    </w:lvl>
    <w:lvl w:ilvl="3" w:tplc="0C090001" w:tentative="1">
      <w:start w:val="1"/>
      <w:numFmt w:val="bullet"/>
      <w:lvlText w:val=""/>
      <w:lvlJc w:val="left"/>
      <w:pPr>
        <w:ind w:left="3707" w:hanging="360"/>
      </w:pPr>
      <w:rPr>
        <w:rFonts w:ascii="Symbol" w:hAnsi="Symbol" w:hint="default"/>
      </w:rPr>
    </w:lvl>
    <w:lvl w:ilvl="4" w:tplc="0C090003" w:tentative="1">
      <w:start w:val="1"/>
      <w:numFmt w:val="bullet"/>
      <w:lvlText w:val="o"/>
      <w:lvlJc w:val="left"/>
      <w:pPr>
        <w:ind w:left="4427" w:hanging="360"/>
      </w:pPr>
      <w:rPr>
        <w:rFonts w:ascii="Courier New" w:hAnsi="Courier New" w:cs="Courier New" w:hint="default"/>
      </w:rPr>
    </w:lvl>
    <w:lvl w:ilvl="5" w:tplc="0C090005" w:tentative="1">
      <w:start w:val="1"/>
      <w:numFmt w:val="bullet"/>
      <w:lvlText w:val=""/>
      <w:lvlJc w:val="left"/>
      <w:pPr>
        <w:ind w:left="5147" w:hanging="360"/>
      </w:pPr>
      <w:rPr>
        <w:rFonts w:ascii="Wingdings" w:hAnsi="Wingdings" w:hint="default"/>
      </w:rPr>
    </w:lvl>
    <w:lvl w:ilvl="6" w:tplc="0C090001" w:tentative="1">
      <w:start w:val="1"/>
      <w:numFmt w:val="bullet"/>
      <w:lvlText w:val=""/>
      <w:lvlJc w:val="left"/>
      <w:pPr>
        <w:ind w:left="5867" w:hanging="360"/>
      </w:pPr>
      <w:rPr>
        <w:rFonts w:ascii="Symbol" w:hAnsi="Symbol" w:hint="default"/>
      </w:rPr>
    </w:lvl>
    <w:lvl w:ilvl="7" w:tplc="0C090003" w:tentative="1">
      <w:start w:val="1"/>
      <w:numFmt w:val="bullet"/>
      <w:lvlText w:val="o"/>
      <w:lvlJc w:val="left"/>
      <w:pPr>
        <w:ind w:left="6587" w:hanging="360"/>
      </w:pPr>
      <w:rPr>
        <w:rFonts w:ascii="Courier New" w:hAnsi="Courier New" w:cs="Courier New" w:hint="default"/>
      </w:rPr>
    </w:lvl>
    <w:lvl w:ilvl="8" w:tplc="0C090005" w:tentative="1">
      <w:start w:val="1"/>
      <w:numFmt w:val="bullet"/>
      <w:lvlText w:val=""/>
      <w:lvlJc w:val="left"/>
      <w:pPr>
        <w:ind w:left="7307" w:hanging="360"/>
      </w:pPr>
      <w:rPr>
        <w:rFonts w:ascii="Wingdings" w:hAnsi="Wingdings" w:hint="default"/>
      </w:rPr>
    </w:lvl>
  </w:abstractNum>
  <w:abstractNum w:abstractNumId="17"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1217BBA"/>
    <w:multiLevelType w:val="hybridMultilevel"/>
    <w:tmpl w:val="C02E220C"/>
    <w:lvl w:ilvl="0" w:tplc="B15A78D6">
      <w:numFmt w:val="bullet"/>
      <w:lvlText w:val=""/>
      <w:lvlJc w:val="left"/>
      <w:pPr>
        <w:ind w:left="465" w:hanging="360"/>
      </w:pPr>
      <w:rPr>
        <w:rFonts w:ascii="Symbol" w:eastAsia="Symbol" w:hAnsi="Symbol" w:cs="Symbol" w:hint="default"/>
        <w:b w:val="0"/>
        <w:bCs w:val="0"/>
        <w:i w:val="0"/>
        <w:iCs w:val="0"/>
        <w:spacing w:val="0"/>
        <w:w w:val="99"/>
        <w:sz w:val="20"/>
        <w:szCs w:val="20"/>
        <w:lang w:val="en-US" w:eastAsia="en-US" w:bidi="ar-SA"/>
      </w:rPr>
    </w:lvl>
    <w:lvl w:ilvl="1" w:tplc="47667EEC">
      <w:numFmt w:val="bullet"/>
      <w:lvlText w:val="•"/>
      <w:lvlJc w:val="left"/>
      <w:pPr>
        <w:ind w:left="1214" w:hanging="360"/>
      </w:pPr>
      <w:rPr>
        <w:rFonts w:hint="default"/>
        <w:lang w:val="en-US" w:eastAsia="en-US" w:bidi="ar-SA"/>
      </w:rPr>
    </w:lvl>
    <w:lvl w:ilvl="2" w:tplc="B86A45FC">
      <w:numFmt w:val="bullet"/>
      <w:lvlText w:val="•"/>
      <w:lvlJc w:val="left"/>
      <w:pPr>
        <w:ind w:left="1968" w:hanging="360"/>
      </w:pPr>
      <w:rPr>
        <w:rFonts w:hint="default"/>
        <w:lang w:val="en-US" w:eastAsia="en-US" w:bidi="ar-SA"/>
      </w:rPr>
    </w:lvl>
    <w:lvl w:ilvl="3" w:tplc="2AB6083A">
      <w:numFmt w:val="bullet"/>
      <w:lvlText w:val="•"/>
      <w:lvlJc w:val="left"/>
      <w:pPr>
        <w:ind w:left="2722" w:hanging="360"/>
      </w:pPr>
      <w:rPr>
        <w:rFonts w:hint="default"/>
        <w:lang w:val="en-US" w:eastAsia="en-US" w:bidi="ar-SA"/>
      </w:rPr>
    </w:lvl>
    <w:lvl w:ilvl="4" w:tplc="0F7A0968">
      <w:numFmt w:val="bullet"/>
      <w:lvlText w:val="•"/>
      <w:lvlJc w:val="left"/>
      <w:pPr>
        <w:ind w:left="3476" w:hanging="360"/>
      </w:pPr>
      <w:rPr>
        <w:rFonts w:hint="default"/>
        <w:lang w:val="en-US" w:eastAsia="en-US" w:bidi="ar-SA"/>
      </w:rPr>
    </w:lvl>
    <w:lvl w:ilvl="5" w:tplc="399A5698">
      <w:numFmt w:val="bullet"/>
      <w:lvlText w:val="•"/>
      <w:lvlJc w:val="left"/>
      <w:pPr>
        <w:ind w:left="4230" w:hanging="360"/>
      </w:pPr>
      <w:rPr>
        <w:rFonts w:hint="default"/>
        <w:lang w:val="en-US" w:eastAsia="en-US" w:bidi="ar-SA"/>
      </w:rPr>
    </w:lvl>
    <w:lvl w:ilvl="6" w:tplc="6BB6A984">
      <w:numFmt w:val="bullet"/>
      <w:lvlText w:val="•"/>
      <w:lvlJc w:val="left"/>
      <w:pPr>
        <w:ind w:left="4984" w:hanging="360"/>
      </w:pPr>
      <w:rPr>
        <w:rFonts w:hint="default"/>
        <w:lang w:val="en-US" w:eastAsia="en-US" w:bidi="ar-SA"/>
      </w:rPr>
    </w:lvl>
    <w:lvl w:ilvl="7" w:tplc="E28243D2">
      <w:numFmt w:val="bullet"/>
      <w:lvlText w:val="•"/>
      <w:lvlJc w:val="left"/>
      <w:pPr>
        <w:ind w:left="5738" w:hanging="360"/>
      </w:pPr>
      <w:rPr>
        <w:rFonts w:hint="default"/>
        <w:lang w:val="en-US" w:eastAsia="en-US" w:bidi="ar-SA"/>
      </w:rPr>
    </w:lvl>
    <w:lvl w:ilvl="8" w:tplc="234A23CE">
      <w:numFmt w:val="bullet"/>
      <w:lvlText w:val="•"/>
      <w:lvlJc w:val="left"/>
      <w:pPr>
        <w:ind w:left="6492" w:hanging="360"/>
      </w:pPr>
      <w:rPr>
        <w:rFonts w:hint="default"/>
        <w:lang w:val="en-US" w:eastAsia="en-US" w:bidi="ar-SA"/>
      </w:rPr>
    </w:lvl>
  </w:abstractNum>
  <w:abstractNum w:abstractNumId="19" w15:restartNumberingAfterBreak="0">
    <w:nsid w:val="37777F46"/>
    <w:multiLevelType w:val="hybridMultilevel"/>
    <w:tmpl w:val="B04859C8"/>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7B314E8"/>
    <w:multiLevelType w:val="multilevel"/>
    <w:tmpl w:val="8494C20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EB625C"/>
    <w:multiLevelType w:val="hybridMultilevel"/>
    <w:tmpl w:val="84483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A15FAB"/>
    <w:multiLevelType w:val="hybridMultilevel"/>
    <w:tmpl w:val="DC5E9D2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3DC209E2"/>
    <w:multiLevelType w:val="hybridMultilevel"/>
    <w:tmpl w:val="905A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8A7967"/>
    <w:multiLevelType w:val="multilevel"/>
    <w:tmpl w:val="35984EC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511F75"/>
    <w:multiLevelType w:val="multilevel"/>
    <w:tmpl w:val="48EE50E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bullet"/>
      <w:lvlText w:val=""/>
      <w:lvlJc w:val="left"/>
      <w:pPr>
        <w:ind w:left="827"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442297"/>
    <w:multiLevelType w:val="hybridMultilevel"/>
    <w:tmpl w:val="E6FE4E00"/>
    <w:lvl w:ilvl="0" w:tplc="C324F4FC">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4B61BC"/>
    <w:multiLevelType w:val="hybridMultilevel"/>
    <w:tmpl w:val="7058643E"/>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FA94EF0"/>
    <w:multiLevelType w:val="hybridMultilevel"/>
    <w:tmpl w:val="477A8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6D3FA0"/>
    <w:multiLevelType w:val="hybridMultilevel"/>
    <w:tmpl w:val="F1D0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142AFF"/>
    <w:multiLevelType w:val="hybridMultilevel"/>
    <w:tmpl w:val="8B26B352"/>
    <w:lvl w:ilvl="0" w:tplc="0C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59A735EB"/>
    <w:multiLevelType w:val="hybridMultilevel"/>
    <w:tmpl w:val="8580E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B33BB5"/>
    <w:multiLevelType w:val="multilevel"/>
    <w:tmpl w:val="9602335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47D4CB9"/>
    <w:multiLevelType w:val="hybridMultilevel"/>
    <w:tmpl w:val="28661D7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40" w15:restartNumberingAfterBreak="0">
    <w:nsid w:val="66230A6D"/>
    <w:multiLevelType w:val="hybridMultilevel"/>
    <w:tmpl w:val="F22E726A"/>
    <w:lvl w:ilvl="0" w:tplc="FFFFFFFF">
      <w:start w:val="1"/>
      <w:numFmt w:val="bullet"/>
      <w:lvlText w:val=""/>
      <w:lvlJc w:val="left"/>
      <w:pPr>
        <w:ind w:left="827" w:hanging="360"/>
      </w:pPr>
      <w:rPr>
        <w:rFonts w:ascii="Symbol" w:hAnsi="Symbol" w:hint="default"/>
      </w:rPr>
    </w:lvl>
    <w:lvl w:ilvl="1" w:tplc="FFFFFFFF">
      <w:start w:val="1"/>
      <w:numFmt w:val="bullet"/>
      <w:lvlText w:val="o"/>
      <w:lvlJc w:val="left"/>
      <w:pPr>
        <w:ind w:left="1547" w:hanging="360"/>
      </w:pPr>
      <w:rPr>
        <w:rFonts w:ascii="Courier New" w:hAnsi="Courier New" w:cs="Courier New" w:hint="default"/>
      </w:rPr>
    </w:lvl>
    <w:lvl w:ilvl="2" w:tplc="0C090001">
      <w:start w:val="1"/>
      <w:numFmt w:val="bullet"/>
      <w:lvlText w:val=""/>
      <w:lvlJc w:val="left"/>
      <w:pPr>
        <w:ind w:left="1547" w:hanging="360"/>
      </w:pPr>
      <w:rPr>
        <w:rFonts w:ascii="Symbol" w:hAnsi="Symbol" w:hint="default"/>
      </w:rPr>
    </w:lvl>
    <w:lvl w:ilvl="3" w:tplc="FFFFFFFF" w:tentative="1">
      <w:start w:val="1"/>
      <w:numFmt w:val="bullet"/>
      <w:lvlText w:val=""/>
      <w:lvlJc w:val="left"/>
      <w:pPr>
        <w:ind w:left="2987" w:hanging="360"/>
      </w:pPr>
      <w:rPr>
        <w:rFonts w:ascii="Symbol" w:hAnsi="Symbol" w:hint="default"/>
      </w:rPr>
    </w:lvl>
    <w:lvl w:ilvl="4" w:tplc="FFFFFFFF" w:tentative="1">
      <w:start w:val="1"/>
      <w:numFmt w:val="bullet"/>
      <w:lvlText w:val="o"/>
      <w:lvlJc w:val="left"/>
      <w:pPr>
        <w:ind w:left="3707" w:hanging="360"/>
      </w:pPr>
      <w:rPr>
        <w:rFonts w:ascii="Courier New" w:hAnsi="Courier New" w:cs="Courier New" w:hint="default"/>
      </w:rPr>
    </w:lvl>
    <w:lvl w:ilvl="5" w:tplc="FFFFFFFF" w:tentative="1">
      <w:start w:val="1"/>
      <w:numFmt w:val="bullet"/>
      <w:lvlText w:val=""/>
      <w:lvlJc w:val="left"/>
      <w:pPr>
        <w:ind w:left="4427" w:hanging="360"/>
      </w:pPr>
      <w:rPr>
        <w:rFonts w:ascii="Wingdings" w:hAnsi="Wingdings" w:hint="default"/>
      </w:rPr>
    </w:lvl>
    <w:lvl w:ilvl="6" w:tplc="FFFFFFFF" w:tentative="1">
      <w:start w:val="1"/>
      <w:numFmt w:val="bullet"/>
      <w:lvlText w:val=""/>
      <w:lvlJc w:val="left"/>
      <w:pPr>
        <w:ind w:left="5147" w:hanging="360"/>
      </w:pPr>
      <w:rPr>
        <w:rFonts w:ascii="Symbol" w:hAnsi="Symbol" w:hint="default"/>
      </w:rPr>
    </w:lvl>
    <w:lvl w:ilvl="7" w:tplc="FFFFFFFF" w:tentative="1">
      <w:start w:val="1"/>
      <w:numFmt w:val="bullet"/>
      <w:lvlText w:val="o"/>
      <w:lvlJc w:val="left"/>
      <w:pPr>
        <w:ind w:left="5867" w:hanging="360"/>
      </w:pPr>
      <w:rPr>
        <w:rFonts w:ascii="Courier New" w:hAnsi="Courier New" w:cs="Courier New" w:hint="default"/>
      </w:rPr>
    </w:lvl>
    <w:lvl w:ilvl="8" w:tplc="FFFFFFFF" w:tentative="1">
      <w:start w:val="1"/>
      <w:numFmt w:val="bullet"/>
      <w:lvlText w:val=""/>
      <w:lvlJc w:val="left"/>
      <w:pPr>
        <w:ind w:left="6587" w:hanging="360"/>
      </w:pPr>
      <w:rPr>
        <w:rFonts w:ascii="Wingdings" w:hAnsi="Wingdings" w:hint="default"/>
      </w:rPr>
    </w:lvl>
  </w:abstractNum>
  <w:abstractNum w:abstractNumId="41" w15:restartNumberingAfterBreak="0">
    <w:nsid w:val="67475E6F"/>
    <w:multiLevelType w:val="hybridMultilevel"/>
    <w:tmpl w:val="E53CF5F0"/>
    <w:lvl w:ilvl="0" w:tplc="8EA60036">
      <w:start w:val="1"/>
      <w:numFmt w:val="bullet"/>
      <w:lvlText w:val=""/>
      <w:lvlJc w:val="left"/>
      <w:pPr>
        <w:ind w:left="778" w:hanging="360"/>
      </w:pPr>
      <w:rPr>
        <w:rFonts w:ascii="Symbol" w:hAnsi="Symbol" w:hint="default"/>
        <w:color w:val="auto"/>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2"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E296CC4"/>
    <w:multiLevelType w:val="hybridMultilevel"/>
    <w:tmpl w:val="77F09E18"/>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5" w15:restartNumberingAfterBreak="0">
    <w:nsid w:val="6E690A95"/>
    <w:multiLevelType w:val="hybridMultilevel"/>
    <w:tmpl w:val="7346B1FC"/>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6F0438E4"/>
    <w:multiLevelType w:val="multilevel"/>
    <w:tmpl w:val="01AA43C0"/>
    <w:lvl w:ilvl="0">
      <w:start w:val="1"/>
      <w:numFmt w:val="decimal"/>
      <w:lvlText w:val="%1"/>
      <w:lvlJc w:val="left"/>
      <w:pPr>
        <w:ind w:left="720" w:hanging="720"/>
      </w:pPr>
      <w:rPr>
        <w:rFonts w:hint="default"/>
        <w:b w:val="0"/>
        <w:bCs/>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876553"/>
    <w:multiLevelType w:val="hybridMultilevel"/>
    <w:tmpl w:val="D6C6EE6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4D033C"/>
    <w:multiLevelType w:val="multilevel"/>
    <w:tmpl w:val="87309EA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48"/>
  </w:num>
  <w:num w:numId="2" w16cid:durableId="917793048">
    <w:abstractNumId w:val="28"/>
  </w:num>
  <w:num w:numId="3" w16cid:durableId="263461728">
    <w:abstractNumId w:val="0"/>
  </w:num>
  <w:num w:numId="4" w16cid:durableId="220360847">
    <w:abstractNumId w:val="38"/>
  </w:num>
  <w:num w:numId="5" w16cid:durableId="268196418">
    <w:abstractNumId w:val="17"/>
  </w:num>
  <w:num w:numId="6" w16cid:durableId="1048839230">
    <w:abstractNumId w:val="48"/>
  </w:num>
  <w:num w:numId="7" w16cid:durableId="442000561">
    <w:abstractNumId w:val="18"/>
  </w:num>
  <w:num w:numId="8" w16cid:durableId="863636641">
    <w:abstractNumId w:val="24"/>
  </w:num>
  <w:num w:numId="9" w16cid:durableId="972711091">
    <w:abstractNumId w:val="44"/>
  </w:num>
  <w:num w:numId="10" w16cid:durableId="959802233">
    <w:abstractNumId w:val="27"/>
  </w:num>
  <w:num w:numId="11" w16cid:durableId="1036615655">
    <w:abstractNumId w:val="26"/>
  </w:num>
  <w:num w:numId="12" w16cid:durableId="1756200830">
    <w:abstractNumId w:val="41"/>
  </w:num>
  <w:num w:numId="13" w16cid:durableId="1081676446">
    <w:abstractNumId w:val="47"/>
  </w:num>
  <w:num w:numId="14" w16cid:durableId="487287282">
    <w:abstractNumId w:val="12"/>
  </w:num>
  <w:num w:numId="15" w16cid:durableId="1860313859">
    <w:abstractNumId w:val="6"/>
  </w:num>
  <w:num w:numId="16" w16cid:durableId="236091071">
    <w:abstractNumId w:val="35"/>
  </w:num>
  <w:num w:numId="17" w16cid:durableId="1177577810">
    <w:abstractNumId w:val="10"/>
  </w:num>
  <w:num w:numId="18" w16cid:durableId="1156729720">
    <w:abstractNumId w:val="23"/>
  </w:num>
  <w:num w:numId="19" w16cid:durableId="704645582">
    <w:abstractNumId w:val="30"/>
  </w:num>
  <w:num w:numId="20" w16cid:durableId="2072850983">
    <w:abstractNumId w:val="25"/>
  </w:num>
  <w:num w:numId="21" w16cid:durableId="1168638123">
    <w:abstractNumId w:val="33"/>
  </w:num>
  <w:num w:numId="22" w16cid:durableId="1175220167">
    <w:abstractNumId w:val="39"/>
  </w:num>
  <w:num w:numId="23" w16cid:durableId="3832614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5511400">
    <w:abstractNumId w:val="46"/>
  </w:num>
  <w:num w:numId="25" w16cid:durableId="1187869605">
    <w:abstractNumId w:val="34"/>
  </w:num>
  <w:num w:numId="26" w16cid:durableId="322395822">
    <w:abstractNumId w:val="7"/>
  </w:num>
  <w:num w:numId="27" w16cid:durableId="532352696">
    <w:abstractNumId w:val="9"/>
  </w:num>
  <w:num w:numId="28" w16cid:durableId="1932395435">
    <w:abstractNumId w:val="19"/>
  </w:num>
  <w:num w:numId="29" w16cid:durableId="839396469">
    <w:abstractNumId w:val="45"/>
  </w:num>
  <w:num w:numId="30" w16cid:durableId="752550275">
    <w:abstractNumId w:val="29"/>
  </w:num>
  <w:num w:numId="31" w16cid:durableId="1429158733">
    <w:abstractNumId w:val="16"/>
  </w:num>
  <w:num w:numId="32" w16cid:durableId="800851797">
    <w:abstractNumId w:val="40"/>
  </w:num>
  <w:num w:numId="33" w16cid:durableId="563029745">
    <w:abstractNumId w:val="5"/>
  </w:num>
  <w:num w:numId="34" w16cid:durableId="1061712299">
    <w:abstractNumId w:val="8"/>
  </w:num>
  <w:num w:numId="35" w16cid:durableId="1660116426">
    <w:abstractNumId w:val="3"/>
  </w:num>
  <w:num w:numId="36" w16cid:durableId="363988700">
    <w:abstractNumId w:val="42"/>
  </w:num>
  <w:num w:numId="37" w16cid:durableId="522860828">
    <w:abstractNumId w:val="21"/>
  </w:num>
  <w:num w:numId="38" w16cid:durableId="355236688">
    <w:abstractNumId w:val="2"/>
  </w:num>
  <w:num w:numId="39" w16cid:durableId="1573005167">
    <w:abstractNumId w:val="31"/>
  </w:num>
  <w:num w:numId="40" w16cid:durableId="408699874">
    <w:abstractNumId w:val="32"/>
  </w:num>
  <w:num w:numId="41" w16cid:durableId="1569418770">
    <w:abstractNumId w:val="4"/>
  </w:num>
  <w:num w:numId="42" w16cid:durableId="705176722">
    <w:abstractNumId w:val="1"/>
  </w:num>
  <w:num w:numId="43" w16cid:durableId="1926569401">
    <w:abstractNumId w:val="13"/>
  </w:num>
  <w:num w:numId="44" w16cid:durableId="1979457665">
    <w:abstractNumId w:val="15"/>
  </w:num>
  <w:num w:numId="45" w16cid:durableId="2038313566">
    <w:abstractNumId w:val="11"/>
  </w:num>
  <w:num w:numId="46" w16cid:durableId="129744317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997201">
    <w:abstractNumId w:val="43"/>
  </w:num>
  <w:num w:numId="48" w16cid:durableId="1416632846">
    <w:abstractNumId w:val="36"/>
  </w:num>
  <w:num w:numId="49" w16cid:durableId="944271172">
    <w:abstractNumId w:val="14"/>
  </w:num>
  <w:num w:numId="50" w16cid:durableId="2008634621">
    <w:abstractNumId w:val="20"/>
  </w:num>
  <w:num w:numId="51" w16cid:durableId="832525810">
    <w:abstractNumId w:val="22"/>
  </w:num>
  <w:num w:numId="52" w16cid:durableId="201672177">
    <w:abstractNumId w:val="48"/>
  </w:num>
  <w:num w:numId="53" w16cid:durableId="1506281521">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216"/>
    <w:rsid w:val="00000439"/>
    <w:rsid w:val="00000767"/>
    <w:rsid w:val="00000790"/>
    <w:rsid w:val="00000E7F"/>
    <w:rsid w:val="0000110B"/>
    <w:rsid w:val="00001377"/>
    <w:rsid w:val="000015E7"/>
    <w:rsid w:val="00001650"/>
    <w:rsid w:val="00001F88"/>
    <w:rsid w:val="000020D4"/>
    <w:rsid w:val="00002501"/>
    <w:rsid w:val="00003499"/>
    <w:rsid w:val="000039B7"/>
    <w:rsid w:val="00003EC7"/>
    <w:rsid w:val="000055B4"/>
    <w:rsid w:val="000056B9"/>
    <w:rsid w:val="00005DB2"/>
    <w:rsid w:val="00005E94"/>
    <w:rsid w:val="00005F68"/>
    <w:rsid w:val="0000639A"/>
    <w:rsid w:val="0000672C"/>
    <w:rsid w:val="000068D1"/>
    <w:rsid w:val="00006F1D"/>
    <w:rsid w:val="00006FCB"/>
    <w:rsid w:val="00007171"/>
    <w:rsid w:val="00007A55"/>
    <w:rsid w:val="00007AE7"/>
    <w:rsid w:val="000101A4"/>
    <w:rsid w:val="000109CD"/>
    <w:rsid w:val="00010B00"/>
    <w:rsid w:val="00010BAF"/>
    <w:rsid w:val="00011BB0"/>
    <w:rsid w:val="00012169"/>
    <w:rsid w:val="00012D07"/>
    <w:rsid w:val="00013247"/>
    <w:rsid w:val="0001375A"/>
    <w:rsid w:val="0001380B"/>
    <w:rsid w:val="0001421F"/>
    <w:rsid w:val="00014A8C"/>
    <w:rsid w:val="00015301"/>
    <w:rsid w:val="0001552F"/>
    <w:rsid w:val="00015886"/>
    <w:rsid w:val="00015B6B"/>
    <w:rsid w:val="00015BED"/>
    <w:rsid w:val="00015D4A"/>
    <w:rsid w:val="000162EF"/>
    <w:rsid w:val="000165B8"/>
    <w:rsid w:val="000167B0"/>
    <w:rsid w:val="00017402"/>
    <w:rsid w:val="0002042F"/>
    <w:rsid w:val="000204BD"/>
    <w:rsid w:val="00020508"/>
    <w:rsid w:val="000207BA"/>
    <w:rsid w:val="000207C9"/>
    <w:rsid w:val="00021EAB"/>
    <w:rsid w:val="0002214B"/>
    <w:rsid w:val="0002225F"/>
    <w:rsid w:val="00022F1C"/>
    <w:rsid w:val="00023763"/>
    <w:rsid w:val="0002425F"/>
    <w:rsid w:val="00024EB5"/>
    <w:rsid w:val="00024FF0"/>
    <w:rsid w:val="0002540A"/>
    <w:rsid w:val="00025A76"/>
    <w:rsid w:val="00026345"/>
    <w:rsid w:val="000274B8"/>
    <w:rsid w:val="000279BA"/>
    <w:rsid w:val="00027C0A"/>
    <w:rsid w:val="00027D0E"/>
    <w:rsid w:val="00027EA6"/>
    <w:rsid w:val="00027F26"/>
    <w:rsid w:val="0003085F"/>
    <w:rsid w:val="00030A3E"/>
    <w:rsid w:val="00030F87"/>
    <w:rsid w:val="00031009"/>
    <w:rsid w:val="0003149A"/>
    <w:rsid w:val="00031B76"/>
    <w:rsid w:val="0003345D"/>
    <w:rsid w:val="00033863"/>
    <w:rsid w:val="000339F6"/>
    <w:rsid w:val="00033B86"/>
    <w:rsid w:val="00033C71"/>
    <w:rsid w:val="000345EA"/>
    <w:rsid w:val="00034ADD"/>
    <w:rsid w:val="00034F3F"/>
    <w:rsid w:val="00035D2C"/>
    <w:rsid w:val="00035DC0"/>
    <w:rsid w:val="00036239"/>
    <w:rsid w:val="0003672F"/>
    <w:rsid w:val="00036829"/>
    <w:rsid w:val="00036898"/>
    <w:rsid w:val="000368BC"/>
    <w:rsid w:val="00036C1D"/>
    <w:rsid w:val="00036F54"/>
    <w:rsid w:val="000377D6"/>
    <w:rsid w:val="00037B8A"/>
    <w:rsid w:val="00037C8A"/>
    <w:rsid w:val="00037E32"/>
    <w:rsid w:val="000400F8"/>
    <w:rsid w:val="00040895"/>
    <w:rsid w:val="00040910"/>
    <w:rsid w:val="00040956"/>
    <w:rsid w:val="000410A0"/>
    <w:rsid w:val="00041540"/>
    <w:rsid w:val="00041580"/>
    <w:rsid w:val="000423D8"/>
    <w:rsid w:val="00042903"/>
    <w:rsid w:val="00042C38"/>
    <w:rsid w:val="00042DFD"/>
    <w:rsid w:val="0004334D"/>
    <w:rsid w:val="000435EE"/>
    <w:rsid w:val="000439EF"/>
    <w:rsid w:val="00043C37"/>
    <w:rsid w:val="00043D37"/>
    <w:rsid w:val="00043E79"/>
    <w:rsid w:val="00044630"/>
    <w:rsid w:val="00044827"/>
    <w:rsid w:val="00044A86"/>
    <w:rsid w:val="00045017"/>
    <w:rsid w:val="00045A2B"/>
    <w:rsid w:val="000461BF"/>
    <w:rsid w:val="0004698F"/>
    <w:rsid w:val="00046D64"/>
    <w:rsid w:val="00047479"/>
    <w:rsid w:val="00047B22"/>
    <w:rsid w:val="00050887"/>
    <w:rsid w:val="000508C2"/>
    <w:rsid w:val="00050BA4"/>
    <w:rsid w:val="00051264"/>
    <w:rsid w:val="00051464"/>
    <w:rsid w:val="0005242D"/>
    <w:rsid w:val="0005263F"/>
    <w:rsid w:val="000535A3"/>
    <w:rsid w:val="000539D0"/>
    <w:rsid w:val="00054621"/>
    <w:rsid w:val="000546D7"/>
    <w:rsid w:val="00054A8D"/>
    <w:rsid w:val="00054AB8"/>
    <w:rsid w:val="00054C1A"/>
    <w:rsid w:val="000550C5"/>
    <w:rsid w:val="00055470"/>
    <w:rsid w:val="00056481"/>
    <w:rsid w:val="000564F0"/>
    <w:rsid w:val="00056871"/>
    <w:rsid w:val="00056ECF"/>
    <w:rsid w:val="00056FAC"/>
    <w:rsid w:val="0005707C"/>
    <w:rsid w:val="0005725E"/>
    <w:rsid w:val="000574DD"/>
    <w:rsid w:val="00057702"/>
    <w:rsid w:val="000601A4"/>
    <w:rsid w:val="000604DF"/>
    <w:rsid w:val="000606BD"/>
    <w:rsid w:val="000614FE"/>
    <w:rsid w:val="00061C08"/>
    <w:rsid w:val="00062324"/>
    <w:rsid w:val="00062DB4"/>
    <w:rsid w:val="0006319B"/>
    <w:rsid w:val="00063728"/>
    <w:rsid w:val="00064492"/>
    <w:rsid w:val="00064775"/>
    <w:rsid w:val="000653B5"/>
    <w:rsid w:val="0006575C"/>
    <w:rsid w:val="00066360"/>
    <w:rsid w:val="00066AF8"/>
    <w:rsid w:val="00066D20"/>
    <w:rsid w:val="000673B2"/>
    <w:rsid w:val="00070127"/>
    <w:rsid w:val="000704FD"/>
    <w:rsid w:val="00070AA6"/>
    <w:rsid w:val="00070ACA"/>
    <w:rsid w:val="00070D2F"/>
    <w:rsid w:val="00071248"/>
    <w:rsid w:val="00071B5A"/>
    <w:rsid w:val="00071F97"/>
    <w:rsid w:val="00072046"/>
    <w:rsid w:val="000720B9"/>
    <w:rsid w:val="000723AE"/>
    <w:rsid w:val="000737F7"/>
    <w:rsid w:val="000738CC"/>
    <w:rsid w:val="00073FCB"/>
    <w:rsid w:val="00074255"/>
    <w:rsid w:val="00074D8F"/>
    <w:rsid w:val="0007527C"/>
    <w:rsid w:val="000758BC"/>
    <w:rsid w:val="00076436"/>
    <w:rsid w:val="000764CB"/>
    <w:rsid w:val="0007672F"/>
    <w:rsid w:val="00076A60"/>
    <w:rsid w:val="00076B54"/>
    <w:rsid w:val="000774F0"/>
    <w:rsid w:val="0007776D"/>
    <w:rsid w:val="000779F7"/>
    <w:rsid w:val="00077DF4"/>
    <w:rsid w:val="00077F87"/>
    <w:rsid w:val="00077FC8"/>
    <w:rsid w:val="0008008C"/>
    <w:rsid w:val="00080909"/>
    <w:rsid w:val="00080C0E"/>
    <w:rsid w:val="00080D27"/>
    <w:rsid w:val="00080E8B"/>
    <w:rsid w:val="00081138"/>
    <w:rsid w:val="000812CA"/>
    <w:rsid w:val="00081E63"/>
    <w:rsid w:val="000820FF"/>
    <w:rsid w:val="0008258D"/>
    <w:rsid w:val="00082796"/>
    <w:rsid w:val="000832B6"/>
    <w:rsid w:val="000834FE"/>
    <w:rsid w:val="00083E99"/>
    <w:rsid w:val="00083FF3"/>
    <w:rsid w:val="000846E7"/>
    <w:rsid w:val="00084E24"/>
    <w:rsid w:val="00084FA8"/>
    <w:rsid w:val="000856C5"/>
    <w:rsid w:val="00085C31"/>
    <w:rsid w:val="000861CF"/>
    <w:rsid w:val="000861F9"/>
    <w:rsid w:val="0008657D"/>
    <w:rsid w:val="000866F9"/>
    <w:rsid w:val="00086961"/>
    <w:rsid w:val="00086D4E"/>
    <w:rsid w:val="0008733F"/>
    <w:rsid w:val="00087A4A"/>
    <w:rsid w:val="00087A71"/>
    <w:rsid w:val="00087BFF"/>
    <w:rsid w:val="000902D9"/>
    <w:rsid w:val="0009044C"/>
    <w:rsid w:val="000905E5"/>
    <w:rsid w:val="00090694"/>
    <w:rsid w:val="00090C7E"/>
    <w:rsid w:val="000910F7"/>
    <w:rsid w:val="00091101"/>
    <w:rsid w:val="000911AC"/>
    <w:rsid w:val="000913C4"/>
    <w:rsid w:val="000917FA"/>
    <w:rsid w:val="000918D0"/>
    <w:rsid w:val="00092157"/>
    <w:rsid w:val="0009215C"/>
    <w:rsid w:val="00092287"/>
    <w:rsid w:val="00092600"/>
    <w:rsid w:val="0009262B"/>
    <w:rsid w:val="00092C26"/>
    <w:rsid w:val="000930AE"/>
    <w:rsid w:val="000930E4"/>
    <w:rsid w:val="00093219"/>
    <w:rsid w:val="00093310"/>
    <w:rsid w:val="00093380"/>
    <w:rsid w:val="0009387B"/>
    <w:rsid w:val="0009445C"/>
    <w:rsid w:val="00094DB7"/>
    <w:rsid w:val="00094EF4"/>
    <w:rsid w:val="00095200"/>
    <w:rsid w:val="00095CAA"/>
    <w:rsid w:val="00095FE5"/>
    <w:rsid w:val="00096284"/>
    <w:rsid w:val="00096E5C"/>
    <w:rsid w:val="00097601"/>
    <w:rsid w:val="000A0D6D"/>
    <w:rsid w:val="000A0F6E"/>
    <w:rsid w:val="000A0F87"/>
    <w:rsid w:val="000A120C"/>
    <w:rsid w:val="000A15EA"/>
    <w:rsid w:val="000A1BC0"/>
    <w:rsid w:val="000A2727"/>
    <w:rsid w:val="000A2DE9"/>
    <w:rsid w:val="000A2EB4"/>
    <w:rsid w:val="000A2F9E"/>
    <w:rsid w:val="000A3E47"/>
    <w:rsid w:val="000A44F0"/>
    <w:rsid w:val="000A5158"/>
    <w:rsid w:val="000A522B"/>
    <w:rsid w:val="000A57A5"/>
    <w:rsid w:val="000A5957"/>
    <w:rsid w:val="000A6039"/>
    <w:rsid w:val="000A72FA"/>
    <w:rsid w:val="000A7453"/>
    <w:rsid w:val="000A7A0F"/>
    <w:rsid w:val="000A7D08"/>
    <w:rsid w:val="000B0121"/>
    <w:rsid w:val="000B04AA"/>
    <w:rsid w:val="000B0670"/>
    <w:rsid w:val="000B0E75"/>
    <w:rsid w:val="000B1EC4"/>
    <w:rsid w:val="000B23C6"/>
    <w:rsid w:val="000B26FA"/>
    <w:rsid w:val="000B2994"/>
    <w:rsid w:val="000B2DCB"/>
    <w:rsid w:val="000B39D9"/>
    <w:rsid w:val="000B3AB6"/>
    <w:rsid w:val="000B3B5E"/>
    <w:rsid w:val="000B4F4A"/>
    <w:rsid w:val="000B564A"/>
    <w:rsid w:val="000B574D"/>
    <w:rsid w:val="000B5769"/>
    <w:rsid w:val="000B5CE0"/>
    <w:rsid w:val="000B676D"/>
    <w:rsid w:val="000B6A75"/>
    <w:rsid w:val="000B6B2A"/>
    <w:rsid w:val="000B6CAC"/>
    <w:rsid w:val="000B6F0B"/>
    <w:rsid w:val="000B7612"/>
    <w:rsid w:val="000B78AE"/>
    <w:rsid w:val="000B79C8"/>
    <w:rsid w:val="000B7AC3"/>
    <w:rsid w:val="000B7CAF"/>
    <w:rsid w:val="000C0000"/>
    <w:rsid w:val="000C08C8"/>
    <w:rsid w:val="000C0929"/>
    <w:rsid w:val="000C09F7"/>
    <w:rsid w:val="000C0D85"/>
    <w:rsid w:val="000C0DBD"/>
    <w:rsid w:val="000C0F27"/>
    <w:rsid w:val="000C11D5"/>
    <w:rsid w:val="000C1200"/>
    <w:rsid w:val="000C1B39"/>
    <w:rsid w:val="000C1EC7"/>
    <w:rsid w:val="000C205A"/>
    <w:rsid w:val="000C35D7"/>
    <w:rsid w:val="000C3DF9"/>
    <w:rsid w:val="000C40DF"/>
    <w:rsid w:val="000C4196"/>
    <w:rsid w:val="000C41D4"/>
    <w:rsid w:val="000C43E6"/>
    <w:rsid w:val="000C4CF2"/>
    <w:rsid w:val="000C53C7"/>
    <w:rsid w:val="000C5E1C"/>
    <w:rsid w:val="000C5E62"/>
    <w:rsid w:val="000C6696"/>
    <w:rsid w:val="000C66BA"/>
    <w:rsid w:val="000C6713"/>
    <w:rsid w:val="000C672B"/>
    <w:rsid w:val="000C69A3"/>
    <w:rsid w:val="000C6CBE"/>
    <w:rsid w:val="000C7257"/>
    <w:rsid w:val="000C73FF"/>
    <w:rsid w:val="000C7675"/>
    <w:rsid w:val="000C7BB2"/>
    <w:rsid w:val="000D02D6"/>
    <w:rsid w:val="000D08F8"/>
    <w:rsid w:val="000D0BA0"/>
    <w:rsid w:val="000D1592"/>
    <w:rsid w:val="000D1BFC"/>
    <w:rsid w:val="000D1D5D"/>
    <w:rsid w:val="000D1ED7"/>
    <w:rsid w:val="000D1FBD"/>
    <w:rsid w:val="000D21C7"/>
    <w:rsid w:val="000D2583"/>
    <w:rsid w:val="000D281A"/>
    <w:rsid w:val="000D2848"/>
    <w:rsid w:val="000D3160"/>
    <w:rsid w:val="000D326A"/>
    <w:rsid w:val="000D3395"/>
    <w:rsid w:val="000D33F6"/>
    <w:rsid w:val="000D3454"/>
    <w:rsid w:val="000D4173"/>
    <w:rsid w:val="000D47B7"/>
    <w:rsid w:val="000D4CD1"/>
    <w:rsid w:val="000D4F58"/>
    <w:rsid w:val="000D51FB"/>
    <w:rsid w:val="000D5238"/>
    <w:rsid w:val="000D627D"/>
    <w:rsid w:val="000D68D4"/>
    <w:rsid w:val="000D6C28"/>
    <w:rsid w:val="000E0640"/>
    <w:rsid w:val="000E07D0"/>
    <w:rsid w:val="000E0B63"/>
    <w:rsid w:val="000E0E32"/>
    <w:rsid w:val="000E135D"/>
    <w:rsid w:val="000E1C50"/>
    <w:rsid w:val="000E1CC7"/>
    <w:rsid w:val="000E2B14"/>
    <w:rsid w:val="000E2B4C"/>
    <w:rsid w:val="000E2F78"/>
    <w:rsid w:val="000E42DD"/>
    <w:rsid w:val="000E473C"/>
    <w:rsid w:val="000E47F9"/>
    <w:rsid w:val="000E64E8"/>
    <w:rsid w:val="000E7C52"/>
    <w:rsid w:val="000F00BA"/>
    <w:rsid w:val="000F0254"/>
    <w:rsid w:val="000F04BF"/>
    <w:rsid w:val="000F0CE5"/>
    <w:rsid w:val="000F0E29"/>
    <w:rsid w:val="000F1188"/>
    <w:rsid w:val="000F192A"/>
    <w:rsid w:val="000F2AB6"/>
    <w:rsid w:val="000F316A"/>
    <w:rsid w:val="000F3C51"/>
    <w:rsid w:val="000F3C74"/>
    <w:rsid w:val="000F4BB8"/>
    <w:rsid w:val="000F4FA9"/>
    <w:rsid w:val="000F53A9"/>
    <w:rsid w:val="000F53FB"/>
    <w:rsid w:val="000F55EF"/>
    <w:rsid w:val="000F5603"/>
    <w:rsid w:val="000F5D1B"/>
    <w:rsid w:val="000F6EC6"/>
    <w:rsid w:val="000F7127"/>
    <w:rsid w:val="000F7B54"/>
    <w:rsid w:val="000F7BAE"/>
    <w:rsid w:val="001000B3"/>
    <w:rsid w:val="001002A4"/>
    <w:rsid w:val="00100F8A"/>
    <w:rsid w:val="00101A06"/>
    <w:rsid w:val="00101AB3"/>
    <w:rsid w:val="00101EC4"/>
    <w:rsid w:val="001026E0"/>
    <w:rsid w:val="00102AF4"/>
    <w:rsid w:val="001036B1"/>
    <w:rsid w:val="00103AEF"/>
    <w:rsid w:val="0010452E"/>
    <w:rsid w:val="00105187"/>
    <w:rsid w:val="0010524E"/>
    <w:rsid w:val="001056E6"/>
    <w:rsid w:val="00105AE2"/>
    <w:rsid w:val="001060C6"/>
    <w:rsid w:val="001061D3"/>
    <w:rsid w:val="0010621D"/>
    <w:rsid w:val="001064A7"/>
    <w:rsid w:val="00106B80"/>
    <w:rsid w:val="00107623"/>
    <w:rsid w:val="00110265"/>
    <w:rsid w:val="0011032E"/>
    <w:rsid w:val="001103AE"/>
    <w:rsid w:val="00110846"/>
    <w:rsid w:val="00110B8E"/>
    <w:rsid w:val="001111A9"/>
    <w:rsid w:val="00111CDD"/>
    <w:rsid w:val="00111DAA"/>
    <w:rsid w:val="00112A9A"/>
    <w:rsid w:val="00112A9B"/>
    <w:rsid w:val="00112B4B"/>
    <w:rsid w:val="00112C41"/>
    <w:rsid w:val="00112ED2"/>
    <w:rsid w:val="0011348B"/>
    <w:rsid w:val="0011479F"/>
    <w:rsid w:val="00114D5E"/>
    <w:rsid w:val="00115982"/>
    <w:rsid w:val="001166F6"/>
    <w:rsid w:val="00116C53"/>
    <w:rsid w:val="00117144"/>
    <w:rsid w:val="001174C0"/>
    <w:rsid w:val="00117660"/>
    <w:rsid w:val="001177C2"/>
    <w:rsid w:val="00117CB4"/>
    <w:rsid w:val="00120D3D"/>
    <w:rsid w:val="00120E54"/>
    <w:rsid w:val="001213B7"/>
    <w:rsid w:val="00121799"/>
    <w:rsid w:val="00121B3E"/>
    <w:rsid w:val="00121E7C"/>
    <w:rsid w:val="00121FAD"/>
    <w:rsid w:val="001222FC"/>
    <w:rsid w:val="00122DD1"/>
    <w:rsid w:val="00122EA9"/>
    <w:rsid w:val="001233C4"/>
    <w:rsid w:val="00123902"/>
    <w:rsid w:val="00124054"/>
    <w:rsid w:val="001245B9"/>
    <w:rsid w:val="001245EE"/>
    <w:rsid w:val="00124769"/>
    <w:rsid w:val="00124A51"/>
    <w:rsid w:val="00124B59"/>
    <w:rsid w:val="001258F1"/>
    <w:rsid w:val="0012625D"/>
    <w:rsid w:val="00126621"/>
    <w:rsid w:val="001267FF"/>
    <w:rsid w:val="0012688B"/>
    <w:rsid w:val="00126A2E"/>
    <w:rsid w:val="00126B1D"/>
    <w:rsid w:val="001271ED"/>
    <w:rsid w:val="00127210"/>
    <w:rsid w:val="00127AF7"/>
    <w:rsid w:val="00127C4D"/>
    <w:rsid w:val="0013009D"/>
    <w:rsid w:val="001301E9"/>
    <w:rsid w:val="00130928"/>
    <w:rsid w:val="00131410"/>
    <w:rsid w:val="001314BD"/>
    <w:rsid w:val="00131D82"/>
    <w:rsid w:val="001320F4"/>
    <w:rsid w:val="00132B22"/>
    <w:rsid w:val="00133273"/>
    <w:rsid w:val="00133D36"/>
    <w:rsid w:val="0013516F"/>
    <w:rsid w:val="00135BD8"/>
    <w:rsid w:val="00136972"/>
    <w:rsid w:val="00136B41"/>
    <w:rsid w:val="0013752B"/>
    <w:rsid w:val="0013756B"/>
    <w:rsid w:val="00137645"/>
    <w:rsid w:val="00137C98"/>
    <w:rsid w:val="00137E4A"/>
    <w:rsid w:val="0014015A"/>
    <w:rsid w:val="00140578"/>
    <w:rsid w:val="00140E99"/>
    <w:rsid w:val="00140FD3"/>
    <w:rsid w:val="00141141"/>
    <w:rsid w:val="00142517"/>
    <w:rsid w:val="00142599"/>
    <w:rsid w:val="00142980"/>
    <w:rsid w:val="00142A1F"/>
    <w:rsid w:val="00142C23"/>
    <w:rsid w:val="00142CE2"/>
    <w:rsid w:val="00143119"/>
    <w:rsid w:val="00143A00"/>
    <w:rsid w:val="00143DCF"/>
    <w:rsid w:val="00143F67"/>
    <w:rsid w:val="00144D10"/>
    <w:rsid w:val="00145234"/>
    <w:rsid w:val="00145540"/>
    <w:rsid w:val="001456B0"/>
    <w:rsid w:val="001457AB"/>
    <w:rsid w:val="001461DF"/>
    <w:rsid w:val="0014656E"/>
    <w:rsid w:val="00146E56"/>
    <w:rsid w:val="001478CF"/>
    <w:rsid w:val="001479FF"/>
    <w:rsid w:val="00147ACD"/>
    <w:rsid w:val="00147C7D"/>
    <w:rsid w:val="00147CFD"/>
    <w:rsid w:val="00150640"/>
    <w:rsid w:val="00150979"/>
    <w:rsid w:val="00150BFD"/>
    <w:rsid w:val="00151020"/>
    <w:rsid w:val="001514B5"/>
    <w:rsid w:val="00151C8F"/>
    <w:rsid w:val="0015301E"/>
    <w:rsid w:val="00153CE0"/>
    <w:rsid w:val="001547AB"/>
    <w:rsid w:val="00155232"/>
    <w:rsid w:val="00155864"/>
    <w:rsid w:val="0015669C"/>
    <w:rsid w:val="0015675C"/>
    <w:rsid w:val="001568D7"/>
    <w:rsid w:val="001569C1"/>
    <w:rsid w:val="00156F8F"/>
    <w:rsid w:val="00157130"/>
    <w:rsid w:val="001576B1"/>
    <w:rsid w:val="001578F9"/>
    <w:rsid w:val="0016031A"/>
    <w:rsid w:val="0016047B"/>
    <w:rsid w:val="00160A4C"/>
    <w:rsid w:val="00160AB0"/>
    <w:rsid w:val="0016148B"/>
    <w:rsid w:val="0016161F"/>
    <w:rsid w:val="00161948"/>
    <w:rsid w:val="00161F4F"/>
    <w:rsid w:val="00162913"/>
    <w:rsid w:val="00162B23"/>
    <w:rsid w:val="00162ECC"/>
    <w:rsid w:val="0016326E"/>
    <w:rsid w:val="0016342D"/>
    <w:rsid w:val="001634A8"/>
    <w:rsid w:val="00163E8F"/>
    <w:rsid w:val="00163EFF"/>
    <w:rsid w:val="00163F66"/>
    <w:rsid w:val="0016478E"/>
    <w:rsid w:val="00164C4A"/>
    <w:rsid w:val="00164DD4"/>
    <w:rsid w:val="00165326"/>
    <w:rsid w:val="0016549C"/>
    <w:rsid w:val="00165EC4"/>
    <w:rsid w:val="001661FB"/>
    <w:rsid w:val="0016637D"/>
    <w:rsid w:val="001666C4"/>
    <w:rsid w:val="001671A0"/>
    <w:rsid w:val="0016767F"/>
    <w:rsid w:val="00167D85"/>
    <w:rsid w:val="0017013B"/>
    <w:rsid w:val="00170294"/>
    <w:rsid w:val="00170623"/>
    <w:rsid w:val="00171582"/>
    <w:rsid w:val="001717CF"/>
    <w:rsid w:val="00172258"/>
    <w:rsid w:val="001723E3"/>
    <w:rsid w:val="0017254D"/>
    <w:rsid w:val="00172755"/>
    <w:rsid w:val="0017290C"/>
    <w:rsid w:val="00172ED6"/>
    <w:rsid w:val="001733FF"/>
    <w:rsid w:val="00173565"/>
    <w:rsid w:val="00173571"/>
    <w:rsid w:val="00173B07"/>
    <w:rsid w:val="00173DA3"/>
    <w:rsid w:val="0017409D"/>
    <w:rsid w:val="00174F13"/>
    <w:rsid w:val="001751FA"/>
    <w:rsid w:val="001765BE"/>
    <w:rsid w:val="00176F21"/>
    <w:rsid w:val="0017721F"/>
    <w:rsid w:val="00177A65"/>
    <w:rsid w:val="00177C7F"/>
    <w:rsid w:val="00180A4F"/>
    <w:rsid w:val="00180AE7"/>
    <w:rsid w:val="001814E5"/>
    <w:rsid w:val="00181C10"/>
    <w:rsid w:val="00181CA4"/>
    <w:rsid w:val="00181D9C"/>
    <w:rsid w:val="00182377"/>
    <w:rsid w:val="00182819"/>
    <w:rsid w:val="001837FF"/>
    <w:rsid w:val="00183BD1"/>
    <w:rsid w:val="0018423A"/>
    <w:rsid w:val="00184671"/>
    <w:rsid w:val="00184B0E"/>
    <w:rsid w:val="001854C4"/>
    <w:rsid w:val="00185525"/>
    <w:rsid w:val="001868F6"/>
    <w:rsid w:val="00187213"/>
    <w:rsid w:val="0018752F"/>
    <w:rsid w:val="001876A5"/>
    <w:rsid w:val="00187912"/>
    <w:rsid w:val="00187D6E"/>
    <w:rsid w:val="00190D06"/>
    <w:rsid w:val="0019120D"/>
    <w:rsid w:val="00191D49"/>
    <w:rsid w:val="00192448"/>
    <w:rsid w:val="001932AF"/>
    <w:rsid w:val="00193327"/>
    <w:rsid w:val="001935FA"/>
    <w:rsid w:val="00193735"/>
    <w:rsid w:val="00193838"/>
    <w:rsid w:val="001943A5"/>
    <w:rsid w:val="0019450D"/>
    <w:rsid w:val="00194AD8"/>
    <w:rsid w:val="00195222"/>
    <w:rsid w:val="00195452"/>
    <w:rsid w:val="00195753"/>
    <w:rsid w:val="001962E6"/>
    <w:rsid w:val="001964BC"/>
    <w:rsid w:val="001975D8"/>
    <w:rsid w:val="00197760"/>
    <w:rsid w:val="00197C67"/>
    <w:rsid w:val="001A061E"/>
    <w:rsid w:val="001A0B4F"/>
    <w:rsid w:val="001A0F89"/>
    <w:rsid w:val="001A1172"/>
    <w:rsid w:val="001A178E"/>
    <w:rsid w:val="001A1C86"/>
    <w:rsid w:val="001A1D1C"/>
    <w:rsid w:val="001A2566"/>
    <w:rsid w:val="001A2B91"/>
    <w:rsid w:val="001A4157"/>
    <w:rsid w:val="001A4161"/>
    <w:rsid w:val="001A43FA"/>
    <w:rsid w:val="001A47C5"/>
    <w:rsid w:val="001A536E"/>
    <w:rsid w:val="001A59FB"/>
    <w:rsid w:val="001A5D12"/>
    <w:rsid w:val="001A5E9E"/>
    <w:rsid w:val="001A6354"/>
    <w:rsid w:val="001A6366"/>
    <w:rsid w:val="001A78AF"/>
    <w:rsid w:val="001A7AE8"/>
    <w:rsid w:val="001B01ED"/>
    <w:rsid w:val="001B0D20"/>
    <w:rsid w:val="001B129A"/>
    <w:rsid w:val="001B1793"/>
    <w:rsid w:val="001B195F"/>
    <w:rsid w:val="001B1F6F"/>
    <w:rsid w:val="001B204E"/>
    <w:rsid w:val="001B2372"/>
    <w:rsid w:val="001B253A"/>
    <w:rsid w:val="001B2874"/>
    <w:rsid w:val="001B3443"/>
    <w:rsid w:val="001B36B1"/>
    <w:rsid w:val="001B36B3"/>
    <w:rsid w:val="001B36FF"/>
    <w:rsid w:val="001B3CBB"/>
    <w:rsid w:val="001B4204"/>
    <w:rsid w:val="001B433A"/>
    <w:rsid w:val="001B4998"/>
    <w:rsid w:val="001B4B9F"/>
    <w:rsid w:val="001B4C15"/>
    <w:rsid w:val="001B4D20"/>
    <w:rsid w:val="001B4DE5"/>
    <w:rsid w:val="001B5A07"/>
    <w:rsid w:val="001B5AD6"/>
    <w:rsid w:val="001B66F4"/>
    <w:rsid w:val="001B6BE0"/>
    <w:rsid w:val="001B6D47"/>
    <w:rsid w:val="001B6DA0"/>
    <w:rsid w:val="001B7011"/>
    <w:rsid w:val="001B7F84"/>
    <w:rsid w:val="001C0D50"/>
    <w:rsid w:val="001C14DA"/>
    <w:rsid w:val="001C1524"/>
    <w:rsid w:val="001C155B"/>
    <w:rsid w:val="001C1840"/>
    <w:rsid w:val="001C1DAF"/>
    <w:rsid w:val="001C2646"/>
    <w:rsid w:val="001C2A9B"/>
    <w:rsid w:val="001C2AC0"/>
    <w:rsid w:val="001C33F0"/>
    <w:rsid w:val="001C37AA"/>
    <w:rsid w:val="001C3DD6"/>
    <w:rsid w:val="001C4047"/>
    <w:rsid w:val="001C4299"/>
    <w:rsid w:val="001C44DE"/>
    <w:rsid w:val="001C4632"/>
    <w:rsid w:val="001C4874"/>
    <w:rsid w:val="001C51B7"/>
    <w:rsid w:val="001C594E"/>
    <w:rsid w:val="001C5C41"/>
    <w:rsid w:val="001C5CEE"/>
    <w:rsid w:val="001C5F94"/>
    <w:rsid w:val="001C6037"/>
    <w:rsid w:val="001C636F"/>
    <w:rsid w:val="001C6A86"/>
    <w:rsid w:val="001C6E66"/>
    <w:rsid w:val="001C78DE"/>
    <w:rsid w:val="001C79AE"/>
    <w:rsid w:val="001C7B5D"/>
    <w:rsid w:val="001D07DC"/>
    <w:rsid w:val="001D07FE"/>
    <w:rsid w:val="001D0C70"/>
    <w:rsid w:val="001D1100"/>
    <w:rsid w:val="001D1391"/>
    <w:rsid w:val="001D16D8"/>
    <w:rsid w:val="001D1952"/>
    <w:rsid w:val="001D25D7"/>
    <w:rsid w:val="001D2B2A"/>
    <w:rsid w:val="001D2D39"/>
    <w:rsid w:val="001D48E9"/>
    <w:rsid w:val="001D4D02"/>
    <w:rsid w:val="001D50B2"/>
    <w:rsid w:val="001D5246"/>
    <w:rsid w:val="001D57AD"/>
    <w:rsid w:val="001D631D"/>
    <w:rsid w:val="001D65A7"/>
    <w:rsid w:val="001D71F4"/>
    <w:rsid w:val="001D7645"/>
    <w:rsid w:val="001D7DB1"/>
    <w:rsid w:val="001E0038"/>
    <w:rsid w:val="001E0CEF"/>
    <w:rsid w:val="001E0F94"/>
    <w:rsid w:val="001E1042"/>
    <w:rsid w:val="001E1327"/>
    <w:rsid w:val="001E1A3A"/>
    <w:rsid w:val="001E1CA4"/>
    <w:rsid w:val="001E1E86"/>
    <w:rsid w:val="001E1F95"/>
    <w:rsid w:val="001E238E"/>
    <w:rsid w:val="001E2483"/>
    <w:rsid w:val="001E2570"/>
    <w:rsid w:val="001E2638"/>
    <w:rsid w:val="001E28CE"/>
    <w:rsid w:val="001E2B1E"/>
    <w:rsid w:val="001E2CFF"/>
    <w:rsid w:val="001E2F24"/>
    <w:rsid w:val="001E30D4"/>
    <w:rsid w:val="001E34DF"/>
    <w:rsid w:val="001E35B1"/>
    <w:rsid w:val="001E36B6"/>
    <w:rsid w:val="001E3EA6"/>
    <w:rsid w:val="001E5122"/>
    <w:rsid w:val="001E52EB"/>
    <w:rsid w:val="001E533A"/>
    <w:rsid w:val="001E586D"/>
    <w:rsid w:val="001E5AC0"/>
    <w:rsid w:val="001E5E59"/>
    <w:rsid w:val="001E61D2"/>
    <w:rsid w:val="001E6AE7"/>
    <w:rsid w:val="001E6ED2"/>
    <w:rsid w:val="001E6F85"/>
    <w:rsid w:val="001E740C"/>
    <w:rsid w:val="001E756B"/>
    <w:rsid w:val="001F068B"/>
    <w:rsid w:val="001F1235"/>
    <w:rsid w:val="001F1271"/>
    <w:rsid w:val="001F166B"/>
    <w:rsid w:val="001F1CB3"/>
    <w:rsid w:val="001F1EDF"/>
    <w:rsid w:val="001F2547"/>
    <w:rsid w:val="001F2C3C"/>
    <w:rsid w:val="001F38B5"/>
    <w:rsid w:val="001F399C"/>
    <w:rsid w:val="001F4081"/>
    <w:rsid w:val="001F4D9F"/>
    <w:rsid w:val="001F58D3"/>
    <w:rsid w:val="001F6982"/>
    <w:rsid w:val="001F6C8B"/>
    <w:rsid w:val="001F6D34"/>
    <w:rsid w:val="001F7361"/>
    <w:rsid w:val="001F75C0"/>
    <w:rsid w:val="001F7AFE"/>
    <w:rsid w:val="00200359"/>
    <w:rsid w:val="00200800"/>
    <w:rsid w:val="00200A2B"/>
    <w:rsid w:val="00200DC5"/>
    <w:rsid w:val="002011B0"/>
    <w:rsid w:val="002019DF"/>
    <w:rsid w:val="00201D12"/>
    <w:rsid w:val="00202847"/>
    <w:rsid w:val="00202D5A"/>
    <w:rsid w:val="00203181"/>
    <w:rsid w:val="00203783"/>
    <w:rsid w:val="0020385F"/>
    <w:rsid w:val="00204038"/>
    <w:rsid w:val="002046D8"/>
    <w:rsid w:val="002068A0"/>
    <w:rsid w:val="00206CF8"/>
    <w:rsid w:val="00207021"/>
    <w:rsid w:val="0020732F"/>
    <w:rsid w:val="00207CFC"/>
    <w:rsid w:val="00207D00"/>
    <w:rsid w:val="00207D37"/>
    <w:rsid w:val="002100F2"/>
    <w:rsid w:val="0021039E"/>
    <w:rsid w:val="002105C1"/>
    <w:rsid w:val="002107A7"/>
    <w:rsid w:val="002108F4"/>
    <w:rsid w:val="002109BF"/>
    <w:rsid w:val="002111AD"/>
    <w:rsid w:val="002116FD"/>
    <w:rsid w:val="00211FB5"/>
    <w:rsid w:val="002121A0"/>
    <w:rsid w:val="00212E84"/>
    <w:rsid w:val="002137EA"/>
    <w:rsid w:val="00213EF5"/>
    <w:rsid w:val="002146E9"/>
    <w:rsid w:val="002152AE"/>
    <w:rsid w:val="002157EC"/>
    <w:rsid w:val="00215D31"/>
    <w:rsid w:val="0021663C"/>
    <w:rsid w:val="00216BF5"/>
    <w:rsid w:val="00216E72"/>
    <w:rsid w:val="00216FE1"/>
    <w:rsid w:val="002170BE"/>
    <w:rsid w:val="002171D4"/>
    <w:rsid w:val="0021734A"/>
    <w:rsid w:val="002173DD"/>
    <w:rsid w:val="002175E0"/>
    <w:rsid w:val="0022008E"/>
    <w:rsid w:val="0022111F"/>
    <w:rsid w:val="00223B49"/>
    <w:rsid w:val="00223C42"/>
    <w:rsid w:val="00223D5A"/>
    <w:rsid w:val="002243CA"/>
    <w:rsid w:val="00224DD4"/>
    <w:rsid w:val="00225E2F"/>
    <w:rsid w:val="00226032"/>
    <w:rsid w:val="00226D50"/>
    <w:rsid w:val="00227442"/>
    <w:rsid w:val="002278A0"/>
    <w:rsid w:val="00227AE6"/>
    <w:rsid w:val="002305E3"/>
    <w:rsid w:val="00230868"/>
    <w:rsid w:val="002309CC"/>
    <w:rsid w:val="002309EE"/>
    <w:rsid w:val="00230F12"/>
    <w:rsid w:val="002312AD"/>
    <w:rsid w:val="0023162F"/>
    <w:rsid w:val="00231BA9"/>
    <w:rsid w:val="0023209F"/>
    <w:rsid w:val="002322D3"/>
    <w:rsid w:val="00232923"/>
    <w:rsid w:val="00233718"/>
    <w:rsid w:val="00233C01"/>
    <w:rsid w:val="0023413C"/>
    <w:rsid w:val="002346F0"/>
    <w:rsid w:val="0023470D"/>
    <w:rsid w:val="002359BB"/>
    <w:rsid w:val="00235A14"/>
    <w:rsid w:val="00235C54"/>
    <w:rsid w:val="0023629D"/>
    <w:rsid w:val="002366EE"/>
    <w:rsid w:val="00236ACE"/>
    <w:rsid w:val="00237255"/>
    <w:rsid w:val="002378B7"/>
    <w:rsid w:val="00237C3D"/>
    <w:rsid w:val="0024014B"/>
    <w:rsid w:val="002413AB"/>
    <w:rsid w:val="00241AF9"/>
    <w:rsid w:val="00241BAF"/>
    <w:rsid w:val="002424AF"/>
    <w:rsid w:val="00242579"/>
    <w:rsid w:val="00242F9E"/>
    <w:rsid w:val="00243203"/>
    <w:rsid w:val="002439DC"/>
    <w:rsid w:val="002441D2"/>
    <w:rsid w:val="00244261"/>
    <w:rsid w:val="00244469"/>
    <w:rsid w:val="00244878"/>
    <w:rsid w:val="00244B1C"/>
    <w:rsid w:val="00244DC8"/>
    <w:rsid w:val="00245171"/>
    <w:rsid w:val="00245175"/>
    <w:rsid w:val="00245610"/>
    <w:rsid w:val="002458BA"/>
    <w:rsid w:val="00245ADA"/>
    <w:rsid w:val="00245CE9"/>
    <w:rsid w:val="0024636C"/>
    <w:rsid w:val="00246F23"/>
    <w:rsid w:val="00246F79"/>
    <w:rsid w:val="00247061"/>
    <w:rsid w:val="0024714C"/>
    <w:rsid w:val="00247638"/>
    <w:rsid w:val="002477B3"/>
    <w:rsid w:val="00247925"/>
    <w:rsid w:val="002504E6"/>
    <w:rsid w:val="00250A19"/>
    <w:rsid w:val="00251006"/>
    <w:rsid w:val="0025165F"/>
    <w:rsid w:val="00251C10"/>
    <w:rsid w:val="0025223F"/>
    <w:rsid w:val="002524D5"/>
    <w:rsid w:val="00252C8D"/>
    <w:rsid w:val="00253B1D"/>
    <w:rsid w:val="002540B2"/>
    <w:rsid w:val="00254529"/>
    <w:rsid w:val="0025497B"/>
    <w:rsid w:val="00254DCF"/>
    <w:rsid w:val="00255161"/>
    <w:rsid w:val="002551E8"/>
    <w:rsid w:val="0025534B"/>
    <w:rsid w:val="00255588"/>
    <w:rsid w:val="00255BA9"/>
    <w:rsid w:val="00255BB7"/>
    <w:rsid w:val="00255C9D"/>
    <w:rsid w:val="00255DEC"/>
    <w:rsid w:val="00255FAD"/>
    <w:rsid w:val="00256B0B"/>
    <w:rsid w:val="0025700E"/>
    <w:rsid w:val="00257541"/>
    <w:rsid w:val="002578DA"/>
    <w:rsid w:val="00257A39"/>
    <w:rsid w:val="00257AC4"/>
    <w:rsid w:val="00257BBE"/>
    <w:rsid w:val="0026005C"/>
    <w:rsid w:val="00260BAD"/>
    <w:rsid w:val="00261225"/>
    <w:rsid w:val="00261EEF"/>
    <w:rsid w:val="00261F1F"/>
    <w:rsid w:val="002623B0"/>
    <w:rsid w:val="00262A1A"/>
    <w:rsid w:val="00262A87"/>
    <w:rsid w:val="00262F5B"/>
    <w:rsid w:val="00263917"/>
    <w:rsid w:val="002639F5"/>
    <w:rsid w:val="00263ED3"/>
    <w:rsid w:val="002640B6"/>
    <w:rsid w:val="002640F3"/>
    <w:rsid w:val="00264D26"/>
    <w:rsid w:val="00264FC6"/>
    <w:rsid w:val="00265067"/>
    <w:rsid w:val="00265947"/>
    <w:rsid w:val="00266713"/>
    <w:rsid w:val="0026671B"/>
    <w:rsid w:val="002669EE"/>
    <w:rsid w:val="002672F8"/>
    <w:rsid w:val="00267610"/>
    <w:rsid w:val="00267642"/>
    <w:rsid w:val="0026773C"/>
    <w:rsid w:val="00267922"/>
    <w:rsid w:val="00267AEA"/>
    <w:rsid w:val="00267FD7"/>
    <w:rsid w:val="002700E6"/>
    <w:rsid w:val="00270318"/>
    <w:rsid w:val="00270323"/>
    <w:rsid w:val="00270596"/>
    <w:rsid w:val="002705CB"/>
    <w:rsid w:val="00270956"/>
    <w:rsid w:val="00270E6D"/>
    <w:rsid w:val="00270E7D"/>
    <w:rsid w:val="00271263"/>
    <w:rsid w:val="00271356"/>
    <w:rsid w:val="002714F9"/>
    <w:rsid w:val="00272007"/>
    <w:rsid w:val="002721B2"/>
    <w:rsid w:val="002727F0"/>
    <w:rsid w:val="0027294B"/>
    <w:rsid w:val="00272C87"/>
    <w:rsid w:val="00272DE4"/>
    <w:rsid w:val="00273C45"/>
    <w:rsid w:val="00273EB4"/>
    <w:rsid w:val="00274669"/>
    <w:rsid w:val="00274682"/>
    <w:rsid w:val="002747FC"/>
    <w:rsid w:val="0027500A"/>
    <w:rsid w:val="00275052"/>
    <w:rsid w:val="00275158"/>
    <w:rsid w:val="002758CA"/>
    <w:rsid w:val="00275A79"/>
    <w:rsid w:val="00275C20"/>
    <w:rsid w:val="00275C5A"/>
    <w:rsid w:val="00275D2A"/>
    <w:rsid w:val="002764BA"/>
    <w:rsid w:val="00276635"/>
    <w:rsid w:val="002767D1"/>
    <w:rsid w:val="00276999"/>
    <w:rsid w:val="00276CAE"/>
    <w:rsid w:val="0027728B"/>
    <w:rsid w:val="00280050"/>
    <w:rsid w:val="00280452"/>
    <w:rsid w:val="00280541"/>
    <w:rsid w:val="0028066B"/>
    <w:rsid w:val="00280AD6"/>
    <w:rsid w:val="00280B39"/>
    <w:rsid w:val="00280D32"/>
    <w:rsid w:val="00280EAD"/>
    <w:rsid w:val="00281014"/>
    <w:rsid w:val="00281100"/>
    <w:rsid w:val="00282279"/>
    <w:rsid w:val="00282451"/>
    <w:rsid w:val="0028308E"/>
    <w:rsid w:val="00283320"/>
    <w:rsid w:val="0028342E"/>
    <w:rsid w:val="002835D9"/>
    <w:rsid w:val="002836DB"/>
    <w:rsid w:val="00284A36"/>
    <w:rsid w:val="00284A48"/>
    <w:rsid w:val="00285554"/>
    <w:rsid w:val="002858F9"/>
    <w:rsid w:val="00285BCE"/>
    <w:rsid w:val="00286247"/>
    <w:rsid w:val="0028665D"/>
    <w:rsid w:val="00286E92"/>
    <w:rsid w:val="002874C5"/>
    <w:rsid w:val="002901FB"/>
    <w:rsid w:val="00290338"/>
    <w:rsid w:val="0029160F"/>
    <w:rsid w:val="00291AF1"/>
    <w:rsid w:val="00291B71"/>
    <w:rsid w:val="00292965"/>
    <w:rsid w:val="00293401"/>
    <w:rsid w:val="0029341C"/>
    <w:rsid w:val="00294ECB"/>
    <w:rsid w:val="002952F3"/>
    <w:rsid w:val="00295C2D"/>
    <w:rsid w:val="00295E64"/>
    <w:rsid w:val="002970F3"/>
    <w:rsid w:val="002974C2"/>
    <w:rsid w:val="00297679"/>
    <w:rsid w:val="0029C7CE"/>
    <w:rsid w:val="002A03D1"/>
    <w:rsid w:val="002A14AB"/>
    <w:rsid w:val="002A1736"/>
    <w:rsid w:val="002A1C13"/>
    <w:rsid w:val="002A2ADE"/>
    <w:rsid w:val="002A2F50"/>
    <w:rsid w:val="002A313C"/>
    <w:rsid w:val="002A34A4"/>
    <w:rsid w:val="002A3549"/>
    <w:rsid w:val="002A387C"/>
    <w:rsid w:val="002A3A88"/>
    <w:rsid w:val="002A3D18"/>
    <w:rsid w:val="002A470B"/>
    <w:rsid w:val="002A526D"/>
    <w:rsid w:val="002A617C"/>
    <w:rsid w:val="002A6BA5"/>
    <w:rsid w:val="002A73F6"/>
    <w:rsid w:val="002A745D"/>
    <w:rsid w:val="002A7650"/>
    <w:rsid w:val="002A7943"/>
    <w:rsid w:val="002B057F"/>
    <w:rsid w:val="002B05A1"/>
    <w:rsid w:val="002B05C3"/>
    <w:rsid w:val="002B05E1"/>
    <w:rsid w:val="002B0867"/>
    <w:rsid w:val="002B09A4"/>
    <w:rsid w:val="002B1407"/>
    <w:rsid w:val="002B1C1F"/>
    <w:rsid w:val="002B2D7A"/>
    <w:rsid w:val="002B3645"/>
    <w:rsid w:val="002B3B9F"/>
    <w:rsid w:val="002B3C6B"/>
    <w:rsid w:val="002B3C6C"/>
    <w:rsid w:val="002B432F"/>
    <w:rsid w:val="002B4343"/>
    <w:rsid w:val="002B4852"/>
    <w:rsid w:val="002B5FC5"/>
    <w:rsid w:val="002B62B3"/>
    <w:rsid w:val="002B6754"/>
    <w:rsid w:val="002B6CCE"/>
    <w:rsid w:val="002C0399"/>
    <w:rsid w:val="002C09EF"/>
    <w:rsid w:val="002C1072"/>
    <w:rsid w:val="002C13D5"/>
    <w:rsid w:val="002C15B5"/>
    <w:rsid w:val="002C16CA"/>
    <w:rsid w:val="002C1A3F"/>
    <w:rsid w:val="002C2055"/>
    <w:rsid w:val="002C2228"/>
    <w:rsid w:val="002C2510"/>
    <w:rsid w:val="002C2775"/>
    <w:rsid w:val="002C27C1"/>
    <w:rsid w:val="002C2A19"/>
    <w:rsid w:val="002C303A"/>
    <w:rsid w:val="002C36E3"/>
    <w:rsid w:val="002C445B"/>
    <w:rsid w:val="002C4502"/>
    <w:rsid w:val="002C4573"/>
    <w:rsid w:val="002C5099"/>
    <w:rsid w:val="002C5106"/>
    <w:rsid w:val="002C5889"/>
    <w:rsid w:val="002C593D"/>
    <w:rsid w:val="002C5E4C"/>
    <w:rsid w:val="002C5FE7"/>
    <w:rsid w:val="002C6016"/>
    <w:rsid w:val="002C6321"/>
    <w:rsid w:val="002C67FB"/>
    <w:rsid w:val="002C699F"/>
    <w:rsid w:val="002C6F1A"/>
    <w:rsid w:val="002C71CE"/>
    <w:rsid w:val="002C76AC"/>
    <w:rsid w:val="002C7C87"/>
    <w:rsid w:val="002C7DA7"/>
    <w:rsid w:val="002D08F8"/>
    <w:rsid w:val="002D099D"/>
    <w:rsid w:val="002D0EAC"/>
    <w:rsid w:val="002D18BA"/>
    <w:rsid w:val="002D19BB"/>
    <w:rsid w:val="002D1CDD"/>
    <w:rsid w:val="002D2045"/>
    <w:rsid w:val="002D2653"/>
    <w:rsid w:val="002D2F8E"/>
    <w:rsid w:val="002D31A2"/>
    <w:rsid w:val="002D3705"/>
    <w:rsid w:val="002D3D8B"/>
    <w:rsid w:val="002D46D3"/>
    <w:rsid w:val="002D51FF"/>
    <w:rsid w:val="002D5686"/>
    <w:rsid w:val="002D577C"/>
    <w:rsid w:val="002D5AC8"/>
    <w:rsid w:val="002D6085"/>
    <w:rsid w:val="002D626F"/>
    <w:rsid w:val="002D64CA"/>
    <w:rsid w:val="002D7832"/>
    <w:rsid w:val="002E04E1"/>
    <w:rsid w:val="002E0568"/>
    <w:rsid w:val="002E0666"/>
    <w:rsid w:val="002E0F86"/>
    <w:rsid w:val="002E1071"/>
    <w:rsid w:val="002E15B9"/>
    <w:rsid w:val="002E20FA"/>
    <w:rsid w:val="002E2158"/>
    <w:rsid w:val="002E26A8"/>
    <w:rsid w:val="002E2F71"/>
    <w:rsid w:val="002E2F81"/>
    <w:rsid w:val="002E38FE"/>
    <w:rsid w:val="002E4823"/>
    <w:rsid w:val="002E4F02"/>
    <w:rsid w:val="002E5A31"/>
    <w:rsid w:val="002E5D5E"/>
    <w:rsid w:val="002E61AA"/>
    <w:rsid w:val="002E710F"/>
    <w:rsid w:val="002E7236"/>
    <w:rsid w:val="002E7482"/>
    <w:rsid w:val="002E753B"/>
    <w:rsid w:val="002E7722"/>
    <w:rsid w:val="002F07BA"/>
    <w:rsid w:val="002F0DA9"/>
    <w:rsid w:val="002F1014"/>
    <w:rsid w:val="002F14F4"/>
    <w:rsid w:val="002F1650"/>
    <w:rsid w:val="002F1D38"/>
    <w:rsid w:val="002F1E3B"/>
    <w:rsid w:val="002F20D3"/>
    <w:rsid w:val="002F344F"/>
    <w:rsid w:val="002F3B86"/>
    <w:rsid w:val="002F4641"/>
    <w:rsid w:val="002F4726"/>
    <w:rsid w:val="002F49B5"/>
    <w:rsid w:val="002F4D0E"/>
    <w:rsid w:val="002F4E13"/>
    <w:rsid w:val="002F4FA1"/>
    <w:rsid w:val="002F55C8"/>
    <w:rsid w:val="002F55FD"/>
    <w:rsid w:val="002F5842"/>
    <w:rsid w:val="002F5AA9"/>
    <w:rsid w:val="002F643C"/>
    <w:rsid w:val="002F6B7A"/>
    <w:rsid w:val="002F6BB3"/>
    <w:rsid w:val="002F70BE"/>
    <w:rsid w:val="002F71C0"/>
    <w:rsid w:val="002F73A5"/>
    <w:rsid w:val="002F74F1"/>
    <w:rsid w:val="002F77D1"/>
    <w:rsid w:val="002F79BB"/>
    <w:rsid w:val="002F7EE0"/>
    <w:rsid w:val="0030016B"/>
    <w:rsid w:val="0030054B"/>
    <w:rsid w:val="003005CF"/>
    <w:rsid w:val="00300E7A"/>
    <w:rsid w:val="00301017"/>
    <w:rsid w:val="0030155F"/>
    <w:rsid w:val="003016C6"/>
    <w:rsid w:val="00301EAD"/>
    <w:rsid w:val="00302265"/>
    <w:rsid w:val="00302F71"/>
    <w:rsid w:val="00303011"/>
    <w:rsid w:val="003035B3"/>
    <w:rsid w:val="00303BEA"/>
    <w:rsid w:val="00303F46"/>
    <w:rsid w:val="00304BDA"/>
    <w:rsid w:val="0030587B"/>
    <w:rsid w:val="003059CC"/>
    <w:rsid w:val="00305F03"/>
    <w:rsid w:val="00306832"/>
    <w:rsid w:val="00306B4B"/>
    <w:rsid w:val="00306D98"/>
    <w:rsid w:val="00307383"/>
    <w:rsid w:val="0030786C"/>
    <w:rsid w:val="00307A0D"/>
    <w:rsid w:val="00307B4F"/>
    <w:rsid w:val="00307F67"/>
    <w:rsid w:val="00310266"/>
    <w:rsid w:val="0031031A"/>
    <w:rsid w:val="003104EB"/>
    <w:rsid w:val="00310981"/>
    <w:rsid w:val="00310A8A"/>
    <w:rsid w:val="00310C0A"/>
    <w:rsid w:val="00311D9B"/>
    <w:rsid w:val="00311FFC"/>
    <w:rsid w:val="003124D9"/>
    <w:rsid w:val="00312594"/>
    <w:rsid w:val="0031291D"/>
    <w:rsid w:val="00312FB3"/>
    <w:rsid w:val="00313789"/>
    <w:rsid w:val="00313909"/>
    <w:rsid w:val="00314262"/>
    <w:rsid w:val="00315498"/>
    <w:rsid w:val="00315D7E"/>
    <w:rsid w:val="00315DD7"/>
    <w:rsid w:val="00316028"/>
    <w:rsid w:val="0031637F"/>
    <w:rsid w:val="0031643C"/>
    <w:rsid w:val="00316474"/>
    <w:rsid w:val="00316519"/>
    <w:rsid w:val="00316DCD"/>
    <w:rsid w:val="0032004C"/>
    <w:rsid w:val="0032087B"/>
    <w:rsid w:val="00320B6F"/>
    <w:rsid w:val="00320B9B"/>
    <w:rsid w:val="00320C1E"/>
    <w:rsid w:val="00321318"/>
    <w:rsid w:val="0032139C"/>
    <w:rsid w:val="003218DD"/>
    <w:rsid w:val="00321E5C"/>
    <w:rsid w:val="00322107"/>
    <w:rsid w:val="003222F9"/>
    <w:rsid w:val="00322355"/>
    <w:rsid w:val="00322440"/>
    <w:rsid w:val="0032253C"/>
    <w:rsid w:val="00322846"/>
    <w:rsid w:val="00322A7F"/>
    <w:rsid w:val="00323280"/>
    <w:rsid w:val="00323677"/>
    <w:rsid w:val="00324570"/>
    <w:rsid w:val="00324F67"/>
    <w:rsid w:val="0032539B"/>
    <w:rsid w:val="0032592C"/>
    <w:rsid w:val="00325A13"/>
    <w:rsid w:val="00325C6E"/>
    <w:rsid w:val="00326DA7"/>
    <w:rsid w:val="00326F3D"/>
    <w:rsid w:val="0032705F"/>
    <w:rsid w:val="003270E4"/>
    <w:rsid w:val="003302D3"/>
    <w:rsid w:val="00330DAA"/>
    <w:rsid w:val="00330F5C"/>
    <w:rsid w:val="003311F2"/>
    <w:rsid w:val="003314D9"/>
    <w:rsid w:val="00331533"/>
    <w:rsid w:val="003316EF"/>
    <w:rsid w:val="0033211D"/>
    <w:rsid w:val="00332F2D"/>
    <w:rsid w:val="00333A95"/>
    <w:rsid w:val="003340D0"/>
    <w:rsid w:val="003350FF"/>
    <w:rsid w:val="00335842"/>
    <w:rsid w:val="003358F1"/>
    <w:rsid w:val="0033653D"/>
    <w:rsid w:val="0033664D"/>
    <w:rsid w:val="003366C9"/>
    <w:rsid w:val="0033706D"/>
    <w:rsid w:val="003371B0"/>
    <w:rsid w:val="003373F0"/>
    <w:rsid w:val="00337550"/>
    <w:rsid w:val="00337E99"/>
    <w:rsid w:val="0034053F"/>
    <w:rsid w:val="00340789"/>
    <w:rsid w:val="00340DF1"/>
    <w:rsid w:val="00341067"/>
    <w:rsid w:val="00341306"/>
    <w:rsid w:val="003417A2"/>
    <w:rsid w:val="0034219D"/>
    <w:rsid w:val="00342819"/>
    <w:rsid w:val="0034285A"/>
    <w:rsid w:val="0034317F"/>
    <w:rsid w:val="0034387A"/>
    <w:rsid w:val="00343B6A"/>
    <w:rsid w:val="00343EB2"/>
    <w:rsid w:val="003444E0"/>
    <w:rsid w:val="003446DB"/>
    <w:rsid w:val="00344986"/>
    <w:rsid w:val="00344E9A"/>
    <w:rsid w:val="00344EC7"/>
    <w:rsid w:val="00345605"/>
    <w:rsid w:val="0034581B"/>
    <w:rsid w:val="00345AA4"/>
    <w:rsid w:val="00345E5F"/>
    <w:rsid w:val="003473BB"/>
    <w:rsid w:val="0035069F"/>
    <w:rsid w:val="00350A89"/>
    <w:rsid w:val="00350B43"/>
    <w:rsid w:val="003517F9"/>
    <w:rsid w:val="00351AFC"/>
    <w:rsid w:val="00351BA9"/>
    <w:rsid w:val="00351F20"/>
    <w:rsid w:val="003526A7"/>
    <w:rsid w:val="0035289F"/>
    <w:rsid w:val="00352C25"/>
    <w:rsid w:val="00352EDB"/>
    <w:rsid w:val="00352F1A"/>
    <w:rsid w:val="00354F64"/>
    <w:rsid w:val="00355229"/>
    <w:rsid w:val="00355C4F"/>
    <w:rsid w:val="00356133"/>
    <w:rsid w:val="0035620E"/>
    <w:rsid w:val="00356672"/>
    <w:rsid w:val="00356B8B"/>
    <w:rsid w:val="003575BE"/>
    <w:rsid w:val="00357BF7"/>
    <w:rsid w:val="00360345"/>
    <w:rsid w:val="003608F8"/>
    <w:rsid w:val="00360B4B"/>
    <w:rsid w:val="00360C0F"/>
    <w:rsid w:val="00360CC0"/>
    <w:rsid w:val="00360E92"/>
    <w:rsid w:val="00361396"/>
    <w:rsid w:val="00361A05"/>
    <w:rsid w:val="003624C4"/>
    <w:rsid w:val="00363574"/>
    <w:rsid w:val="003635BF"/>
    <w:rsid w:val="00363660"/>
    <w:rsid w:val="00363702"/>
    <w:rsid w:val="00363B00"/>
    <w:rsid w:val="00363B6E"/>
    <w:rsid w:val="00363CDF"/>
    <w:rsid w:val="003640C0"/>
    <w:rsid w:val="00364258"/>
    <w:rsid w:val="0036446E"/>
    <w:rsid w:val="0036483C"/>
    <w:rsid w:val="00364DB4"/>
    <w:rsid w:val="00364FCF"/>
    <w:rsid w:val="003654AC"/>
    <w:rsid w:val="0036551C"/>
    <w:rsid w:val="003660AB"/>
    <w:rsid w:val="003662C2"/>
    <w:rsid w:val="00366F9D"/>
    <w:rsid w:val="00367803"/>
    <w:rsid w:val="00367B04"/>
    <w:rsid w:val="00367E1B"/>
    <w:rsid w:val="00370970"/>
    <w:rsid w:val="003710CF"/>
    <w:rsid w:val="003712A2"/>
    <w:rsid w:val="003723E8"/>
    <w:rsid w:val="00372AB5"/>
    <w:rsid w:val="003730C5"/>
    <w:rsid w:val="00373208"/>
    <w:rsid w:val="0037358A"/>
    <w:rsid w:val="00373970"/>
    <w:rsid w:val="00373A0C"/>
    <w:rsid w:val="0037447D"/>
    <w:rsid w:val="003744E0"/>
    <w:rsid w:val="00374B6E"/>
    <w:rsid w:val="003750F6"/>
    <w:rsid w:val="00375E93"/>
    <w:rsid w:val="003760FC"/>
    <w:rsid w:val="00376872"/>
    <w:rsid w:val="003768E0"/>
    <w:rsid w:val="00376CBC"/>
    <w:rsid w:val="00377095"/>
    <w:rsid w:val="00377607"/>
    <w:rsid w:val="00377F51"/>
    <w:rsid w:val="003811B5"/>
    <w:rsid w:val="00381823"/>
    <w:rsid w:val="00381A1C"/>
    <w:rsid w:val="00381D2B"/>
    <w:rsid w:val="003821F8"/>
    <w:rsid w:val="0038365C"/>
    <w:rsid w:val="0038369B"/>
    <w:rsid w:val="00383B78"/>
    <w:rsid w:val="00383F71"/>
    <w:rsid w:val="00384302"/>
    <w:rsid w:val="00384735"/>
    <w:rsid w:val="003847B2"/>
    <w:rsid w:val="00384EED"/>
    <w:rsid w:val="00384F2F"/>
    <w:rsid w:val="0038563D"/>
    <w:rsid w:val="003856A2"/>
    <w:rsid w:val="00385A9D"/>
    <w:rsid w:val="00385F47"/>
    <w:rsid w:val="00386667"/>
    <w:rsid w:val="00387121"/>
    <w:rsid w:val="00387737"/>
    <w:rsid w:val="0039005E"/>
    <w:rsid w:val="003902B1"/>
    <w:rsid w:val="003904C0"/>
    <w:rsid w:val="003911BE"/>
    <w:rsid w:val="00391633"/>
    <w:rsid w:val="0039179C"/>
    <w:rsid w:val="00391C0A"/>
    <w:rsid w:val="00393664"/>
    <w:rsid w:val="00393AA8"/>
    <w:rsid w:val="00393DEA"/>
    <w:rsid w:val="00394619"/>
    <w:rsid w:val="00394AEE"/>
    <w:rsid w:val="0039515E"/>
    <w:rsid w:val="00395DDB"/>
    <w:rsid w:val="0039653B"/>
    <w:rsid w:val="00396896"/>
    <w:rsid w:val="00396B67"/>
    <w:rsid w:val="00396E25"/>
    <w:rsid w:val="00396FD0"/>
    <w:rsid w:val="003971E9"/>
    <w:rsid w:val="0039756B"/>
    <w:rsid w:val="00397628"/>
    <w:rsid w:val="00397946"/>
    <w:rsid w:val="00397AB0"/>
    <w:rsid w:val="00397DA5"/>
    <w:rsid w:val="003A023F"/>
    <w:rsid w:val="003A0633"/>
    <w:rsid w:val="003A0957"/>
    <w:rsid w:val="003A0E54"/>
    <w:rsid w:val="003A112A"/>
    <w:rsid w:val="003A1596"/>
    <w:rsid w:val="003A18F2"/>
    <w:rsid w:val="003A1A7A"/>
    <w:rsid w:val="003A1DE9"/>
    <w:rsid w:val="003A203E"/>
    <w:rsid w:val="003A2392"/>
    <w:rsid w:val="003A2831"/>
    <w:rsid w:val="003A298B"/>
    <w:rsid w:val="003A3CB6"/>
    <w:rsid w:val="003A3ED1"/>
    <w:rsid w:val="003A42B1"/>
    <w:rsid w:val="003A44DB"/>
    <w:rsid w:val="003A4C14"/>
    <w:rsid w:val="003A4E48"/>
    <w:rsid w:val="003A4F2E"/>
    <w:rsid w:val="003A5A53"/>
    <w:rsid w:val="003A5BCE"/>
    <w:rsid w:val="003A5CAC"/>
    <w:rsid w:val="003A5CD7"/>
    <w:rsid w:val="003A6065"/>
    <w:rsid w:val="003A65E5"/>
    <w:rsid w:val="003A6723"/>
    <w:rsid w:val="003A6A4C"/>
    <w:rsid w:val="003A7A02"/>
    <w:rsid w:val="003A7ACF"/>
    <w:rsid w:val="003B0674"/>
    <w:rsid w:val="003B0E73"/>
    <w:rsid w:val="003B1083"/>
    <w:rsid w:val="003B1729"/>
    <w:rsid w:val="003B184D"/>
    <w:rsid w:val="003B1BFA"/>
    <w:rsid w:val="003B1CB8"/>
    <w:rsid w:val="003B1E0C"/>
    <w:rsid w:val="003B383A"/>
    <w:rsid w:val="003B3971"/>
    <w:rsid w:val="003B4A26"/>
    <w:rsid w:val="003B51E1"/>
    <w:rsid w:val="003B55D1"/>
    <w:rsid w:val="003B57F0"/>
    <w:rsid w:val="003B5B61"/>
    <w:rsid w:val="003B632E"/>
    <w:rsid w:val="003B769D"/>
    <w:rsid w:val="003C01D2"/>
    <w:rsid w:val="003C08B2"/>
    <w:rsid w:val="003C0A8B"/>
    <w:rsid w:val="003C0C10"/>
    <w:rsid w:val="003C0E33"/>
    <w:rsid w:val="003C1064"/>
    <w:rsid w:val="003C1654"/>
    <w:rsid w:val="003C266A"/>
    <w:rsid w:val="003C2C6B"/>
    <w:rsid w:val="003C4366"/>
    <w:rsid w:val="003C5284"/>
    <w:rsid w:val="003C5542"/>
    <w:rsid w:val="003C5A04"/>
    <w:rsid w:val="003C5C49"/>
    <w:rsid w:val="003C610E"/>
    <w:rsid w:val="003C6F1F"/>
    <w:rsid w:val="003C6FC3"/>
    <w:rsid w:val="003C6FD4"/>
    <w:rsid w:val="003C7C15"/>
    <w:rsid w:val="003C7C55"/>
    <w:rsid w:val="003C7CCE"/>
    <w:rsid w:val="003C7D19"/>
    <w:rsid w:val="003C7D2F"/>
    <w:rsid w:val="003D0555"/>
    <w:rsid w:val="003D0843"/>
    <w:rsid w:val="003D0923"/>
    <w:rsid w:val="003D0C5A"/>
    <w:rsid w:val="003D0DCA"/>
    <w:rsid w:val="003D1828"/>
    <w:rsid w:val="003D1DE4"/>
    <w:rsid w:val="003D1E9A"/>
    <w:rsid w:val="003D2422"/>
    <w:rsid w:val="003D2763"/>
    <w:rsid w:val="003D285E"/>
    <w:rsid w:val="003D39A1"/>
    <w:rsid w:val="003D3E84"/>
    <w:rsid w:val="003D3E88"/>
    <w:rsid w:val="003D3FBF"/>
    <w:rsid w:val="003D429D"/>
    <w:rsid w:val="003D45FA"/>
    <w:rsid w:val="003D4782"/>
    <w:rsid w:val="003D4A30"/>
    <w:rsid w:val="003D595F"/>
    <w:rsid w:val="003D5F8A"/>
    <w:rsid w:val="003D6625"/>
    <w:rsid w:val="003D6800"/>
    <w:rsid w:val="003D6987"/>
    <w:rsid w:val="003D7022"/>
    <w:rsid w:val="003D7452"/>
    <w:rsid w:val="003D74BF"/>
    <w:rsid w:val="003D75F3"/>
    <w:rsid w:val="003D79BB"/>
    <w:rsid w:val="003D7A08"/>
    <w:rsid w:val="003D7BC1"/>
    <w:rsid w:val="003D7C98"/>
    <w:rsid w:val="003D7D9D"/>
    <w:rsid w:val="003E02D0"/>
    <w:rsid w:val="003E0543"/>
    <w:rsid w:val="003E06DF"/>
    <w:rsid w:val="003E0C1E"/>
    <w:rsid w:val="003E1102"/>
    <w:rsid w:val="003E13BB"/>
    <w:rsid w:val="003E2CED"/>
    <w:rsid w:val="003E2FEC"/>
    <w:rsid w:val="003E3555"/>
    <w:rsid w:val="003E3A1C"/>
    <w:rsid w:val="003E4C46"/>
    <w:rsid w:val="003E505A"/>
    <w:rsid w:val="003E50E5"/>
    <w:rsid w:val="003E5603"/>
    <w:rsid w:val="003E6598"/>
    <w:rsid w:val="003E7053"/>
    <w:rsid w:val="003E749E"/>
    <w:rsid w:val="003F0199"/>
    <w:rsid w:val="003F0264"/>
    <w:rsid w:val="003F1BA2"/>
    <w:rsid w:val="003F28E5"/>
    <w:rsid w:val="003F4156"/>
    <w:rsid w:val="003F4312"/>
    <w:rsid w:val="003F554D"/>
    <w:rsid w:val="003F5ADF"/>
    <w:rsid w:val="003F5D0E"/>
    <w:rsid w:val="003F5F74"/>
    <w:rsid w:val="003F60D7"/>
    <w:rsid w:val="003F6745"/>
    <w:rsid w:val="003F6CB4"/>
    <w:rsid w:val="003F6E84"/>
    <w:rsid w:val="00400759"/>
    <w:rsid w:val="00400797"/>
    <w:rsid w:val="00400B29"/>
    <w:rsid w:val="00400B86"/>
    <w:rsid w:val="0040108E"/>
    <w:rsid w:val="004015A1"/>
    <w:rsid w:val="004019A3"/>
    <w:rsid w:val="00401D27"/>
    <w:rsid w:val="00401D69"/>
    <w:rsid w:val="00401FAE"/>
    <w:rsid w:val="00402812"/>
    <w:rsid w:val="004029B5"/>
    <w:rsid w:val="00402B57"/>
    <w:rsid w:val="00402B80"/>
    <w:rsid w:val="00402EAC"/>
    <w:rsid w:val="00403A5B"/>
    <w:rsid w:val="004041AD"/>
    <w:rsid w:val="00404AB6"/>
    <w:rsid w:val="00405010"/>
    <w:rsid w:val="0040504B"/>
    <w:rsid w:val="00405360"/>
    <w:rsid w:val="004059F4"/>
    <w:rsid w:val="00405D6F"/>
    <w:rsid w:val="00406B0D"/>
    <w:rsid w:val="00406C41"/>
    <w:rsid w:val="00406F60"/>
    <w:rsid w:val="00407B56"/>
    <w:rsid w:val="00407FE5"/>
    <w:rsid w:val="00407FE6"/>
    <w:rsid w:val="00410062"/>
    <w:rsid w:val="004101B0"/>
    <w:rsid w:val="00410326"/>
    <w:rsid w:val="00410708"/>
    <w:rsid w:val="00410EC7"/>
    <w:rsid w:val="00411B39"/>
    <w:rsid w:val="004123F7"/>
    <w:rsid w:val="0041260C"/>
    <w:rsid w:val="004127A7"/>
    <w:rsid w:val="00412B98"/>
    <w:rsid w:val="00412E57"/>
    <w:rsid w:val="004130EB"/>
    <w:rsid w:val="004131E9"/>
    <w:rsid w:val="0041387F"/>
    <w:rsid w:val="0041399D"/>
    <w:rsid w:val="00413A1E"/>
    <w:rsid w:val="00414461"/>
    <w:rsid w:val="00414476"/>
    <w:rsid w:val="004148EB"/>
    <w:rsid w:val="00414A9F"/>
    <w:rsid w:val="00414C2E"/>
    <w:rsid w:val="00414C9A"/>
    <w:rsid w:val="00414E90"/>
    <w:rsid w:val="004151CF"/>
    <w:rsid w:val="0041567F"/>
    <w:rsid w:val="0041583A"/>
    <w:rsid w:val="004158A0"/>
    <w:rsid w:val="00415D34"/>
    <w:rsid w:val="00415D7C"/>
    <w:rsid w:val="00416364"/>
    <w:rsid w:val="00416962"/>
    <w:rsid w:val="00416BF4"/>
    <w:rsid w:val="00417CD5"/>
    <w:rsid w:val="0042047F"/>
    <w:rsid w:val="004204B3"/>
    <w:rsid w:val="004208DE"/>
    <w:rsid w:val="00420A2E"/>
    <w:rsid w:val="00420AA6"/>
    <w:rsid w:val="00420B9F"/>
    <w:rsid w:val="00421303"/>
    <w:rsid w:val="0042192C"/>
    <w:rsid w:val="00422260"/>
    <w:rsid w:val="0042252B"/>
    <w:rsid w:val="00422D5E"/>
    <w:rsid w:val="00422F3C"/>
    <w:rsid w:val="00423C4E"/>
    <w:rsid w:val="0042413F"/>
    <w:rsid w:val="00424192"/>
    <w:rsid w:val="00424F0B"/>
    <w:rsid w:val="00425111"/>
    <w:rsid w:val="004251AB"/>
    <w:rsid w:val="0042566A"/>
    <w:rsid w:val="004265DF"/>
    <w:rsid w:val="004267E2"/>
    <w:rsid w:val="00426D62"/>
    <w:rsid w:val="0043059F"/>
    <w:rsid w:val="004306E4"/>
    <w:rsid w:val="00430ADE"/>
    <w:rsid w:val="00430CA4"/>
    <w:rsid w:val="0043188B"/>
    <w:rsid w:val="004319F8"/>
    <w:rsid w:val="00431E55"/>
    <w:rsid w:val="00432010"/>
    <w:rsid w:val="004321F6"/>
    <w:rsid w:val="00432A2F"/>
    <w:rsid w:val="00432BD2"/>
    <w:rsid w:val="00432E89"/>
    <w:rsid w:val="00433044"/>
    <w:rsid w:val="00433347"/>
    <w:rsid w:val="004336D5"/>
    <w:rsid w:val="00433764"/>
    <w:rsid w:val="00433788"/>
    <w:rsid w:val="004339FB"/>
    <w:rsid w:val="00433D71"/>
    <w:rsid w:val="00434088"/>
    <w:rsid w:val="0043439B"/>
    <w:rsid w:val="00436880"/>
    <w:rsid w:val="00436958"/>
    <w:rsid w:val="004373A6"/>
    <w:rsid w:val="004375B9"/>
    <w:rsid w:val="0043772E"/>
    <w:rsid w:val="00437814"/>
    <w:rsid w:val="0044085F"/>
    <w:rsid w:val="00440F54"/>
    <w:rsid w:val="00441723"/>
    <w:rsid w:val="00442789"/>
    <w:rsid w:val="004428D0"/>
    <w:rsid w:val="00442CA4"/>
    <w:rsid w:val="00443C75"/>
    <w:rsid w:val="00444185"/>
    <w:rsid w:val="00444365"/>
    <w:rsid w:val="004443A7"/>
    <w:rsid w:val="0044442C"/>
    <w:rsid w:val="00444469"/>
    <w:rsid w:val="004444C8"/>
    <w:rsid w:val="00444F06"/>
    <w:rsid w:val="004452F3"/>
    <w:rsid w:val="004455B2"/>
    <w:rsid w:val="00445941"/>
    <w:rsid w:val="00445CDC"/>
    <w:rsid w:val="004460E6"/>
    <w:rsid w:val="00446423"/>
    <w:rsid w:val="004464EB"/>
    <w:rsid w:val="004472DE"/>
    <w:rsid w:val="00447886"/>
    <w:rsid w:val="00447D26"/>
    <w:rsid w:val="00447DFC"/>
    <w:rsid w:val="00447E9E"/>
    <w:rsid w:val="00450329"/>
    <w:rsid w:val="004510CC"/>
    <w:rsid w:val="00452360"/>
    <w:rsid w:val="00452463"/>
    <w:rsid w:val="00452626"/>
    <w:rsid w:val="004529CE"/>
    <w:rsid w:val="0045301C"/>
    <w:rsid w:val="00453088"/>
    <w:rsid w:val="004530F7"/>
    <w:rsid w:val="00454043"/>
    <w:rsid w:val="00454328"/>
    <w:rsid w:val="0045530A"/>
    <w:rsid w:val="00455D45"/>
    <w:rsid w:val="00456034"/>
    <w:rsid w:val="004561CC"/>
    <w:rsid w:val="004563B1"/>
    <w:rsid w:val="00456B79"/>
    <w:rsid w:val="00456DE3"/>
    <w:rsid w:val="0045716C"/>
    <w:rsid w:val="00457B4D"/>
    <w:rsid w:val="00457E86"/>
    <w:rsid w:val="00460029"/>
    <w:rsid w:val="0046097C"/>
    <w:rsid w:val="00462078"/>
    <w:rsid w:val="004627CB"/>
    <w:rsid w:val="00462D88"/>
    <w:rsid w:val="00464595"/>
    <w:rsid w:val="00464EDB"/>
    <w:rsid w:val="004658B5"/>
    <w:rsid w:val="00466194"/>
    <w:rsid w:val="0046623F"/>
    <w:rsid w:val="004662EA"/>
    <w:rsid w:val="00466CE3"/>
    <w:rsid w:val="00467892"/>
    <w:rsid w:val="00471303"/>
    <w:rsid w:val="004713FE"/>
    <w:rsid w:val="00471D51"/>
    <w:rsid w:val="00471EA5"/>
    <w:rsid w:val="00472012"/>
    <w:rsid w:val="0047224B"/>
    <w:rsid w:val="00472A79"/>
    <w:rsid w:val="0047369D"/>
    <w:rsid w:val="004736F8"/>
    <w:rsid w:val="004737F5"/>
    <w:rsid w:val="00473A21"/>
    <w:rsid w:val="00473CF6"/>
    <w:rsid w:val="00473F19"/>
    <w:rsid w:val="004743A6"/>
    <w:rsid w:val="00474684"/>
    <w:rsid w:val="004749ED"/>
    <w:rsid w:val="00474A91"/>
    <w:rsid w:val="00474FEE"/>
    <w:rsid w:val="004757EA"/>
    <w:rsid w:val="00475E22"/>
    <w:rsid w:val="00476456"/>
    <w:rsid w:val="00477038"/>
    <w:rsid w:val="00477452"/>
    <w:rsid w:val="004779AB"/>
    <w:rsid w:val="0048013C"/>
    <w:rsid w:val="0048031F"/>
    <w:rsid w:val="0048088E"/>
    <w:rsid w:val="00480F2B"/>
    <w:rsid w:val="004812BA"/>
    <w:rsid w:val="00481C8C"/>
    <w:rsid w:val="0048204A"/>
    <w:rsid w:val="0048248E"/>
    <w:rsid w:val="00482720"/>
    <w:rsid w:val="004834CD"/>
    <w:rsid w:val="004835E7"/>
    <w:rsid w:val="00484370"/>
    <w:rsid w:val="00484C49"/>
    <w:rsid w:val="00484E5C"/>
    <w:rsid w:val="004858E1"/>
    <w:rsid w:val="004859C3"/>
    <w:rsid w:val="004859E1"/>
    <w:rsid w:val="004867E2"/>
    <w:rsid w:val="00486F96"/>
    <w:rsid w:val="004871C3"/>
    <w:rsid w:val="00487470"/>
    <w:rsid w:val="00487AE4"/>
    <w:rsid w:val="004905B9"/>
    <w:rsid w:val="0049075F"/>
    <w:rsid w:val="00490B17"/>
    <w:rsid w:val="00490D73"/>
    <w:rsid w:val="00490E0A"/>
    <w:rsid w:val="00490E84"/>
    <w:rsid w:val="004911E2"/>
    <w:rsid w:val="0049168F"/>
    <w:rsid w:val="00491B3A"/>
    <w:rsid w:val="00491F59"/>
    <w:rsid w:val="00491FF4"/>
    <w:rsid w:val="0049247E"/>
    <w:rsid w:val="0049290E"/>
    <w:rsid w:val="00492CFD"/>
    <w:rsid w:val="00492E5D"/>
    <w:rsid w:val="004936D4"/>
    <w:rsid w:val="00494033"/>
    <w:rsid w:val="00494207"/>
    <w:rsid w:val="0049431A"/>
    <w:rsid w:val="00494DD5"/>
    <w:rsid w:val="00495282"/>
    <w:rsid w:val="00495396"/>
    <w:rsid w:val="004953F8"/>
    <w:rsid w:val="0049582A"/>
    <w:rsid w:val="004962D2"/>
    <w:rsid w:val="00496924"/>
    <w:rsid w:val="00496A08"/>
    <w:rsid w:val="0049718F"/>
    <w:rsid w:val="004972D2"/>
    <w:rsid w:val="0049775F"/>
    <w:rsid w:val="004A0068"/>
    <w:rsid w:val="004A0074"/>
    <w:rsid w:val="004A010A"/>
    <w:rsid w:val="004A0670"/>
    <w:rsid w:val="004A0A3B"/>
    <w:rsid w:val="004A0DA1"/>
    <w:rsid w:val="004A0DA2"/>
    <w:rsid w:val="004A13D6"/>
    <w:rsid w:val="004A160A"/>
    <w:rsid w:val="004A1ED8"/>
    <w:rsid w:val="004A24DC"/>
    <w:rsid w:val="004A25F3"/>
    <w:rsid w:val="004A2C31"/>
    <w:rsid w:val="004A2C65"/>
    <w:rsid w:val="004A2DF2"/>
    <w:rsid w:val="004A3235"/>
    <w:rsid w:val="004A37CB"/>
    <w:rsid w:val="004A43CA"/>
    <w:rsid w:val="004A4760"/>
    <w:rsid w:val="004A4C3C"/>
    <w:rsid w:val="004A4C66"/>
    <w:rsid w:val="004A50EF"/>
    <w:rsid w:val="004A52E9"/>
    <w:rsid w:val="004A5843"/>
    <w:rsid w:val="004A5CB1"/>
    <w:rsid w:val="004A6040"/>
    <w:rsid w:val="004A6257"/>
    <w:rsid w:val="004A6597"/>
    <w:rsid w:val="004A6B57"/>
    <w:rsid w:val="004A6F2F"/>
    <w:rsid w:val="004A732E"/>
    <w:rsid w:val="004A7848"/>
    <w:rsid w:val="004A793B"/>
    <w:rsid w:val="004B00D4"/>
    <w:rsid w:val="004B03AE"/>
    <w:rsid w:val="004B0875"/>
    <w:rsid w:val="004B1089"/>
    <w:rsid w:val="004B1CB4"/>
    <w:rsid w:val="004B2F18"/>
    <w:rsid w:val="004B33ED"/>
    <w:rsid w:val="004B37E1"/>
    <w:rsid w:val="004B3DDB"/>
    <w:rsid w:val="004B4447"/>
    <w:rsid w:val="004B44FD"/>
    <w:rsid w:val="004B4B26"/>
    <w:rsid w:val="004B4D64"/>
    <w:rsid w:val="004B5BD4"/>
    <w:rsid w:val="004B5CFC"/>
    <w:rsid w:val="004B5DC4"/>
    <w:rsid w:val="004B6387"/>
    <w:rsid w:val="004B66EF"/>
    <w:rsid w:val="004B6D6B"/>
    <w:rsid w:val="004B6F79"/>
    <w:rsid w:val="004B774D"/>
    <w:rsid w:val="004C002B"/>
    <w:rsid w:val="004C13BF"/>
    <w:rsid w:val="004C17A7"/>
    <w:rsid w:val="004C2AC2"/>
    <w:rsid w:val="004C35BF"/>
    <w:rsid w:val="004C3B02"/>
    <w:rsid w:val="004C3C1A"/>
    <w:rsid w:val="004C46CF"/>
    <w:rsid w:val="004C4AED"/>
    <w:rsid w:val="004C5B48"/>
    <w:rsid w:val="004C639A"/>
    <w:rsid w:val="004C6801"/>
    <w:rsid w:val="004C691B"/>
    <w:rsid w:val="004C6B4B"/>
    <w:rsid w:val="004C7018"/>
    <w:rsid w:val="004D1A79"/>
    <w:rsid w:val="004D1E88"/>
    <w:rsid w:val="004D2C2D"/>
    <w:rsid w:val="004D3EDC"/>
    <w:rsid w:val="004D415B"/>
    <w:rsid w:val="004D4731"/>
    <w:rsid w:val="004D52D8"/>
    <w:rsid w:val="004D54D6"/>
    <w:rsid w:val="004D69B5"/>
    <w:rsid w:val="004D7036"/>
    <w:rsid w:val="004D7227"/>
    <w:rsid w:val="004D7B5E"/>
    <w:rsid w:val="004E0D28"/>
    <w:rsid w:val="004E0E7F"/>
    <w:rsid w:val="004E0EB8"/>
    <w:rsid w:val="004E13A5"/>
    <w:rsid w:val="004E158D"/>
    <w:rsid w:val="004E18E9"/>
    <w:rsid w:val="004E1D53"/>
    <w:rsid w:val="004E1DAE"/>
    <w:rsid w:val="004E1EA2"/>
    <w:rsid w:val="004E1F13"/>
    <w:rsid w:val="004E25C6"/>
    <w:rsid w:val="004E2ADC"/>
    <w:rsid w:val="004E30C8"/>
    <w:rsid w:val="004E43B2"/>
    <w:rsid w:val="004E49C6"/>
    <w:rsid w:val="004E4E6F"/>
    <w:rsid w:val="004E6625"/>
    <w:rsid w:val="004E6627"/>
    <w:rsid w:val="004E6DBE"/>
    <w:rsid w:val="004E76B2"/>
    <w:rsid w:val="004E77A8"/>
    <w:rsid w:val="004E7F4A"/>
    <w:rsid w:val="004F0127"/>
    <w:rsid w:val="004F1799"/>
    <w:rsid w:val="004F1D02"/>
    <w:rsid w:val="004F2679"/>
    <w:rsid w:val="004F2BEC"/>
    <w:rsid w:val="004F2F21"/>
    <w:rsid w:val="004F3850"/>
    <w:rsid w:val="004F386B"/>
    <w:rsid w:val="004F39C2"/>
    <w:rsid w:val="004F3C81"/>
    <w:rsid w:val="004F3DE5"/>
    <w:rsid w:val="004F4107"/>
    <w:rsid w:val="004F41B9"/>
    <w:rsid w:val="004F4A77"/>
    <w:rsid w:val="004F52B8"/>
    <w:rsid w:val="004F5687"/>
    <w:rsid w:val="004F56A8"/>
    <w:rsid w:val="004F57AB"/>
    <w:rsid w:val="004F5956"/>
    <w:rsid w:val="004F5C07"/>
    <w:rsid w:val="004F5F01"/>
    <w:rsid w:val="004F676D"/>
    <w:rsid w:val="004F6913"/>
    <w:rsid w:val="004F6AF9"/>
    <w:rsid w:val="004F7865"/>
    <w:rsid w:val="00500585"/>
    <w:rsid w:val="00500AB1"/>
    <w:rsid w:val="005012F9"/>
    <w:rsid w:val="0050174E"/>
    <w:rsid w:val="00501854"/>
    <w:rsid w:val="00501A31"/>
    <w:rsid w:val="00501E10"/>
    <w:rsid w:val="00501ED8"/>
    <w:rsid w:val="0050219B"/>
    <w:rsid w:val="005030F8"/>
    <w:rsid w:val="00503249"/>
    <w:rsid w:val="0050379D"/>
    <w:rsid w:val="00503F17"/>
    <w:rsid w:val="00503F3A"/>
    <w:rsid w:val="0050409A"/>
    <w:rsid w:val="00505799"/>
    <w:rsid w:val="00505C1C"/>
    <w:rsid w:val="00505C72"/>
    <w:rsid w:val="005068BF"/>
    <w:rsid w:val="005068D2"/>
    <w:rsid w:val="00506928"/>
    <w:rsid w:val="005077EF"/>
    <w:rsid w:val="005078C5"/>
    <w:rsid w:val="005078F9"/>
    <w:rsid w:val="00507D98"/>
    <w:rsid w:val="005101DF"/>
    <w:rsid w:val="00510254"/>
    <w:rsid w:val="005102A1"/>
    <w:rsid w:val="00510B39"/>
    <w:rsid w:val="00510CFB"/>
    <w:rsid w:val="00511175"/>
    <w:rsid w:val="005112B5"/>
    <w:rsid w:val="005117A2"/>
    <w:rsid w:val="00511953"/>
    <w:rsid w:val="00511AD5"/>
    <w:rsid w:val="00511DC7"/>
    <w:rsid w:val="00512A02"/>
    <w:rsid w:val="00512D9B"/>
    <w:rsid w:val="00512E78"/>
    <w:rsid w:val="005136B5"/>
    <w:rsid w:val="00513B2D"/>
    <w:rsid w:val="005142C5"/>
    <w:rsid w:val="00514354"/>
    <w:rsid w:val="0051468B"/>
    <w:rsid w:val="00514912"/>
    <w:rsid w:val="0051501B"/>
    <w:rsid w:val="00515073"/>
    <w:rsid w:val="005152B5"/>
    <w:rsid w:val="00515886"/>
    <w:rsid w:val="00515FB9"/>
    <w:rsid w:val="00516BFC"/>
    <w:rsid w:val="00516F3D"/>
    <w:rsid w:val="00517206"/>
    <w:rsid w:val="00517829"/>
    <w:rsid w:val="005178DA"/>
    <w:rsid w:val="00517CDC"/>
    <w:rsid w:val="00520834"/>
    <w:rsid w:val="0052123C"/>
    <w:rsid w:val="00521319"/>
    <w:rsid w:val="005214E1"/>
    <w:rsid w:val="0052190B"/>
    <w:rsid w:val="005219E9"/>
    <w:rsid w:val="00521F6E"/>
    <w:rsid w:val="00522058"/>
    <w:rsid w:val="00522BC8"/>
    <w:rsid w:val="00523487"/>
    <w:rsid w:val="00523C28"/>
    <w:rsid w:val="00523EDC"/>
    <w:rsid w:val="00523F57"/>
    <w:rsid w:val="0052444C"/>
    <w:rsid w:val="005249F8"/>
    <w:rsid w:val="005251FD"/>
    <w:rsid w:val="00525E78"/>
    <w:rsid w:val="005260C5"/>
    <w:rsid w:val="00526560"/>
    <w:rsid w:val="00527390"/>
    <w:rsid w:val="0052764F"/>
    <w:rsid w:val="00527901"/>
    <w:rsid w:val="0053027E"/>
    <w:rsid w:val="005303AC"/>
    <w:rsid w:val="0053040E"/>
    <w:rsid w:val="00530491"/>
    <w:rsid w:val="005307A1"/>
    <w:rsid w:val="00531269"/>
    <w:rsid w:val="0053128C"/>
    <w:rsid w:val="0053176B"/>
    <w:rsid w:val="00531CCD"/>
    <w:rsid w:val="00531D82"/>
    <w:rsid w:val="00532F7E"/>
    <w:rsid w:val="0053383F"/>
    <w:rsid w:val="00533E10"/>
    <w:rsid w:val="005340DD"/>
    <w:rsid w:val="005341B3"/>
    <w:rsid w:val="005345B6"/>
    <w:rsid w:val="00534FB3"/>
    <w:rsid w:val="005358C8"/>
    <w:rsid w:val="00535FA9"/>
    <w:rsid w:val="00536057"/>
    <w:rsid w:val="0053628D"/>
    <w:rsid w:val="00536588"/>
    <w:rsid w:val="005366EA"/>
    <w:rsid w:val="0053674A"/>
    <w:rsid w:val="00536BDA"/>
    <w:rsid w:val="00536F42"/>
    <w:rsid w:val="00537182"/>
    <w:rsid w:val="005409CB"/>
    <w:rsid w:val="00540E38"/>
    <w:rsid w:val="005410C5"/>
    <w:rsid w:val="0054188F"/>
    <w:rsid w:val="00541EDD"/>
    <w:rsid w:val="005425F3"/>
    <w:rsid w:val="00542743"/>
    <w:rsid w:val="0054283B"/>
    <w:rsid w:val="00542C2D"/>
    <w:rsid w:val="005435F1"/>
    <w:rsid w:val="00544AB5"/>
    <w:rsid w:val="00544D83"/>
    <w:rsid w:val="005454C6"/>
    <w:rsid w:val="005459D0"/>
    <w:rsid w:val="0054620F"/>
    <w:rsid w:val="005465B7"/>
    <w:rsid w:val="005478BD"/>
    <w:rsid w:val="0054796C"/>
    <w:rsid w:val="005479E3"/>
    <w:rsid w:val="00550682"/>
    <w:rsid w:val="00550898"/>
    <w:rsid w:val="005511A4"/>
    <w:rsid w:val="005512C8"/>
    <w:rsid w:val="00551985"/>
    <w:rsid w:val="00552509"/>
    <w:rsid w:val="00552A12"/>
    <w:rsid w:val="00552BD3"/>
    <w:rsid w:val="005532A0"/>
    <w:rsid w:val="005543A7"/>
    <w:rsid w:val="0055508E"/>
    <w:rsid w:val="00555109"/>
    <w:rsid w:val="005554AC"/>
    <w:rsid w:val="00555A1E"/>
    <w:rsid w:val="00556403"/>
    <w:rsid w:val="005565F5"/>
    <w:rsid w:val="00556657"/>
    <w:rsid w:val="00556B09"/>
    <w:rsid w:val="00556B35"/>
    <w:rsid w:val="00556F51"/>
    <w:rsid w:val="0055741A"/>
    <w:rsid w:val="0056028B"/>
    <w:rsid w:val="005607D5"/>
    <w:rsid w:val="00560D40"/>
    <w:rsid w:val="005611B7"/>
    <w:rsid w:val="005611D8"/>
    <w:rsid w:val="00561705"/>
    <w:rsid w:val="005618D4"/>
    <w:rsid w:val="00562795"/>
    <w:rsid w:val="005629AF"/>
    <w:rsid w:val="00562A9C"/>
    <w:rsid w:val="00562E4B"/>
    <w:rsid w:val="005630FB"/>
    <w:rsid w:val="005636D0"/>
    <w:rsid w:val="00563718"/>
    <w:rsid w:val="00563755"/>
    <w:rsid w:val="00563ADF"/>
    <w:rsid w:val="00563B6F"/>
    <w:rsid w:val="0056440F"/>
    <w:rsid w:val="00564624"/>
    <w:rsid w:val="00564867"/>
    <w:rsid w:val="005648B4"/>
    <w:rsid w:val="00564B2C"/>
    <w:rsid w:val="00564FBD"/>
    <w:rsid w:val="00565039"/>
    <w:rsid w:val="0056543B"/>
    <w:rsid w:val="00565C79"/>
    <w:rsid w:val="00565DF0"/>
    <w:rsid w:val="005660FE"/>
    <w:rsid w:val="005666F3"/>
    <w:rsid w:val="00566966"/>
    <w:rsid w:val="0056696F"/>
    <w:rsid w:val="005677CE"/>
    <w:rsid w:val="00571574"/>
    <w:rsid w:val="00571742"/>
    <w:rsid w:val="005717A6"/>
    <w:rsid w:val="00572269"/>
    <w:rsid w:val="0057244A"/>
    <w:rsid w:val="00572670"/>
    <w:rsid w:val="00572CAB"/>
    <w:rsid w:val="00572F26"/>
    <w:rsid w:val="005733F1"/>
    <w:rsid w:val="0057355F"/>
    <w:rsid w:val="00573A1C"/>
    <w:rsid w:val="00573BCD"/>
    <w:rsid w:val="005748CE"/>
    <w:rsid w:val="005750C5"/>
    <w:rsid w:val="0057521A"/>
    <w:rsid w:val="005752DE"/>
    <w:rsid w:val="00575981"/>
    <w:rsid w:val="00575C06"/>
    <w:rsid w:val="00575D60"/>
    <w:rsid w:val="00575D8D"/>
    <w:rsid w:val="00575DCB"/>
    <w:rsid w:val="00575E6C"/>
    <w:rsid w:val="00575F17"/>
    <w:rsid w:val="00576546"/>
    <w:rsid w:val="005768D1"/>
    <w:rsid w:val="00576972"/>
    <w:rsid w:val="0057701E"/>
    <w:rsid w:val="00577248"/>
    <w:rsid w:val="00577DED"/>
    <w:rsid w:val="005802AD"/>
    <w:rsid w:val="00580C80"/>
    <w:rsid w:val="00580EF2"/>
    <w:rsid w:val="00580FE8"/>
    <w:rsid w:val="00581912"/>
    <w:rsid w:val="00581C84"/>
    <w:rsid w:val="0058297D"/>
    <w:rsid w:val="00582DBA"/>
    <w:rsid w:val="005831BD"/>
    <w:rsid w:val="00583699"/>
    <w:rsid w:val="00583983"/>
    <w:rsid w:val="00585CDD"/>
    <w:rsid w:val="00585EE1"/>
    <w:rsid w:val="00586755"/>
    <w:rsid w:val="00586C3E"/>
    <w:rsid w:val="00586E48"/>
    <w:rsid w:val="00587058"/>
    <w:rsid w:val="00587321"/>
    <w:rsid w:val="0058795F"/>
    <w:rsid w:val="00587BDF"/>
    <w:rsid w:val="00587E17"/>
    <w:rsid w:val="00587F4A"/>
    <w:rsid w:val="005900B1"/>
    <w:rsid w:val="00590144"/>
    <w:rsid w:val="00590198"/>
    <w:rsid w:val="0059019B"/>
    <w:rsid w:val="005902E8"/>
    <w:rsid w:val="005909B9"/>
    <w:rsid w:val="00590B7D"/>
    <w:rsid w:val="005914CD"/>
    <w:rsid w:val="00591957"/>
    <w:rsid w:val="00592332"/>
    <w:rsid w:val="0059239A"/>
    <w:rsid w:val="005930B4"/>
    <w:rsid w:val="00594360"/>
    <w:rsid w:val="00594894"/>
    <w:rsid w:val="00595022"/>
    <w:rsid w:val="005956D2"/>
    <w:rsid w:val="00595A72"/>
    <w:rsid w:val="00596CAA"/>
    <w:rsid w:val="0059773B"/>
    <w:rsid w:val="00597BF9"/>
    <w:rsid w:val="005A00B2"/>
    <w:rsid w:val="005A06EA"/>
    <w:rsid w:val="005A07A2"/>
    <w:rsid w:val="005A0C11"/>
    <w:rsid w:val="005A1535"/>
    <w:rsid w:val="005A218A"/>
    <w:rsid w:val="005A309A"/>
    <w:rsid w:val="005A364A"/>
    <w:rsid w:val="005A36E9"/>
    <w:rsid w:val="005A373D"/>
    <w:rsid w:val="005A39D8"/>
    <w:rsid w:val="005A4F3D"/>
    <w:rsid w:val="005A52F5"/>
    <w:rsid w:val="005A5416"/>
    <w:rsid w:val="005A5479"/>
    <w:rsid w:val="005A5C72"/>
    <w:rsid w:val="005A699A"/>
    <w:rsid w:val="005A6D0B"/>
    <w:rsid w:val="005A6E24"/>
    <w:rsid w:val="005A6E6A"/>
    <w:rsid w:val="005A6F37"/>
    <w:rsid w:val="005A711B"/>
    <w:rsid w:val="005A7293"/>
    <w:rsid w:val="005A7752"/>
    <w:rsid w:val="005A7A02"/>
    <w:rsid w:val="005A7F8B"/>
    <w:rsid w:val="005B0B58"/>
    <w:rsid w:val="005B17C2"/>
    <w:rsid w:val="005B26DC"/>
    <w:rsid w:val="005B2942"/>
    <w:rsid w:val="005B2BA3"/>
    <w:rsid w:val="005B2D03"/>
    <w:rsid w:val="005B340F"/>
    <w:rsid w:val="005B381F"/>
    <w:rsid w:val="005B3C6C"/>
    <w:rsid w:val="005B3C7D"/>
    <w:rsid w:val="005B3F89"/>
    <w:rsid w:val="005B4E53"/>
    <w:rsid w:val="005B4EC5"/>
    <w:rsid w:val="005B541A"/>
    <w:rsid w:val="005B55C7"/>
    <w:rsid w:val="005B5857"/>
    <w:rsid w:val="005B5EAA"/>
    <w:rsid w:val="005B650E"/>
    <w:rsid w:val="005B6754"/>
    <w:rsid w:val="005B6A25"/>
    <w:rsid w:val="005B6CF7"/>
    <w:rsid w:val="005B7E2B"/>
    <w:rsid w:val="005B7F99"/>
    <w:rsid w:val="005C1056"/>
    <w:rsid w:val="005C18EC"/>
    <w:rsid w:val="005C19C4"/>
    <w:rsid w:val="005C1B83"/>
    <w:rsid w:val="005C1CA0"/>
    <w:rsid w:val="005C25FF"/>
    <w:rsid w:val="005C2AF2"/>
    <w:rsid w:val="005C2D55"/>
    <w:rsid w:val="005C346B"/>
    <w:rsid w:val="005C3DEF"/>
    <w:rsid w:val="005C4227"/>
    <w:rsid w:val="005C45BA"/>
    <w:rsid w:val="005C464F"/>
    <w:rsid w:val="005C4807"/>
    <w:rsid w:val="005C4B1B"/>
    <w:rsid w:val="005C4E47"/>
    <w:rsid w:val="005C51C2"/>
    <w:rsid w:val="005C579B"/>
    <w:rsid w:val="005C5ABC"/>
    <w:rsid w:val="005C5C08"/>
    <w:rsid w:val="005C65C6"/>
    <w:rsid w:val="005C6771"/>
    <w:rsid w:val="005C6C2B"/>
    <w:rsid w:val="005C76A4"/>
    <w:rsid w:val="005C7C4E"/>
    <w:rsid w:val="005C7EDF"/>
    <w:rsid w:val="005D01DC"/>
    <w:rsid w:val="005D044D"/>
    <w:rsid w:val="005D056D"/>
    <w:rsid w:val="005D0717"/>
    <w:rsid w:val="005D0ABD"/>
    <w:rsid w:val="005D16D2"/>
    <w:rsid w:val="005D18AD"/>
    <w:rsid w:val="005D212A"/>
    <w:rsid w:val="005D26B4"/>
    <w:rsid w:val="005D2835"/>
    <w:rsid w:val="005D2A4F"/>
    <w:rsid w:val="005D37C9"/>
    <w:rsid w:val="005D3B2F"/>
    <w:rsid w:val="005D3C49"/>
    <w:rsid w:val="005D3C63"/>
    <w:rsid w:val="005D3D6B"/>
    <w:rsid w:val="005D3E10"/>
    <w:rsid w:val="005D422E"/>
    <w:rsid w:val="005D4C5C"/>
    <w:rsid w:val="005D51D8"/>
    <w:rsid w:val="005D628C"/>
    <w:rsid w:val="005D6651"/>
    <w:rsid w:val="005D6C5E"/>
    <w:rsid w:val="005D6EE1"/>
    <w:rsid w:val="005D73EA"/>
    <w:rsid w:val="005D7495"/>
    <w:rsid w:val="005D7AE0"/>
    <w:rsid w:val="005D7F38"/>
    <w:rsid w:val="005E0231"/>
    <w:rsid w:val="005E0AC0"/>
    <w:rsid w:val="005E0E01"/>
    <w:rsid w:val="005E1078"/>
    <w:rsid w:val="005E1995"/>
    <w:rsid w:val="005E19CA"/>
    <w:rsid w:val="005E1A6B"/>
    <w:rsid w:val="005E2192"/>
    <w:rsid w:val="005E279F"/>
    <w:rsid w:val="005E2EF1"/>
    <w:rsid w:val="005E39F0"/>
    <w:rsid w:val="005E3C9B"/>
    <w:rsid w:val="005E3D0B"/>
    <w:rsid w:val="005E40FA"/>
    <w:rsid w:val="005E5028"/>
    <w:rsid w:val="005E50D1"/>
    <w:rsid w:val="005E52D7"/>
    <w:rsid w:val="005E544B"/>
    <w:rsid w:val="005E5755"/>
    <w:rsid w:val="005E5798"/>
    <w:rsid w:val="005E5FF1"/>
    <w:rsid w:val="005E6CBC"/>
    <w:rsid w:val="005E72FF"/>
    <w:rsid w:val="005E73C0"/>
    <w:rsid w:val="005E7EF6"/>
    <w:rsid w:val="005F0096"/>
    <w:rsid w:val="005F0150"/>
    <w:rsid w:val="005F07ED"/>
    <w:rsid w:val="005F12CA"/>
    <w:rsid w:val="005F253C"/>
    <w:rsid w:val="005F2706"/>
    <w:rsid w:val="005F2729"/>
    <w:rsid w:val="005F2949"/>
    <w:rsid w:val="005F2D03"/>
    <w:rsid w:val="005F2F70"/>
    <w:rsid w:val="005F3063"/>
    <w:rsid w:val="005F327B"/>
    <w:rsid w:val="005F394A"/>
    <w:rsid w:val="005F48D9"/>
    <w:rsid w:val="005F4E3C"/>
    <w:rsid w:val="005F5350"/>
    <w:rsid w:val="005F58FA"/>
    <w:rsid w:val="005F5F68"/>
    <w:rsid w:val="005F636D"/>
    <w:rsid w:val="005F6990"/>
    <w:rsid w:val="005F6A8F"/>
    <w:rsid w:val="005F6BB7"/>
    <w:rsid w:val="005F6EFA"/>
    <w:rsid w:val="005F72DC"/>
    <w:rsid w:val="005F73E2"/>
    <w:rsid w:val="005F7588"/>
    <w:rsid w:val="005F7693"/>
    <w:rsid w:val="005F79BD"/>
    <w:rsid w:val="005F7D58"/>
    <w:rsid w:val="00600265"/>
    <w:rsid w:val="00600999"/>
    <w:rsid w:val="00600ABB"/>
    <w:rsid w:val="006010CB"/>
    <w:rsid w:val="00601245"/>
    <w:rsid w:val="00602386"/>
    <w:rsid w:val="00602632"/>
    <w:rsid w:val="006028D3"/>
    <w:rsid w:val="00602952"/>
    <w:rsid w:val="00602F90"/>
    <w:rsid w:val="00603157"/>
    <w:rsid w:val="00603DB9"/>
    <w:rsid w:val="00603E44"/>
    <w:rsid w:val="00604407"/>
    <w:rsid w:val="00605B2C"/>
    <w:rsid w:val="006061D7"/>
    <w:rsid w:val="00606CF0"/>
    <w:rsid w:val="00606FBA"/>
    <w:rsid w:val="0060700C"/>
    <w:rsid w:val="00607669"/>
    <w:rsid w:val="006076F4"/>
    <w:rsid w:val="00607AFD"/>
    <w:rsid w:val="00610026"/>
    <w:rsid w:val="00611291"/>
    <w:rsid w:val="00611604"/>
    <w:rsid w:val="00611B12"/>
    <w:rsid w:val="00612C89"/>
    <w:rsid w:val="00612F97"/>
    <w:rsid w:val="0061314A"/>
    <w:rsid w:val="006131B2"/>
    <w:rsid w:val="006133F2"/>
    <w:rsid w:val="0061345D"/>
    <w:rsid w:val="00613868"/>
    <w:rsid w:val="00613932"/>
    <w:rsid w:val="00613B66"/>
    <w:rsid w:val="00614441"/>
    <w:rsid w:val="006146B1"/>
    <w:rsid w:val="00614AB7"/>
    <w:rsid w:val="006150E1"/>
    <w:rsid w:val="0061549B"/>
    <w:rsid w:val="00615535"/>
    <w:rsid w:val="00616446"/>
    <w:rsid w:val="0061649C"/>
    <w:rsid w:val="00616802"/>
    <w:rsid w:val="0061686F"/>
    <w:rsid w:val="00617093"/>
    <w:rsid w:val="00617784"/>
    <w:rsid w:val="00617E12"/>
    <w:rsid w:val="00620558"/>
    <w:rsid w:val="00620C25"/>
    <w:rsid w:val="00621477"/>
    <w:rsid w:val="006216C1"/>
    <w:rsid w:val="00621A76"/>
    <w:rsid w:val="00621ADA"/>
    <w:rsid w:val="00621DAB"/>
    <w:rsid w:val="006224F5"/>
    <w:rsid w:val="00622E96"/>
    <w:rsid w:val="0062304D"/>
    <w:rsid w:val="00623453"/>
    <w:rsid w:val="0062395E"/>
    <w:rsid w:val="00623F7B"/>
    <w:rsid w:val="00624A23"/>
    <w:rsid w:val="00624BD4"/>
    <w:rsid w:val="00624C99"/>
    <w:rsid w:val="00624FB0"/>
    <w:rsid w:val="006257A2"/>
    <w:rsid w:val="00625943"/>
    <w:rsid w:val="00625A9F"/>
    <w:rsid w:val="006262F8"/>
    <w:rsid w:val="006267DD"/>
    <w:rsid w:val="00626EDB"/>
    <w:rsid w:val="006272FB"/>
    <w:rsid w:val="00627D21"/>
    <w:rsid w:val="00630700"/>
    <w:rsid w:val="0063158F"/>
    <w:rsid w:val="00631D6B"/>
    <w:rsid w:val="00632183"/>
    <w:rsid w:val="00632B6D"/>
    <w:rsid w:val="00632DA3"/>
    <w:rsid w:val="006330A1"/>
    <w:rsid w:val="00633DA2"/>
    <w:rsid w:val="006341C6"/>
    <w:rsid w:val="0063435A"/>
    <w:rsid w:val="0063479F"/>
    <w:rsid w:val="00634877"/>
    <w:rsid w:val="00634AB8"/>
    <w:rsid w:val="00634F89"/>
    <w:rsid w:val="00635082"/>
    <w:rsid w:val="006353F0"/>
    <w:rsid w:val="006357B5"/>
    <w:rsid w:val="00635AC5"/>
    <w:rsid w:val="006364A1"/>
    <w:rsid w:val="0063678E"/>
    <w:rsid w:val="00636C04"/>
    <w:rsid w:val="00636E0D"/>
    <w:rsid w:val="006376EB"/>
    <w:rsid w:val="00637BFD"/>
    <w:rsid w:val="00637C5C"/>
    <w:rsid w:val="00637FB3"/>
    <w:rsid w:val="0064040E"/>
    <w:rsid w:val="00640594"/>
    <w:rsid w:val="00641165"/>
    <w:rsid w:val="006419BC"/>
    <w:rsid w:val="00641B4B"/>
    <w:rsid w:val="00641C4E"/>
    <w:rsid w:val="00641FB3"/>
    <w:rsid w:val="0064253D"/>
    <w:rsid w:val="00642F00"/>
    <w:rsid w:val="0064421D"/>
    <w:rsid w:val="0064434C"/>
    <w:rsid w:val="006445F8"/>
    <w:rsid w:val="00644678"/>
    <w:rsid w:val="00644E27"/>
    <w:rsid w:val="00645171"/>
    <w:rsid w:val="00645666"/>
    <w:rsid w:val="00645B1F"/>
    <w:rsid w:val="006466F8"/>
    <w:rsid w:val="00646706"/>
    <w:rsid w:val="00646A94"/>
    <w:rsid w:val="006471CC"/>
    <w:rsid w:val="0064722A"/>
    <w:rsid w:val="006472FE"/>
    <w:rsid w:val="0064783F"/>
    <w:rsid w:val="00647A29"/>
    <w:rsid w:val="006505B8"/>
    <w:rsid w:val="0065079F"/>
    <w:rsid w:val="00650934"/>
    <w:rsid w:val="0065160F"/>
    <w:rsid w:val="00652113"/>
    <w:rsid w:val="00652516"/>
    <w:rsid w:val="00652A28"/>
    <w:rsid w:val="00652BD4"/>
    <w:rsid w:val="00652EFE"/>
    <w:rsid w:val="006536FF"/>
    <w:rsid w:val="0065379F"/>
    <w:rsid w:val="0065405D"/>
    <w:rsid w:val="00654230"/>
    <w:rsid w:val="00654A32"/>
    <w:rsid w:val="00654B36"/>
    <w:rsid w:val="00654DE9"/>
    <w:rsid w:val="00655083"/>
    <w:rsid w:val="0065575B"/>
    <w:rsid w:val="00656188"/>
    <w:rsid w:val="00656929"/>
    <w:rsid w:val="0065715A"/>
    <w:rsid w:val="00657657"/>
    <w:rsid w:val="006577C7"/>
    <w:rsid w:val="00657A27"/>
    <w:rsid w:val="0066018F"/>
    <w:rsid w:val="0066063B"/>
    <w:rsid w:val="006610F1"/>
    <w:rsid w:val="0066175C"/>
    <w:rsid w:val="00661C6B"/>
    <w:rsid w:val="00661DAD"/>
    <w:rsid w:val="00661F5F"/>
    <w:rsid w:val="0066241C"/>
    <w:rsid w:val="00662765"/>
    <w:rsid w:val="00662D3E"/>
    <w:rsid w:val="00663071"/>
    <w:rsid w:val="006630A8"/>
    <w:rsid w:val="006633F3"/>
    <w:rsid w:val="00663423"/>
    <w:rsid w:val="006635F6"/>
    <w:rsid w:val="00663A2D"/>
    <w:rsid w:val="00665342"/>
    <w:rsid w:val="00665443"/>
    <w:rsid w:val="00665E72"/>
    <w:rsid w:val="00666391"/>
    <w:rsid w:val="00666418"/>
    <w:rsid w:val="006667B4"/>
    <w:rsid w:val="00666FA5"/>
    <w:rsid w:val="00667576"/>
    <w:rsid w:val="0066785B"/>
    <w:rsid w:val="00667BE3"/>
    <w:rsid w:val="00667DD4"/>
    <w:rsid w:val="006700E0"/>
    <w:rsid w:val="00670FE1"/>
    <w:rsid w:val="00671004"/>
    <w:rsid w:val="0067156A"/>
    <w:rsid w:val="00671CC1"/>
    <w:rsid w:val="00672646"/>
    <w:rsid w:val="00672AC6"/>
    <w:rsid w:val="00673EB3"/>
    <w:rsid w:val="00674464"/>
    <w:rsid w:val="006744CE"/>
    <w:rsid w:val="00674A9F"/>
    <w:rsid w:val="00674D40"/>
    <w:rsid w:val="00674E42"/>
    <w:rsid w:val="00674F8F"/>
    <w:rsid w:val="0067512B"/>
    <w:rsid w:val="00675C3A"/>
    <w:rsid w:val="00675DEB"/>
    <w:rsid w:val="00675EA8"/>
    <w:rsid w:val="00676563"/>
    <w:rsid w:val="006765B0"/>
    <w:rsid w:val="00676B39"/>
    <w:rsid w:val="0067748E"/>
    <w:rsid w:val="00677C3B"/>
    <w:rsid w:val="00680100"/>
    <w:rsid w:val="00680A6B"/>
    <w:rsid w:val="006813DC"/>
    <w:rsid w:val="006813F8"/>
    <w:rsid w:val="006819D7"/>
    <w:rsid w:val="00681B4B"/>
    <w:rsid w:val="00682112"/>
    <w:rsid w:val="00682BA6"/>
    <w:rsid w:val="00682D1F"/>
    <w:rsid w:val="00682EF7"/>
    <w:rsid w:val="00682F33"/>
    <w:rsid w:val="006832DF"/>
    <w:rsid w:val="00683940"/>
    <w:rsid w:val="00683F8F"/>
    <w:rsid w:val="0068461F"/>
    <w:rsid w:val="00684ADE"/>
    <w:rsid w:val="00685120"/>
    <w:rsid w:val="0068513C"/>
    <w:rsid w:val="00685399"/>
    <w:rsid w:val="00685AAB"/>
    <w:rsid w:val="00685ACF"/>
    <w:rsid w:val="00685E45"/>
    <w:rsid w:val="006865B4"/>
    <w:rsid w:val="00686957"/>
    <w:rsid w:val="006870F7"/>
    <w:rsid w:val="006872BA"/>
    <w:rsid w:val="00687665"/>
    <w:rsid w:val="00687AA0"/>
    <w:rsid w:val="00690212"/>
    <w:rsid w:val="00690795"/>
    <w:rsid w:val="0069088B"/>
    <w:rsid w:val="00690CB6"/>
    <w:rsid w:val="00691648"/>
    <w:rsid w:val="006917D7"/>
    <w:rsid w:val="00691F90"/>
    <w:rsid w:val="00692437"/>
    <w:rsid w:val="00692498"/>
    <w:rsid w:val="00692C87"/>
    <w:rsid w:val="00692D29"/>
    <w:rsid w:val="00693251"/>
    <w:rsid w:val="0069420F"/>
    <w:rsid w:val="006942A6"/>
    <w:rsid w:val="0069434C"/>
    <w:rsid w:val="00694646"/>
    <w:rsid w:val="00694F44"/>
    <w:rsid w:val="00695EA0"/>
    <w:rsid w:val="00695FDF"/>
    <w:rsid w:val="00696D3B"/>
    <w:rsid w:val="00696EF9"/>
    <w:rsid w:val="00696F51"/>
    <w:rsid w:val="0069794C"/>
    <w:rsid w:val="006979A5"/>
    <w:rsid w:val="006A016F"/>
    <w:rsid w:val="006A063F"/>
    <w:rsid w:val="006A07E9"/>
    <w:rsid w:val="006A0DF7"/>
    <w:rsid w:val="006A1143"/>
    <w:rsid w:val="006A1753"/>
    <w:rsid w:val="006A1B6D"/>
    <w:rsid w:val="006A209D"/>
    <w:rsid w:val="006A24EC"/>
    <w:rsid w:val="006A2678"/>
    <w:rsid w:val="006A2D2C"/>
    <w:rsid w:val="006A2D95"/>
    <w:rsid w:val="006A33BA"/>
    <w:rsid w:val="006A3B0B"/>
    <w:rsid w:val="006A40C3"/>
    <w:rsid w:val="006A4321"/>
    <w:rsid w:val="006A43D9"/>
    <w:rsid w:val="006A48EE"/>
    <w:rsid w:val="006A5445"/>
    <w:rsid w:val="006A5791"/>
    <w:rsid w:val="006A57D4"/>
    <w:rsid w:val="006A5C40"/>
    <w:rsid w:val="006A66FB"/>
    <w:rsid w:val="006A6A24"/>
    <w:rsid w:val="006A6AF8"/>
    <w:rsid w:val="006A6B99"/>
    <w:rsid w:val="006A6C54"/>
    <w:rsid w:val="006A6FC1"/>
    <w:rsid w:val="006A79B2"/>
    <w:rsid w:val="006A7E5F"/>
    <w:rsid w:val="006B0CFB"/>
    <w:rsid w:val="006B1391"/>
    <w:rsid w:val="006B14C3"/>
    <w:rsid w:val="006B1BA5"/>
    <w:rsid w:val="006B261B"/>
    <w:rsid w:val="006B276D"/>
    <w:rsid w:val="006B2A60"/>
    <w:rsid w:val="006B2A70"/>
    <w:rsid w:val="006B2C90"/>
    <w:rsid w:val="006B3185"/>
    <w:rsid w:val="006B35E6"/>
    <w:rsid w:val="006B36E5"/>
    <w:rsid w:val="006B465A"/>
    <w:rsid w:val="006B48CF"/>
    <w:rsid w:val="006B5A51"/>
    <w:rsid w:val="006B5C10"/>
    <w:rsid w:val="006B5F04"/>
    <w:rsid w:val="006B690C"/>
    <w:rsid w:val="006B6B72"/>
    <w:rsid w:val="006B6DD0"/>
    <w:rsid w:val="006B7250"/>
    <w:rsid w:val="006B732E"/>
    <w:rsid w:val="006B74BD"/>
    <w:rsid w:val="006B7860"/>
    <w:rsid w:val="006C01B0"/>
    <w:rsid w:val="006C0399"/>
    <w:rsid w:val="006C05BC"/>
    <w:rsid w:val="006C0A11"/>
    <w:rsid w:val="006C0C17"/>
    <w:rsid w:val="006C0FF8"/>
    <w:rsid w:val="006C1084"/>
    <w:rsid w:val="006C17CF"/>
    <w:rsid w:val="006C2009"/>
    <w:rsid w:val="006C2A8E"/>
    <w:rsid w:val="006C3168"/>
    <w:rsid w:val="006C31CB"/>
    <w:rsid w:val="006C3255"/>
    <w:rsid w:val="006C3266"/>
    <w:rsid w:val="006C37F2"/>
    <w:rsid w:val="006C3F26"/>
    <w:rsid w:val="006C4C88"/>
    <w:rsid w:val="006C4E3F"/>
    <w:rsid w:val="006C5DA5"/>
    <w:rsid w:val="006C5FAA"/>
    <w:rsid w:val="006C6313"/>
    <w:rsid w:val="006C66CF"/>
    <w:rsid w:val="006C66FA"/>
    <w:rsid w:val="006C7161"/>
    <w:rsid w:val="006C7F02"/>
    <w:rsid w:val="006D07D7"/>
    <w:rsid w:val="006D0D17"/>
    <w:rsid w:val="006D0D9B"/>
    <w:rsid w:val="006D1465"/>
    <w:rsid w:val="006D1480"/>
    <w:rsid w:val="006D2CFE"/>
    <w:rsid w:val="006D31FE"/>
    <w:rsid w:val="006D3C7D"/>
    <w:rsid w:val="006D45D6"/>
    <w:rsid w:val="006D4659"/>
    <w:rsid w:val="006D48F2"/>
    <w:rsid w:val="006D5D5F"/>
    <w:rsid w:val="006D68FB"/>
    <w:rsid w:val="006D6B53"/>
    <w:rsid w:val="006E107F"/>
    <w:rsid w:val="006E11EF"/>
    <w:rsid w:val="006E1A36"/>
    <w:rsid w:val="006E2310"/>
    <w:rsid w:val="006E2335"/>
    <w:rsid w:val="006E26B9"/>
    <w:rsid w:val="006E2868"/>
    <w:rsid w:val="006E2BA2"/>
    <w:rsid w:val="006E30B6"/>
    <w:rsid w:val="006E494F"/>
    <w:rsid w:val="006E4B34"/>
    <w:rsid w:val="006E4E26"/>
    <w:rsid w:val="006E514E"/>
    <w:rsid w:val="006E5384"/>
    <w:rsid w:val="006E557C"/>
    <w:rsid w:val="006E5BFE"/>
    <w:rsid w:val="006E6A78"/>
    <w:rsid w:val="006E74F8"/>
    <w:rsid w:val="006E7995"/>
    <w:rsid w:val="006E7D8F"/>
    <w:rsid w:val="006F0B40"/>
    <w:rsid w:val="006F0C7F"/>
    <w:rsid w:val="006F0EC2"/>
    <w:rsid w:val="006F126D"/>
    <w:rsid w:val="006F13AC"/>
    <w:rsid w:val="006F1A77"/>
    <w:rsid w:val="006F1C1D"/>
    <w:rsid w:val="006F1CB0"/>
    <w:rsid w:val="006F2461"/>
    <w:rsid w:val="006F2918"/>
    <w:rsid w:val="006F295E"/>
    <w:rsid w:val="006F3032"/>
    <w:rsid w:val="006F306C"/>
    <w:rsid w:val="006F3882"/>
    <w:rsid w:val="006F3967"/>
    <w:rsid w:val="006F3E01"/>
    <w:rsid w:val="006F427F"/>
    <w:rsid w:val="006F4A64"/>
    <w:rsid w:val="006F4BE8"/>
    <w:rsid w:val="006F4C64"/>
    <w:rsid w:val="006F600B"/>
    <w:rsid w:val="006F63A5"/>
    <w:rsid w:val="006F68DC"/>
    <w:rsid w:val="006F6A83"/>
    <w:rsid w:val="006F6CAF"/>
    <w:rsid w:val="006F7307"/>
    <w:rsid w:val="006F75B1"/>
    <w:rsid w:val="006F7F15"/>
    <w:rsid w:val="006F7F92"/>
    <w:rsid w:val="00700277"/>
    <w:rsid w:val="007005E6"/>
    <w:rsid w:val="0070142B"/>
    <w:rsid w:val="007021F7"/>
    <w:rsid w:val="0070276E"/>
    <w:rsid w:val="007027C5"/>
    <w:rsid w:val="00702D14"/>
    <w:rsid w:val="00702F8F"/>
    <w:rsid w:val="0070307F"/>
    <w:rsid w:val="00703121"/>
    <w:rsid w:val="00703189"/>
    <w:rsid w:val="0070347C"/>
    <w:rsid w:val="00703D03"/>
    <w:rsid w:val="00704849"/>
    <w:rsid w:val="00706558"/>
    <w:rsid w:val="00706630"/>
    <w:rsid w:val="007066A9"/>
    <w:rsid w:val="00706794"/>
    <w:rsid w:val="00706917"/>
    <w:rsid w:val="007070CB"/>
    <w:rsid w:val="007075CF"/>
    <w:rsid w:val="007079FC"/>
    <w:rsid w:val="0070CE9F"/>
    <w:rsid w:val="00710360"/>
    <w:rsid w:val="0071067C"/>
    <w:rsid w:val="00710D27"/>
    <w:rsid w:val="00711635"/>
    <w:rsid w:val="007119F7"/>
    <w:rsid w:val="00711A36"/>
    <w:rsid w:val="00711AD7"/>
    <w:rsid w:val="007125D3"/>
    <w:rsid w:val="00712A32"/>
    <w:rsid w:val="00712F8A"/>
    <w:rsid w:val="00714C26"/>
    <w:rsid w:val="0071529C"/>
    <w:rsid w:val="00715424"/>
    <w:rsid w:val="0071543F"/>
    <w:rsid w:val="007155C5"/>
    <w:rsid w:val="00715BCF"/>
    <w:rsid w:val="00715C24"/>
    <w:rsid w:val="0071642D"/>
    <w:rsid w:val="00716EB0"/>
    <w:rsid w:val="007170DA"/>
    <w:rsid w:val="007172AD"/>
    <w:rsid w:val="00717455"/>
    <w:rsid w:val="00717546"/>
    <w:rsid w:val="00717CD6"/>
    <w:rsid w:val="00720203"/>
    <w:rsid w:val="0072038F"/>
    <w:rsid w:val="00720801"/>
    <w:rsid w:val="00721CF1"/>
    <w:rsid w:val="00722579"/>
    <w:rsid w:val="00722B1B"/>
    <w:rsid w:val="0072416F"/>
    <w:rsid w:val="0072418B"/>
    <w:rsid w:val="00724CC3"/>
    <w:rsid w:val="00724E80"/>
    <w:rsid w:val="00724E89"/>
    <w:rsid w:val="007251DD"/>
    <w:rsid w:val="0072700B"/>
    <w:rsid w:val="00727B56"/>
    <w:rsid w:val="00727C94"/>
    <w:rsid w:val="00730CE5"/>
    <w:rsid w:val="00731B0A"/>
    <w:rsid w:val="00731EAE"/>
    <w:rsid w:val="0073286B"/>
    <w:rsid w:val="00733073"/>
    <w:rsid w:val="007332F7"/>
    <w:rsid w:val="00733DF3"/>
    <w:rsid w:val="007345F9"/>
    <w:rsid w:val="00734974"/>
    <w:rsid w:val="00734FA7"/>
    <w:rsid w:val="00735033"/>
    <w:rsid w:val="00735152"/>
    <w:rsid w:val="00735328"/>
    <w:rsid w:val="00735622"/>
    <w:rsid w:val="00735655"/>
    <w:rsid w:val="007363D8"/>
    <w:rsid w:val="00736792"/>
    <w:rsid w:val="0073685B"/>
    <w:rsid w:val="00736AFC"/>
    <w:rsid w:val="00737BF4"/>
    <w:rsid w:val="00737C8E"/>
    <w:rsid w:val="00737DFE"/>
    <w:rsid w:val="00740095"/>
    <w:rsid w:val="00740432"/>
    <w:rsid w:val="00740E94"/>
    <w:rsid w:val="00741503"/>
    <w:rsid w:val="00741F73"/>
    <w:rsid w:val="00742294"/>
    <w:rsid w:val="00742845"/>
    <w:rsid w:val="00742FC5"/>
    <w:rsid w:val="00742FE0"/>
    <w:rsid w:val="007435F3"/>
    <w:rsid w:val="00743A14"/>
    <w:rsid w:val="00744678"/>
    <w:rsid w:val="007449BF"/>
    <w:rsid w:val="007463FE"/>
    <w:rsid w:val="00746637"/>
    <w:rsid w:val="00746BC0"/>
    <w:rsid w:val="00747218"/>
    <w:rsid w:val="00747F5D"/>
    <w:rsid w:val="007510B4"/>
    <w:rsid w:val="00751134"/>
    <w:rsid w:val="007512EF"/>
    <w:rsid w:val="00751446"/>
    <w:rsid w:val="00751618"/>
    <w:rsid w:val="00751985"/>
    <w:rsid w:val="00752142"/>
    <w:rsid w:val="007522AA"/>
    <w:rsid w:val="007523CC"/>
    <w:rsid w:val="007523F9"/>
    <w:rsid w:val="00752756"/>
    <w:rsid w:val="00752AAE"/>
    <w:rsid w:val="0075304D"/>
    <w:rsid w:val="0075357E"/>
    <w:rsid w:val="00753631"/>
    <w:rsid w:val="007537D0"/>
    <w:rsid w:val="00753884"/>
    <w:rsid w:val="00753B29"/>
    <w:rsid w:val="00754099"/>
    <w:rsid w:val="0075483C"/>
    <w:rsid w:val="00754C9B"/>
    <w:rsid w:val="00754DBC"/>
    <w:rsid w:val="00754FDD"/>
    <w:rsid w:val="0075525F"/>
    <w:rsid w:val="0075621B"/>
    <w:rsid w:val="007573E8"/>
    <w:rsid w:val="00757839"/>
    <w:rsid w:val="00757FCD"/>
    <w:rsid w:val="00760C4E"/>
    <w:rsid w:val="00760F83"/>
    <w:rsid w:val="00760F9E"/>
    <w:rsid w:val="007614D5"/>
    <w:rsid w:val="007616E6"/>
    <w:rsid w:val="00761C6E"/>
    <w:rsid w:val="00761E98"/>
    <w:rsid w:val="00761EB2"/>
    <w:rsid w:val="007627BE"/>
    <w:rsid w:val="00763CD1"/>
    <w:rsid w:val="00763CF7"/>
    <w:rsid w:val="00764B15"/>
    <w:rsid w:val="00764E7C"/>
    <w:rsid w:val="00764EF1"/>
    <w:rsid w:val="00764F03"/>
    <w:rsid w:val="007657D9"/>
    <w:rsid w:val="0076599A"/>
    <w:rsid w:val="00765B1A"/>
    <w:rsid w:val="00765DC1"/>
    <w:rsid w:val="00765E2F"/>
    <w:rsid w:val="0076621A"/>
    <w:rsid w:val="007662EF"/>
    <w:rsid w:val="00766DD3"/>
    <w:rsid w:val="007674B3"/>
    <w:rsid w:val="007674D9"/>
    <w:rsid w:val="00767715"/>
    <w:rsid w:val="00770672"/>
    <w:rsid w:val="007707EF"/>
    <w:rsid w:val="00771043"/>
    <w:rsid w:val="00771ADB"/>
    <w:rsid w:val="00772A2F"/>
    <w:rsid w:val="00772E29"/>
    <w:rsid w:val="00773744"/>
    <w:rsid w:val="0077396E"/>
    <w:rsid w:val="007739F5"/>
    <w:rsid w:val="00773BC9"/>
    <w:rsid w:val="00774374"/>
    <w:rsid w:val="00775211"/>
    <w:rsid w:val="00775AB6"/>
    <w:rsid w:val="00776A29"/>
    <w:rsid w:val="00776BFD"/>
    <w:rsid w:val="00776E2A"/>
    <w:rsid w:val="00777317"/>
    <w:rsid w:val="00777335"/>
    <w:rsid w:val="0078088C"/>
    <w:rsid w:val="007810B8"/>
    <w:rsid w:val="00781F90"/>
    <w:rsid w:val="0078207F"/>
    <w:rsid w:val="007821EB"/>
    <w:rsid w:val="007822AD"/>
    <w:rsid w:val="00783028"/>
    <w:rsid w:val="0078334A"/>
    <w:rsid w:val="007843F2"/>
    <w:rsid w:val="007843F6"/>
    <w:rsid w:val="007846FA"/>
    <w:rsid w:val="00785A9F"/>
    <w:rsid w:val="00785D78"/>
    <w:rsid w:val="0078624A"/>
    <w:rsid w:val="00790063"/>
    <w:rsid w:val="00790124"/>
    <w:rsid w:val="0079049C"/>
    <w:rsid w:val="007904B8"/>
    <w:rsid w:val="00791645"/>
    <w:rsid w:val="00791DF9"/>
    <w:rsid w:val="00791E81"/>
    <w:rsid w:val="007925A7"/>
    <w:rsid w:val="007925DF"/>
    <w:rsid w:val="00792D61"/>
    <w:rsid w:val="00793B00"/>
    <w:rsid w:val="00793D44"/>
    <w:rsid w:val="007946EC"/>
    <w:rsid w:val="007948BF"/>
    <w:rsid w:val="00794A05"/>
    <w:rsid w:val="00795886"/>
    <w:rsid w:val="00795ACE"/>
    <w:rsid w:val="00795B03"/>
    <w:rsid w:val="00795F09"/>
    <w:rsid w:val="007978D3"/>
    <w:rsid w:val="00797A8B"/>
    <w:rsid w:val="007A03A2"/>
    <w:rsid w:val="007A08AA"/>
    <w:rsid w:val="007A0A12"/>
    <w:rsid w:val="007A132D"/>
    <w:rsid w:val="007A1345"/>
    <w:rsid w:val="007A161B"/>
    <w:rsid w:val="007A2B5A"/>
    <w:rsid w:val="007A2CE7"/>
    <w:rsid w:val="007A2DDB"/>
    <w:rsid w:val="007A3615"/>
    <w:rsid w:val="007A3FBD"/>
    <w:rsid w:val="007A44E9"/>
    <w:rsid w:val="007A4F4C"/>
    <w:rsid w:val="007A5063"/>
    <w:rsid w:val="007A5366"/>
    <w:rsid w:val="007A62AE"/>
    <w:rsid w:val="007A65D6"/>
    <w:rsid w:val="007A6722"/>
    <w:rsid w:val="007A676B"/>
    <w:rsid w:val="007A6A4A"/>
    <w:rsid w:val="007A6CAE"/>
    <w:rsid w:val="007A70BA"/>
    <w:rsid w:val="007A7424"/>
    <w:rsid w:val="007A777F"/>
    <w:rsid w:val="007A7E4C"/>
    <w:rsid w:val="007B0960"/>
    <w:rsid w:val="007B0978"/>
    <w:rsid w:val="007B0B53"/>
    <w:rsid w:val="007B0D68"/>
    <w:rsid w:val="007B15EA"/>
    <w:rsid w:val="007B17B2"/>
    <w:rsid w:val="007B1CC2"/>
    <w:rsid w:val="007B243E"/>
    <w:rsid w:val="007B251D"/>
    <w:rsid w:val="007B27DB"/>
    <w:rsid w:val="007B2CEE"/>
    <w:rsid w:val="007B3533"/>
    <w:rsid w:val="007B38B5"/>
    <w:rsid w:val="007B4017"/>
    <w:rsid w:val="007B4D5E"/>
    <w:rsid w:val="007B4D68"/>
    <w:rsid w:val="007B4F58"/>
    <w:rsid w:val="007B528D"/>
    <w:rsid w:val="007B623B"/>
    <w:rsid w:val="007B631D"/>
    <w:rsid w:val="007B63CA"/>
    <w:rsid w:val="007B6C00"/>
    <w:rsid w:val="007B7074"/>
    <w:rsid w:val="007B71CE"/>
    <w:rsid w:val="007B77D1"/>
    <w:rsid w:val="007B7B7A"/>
    <w:rsid w:val="007B7ECA"/>
    <w:rsid w:val="007C018D"/>
    <w:rsid w:val="007C07C7"/>
    <w:rsid w:val="007C0D01"/>
    <w:rsid w:val="007C0E69"/>
    <w:rsid w:val="007C1874"/>
    <w:rsid w:val="007C18CD"/>
    <w:rsid w:val="007C1CD9"/>
    <w:rsid w:val="007C2540"/>
    <w:rsid w:val="007C32EF"/>
    <w:rsid w:val="007C361D"/>
    <w:rsid w:val="007C4AE4"/>
    <w:rsid w:val="007C4B84"/>
    <w:rsid w:val="007C5319"/>
    <w:rsid w:val="007C54DF"/>
    <w:rsid w:val="007C60CD"/>
    <w:rsid w:val="007C6435"/>
    <w:rsid w:val="007C6861"/>
    <w:rsid w:val="007C6DD4"/>
    <w:rsid w:val="007C70FF"/>
    <w:rsid w:val="007C7564"/>
    <w:rsid w:val="007C773A"/>
    <w:rsid w:val="007C7B3E"/>
    <w:rsid w:val="007C7C25"/>
    <w:rsid w:val="007D004F"/>
    <w:rsid w:val="007D035F"/>
    <w:rsid w:val="007D0374"/>
    <w:rsid w:val="007D0605"/>
    <w:rsid w:val="007D06B2"/>
    <w:rsid w:val="007D07BC"/>
    <w:rsid w:val="007D0B38"/>
    <w:rsid w:val="007D1888"/>
    <w:rsid w:val="007D4AE5"/>
    <w:rsid w:val="007D4B10"/>
    <w:rsid w:val="007D4C3F"/>
    <w:rsid w:val="007D4F4C"/>
    <w:rsid w:val="007D51E4"/>
    <w:rsid w:val="007D5440"/>
    <w:rsid w:val="007D601B"/>
    <w:rsid w:val="007D649B"/>
    <w:rsid w:val="007D69EB"/>
    <w:rsid w:val="007D6BDA"/>
    <w:rsid w:val="007D7194"/>
    <w:rsid w:val="007E0626"/>
    <w:rsid w:val="007E0938"/>
    <w:rsid w:val="007E128F"/>
    <w:rsid w:val="007E24D5"/>
    <w:rsid w:val="007E274E"/>
    <w:rsid w:val="007E371E"/>
    <w:rsid w:val="007E4202"/>
    <w:rsid w:val="007E531D"/>
    <w:rsid w:val="007E582D"/>
    <w:rsid w:val="007E612B"/>
    <w:rsid w:val="007E66D7"/>
    <w:rsid w:val="007E69DF"/>
    <w:rsid w:val="007E6F5A"/>
    <w:rsid w:val="007E7881"/>
    <w:rsid w:val="007E79E6"/>
    <w:rsid w:val="007E7CD7"/>
    <w:rsid w:val="007F07B0"/>
    <w:rsid w:val="007F0F61"/>
    <w:rsid w:val="007F1017"/>
    <w:rsid w:val="007F1094"/>
    <w:rsid w:val="007F32E4"/>
    <w:rsid w:val="007F331A"/>
    <w:rsid w:val="007F332A"/>
    <w:rsid w:val="007F47A9"/>
    <w:rsid w:val="007F4925"/>
    <w:rsid w:val="007F4A3F"/>
    <w:rsid w:val="007F4A61"/>
    <w:rsid w:val="007F4B47"/>
    <w:rsid w:val="007F4B56"/>
    <w:rsid w:val="007F5041"/>
    <w:rsid w:val="007F5255"/>
    <w:rsid w:val="007F56CC"/>
    <w:rsid w:val="007F5E4D"/>
    <w:rsid w:val="007F5EA0"/>
    <w:rsid w:val="007F5F17"/>
    <w:rsid w:val="007F5F3D"/>
    <w:rsid w:val="007F6166"/>
    <w:rsid w:val="007F61C2"/>
    <w:rsid w:val="007F62F9"/>
    <w:rsid w:val="007F65A4"/>
    <w:rsid w:val="007F6CEE"/>
    <w:rsid w:val="007F7FB2"/>
    <w:rsid w:val="00800CA6"/>
    <w:rsid w:val="00800E4F"/>
    <w:rsid w:val="00801880"/>
    <w:rsid w:val="00803350"/>
    <w:rsid w:val="008035B0"/>
    <w:rsid w:val="00803C6B"/>
    <w:rsid w:val="00803F7F"/>
    <w:rsid w:val="00804245"/>
    <w:rsid w:val="008045E1"/>
    <w:rsid w:val="00804C5C"/>
    <w:rsid w:val="00805142"/>
    <w:rsid w:val="00805271"/>
    <w:rsid w:val="0080566B"/>
    <w:rsid w:val="00805FCE"/>
    <w:rsid w:val="00806AC5"/>
    <w:rsid w:val="00806E73"/>
    <w:rsid w:val="0080742A"/>
    <w:rsid w:val="008079BC"/>
    <w:rsid w:val="00807A8B"/>
    <w:rsid w:val="00810955"/>
    <w:rsid w:val="00811383"/>
    <w:rsid w:val="00812149"/>
    <w:rsid w:val="00812B43"/>
    <w:rsid w:val="00812CAC"/>
    <w:rsid w:val="00813965"/>
    <w:rsid w:val="00813A35"/>
    <w:rsid w:val="00813BE0"/>
    <w:rsid w:val="00814905"/>
    <w:rsid w:val="008151E1"/>
    <w:rsid w:val="008156CF"/>
    <w:rsid w:val="00815895"/>
    <w:rsid w:val="00815E9D"/>
    <w:rsid w:val="00816361"/>
    <w:rsid w:val="008165C8"/>
    <w:rsid w:val="008166EF"/>
    <w:rsid w:val="00816777"/>
    <w:rsid w:val="00816AB2"/>
    <w:rsid w:val="00816CEF"/>
    <w:rsid w:val="00816FEF"/>
    <w:rsid w:val="0081754E"/>
    <w:rsid w:val="008178D4"/>
    <w:rsid w:val="00817A94"/>
    <w:rsid w:val="00817CB6"/>
    <w:rsid w:val="00817F9A"/>
    <w:rsid w:val="00820A8C"/>
    <w:rsid w:val="00821403"/>
    <w:rsid w:val="008215FB"/>
    <w:rsid w:val="008218E5"/>
    <w:rsid w:val="00821CC7"/>
    <w:rsid w:val="00821DBE"/>
    <w:rsid w:val="008220CC"/>
    <w:rsid w:val="00823174"/>
    <w:rsid w:val="00823594"/>
    <w:rsid w:val="00824C72"/>
    <w:rsid w:val="00824EA5"/>
    <w:rsid w:val="0082518E"/>
    <w:rsid w:val="008251EC"/>
    <w:rsid w:val="00825751"/>
    <w:rsid w:val="00826279"/>
    <w:rsid w:val="008264EB"/>
    <w:rsid w:val="008268CE"/>
    <w:rsid w:val="0082704D"/>
    <w:rsid w:val="00827527"/>
    <w:rsid w:val="00827C23"/>
    <w:rsid w:val="00830C04"/>
    <w:rsid w:val="00831B90"/>
    <w:rsid w:val="0083266C"/>
    <w:rsid w:val="00832DA5"/>
    <w:rsid w:val="00833158"/>
    <w:rsid w:val="00833224"/>
    <w:rsid w:val="00833AB1"/>
    <w:rsid w:val="00833B05"/>
    <w:rsid w:val="00834640"/>
    <w:rsid w:val="008346F6"/>
    <w:rsid w:val="008349AF"/>
    <w:rsid w:val="00834C83"/>
    <w:rsid w:val="00835CA4"/>
    <w:rsid w:val="008360C2"/>
    <w:rsid w:val="008362B4"/>
    <w:rsid w:val="00836A3B"/>
    <w:rsid w:val="00836BEA"/>
    <w:rsid w:val="00836DE5"/>
    <w:rsid w:val="00837A02"/>
    <w:rsid w:val="00837E2B"/>
    <w:rsid w:val="00840064"/>
    <w:rsid w:val="008400EE"/>
    <w:rsid w:val="00840BA4"/>
    <w:rsid w:val="00840CA2"/>
    <w:rsid w:val="00840CBF"/>
    <w:rsid w:val="0084141F"/>
    <w:rsid w:val="00842B9A"/>
    <w:rsid w:val="00843216"/>
    <w:rsid w:val="00843599"/>
    <w:rsid w:val="00843644"/>
    <w:rsid w:val="0084374F"/>
    <w:rsid w:val="00843823"/>
    <w:rsid w:val="008447FD"/>
    <w:rsid w:val="00844897"/>
    <w:rsid w:val="008448DA"/>
    <w:rsid w:val="00844A02"/>
    <w:rsid w:val="00844A22"/>
    <w:rsid w:val="00844DC7"/>
    <w:rsid w:val="008450F1"/>
    <w:rsid w:val="00845214"/>
    <w:rsid w:val="00845F7B"/>
    <w:rsid w:val="00846D20"/>
    <w:rsid w:val="00847097"/>
    <w:rsid w:val="00847703"/>
    <w:rsid w:val="00847C7C"/>
    <w:rsid w:val="00847DF5"/>
    <w:rsid w:val="00847F26"/>
    <w:rsid w:val="0085049E"/>
    <w:rsid w:val="00850627"/>
    <w:rsid w:val="00850AAD"/>
    <w:rsid w:val="0085130C"/>
    <w:rsid w:val="00851681"/>
    <w:rsid w:val="00852B91"/>
    <w:rsid w:val="0085309D"/>
    <w:rsid w:val="00853565"/>
    <w:rsid w:val="0085376D"/>
    <w:rsid w:val="00853B21"/>
    <w:rsid w:val="00853BAE"/>
    <w:rsid w:val="00853C2B"/>
    <w:rsid w:val="00853EA0"/>
    <w:rsid w:val="008543E3"/>
    <w:rsid w:val="00854DF7"/>
    <w:rsid w:val="00855001"/>
    <w:rsid w:val="00855275"/>
    <w:rsid w:val="008556F9"/>
    <w:rsid w:val="00855CBE"/>
    <w:rsid w:val="008563B6"/>
    <w:rsid w:val="00856897"/>
    <w:rsid w:val="00856CA0"/>
    <w:rsid w:val="00856D75"/>
    <w:rsid w:val="00856E9A"/>
    <w:rsid w:val="00856F10"/>
    <w:rsid w:val="00857B11"/>
    <w:rsid w:val="00857ED8"/>
    <w:rsid w:val="00860600"/>
    <w:rsid w:val="0086075D"/>
    <w:rsid w:val="0086178F"/>
    <w:rsid w:val="00861AC3"/>
    <w:rsid w:val="00861DE2"/>
    <w:rsid w:val="00862444"/>
    <w:rsid w:val="00862502"/>
    <w:rsid w:val="00862CC1"/>
    <w:rsid w:val="008638E4"/>
    <w:rsid w:val="0086396E"/>
    <w:rsid w:val="00863AC3"/>
    <w:rsid w:val="00863D01"/>
    <w:rsid w:val="0086413B"/>
    <w:rsid w:val="008642A7"/>
    <w:rsid w:val="008644E0"/>
    <w:rsid w:val="00864850"/>
    <w:rsid w:val="00864869"/>
    <w:rsid w:val="00864A2C"/>
    <w:rsid w:val="00864C61"/>
    <w:rsid w:val="00864FBA"/>
    <w:rsid w:val="0086563D"/>
    <w:rsid w:val="008660D4"/>
    <w:rsid w:val="00866459"/>
    <w:rsid w:val="00866897"/>
    <w:rsid w:val="00866D17"/>
    <w:rsid w:val="008675EC"/>
    <w:rsid w:val="008707A7"/>
    <w:rsid w:val="008710AA"/>
    <w:rsid w:val="008710C8"/>
    <w:rsid w:val="00871238"/>
    <w:rsid w:val="008712D9"/>
    <w:rsid w:val="00871F80"/>
    <w:rsid w:val="00871FA9"/>
    <w:rsid w:val="008728E9"/>
    <w:rsid w:val="00872DC7"/>
    <w:rsid w:val="00872E41"/>
    <w:rsid w:val="008735FD"/>
    <w:rsid w:val="00873785"/>
    <w:rsid w:val="00873D48"/>
    <w:rsid w:val="00874192"/>
    <w:rsid w:val="00874BD7"/>
    <w:rsid w:val="00874DAF"/>
    <w:rsid w:val="00874E3B"/>
    <w:rsid w:val="008750BC"/>
    <w:rsid w:val="008751F6"/>
    <w:rsid w:val="00875A7B"/>
    <w:rsid w:val="0087662C"/>
    <w:rsid w:val="0087669F"/>
    <w:rsid w:val="008769A3"/>
    <w:rsid w:val="00876BB6"/>
    <w:rsid w:val="00876E41"/>
    <w:rsid w:val="008773E1"/>
    <w:rsid w:val="00877778"/>
    <w:rsid w:val="00877DA5"/>
    <w:rsid w:val="008804D4"/>
    <w:rsid w:val="00880604"/>
    <w:rsid w:val="00880620"/>
    <w:rsid w:val="00880EA4"/>
    <w:rsid w:val="0088162E"/>
    <w:rsid w:val="008818BE"/>
    <w:rsid w:val="00881FE7"/>
    <w:rsid w:val="008820F5"/>
    <w:rsid w:val="00882874"/>
    <w:rsid w:val="00882D08"/>
    <w:rsid w:val="00882E3C"/>
    <w:rsid w:val="00882F2A"/>
    <w:rsid w:val="0088308A"/>
    <w:rsid w:val="00883787"/>
    <w:rsid w:val="00883F98"/>
    <w:rsid w:val="00884BBB"/>
    <w:rsid w:val="008855E4"/>
    <w:rsid w:val="00885991"/>
    <w:rsid w:val="00886203"/>
    <w:rsid w:val="00886828"/>
    <w:rsid w:val="00886CD2"/>
    <w:rsid w:val="00887264"/>
    <w:rsid w:val="00887608"/>
    <w:rsid w:val="00887CFA"/>
    <w:rsid w:val="00887F90"/>
    <w:rsid w:val="00890A51"/>
    <w:rsid w:val="00890C2C"/>
    <w:rsid w:val="00890EEB"/>
    <w:rsid w:val="00890F12"/>
    <w:rsid w:val="00891215"/>
    <w:rsid w:val="0089182D"/>
    <w:rsid w:val="00891E6F"/>
    <w:rsid w:val="0089275D"/>
    <w:rsid w:val="00892A36"/>
    <w:rsid w:val="00892EBA"/>
    <w:rsid w:val="00892EBE"/>
    <w:rsid w:val="00893235"/>
    <w:rsid w:val="00893239"/>
    <w:rsid w:val="00893658"/>
    <w:rsid w:val="00893ED6"/>
    <w:rsid w:val="00893F60"/>
    <w:rsid w:val="0089420E"/>
    <w:rsid w:val="00894489"/>
    <w:rsid w:val="00894838"/>
    <w:rsid w:val="00894AB6"/>
    <w:rsid w:val="00894CD6"/>
    <w:rsid w:val="00894F7D"/>
    <w:rsid w:val="0089569B"/>
    <w:rsid w:val="008963A5"/>
    <w:rsid w:val="008963DC"/>
    <w:rsid w:val="008964C9"/>
    <w:rsid w:val="00896C54"/>
    <w:rsid w:val="00896D5D"/>
    <w:rsid w:val="00897555"/>
    <w:rsid w:val="00897DA4"/>
    <w:rsid w:val="008A00D5"/>
    <w:rsid w:val="008A04EC"/>
    <w:rsid w:val="008A11C2"/>
    <w:rsid w:val="008A2661"/>
    <w:rsid w:val="008A2981"/>
    <w:rsid w:val="008A2FFB"/>
    <w:rsid w:val="008A3158"/>
    <w:rsid w:val="008A3363"/>
    <w:rsid w:val="008A3371"/>
    <w:rsid w:val="008A3411"/>
    <w:rsid w:val="008A37B7"/>
    <w:rsid w:val="008A3BC2"/>
    <w:rsid w:val="008A3C3E"/>
    <w:rsid w:val="008A3E3E"/>
    <w:rsid w:val="008A47E6"/>
    <w:rsid w:val="008A5380"/>
    <w:rsid w:val="008A53EF"/>
    <w:rsid w:val="008A5F2F"/>
    <w:rsid w:val="008A606C"/>
    <w:rsid w:val="008A6076"/>
    <w:rsid w:val="008A79DE"/>
    <w:rsid w:val="008B1757"/>
    <w:rsid w:val="008B1AC7"/>
    <w:rsid w:val="008B1C33"/>
    <w:rsid w:val="008B216C"/>
    <w:rsid w:val="008B2673"/>
    <w:rsid w:val="008B294D"/>
    <w:rsid w:val="008B3433"/>
    <w:rsid w:val="008B38B5"/>
    <w:rsid w:val="008B4B6F"/>
    <w:rsid w:val="008B4F66"/>
    <w:rsid w:val="008B60BE"/>
    <w:rsid w:val="008B6E78"/>
    <w:rsid w:val="008B6E7B"/>
    <w:rsid w:val="008B6FE5"/>
    <w:rsid w:val="008B7992"/>
    <w:rsid w:val="008B7CA4"/>
    <w:rsid w:val="008B7D7E"/>
    <w:rsid w:val="008C0656"/>
    <w:rsid w:val="008C1D9A"/>
    <w:rsid w:val="008C20D2"/>
    <w:rsid w:val="008C2103"/>
    <w:rsid w:val="008C2289"/>
    <w:rsid w:val="008C34DE"/>
    <w:rsid w:val="008C3716"/>
    <w:rsid w:val="008C3772"/>
    <w:rsid w:val="008C3880"/>
    <w:rsid w:val="008C3C7C"/>
    <w:rsid w:val="008C3D6B"/>
    <w:rsid w:val="008C5610"/>
    <w:rsid w:val="008C5739"/>
    <w:rsid w:val="008C577F"/>
    <w:rsid w:val="008C599B"/>
    <w:rsid w:val="008C5BDC"/>
    <w:rsid w:val="008C6003"/>
    <w:rsid w:val="008C601C"/>
    <w:rsid w:val="008C6520"/>
    <w:rsid w:val="008C6B11"/>
    <w:rsid w:val="008C7282"/>
    <w:rsid w:val="008C794F"/>
    <w:rsid w:val="008C7E77"/>
    <w:rsid w:val="008C7ECB"/>
    <w:rsid w:val="008D05E9"/>
    <w:rsid w:val="008D0AFC"/>
    <w:rsid w:val="008D0BF1"/>
    <w:rsid w:val="008D1023"/>
    <w:rsid w:val="008D1324"/>
    <w:rsid w:val="008D1DA0"/>
    <w:rsid w:val="008D1F18"/>
    <w:rsid w:val="008D248A"/>
    <w:rsid w:val="008D2741"/>
    <w:rsid w:val="008D2AAF"/>
    <w:rsid w:val="008D337B"/>
    <w:rsid w:val="008D3548"/>
    <w:rsid w:val="008D3666"/>
    <w:rsid w:val="008D3B86"/>
    <w:rsid w:val="008D3BDB"/>
    <w:rsid w:val="008D3EC5"/>
    <w:rsid w:val="008D40D1"/>
    <w:rsid w:val="008D43FD"/>
    <w:rsid w:val="008D4755"/>
    <w:rsid w:val="008D4A6F"/>
    <w:rsid w:val="008D4C3D"/>
    <w:rsid w:val="008D5E64"/>
    <w:rsid w:val="008D622B"/>
    <w:rsid w:val="008D6362"/>
    <w:rsid w:val="008D743C"/>
    <w:rsid w:val="008E05D2"/>
    <w:rsid w:val="008E09A0"/>
    <w:rsid w:val="008E0D3C"/>
    <w:rsid w:val="008E11D8"/>
    <w:rsid w:val="008E1252"/>
    <w:rsid w:val="008E1363"/>
    <w:rsid w:val="008E1B9E"/>
    <w:rsid w:val="008E1D8B"/>
    <w:rsid w:val="008E1ED0"/>
    <w:rsid w:val="008E215C"/>
    <w:rsid w:val="008E265F"/>
    <w:rsid w:val="008E352B"/>
    <w:rsid w:val="008E4216"/>
    <w:rsid w:val="008E4C10"/>
    <w:rsid w:val="008E52E8"/>
    <w:rsid w:val="008E55AB"/>
    <w:rsid w:val="008E5632"/>
    <w:rsid w:val="008E56A4"/>
    <w:rsid w:val="008E5A0D"/>
    <w:rsid w:val="008E5B6A"/>
    <w:rsid w:val="008E5D61"/>
    <w:rsid w:val="008E6AA6"/>
    <w:rsid w:val="008E7529"/>
    <w:rsid w:val="008F00DD"/>
    <w:rsid w:val="008F0360"/>
    <w:rsid w:val="008F0799"/>
    <w:rsid w:val="008F09CD"/>
    <w:rsid w:val="008F11AE"/>
    <w:rsid w:val="008F120A"/>
    <w:rsid w:val="008F1243"/>
    <w:rsid w:val="008F1383"/>
    <w:rsid w:val="008F2243"/>
    <w:rsid w:val="008F270E"/>
    <w:rsid w:val="008F27AE"/>
    <w:rsid w:val="008F27E0"/>
    <w:rsid w:val="008F2F1D"/>
    <w:rsid w:val="008F364B"/>
    <w:rsid w:val="008F3BE4"/>
    <w:rsid w:val="008F48EB"/>
    <w:rsid w:val="008F49FE"/>
    <w:rsid w:val="008F4DEB"/>
    <w:rsid w:val="008F4F0B"/>
    <w:rsid w:val="008F598A"/>
    <w:rsid w:val="008F63B7"/>
    <w:rsid w:val="008F64A8"/>
    <w:rsid w:val="008F65EA"/>
    <w:rsid w:val="00900AF9"/>
    <w:rsid w:val="00900B9A"/>
    <w:rsid w:val="00900ECF"/>
    <w:rsid w:val="009016DC"/>
    <w:rsid w:val="009034D3"/>
    <w:rsid w:val="009037AB"/>
    <w:rsid w:val="009039C4"/>
    <w:rsid w:val="009046C4"/>
    <w:rsid w:val="009053E4"/>
    <w:rsid w:val="0090608F"/>
    <w:rsid w:val="009062A5"/>
    <w:rsid w:val="00906530"/>
    <w:rsid w:val="00906ADF"/>
    <w:rsid w:val="00907699"/>
    <w:rsid w:val="00907A66"/>
    <w:rsid w:val="009106D1"/>
    <w:rsid w:val="009108B3"/>
    <w:rsid w:val="00910FA7"/>
    <w:rsid w:val="00911272"/>
    <w:rsid w:val="00911339"/>
    <w:rsid w:val="00911837"/>
    <w:rsid w:val="009119A2"/>
    <w:rsid w:val="00911BE3"/>
    <w:rsid w:val="00912971"/>
    <w:rsid w:val="009135D6"/>
    <w:rsid w:val="009148C0"/>
    <w:rsid w:val="00914C77"/>
    <w:rsid w:val="00914F36"/>
    <w:rsid w:val="00915914"/>
    <w:rsid w:val="00915AB4"/>
    <w:rsid w:val="00916E80"/>
    <w:rsid w:val="00920289"/>
    <w:rsid w:val="00920433"/>
    <w:rsid w:val="00920AFF"/>
    <w:rsid w:val="00920CD2"/>
    <w:rsid w:val="0092177F"/>
    <w:rsid w:val="00921ACB"/>
    <w:rsid w:val="009221B2"/>
    <w:rsid w:val="00922499"/>
    <w:rsid w:val="009225C3"/>
    <w:rsid w:val="00922DBC"/>
    <w:rsid w:val="00923265"/>
    <w:rsid w:val="0092369B"/>
    <w:rsid w:val="009236AD"/>
    <w:rsid w:val="00923F61"/>
    <w:rsid w:val="0092489E"/>
    <w:rsid w:val="009252A7"/>
    <w:rsid w:val="009256C7"/>
    <w:rsid w:val="00926054"/>
    <w:rsid w:val="009264FB"/>
    <w:rsid w:val="009275FC"/>
    <w:rsid w:val="00927F53"/>
    <w:rsid w:val="00930778"/>
    <w:rsid w:val="00930A5F"/>
    <w:rsid w:val="00930BBD"/>
    <w:rsid w:val="00932263"/>
    <w:rsid w:val="009322BE"/>
    <w:rsid w:val="00932D78"/>
    <w:rsid w:val="009348D0"/>
    <w:rsid w:val="00934988"/>
    <w:rsid w:val="00934B5A"/>
    <w:rsid w:val="009351B4"/>
    <w:rsid w:val="0093552E"/>
    <w:rsid w:val="00935CB4"/>
    <w:rsid w:val="0093618A"/>
    <w:rsid w:val="009362D7"/>
    <w:rsid w:val="00936579"/>
    <w:rsid w:val="00936800"/>
    <w:rsid w:val="00936AE6"/>
    <w:rsid w:val="00937089"/>
    <w:rsid w:val="00937A28"/>
    <w:rsid w:val="00937DF1"/>
    <w:rsid w:val="00942BE4"/>
    <w:rsid w:val="00942C38"/>
    <w:rsid w:val="00942E66"/>
    <w:rsid w:val="009439F1"/>
    <w:rsid w:val="00943E39"/>
    <w:rsid w:val="00944E56"/>
    <w:rsid w:val="00944F8A"/>
    <w:rsid w:val="00945816"/>
    <w:rsid w:val="00946073"/>
    <w:rsid w:val="00946101"/>
    <w:rsid w:val="00946169"/>
    <w:rsid w:val="009466B3"/>
    <w:rsid w:val="00946A42"/>
    <w:rsid w:val="00946BDB"/>
    <w:rsid w:val="00947423"/>
    <w:rsid w:val="0094773C"/>
    <w:rsid w:val="00947E42"/>
    <w:rsid w:val="00947F1A"/>
    <w:rsid w:val="0095097D"/>
    <w:rsid w:val="00950AF4"/>
    <w:rsid w:val="00950FDC"/>
    <w:rsid w:val="009510A2"/>
    <w:rsid w:val="0095144E"/>
    <w:rsid w:val="009528E7"/>
    <w:rsid w:val="00952ADE"/>
    <w:rsid w:val="00952F12"/>
    <w:rsid w:val="00953097"/>
    <w:rsid w:val="00953257"/>
    <w:rsid w:val="00953E36"/>
    <w:rsid w:val="00953FFC"/>
    <w:rsid w:val="0095474C"/>
    <w:rsid w:val="00954C42"/>
    <w:rsid w:val="00956443"/>
    <w:rsid w:val="00956537"/>
    <w:rsid w:val="009567F3"/>
    <w:rsid w:val="009569E2"/>
    <w:rsid w:val="00956D08"/>
    <w:rsid w:val="00956E89"/>
    <w:rsid w:val="00957123"/>
    <w:rsid w:val="00957D92"/>
    <w:rsid w:val="00957F60"/>
    <w:rsid w:val="00960B55"/>
    <w:rsid w:val="00962079"/>
    <w:rsid w:val="009622CF"/>
    <w:rsid w:val="00962CB9"/>
    <w:rsid w:val="009638FF"/>
    <w:rsid w:val="00963B88"/>
    <w:rsid w:val="00964312"/>
    <w:rsid w:val="00964625"/>
    <w:rsid w:val="0096464B"/>
    <w:rsid w:val="00965B8A"/>
    <w:rsid w:val="009662FE"/>
    <w:rsid w:val="0096635F"/>
    <w:rsid w:val="00966AAA"/>
    <w:rsid w:val="009670FA"/>
    <w:rsid w:val="009675C1"/>
    <w:rsid w:val="0096772B"/>
    <w:rsid w:val="009702E3"/>
    <w:rsid w:val="0097071F"/>
    <w:rsid w:val="009717AC"/>
    <w:rsid w:val="0097197A"/>
    <w:rsid w:val="00971A76"/>
    <w:rsid w:val="00971D8C"/>
    <w:rsid w:val="009724AF"/>
    <w:rsid w:val="00973D5C"/>
    <w:rsid w:val="0097487A"/>
    <w:rsid w:val="00975181"/>
    <w:rsid w:val="009751C1"/>
    <w:rsid w:val="00975681"/>
    <w:rsid w:val="0097594C"/>
    <w:rsid w:val="00975F44"/>
    <w:rsid w:val="00976672"/>
    <w:rsid w:val="00976E2D"/>
    <w:rsid w:val="00977721"/>
    <w:rsid w:val="00980069"/>
    <w:rsid w:val="009811F1"/>
    <w:rsid w:val="009813C0"/>
    <w:rsid w:val="00981CAE"/>
    <w:rsid w:val="00982134"/>
    <w:rsid w:val="0098262F"/>
    <w:rsid w:val="00982860"/>
    <w:rsid w:val="00982919"/>
    <w:rsid w:val="00982DF8"/>
    <w:rsid w:val="00982F50"/>
    <w:rsid w:val="00982FA4"/>
    <w:rsid w:val="00983508"/>
    <w:rsid w:val="009838A8"/>
    <w:rsid w:val="009839A3"/>
    <w:rsid w:val="00983BB4"/>
    <w:rsid w:val="00983E57"/>
    <w:rsid w:val="009844CE"/>
    <w:rsid w:val="00984B48"/>
    <w:rsid w:val="00984F04"/>
    <w:rsid w:val="00985DE2"/>
    <w:rsid w:val="00986080"/>
    <w:rsid w:val="0098675D"/>
    <w:rsid w:val="00986797"/>
    <w:rsid w:val="009869B3"/>
    <w:rsid w:val="009871A4"/>
    <w:rsid w:val="009871DE"/>
    <w:rsid w:val="0098741D"/>
    <w:rsid w:val="00987958"/>
    <w:rsid w:val="00987BA4"/>
    <w:rsid w:val="00987F54"/>
    <w:rsid w:val="0099088F"/>
    <w:rsid w:val="00990C90"/>
    <w:rsid w:val="0099104D"/>
    <w:rsid w:val="009915FC"/>
    <w:rsid w:val="0099162C"/>
    <w:rsid w:val="00991789"/>
    <w:rsid w:val="00991FC8"/>
    <w:rsid w:val="009926E0"/>
    <w:rsid w:val="00992892"/>
    <w:rsid w:val="0099365E"/>
    <w:rsid w:val="0099451E"/>
    <w:rsid w:val="00994B3D"/>
    <w:rsid w:val="00994E80"/>
    <w:rsid w:val="00994FA2"/>
    <w:rsid w:val="00995169"/>
    <w:rsid w:val="009954C5"/>
    <w:rsid w:val="00995674"/>
    <w:rsid w:val="009958F8"/>
    <w:rsid w:val="0099599E"/>
    <w:rsid w:val="00996B1A"/>
    <w:rsid w:val="009976DB"/>
    <w:rsid w:val="0099790E"/>
    <w:rsid w:val="009A0F9A"/>
    <w:rsid w:val="009A166D"/>
    <w:rsid w:val="009A18F6"/>
    <w:rsid w:val="009A208B"/>
    <w:rsid w:val="009A2DCC"/>
    <w:rsid w:val="009A2F69"/>
    <w:rsid w:val="009A36C5"/>
    <w:rsid w:val="009A42BD"/>
    <w:rsid w:val="009A4C06"/>
    <w:rsid w:val="009A4C6D"/>
    <w:rsid w:val="009A546D"/>
    <w:rsid w:val="009A5ABC"/>
    <w:rsid w:val="009A5C51"/>
    <w:rsid w:val="009A5DF0"/>
    <w:rsid w:val="009A70ED"/>
    <w:rsid w:val="009A71DE"/>
    <w:rsid w:val="009A74EA"/>
    <w:rsid w:val="009A7F10"/>
    <w:rsid w:val="009B04CD"/>
    <w:rsid w:val="009B1011"/>
    <w:rsid w:val="009B105D"/>
    <w:rsid w:val="009B1065"/>
    <w:rsid w:val="009B1157"/>
    <w:rsid w:val="009B1879"/>
    <w:rsid w:val="009B22D3"/>
    <w:rsid w:val="009B278E"/>
    <w:rsid w:val="009B29B3"/>
    <w:rsid w:val="009B2CEA"/>
    <w:rsid w:val="009B30C5"/>
    <w:rsid w:val="009B3866"/>
    <w:rsid w:val="009B3E26"/>
    <w:rsid w:val="009B406E"/>
    <w:rsid w:val="009B40C1"/>
    <w:rsid w:val="009B474B"/>
    <w:rsid w:val="009B4C08"/>
    <w:rsid w:val="009B5015"/>
    <w:rsid w:val="009B5152"/>
    <w:rsid w:val="009B5D82"/>
    <w:rsid w:val="009B6590"/>
    <w:rsid w:val="009B6621"/>
    <w:rsid w:val="009B6E3B"/>
    <w:rsid w:val="009B7DA5"/>
    <w:rsid w:val="009C0D9F"/>
    <w:rsid w:val="009C0F70"/>
    <w:rsid w:val="009C1271"/>
    <w:rsid w:val="009C2076"/>
    <w:rsid w:val="009C2900"/>
    <w:rsid w:val="009C2B78"/>
    <w:rsid w:val="009C349A"/>
    <w:rsid w:val="009C364F"/>
    <w:rsid w:val="009C3706"/>
    <w:rsid w:val="009C3819"/>
    <w:rsid w:val="009C3876"/>
    <w:rsid w:val="009C3A3A"/>
    <w:rsid w:val="009C426B"/>
    <w:rsid w:val="009C4447"/>
    <w:rsid w:val="009C4AB8"/>
    <w:rsid w:val="009C4E84"/>
    <w:rsid w:val="009C502C"/>
    <w:rsid w:val="009C5977"/>
    <w:rsid w:val="009C6CEA"/>
    <w:rsid w:val="009C7B85"/>
    <w:rsid w:val="009C7E58"/>
    <w:rsid w:val="009D01EC"/>
    <w:rsid w:val="009D0254"/>
    <w:rsid w:val="009D0A53"/>
    <w:rsid w:val="009D1437"/>
    <w:rsid w:val="009D1A64"/>
    <w:rsid w:val="009D1F5F"/>
    <w:rsid w:val="009D238D"/>
    <w:rsid w:val="009D3711"/>
    <w:rsid w:val="009D393A"/>
    <w:rsid w:val="009D3A09"/>
    <w:rsid w:val="009D404B"/>
    <w:rsid w:val="009D4859"/>
    <w:rsid w:val="009D53BE"/>
    <w:rsid w:val="009D5B91"/>
    <w:rsid w:val="009D635A"/>
    <w:rsid w:val="009D645F"/>
    <w:rsid w:val="009D7775"/>
    <w:rsid w:val="009D792E"/>
    <w:rsid w:val="009D7C38"/>
    <w:rsid w:val="009E050D"/>
    <w:rsid w:val="009E0DFE"/>
    <w:rsid w:val="009E0F55"/>
    <w:rsid w:val="009E10DA"/>
    <w:rsid w:val="009E152F"/>
    <w:rsid w:val="009E1BC5"/>
    <w:rsid w:val="009E1DE6"/>
    <w:rsid w:val="009E22C5"/>
    <w:rsid w:val="009E2426"/>
    <w:rsid w:val="009E24FB"/>
    <w:rsid w:val="009E2D74"/>
    <w:rsid w:val="009E31F6"/>
    <w:rsid w:val="009E3277"/>
    <w:rsid w:val="009E3B44"/>
    <w:rsid w:val="009E418B"/>
    <w:rsid w:val="009E4375"/>
    <w:rsid w:val="009E4713"/>
    <w:rsid w:val="009E4C07"/>
    <w:rsid w:val="009E6EDA"/>
    <w:rsid w:val="009E6EEE"/>
    <w:rsid w:val="009E71BF"/>
    <w:rsid w:val="009E777F"/>
    <w:rsid w:val="009E7F4A"/>
    <w:rsid w:val="009F1094"/>
    <w:rsid w:val="009F1F91"/>
    <w:rsid w:val="009F206C"/>
    <w:rsid w:val="009F2133"/>
    <w:rsid w:val="009F24AC"/>
    <w:rsid w:val="009F293D"/>
    <w:rsid w:val="009F2EE8"/>
    <w:rsid w:val="009F3199"/>
    <w:rsid w:val="009F34ED"/>
    <w:rsid w:val="009F3998"/>
    <w:rsid w:val="009F3AFC"/>
    <w:rsid w:val="009F41E6"/>
    <w:rsid w:val="009F462A"/>
    <w:rsid w:val="009F4CF2"/>
    <w:rsid w:val="009F4FA8"/>
    <w:rsid w:val="009F520C"/>
    <w:rsid w:val="009F5371"/>
    <w:rsid w:val="009F55A2"/>
    <w:rsid w:val="009F58FD"/>
    <w:rsid w:val="009F5AE3"/>
    <w:rsid w:val="009F6120"/>
    <w:rsid w:val="009F6572"/>
    <w:rsid w:val="009F662D"/>
    <w:rsid w:val="009F67E0"/>
    <w:rsid w:val="009F774F"/>
    <w:rsid w:val="009F77D4"/>
    <w:rsid w:val="00A0048A"/>
    <w:rsid w:val="00A007D0"/>
    <w:rsid w:val="00A00D76"/>
    <w:rsid w:val="00A00E7F"/>
    <w:rsid w:val="00A01184"/>
    <w:rsid w:val="00A01449"/>
    <w:rsid w:val="00A01456"/>
    <w:rsid w:val="00A01EA6"/>
    <w:rsid w:val="00A01FCA"/>
    <w:rsid w:val="00A024C0"/>
    <w:rsid w:val="00A028A5"/>
    <w:rsid w:val="00A02F46"/>
    <w:rsid w:val="00A037C2"/>
    <w:rsid w:val="00A03D43"/>
    <w:rsid w:val="00A04101"/>
    <w:rsid w:val="00A04340"/>
    <w:rsid w:val="00A04380"/>
    <w:rsid w:val="00A04786"/>
    <w:rsid w:val="00A048AD"/>
    <w:rsid w:val="00A04DFC"/>
    <w:rsid w:val="00A052A0"/>
    <w:rsid w:val="00A05472"/>
    <w:rsid w:val="00A0596E"/>
    <w:rsid w:val="00A05AA9"/>
    <w:rsid w:val="00A05C05"/>
    <w:rsid w:val="00A05C32"/>
    <w:rsid w:val="00A05F73"/>
    <w:rsid w:val="00A06043"/>
    <w:rsid w:val="00A0653F"/>
    <w:rsid w:val="00A06CEA"/>
    <w:rsid w:val="00A07590"/>
    <w:rsid w:val="00A07C59"/>
    <w:rsid w:val="00A07DF0"/>
    <w:rsid w:val="00A07E76"/>
    <w:rsid w:val="00A10471"/>
    <w:rsid w:val="00A10495"/>
    <w:rsid w:val="00A1082D"/>
    <w:rsid w:val="00A1115B"/>
    <w:rsid w:val="00A117E1"/>
    <w:rsid w:val="00A11A8D"/>
    <w:rsid w:val="00A11CD0"/>
    <w:rsid w:val="00A1280C"/>
    <w:rsid w:val="00A13948"/>
    <w:rsid w:val="00A13B32"/>
    <w:rsid w:val="00A146D8"/>
    <w:rsid w:val="00A14A72"/>
    <w:rsid w:val="00A14F3D"/>
    <w:rsid w:val="00A152F0"/>
    <w:rsid w:val="00A1555B"/>
    <w:rsid w:val="00A155C5"/>
    <w:rsid w:val="00A155F3"/>
    <w:rsid w:val="00A15A7F"/>
    <w:rsid w:val="00A15E94"/>
    <w:rsid w:val="00A169DD"/>
    <w:rsid w:val="00A16AD8"/>
    <w:rsid w:val="00A17A73"/>
    <w:rsid w:val="00A2021E"/>
    <w:rsid w:val="00A20A44"/>
    <w:rsid w:val="00A20A95"/>
    <w:rsid w:val="00A20B77"/>
    <w:rsid w:val="00A20ED4"/>
    <w:rsid w:val="00A211EC"/>
    <w:rsid w:val="00A21609"/>
    <w:rsid w:val="00A2194B"/>
    <w:rsid w:val="00A21C95"/>
    <w:rsid w:val="00A21CF3"/>
    <w:rsid w:val="00A21E6D"/>
    <w:rsid w:val="00A23CA7"/>
    <w:rsid w:val="00A23E1B"/>
    <w:rsid w:val="00A244A8"/>
    <w:rsid w:val="00A2463A"/>
    <w:rsid w:val="00A24813"/>
    <w:rsid w:val="00A2482D"/>
    <w:rsid w:val="00A24831"/>
    <w:rsid w:val="00A24D8D"/>
    <w:rsid w:val="00A24F54"/>
    <w:rsid w:val="00A2530B"/>
    <w:rsid w:val="00A25A92"/>
    <w:rsid w:val="00A2644B"/>
    <w:rsid w:val="00A26569"/>
    <w:rsid w:val="00A26AB6"/>
    <w:rsid w:val="00A26FE4"/>
    <w:rsid w:val="00A271FF"/>
    <w:rsid w:val="00A272B0"/>
    <w:rsid w:val="00A272C0"/>
    <w:rsid w:val="00A27635"/>
    <w:rsid w:val="00A2780F"/>
    <w:rsid w:val="00A27AEC"/>
    <w:rsid w:val="00A27DC2"/>
    <w:rsid w:val="00A30A79"/>
    <w:rsid w:val="00A30E65"/>
    <w:rsid w:val="00A315C5"/>
    <w:rsid w:val="00A318ED"/>
    <w:rsid w:val="00A31A12"/>
    <w:rsid w:val="00A320DB"/>
    <w:rsid w:val="00A321F7"/>
    <w:rsid w:val="00A322C3"/>
    <w:rsid w:val="00A32830"/>
    <w:rsid w:val="00A328F7"/>
    <w:rsid w:val="00A329F8"/>
    <w:rsid w:val="00A32AEF"/>
    <w:rsid w:val="00A33897"/>
    <w:rsid w:val="00A33996"/>
    <w:rsid w:val="00A33A26"/>
    <w:rsid w:val="00A34932"/>
    <w:rsid w:val="00A3591E"/>
    <w:rsid w:val="00A35BAF"/>
    <w:rsid w:val="00A35D16"/>
    <w:rsid w:val="00A36A1A"/>
    <w:rsid w:val="00A36A1B"/>
    <w:rsid w:val="00A377D2"/>
    <w:rsid w:val="00A37BCD"/>
    <w:rsid w:val="00A37DDB"/>
    <w:rsid w:val="00A40887"/>
    <w:rsid w:val="00A40B13"/>
    <w:rsid w:val="00A40E4B"/>
    <w:rsid w:val="00A4167F"/>
    <w:rsid w:val="00A41689"/>
    <w:rsid w:val="00A42592"/>
    <w:rsid w:val="00A42EB7"/>
    <w:rsid w:val="00A43271"/>
    <w:rsid w:val="00A4387A"/>
    <w:rsid w:val="00A43C59"/>
    <w:rsid w:val="00A440AC"/>
    <w:rsid w:val="00A44FB2"/>
    <w:rsid w:val="00A45186"/>
    <w:rsid w:val="00A452D9"/>
    <w:rsid w:val="00A4540C"/>
    <w:rsid w:val="00A455DF"/>
    <w:rsid w:val="00A45DC0"/>
    <w:rsid w:val="00A46061"/>
    <w:rsid w:val="00A46064"/>
    <w:rsid w:val="00A460AF"/>
    <w:rsid w:val="00A4623E"/>
    <w:rsid w:val="00A46326"/>
    <w:rsid w:val="00A465C7"/>
    <w:rsid w:val="00A46BC4"/>
    <w:rsid w:val="00A47567"/>
    <w:rsid w:val="00A4780F"/>
    <w:rsid w:val="00A479DE"/>
    <w:rsid w:val="00A47A89"/>
    <w:rsid w:val="00A507B5"/>
    <w:rsid w:val="00A509B8"/>
    <w:rsid w:val="00A50ECD"/>
    <w:rsid w:val="00A51469"/>
    <w:rsid w:val="00A518F3"/>
    <w:rsid w:val="00A51EE2"/>
    <w:rsid w:val="00A51F8F"/>
    <w:rsid w:val="00A52729"/>
    <w:rsid w:val="00A532FE"/>
    <w:rsid w:val="00A53675"/>
    <w:rsid w:val="00A536C5"/>
    <w:rsid w:val="00A53F7B"/>
    <w:rsid w:val="00A5407E"/>
    <w:rsid w:val="00A54495"/>
    <w:rsid w:val="00A54758"/>
    <w:rsid w:val="00A548EB"/>
    <w:rsid w:val="00A54BFC"/>
    <w:rsid w:val="00A54C10"/>
    <w:rsid w:val="00A55393"/>
    <w:rsid w:val="00A5542A"/>
    <w:rsid w:val="00A5622F"/>
    <w:rsid w:val="00A564D7"/>
    <w:rsid w:val="00A56B6A"/>
    <w:rsid w:val="00A578DC"/>
    <w:rsid w:val="00A57BFA"/>
    <w:rsid w:val="00A61292"/>
    <w:rsid w:val="00A61E49"/>
    <w:rsid w:val="00A622DC"/>
    <w:rsid w:val="00A6235C"/>
    <w:rsid w:val="00A62AD7"/>
    <w:rsid w:val="00A636FB"/>
    <w:rsid w:val="00A63FB1"/>
    <w:rsid w:val="00A640E2"/>
    <w:rsid w:val="00A6488E"/>
    <w:rsid w:val="00A64AED"/>
    <w:rsid w:val="00A64D65"/>
    <w:rsid w:val="00A6725B"/>
    <w:rsid w:val="00A677D5"/>
    <w:rsid w:val="00A67931"/>
    <w:rsid w:val="00A70164"/>
    <w:rsid w:val="00A70605"/>
    <w:rsid w:val="00A71440"/>
    <w:rsid w:val="00A7189B"/>
    <w:rsid w:val="00A718F4"/>
    <w:rsid w:val="00A71D73"/>
    <w:rsid w:val="00A71DF1"/>
    <w:rsid w:val="00A72997"/>
    <w:rsid w:val="00A72A2C"/>
    <w:rsid w:val="00A72F74"/>
    <w:rsid w:val="00A73134"/>
    <w:rsid w:val="00A7365A"/>
    <w:rsid w:val="00A737E8"/>
    <w:rsid w:val="00A7394F"/>
    <w:rsid w:val="00A73A49"/>
    <w:rsid w:val="00A73F6A"/>
    <w:rsid w:val="00A741FC"/>
    <w:rsid w:val="00A74221"/>
    <w:rsid w:val="00A7424D"/>
    <w:rsid w:val="00A75481"/>
    <w:rsid w:val="00A7578F"/>
    <w:rsid w:val="00A76001"/>
    <w:rsid w:val="00A76807"/>
    <w:rsid w:val="00A77421"/>
    <w:rsid w:val="00A77425"/>
    <w:rsid w:val="00A777B2"/>
    <w:rsid w:val="00A77B7B"/>
    <w:rsid w:val="00A77D4C"/>
    <w:rsid w:val="00A801CE"/>
    <w:rsid w:val="00A804F0"/>
    <w:rsid w:val="00A80C48"/>
    <w:rsid w:val="00A80ED8"/>
    <w:rsid w:val="00A81032"/>
    <w:rsid w:val="00A81472"/>
    <w:rsid w:val="00A81BC7"/>
    <w:rsid w:val="00A825D4"/>
    <w:rsid w:val="00A828F6"/>
    <w:rsid w:val="00A82B73"/>
    <w:rsid w:val="00A834D5"/>
    <w:rsid w:val="00A83728"/>
    <w:rsid w:val="00A83F3C"/>
    <w:rsid w:val="00A841BD"/>
    <w:rsid w:val="00A84289"/>
    <w:rsid w:val="00A8528F"/>
    <w:rsid w:val="00A857D8"/>
    <w:rsid w:val="00A86038"/>
    <w:rsid w:val="00A86838"/>
    <w:rsid w:val="00A86A4D"/>
    <w:rsid w:val="00A86C8C"/>
    <w:rsid w:val="00A86D84"/>
    <w:rsid w:val="00A86E8B"/>
    <w:rsid w:val="00A86F12"/>
    <w:rsid w:val="00A87164"/>
    <w:rsid w:val="00A871A9"/>
    <w:rsid w:val="00A90326"/>
    <w:rsid w:val="00A90479"/>
    <w:rsid w:val="00A924EB"/>
    <w:rsid w:val="00A926CF"/>
    <w:rsid w:val="00A93072"/>
    <w:rsid w:val="00A9324D"/>
    <w:rsid w:val="00A93689"/>
    <w:rsid w:val="00A9382B"/>
    <w:rsid w:val="00A938BD"/>
    <w:rsid w:val="00A93953"/>
    <w:rsid w:val="00A941D5"/>
    <w:rsid w:val="00A948EE"/>
    <w:rsid w:val="00A948F8"/>
    <w:rsid w:val="00A95056"/>
    <w:rsid w:val="00A9507C"/>
    <w:rsid w:val="00A959D8"/>
    <w:rsid w:val="00A95ECC"/>
    <w:rsid w:val="00A96004"/>
    <w:rsid w:val="00A96D56"/>
    <w:rsid w:val="00A979D9"/>
    <w:rsid w:val="00AA00ED"/>
    <w:rsid w:val="00AA08A5"/>
    <w:rsid w:val="00AA113D"/>
    <w:rsid w:val="00AA219E"/>
    <w:rsid w:val="00AA28A5"/>
    <w:rsid w:val="00AA2BE5"/>
    <w:rsid w:val="00AA2DAC"/>
    <w:rsid w:val="00AA2F7B"/>
    <w:rsid w:val="00AA3015"/>
    <w:rsid w:val="00AA31DC"/>
    <w:rsid w:val="00AA32CF"/>
    <w:rsid w:val="00AA3BC8"/>
    <w:rsid w:val="00AA4845"/>
    <w:rsid w:val="00AA4D98"/>
    <w:rsid w:val="00AA516F"/>
    <w:rsid w:val="00AA5B65"/>
    <w:rsid w:val="00AA6682"/>
    <w:rsid w:val="00AA6717"/>
    <w:rsid w:val="00AA6B23"/>
    <w:rsid w:val="00AA6BD5"/>
    <w:rsid w:val="00AA6BD8"/>
    <w:rsid w:val="00AA6C7D"/>
    <w:rsid w:val="00AA732C"/>
    <w:rsid w:val="00AA7FD6"/>
    <w:rsid w:val="00AB042A"/>
    <w:rsid w:val="00AB0D38"/>
    <w:rsid w:val="00AB11AD"/>
    <w:rsid w:val="00AB19EF"/>
    <w:rsid w:val="00AB21B1"/>
    <w:rsid w:val="00AB2495"/>
    <w:rsid w:val="00AB272B"/>
    <w:rsid w:val="00AB2D34"/>
    <w:rsid w:val="00AB2FDD"/>
    <w:rsid w:val="00AB316B"/>
    <w:rsid w:val="00AB3430"/>
    <w:rsid w:val="00AB37B9"/>
    <w:rsid w:val="00AB3C1C"/>
    <w:rsid w:val="00AB3D6D"/>
    <w:rsid w:val="00AB3E7F"/>
    <w:rsid w:val="00AB428D"/>
    <w:rsid w:val="00AB46A7"/>
    <w:rsid w:val="00AB4AD1"/>
    <w:rsid w:val="00AB4B97"/>
    <w:rsid w:val="00AB5476"/>
    <w:rsid w:val="00AB5E07"/>
    <w:rsid w:val="00AB658E"/>
    <w:rsid w:val="00AB78A6"/>
    <w:rsid w:val="00AB7CFA"/>
    <w:rsid w:val="00AC176E"/>
    <w:rsid w:val="00AC302A"/>
    <w:rsid w:val="00AC31F6"/>
    <w:rsid w:val="00AC3425"/>
    <w:rsid w:val="00AC3666"/>
    <w:rsid w:val="00AC4319"/>
    <w:rsid w:val="00AC4710"/>
    <w:rsid w:val="00AC4799"/>
    <w:rsid w:val="00AC50F1"/>
    <w:rsid w:val="00AC5271"/>
    <w:rsid w:val="00AC53A9"/>
    <w:rsid w:val="00AC54AD"/>
    <w:rsid w:val="00AC5B42"/>
    <w:rsid w:val="00AC5B48"/>
    <w:rsid w:val="00AC5E6A"/>
    <w:rsid w:val="00AC68D9"/>
    <w:rsid w:val="00AC7840"/>
    <w:rsid w:val="00AD09AB"/>
    <w:rsid w:val="00AD09CF"/>
    <w:rsid w:val="00AD0B47"/>
    <w:rsid w:val="00AD0BFF"/>
    <w:rsid w:val="00AD1450"/>
    <w:rsid w:val="00AD15E8"/>
    <w:rsid w:val="00AD1B01"/>
    <w:rsid w:val="00AD2D85"/>
    <w:rsid w:val="00AD356D"/>
    <w:rsid w:val="00AD3BB7"/>
    <w:rsid w:val="00AD4045"/>
    <w:rsid w:val="00AD428D"/>
    <w:rsid w:val="00AD5863"/>
    <w:rsid w:val="00AD5C07"/>
    <w:rsid w:val="00AD617A"/>
    <w:rsid w:val="00AD6223"/>
    <w:rsid w:val="00AD6328"/>
    <w:rsid w:val="00AD6502"/>
    <w:rsid w:val="00AE0695"/>
    <w:rsid w:val="00AE06AB"/>
    <w:rsid w:val="00AE106E"/>
    <w:rsid w:val="00AE152F"/>
    <w:rsid w:val="00AE15B4"/>
    <w:rsid w:val="00AE1651"/>
    <w:rsid w:val="00AE1F1E"/>
    <w:rsid w:val="00AE1FC8"/>
    <w:rsid w:val="00AE2369"/>
    <w:rsid w:val="00AE2E6F"/>
    <w:rsid w:val="00AE3018"/>
    <w:rsid w:val="00AE387E"/>
    <w:rsid w:val="00AE3E7E"/>
    <w:rsid w:val="00AE4BA9"/>
    <w:rsid w:val="00AE5121"/>
    <w:rsid w:val="00AE52D6"/>
    <w:rsid w:val="00AE5653"/>
    <w:rsid w:val="00AE5871"/>
    <w:rsid w:val="00AE5EAD"/>
    <w:rsid w:val="00AE60D8"/>
    <w:rsid w:val="00AE6362"/>
    <w:rsid w:val="00AE6911"/>
    <w:rsid w:val="00AE6C9B"/>
    <w:rsid w:val="00AE6F5F"/>
    <w:rsid w:val="00AE6FE1"/>
    <w:rsid w:val="00AE701B"/>
    <w:rsid w:val="00AE718A"/>
    <w:rsid w:val="00AE7E53"/>
    <w:rsid w:val="00AE7F33"/>
    <w:rsid w:val="00AF04D3"/>
    <w:rsid w:val="00AF0583"/>
    <w:rsid w:val="00AF05CE"/>
    <w:rsid w:val="00AF0A15"/>
    <w:rsid w:val="00AF0CD9"/>
    <w:rsid w:val="00AF1315"/>
    <w:rsid w:val="00AF1601"/>
    <w:rsid w:val="00AF19BF"/>
    <w:rsid w:val="00AF1BDE"/>
    <w:rsid w:val="00AF2DC3"/>
    <w:rsid w:val="00AF37A8"/>
    <w:rsid w:val="00AF3DF0"/>
    <w:rsid w:val="00AF455D"/>
    <w:rsid w:val="00AF53ED"/>
    <w:rsid w:val="00AF62EA"/>
    <w:rsid w:val="00AF6500"/>
    <w:rsid w:val="00AF69AA"/>
    <w:rsid w:val="00AF6CA9"/>
    <w:rsid w:val="00AF755B"/>
    <w:rsid w:val="00AF7B1B"/>
    <w:rsid w:val="00AF7E0C"/>
    <w:rsid w:val="00B0044B"/>
    <w:rsid w:val="00B00634"/>
    <w:rsid w:val="00B01178"/>
    <w:rsid w:val="00B02FF8"/>
    <w:rsid w:val="00B033E5"/>
    <w:rsid w:val="00B03448"/>
    <w:rsid w:val="00B0363F"/>
    <w:rsid w:val="00B036B8"/>
    <w:rsid w:val="00B03A63"/>
    <w:rsid w:val="00B03F1A"/>
    <w:rsid w:val="00B040B4"/>
    <w:rsid w:val="00B04295"/>
    <w:rsid w:val="00B04DCB"/>
    <w:rsid w:val="00B05A9A"/>
    <w:rsid w:val="00B05CA1"/>
    <w:rsid w:val="00B060B1"/>
    <w:rsid w:val="00B067CB"/>
    <w:rsid w:val="00B068CD"/>
    <w:rsid w:val="00B070FD"/>
    <w:rsid w:val="00B072B6"/>
    <w:rsid w:val="00B0739E"/>
    <w:rsid w:val="00B103A7"/>
    <w:rsid w:val="00B109A0"/>
    <w:rsid w:val="00B10B7D"/>
    <w:rsid w:val="00B119B7"/>
    <w:rsid w:val="00B12335"/>
    <w:rsid w:val="00B129A4"/>
    <w:rsid w:val="00B12B4E"/>
    <w:rsid w:val="00B130B3"/>
    <w:rsid w:val="00B13218"/>
    <w:rsid w:val="00B13A6C"/>
    <w:rsid w:val="00B142D3"/>
    <w:rsid w:val="00B14D84"/>
    <w:rsid w:val="00B15A12"/>
    <w:rsid w:val="00B15A95"/>
    <w:rsid w:val="00B15CBC"/>
    <w:rsid w:val="00B15DC8"/>
    <w:rsid w:val="00B16A9B"/>
    <w:rsid w:val="00B17BAD"/>
    <w:rsid w:val="00B201A4"/>
    <w:rsid w:val="00B201D1"/>
    <w:rsid w:val="00B203D6"/>
    <w:rsid w:val="00B21346"/>
    <w:rsid w:val="00B213A6"/>
    <w:rsid w:val="00B221BD"/>
    <w:rsid w:val="00B22EDA"/>
    <w:rsid w:val="00B22EE9"/>
    <w:rsid w:val="00B235B0"/>
    <w:rsid w:val="00B23AB4"/>
    <w:rsid w:val="00B23B58"/>
    <w:rsid w:val="00B244B8"/>
    <w:rsid w:val="00B24DF6"/>
    <w:rsid w:val="00B24EFE"/>
    <w:rsid w:val="00B253B8"/>
    <w:rsid w:val="00B2542E"/>
    <w:rsid w:val="00B259D2"/>
    <w:rsid w:val="00B25EED"/>
    <w:rsid w:val="00B25F6E"/>
    <w:rsid w:val="00B26837"/>
    <w:rsid w:val="00B26BD3"/>
    <w:rsid w:val="00B26D0A"/>
    <w:rsid w:val="00B26DCE"/>
    <w:rsid w:val="00B27A61"/>
    <w:rsid w:val="00B27CF8"/>
    <w:rsid w:val="00B3134D"/>
    <w:rsid w:val="00B314A6"/>
    <w:rsid w:val="00B31D76"/>
    <w:rsid w:val="00B31EDB"/>
    <w:rsid w:val="00B320F6"/>
    <w:rsid w:val="00B32C42"/>
    <w:rsid w:val="00B32D98"/>
    <w:rsid w:val="00B32E13"/>
    <w:rsid w:val="00B33001"/>
    <w:rsid w:val="00B339AD"/>
    <w:rsid w:val="00B34028"/>
    <w:rsid w:val="00B34851"/>
    <w:rsid w:val="00B34C84"/>
    <w:rsid w:val="00B34FE2"/>
    <w:rsid w:val="00B35166"/>
    <w:rsid w:val="00B357D8"/>
    <w:rsid w:val="00B35C5B"/>
    <w:rsid w:val="00B35DA6"/>
    <w:rsid w:val="00B360F4"/>
    <w:rsid w:val="00B36A00"/>
    <w:rsid w:val="00B36B56"/>
    <w:rsid w:val="00B37320"/>
    <w:rsid w:val="00B3782B"/>
    <w:rsid w:val="00B3792B"/>
    <w:rsid w:val="00B37BFC"/>
    <w:rsid w:val="00B40358"/>
    <w:rsid w:val="00B41614"/>
    <w:rsid w:val="00B41880"/>
    <w:rsid w:val="00B4263C"/>
    <w:rsid w:val="00B42851"/>
    <w:rsid w:val="00B42F80"/>
    <w:rsid w:val="00B42FBD"/>
    <w:rsid w:val="00B43518"/>
    <w:rsid w:val="00B435CB"/>
    <w:rsid w:val="00B43900"/>
    <w:rsid w:val="00B4401E"/>
    <w:rsid w:val="00B444AD"/>
    <w:rsid w:val="00B44613"/>
    <w:rsid w:val="00B44C5E"/>
    <w:rsid w:val="00B4507D"/>
    <w:rsid w:val="00B45086"/>
    <w:rsid w:val="00B465EC"/>
    <w:rsid w:val="00B46769"/>
    <w:rsid w:val="00B471A9"/>
    <w:rsid w:val="00B47622"/>
    <w:rsid w:val="00B4787E"/>
    <w:rsid w:val="00B47CAA"/>
    <w:rsid w:val="00B47D41"/>
    <w:rsid w:val="00B50269"/>
    <w:rsid w:val="00B505C8"/>
    <w:rsid w:val="00B505ED"/>
    <w:rsid w:val="00B50DB8"/>
    <w:rsid w:val="00B51CE1"/>
    <w:rsid w:val="00B51EE7"/>
    <w:rsid w:val="00B52315"/>
    <w:rsid w:val="00B52845"/>
    <w:rsid w:val="00B53654"/>
    <w:rsid w:val="00B536FD"/>
    <w:rsid w:val="00B53773"/>
    <w:rsid w:val="00B53905"/>
    <w:rsid w:val="00B539B3"/>
    <w:rsid w:val="00B53FC1"/>
    <w:rsid w:val="00B546DB"/>
    <w:rsid w:val="00B54835"/>
    <w:rsid w:val="00B54B5B"/>
    <w:rsid w:val="00B5514C"/>
    <w:rsid w:val="00B5562E"/>
    <w:rsid w:val="00B55862"/>
    <w:rsid w:val="00B55CE1"/>
    <w:rsid w:val="00B55D65"/>
    <w:rsid w:val="00B56062"/>
    <w:rsid w:val="00B56305"/>
    <w:rsid w:val="00B568AA"/>
    <w:rsid w:val="00B56D91"/>
    <w:rsid w:val="00B56DDC"/>
    <w:rsid w:val="00B56F9C"/>
    <w:rsid w:val="00B57000"/>
    <w:rsid w:val="00B57135"/>
    <w:rsid w:val="00B57311"/>
    <w:rsid w:val="00B57D2E"/>
    <w:rsid w:val="00B57EC8"/>
    <w:rsid w:val="00B60939"/>
    <w:rsid w:val="00B60AFD"/>
    <w:rsid w:val="00B60B2D"/>
    <w:rsid w:val="00B60C25"/>
    <w:rsid w:val="00B614E5"/>
    <w:rsid w:val="00B62715"/>
    <w:rsid w:val="00B629AB"/>
    <w:rsid w:val="00B62A5F"/>
    <w:rsid w:val="00B62E3B"/>
    <w:rsid w:val="00B6308E"/>
    <w:rsid w:val="00B63174"/>
    <w:rsid w:val="00B63260"/>
    <w:rsid w:val="00B6411F"/>
    <w:rsid w:val="00B645C9"/>
    <w:rsid w:val="00B646FC"/>
    <w:rsid w:val="00B647AA"/>
    <w:rsid w:val="00B6480D"/>
    <w:rsid w:val="00B6522C"/>
    <w:rsid w:val="00B652FC"/>
    <w:rsid w:val="00B65611"/>
    <w:rsid w:val="00B659DA"/>
    <w:rsid w:val="00B65A5E"/>
    <w:rsid w:val="00B65D26"/>
    <w:rsid w:val="00B6627A"/>
    <w:rsid w:val="00B665FF"/>
    <w:rsid w:val="00B668B8"/>
    <w:rsid w:val="00B66FB0"/>
    <w:rsid w:val="00B67466"/>
    <w:rsid w:val="00B675A4"/>
    <w:rsid w:val="00B67D5C"/>
    <w:rsid w:val="00B70E8E"/>
    <w:rsid w:val="00B7119C"/>
    <w:rsid w:val="00B71D6B"/>
    <w:rsid w:val="00B72495"/>
    <w:rsid w:val="00B72696"/>
    <w:rsid w:val="00B73159"/>
    <w:rsid w:val="00B732FF"/>
    <w:rsid w:val="00B7434F"/>
    <w:rsid w:val="00B7519E"/>
    <w:rsid w:val="00B7571C"/>
    <w:rsid w:val="00B75F7F"/>
    <w:rsid w:val="00B7611B"/>
    <w:rsid w:val="00B762F0"/>
    <w:rsid w:val="00B764E8"/>
    <w:rsid w:val="00B76870"/>
    <w:rsid w:val="00B76B4C"/>
    <w:rsid w:val="00B76C92"/>
    <w:rsid w:val="00B77264"/>
    <w:rsid w:val="00B807B9"/>
    <w:rsid w:val="00B80A08"/>
    <w:rsid w:val="00B80D76"/>
    <w:rsid w:val="00B80EFD"/>
    <w:rsid w:val="00B816BB"/>
    <w:rsid w:val="00B818A4"/>
    <w:rsid w:val="00B81D85"/>
    <w:rsid w:val="00B81F9B"/>
    <w:rsid w:val="00B8248E"/>
    <w:rsid w:val="00B83739"/>
    <w:rsid w:val="00B837BD"/>
    <w:rsid w:val="00B83893"/>
    <w:rsid w:val="00B84117"/>
    <w:rsid w:val="00B84244"/>
    <w:rsid w:val="00B8462D"/>
    <w:rsid w:val="00B847A4"/>
    <w:rsid w:val="00B84C8D"/>
    <w:rsid w:val="00B84DE3"/>
    <w:rsid w:val="00B84F23"/>
    <w:rsid w:val="00B85557"/>
    <w:rsid w:val="00B855CE"/>
    <w:rsid w:val="00B857EB"/>
    <w:rsid w:val="00B858F0"/>
    <w:rsid w:val="00B85AA2"/>
    <w:rsid w:val="00B8649C"/>
    <w:rsid w:val="00B8695D"/>
    <w:rsid w:val="00B86ECD"/>
    <w:rsid w:val="00B87127"/>
    <w:rsid w:val="00B875D4"/>
    <w:rsid w:val="00B87601"/>
    <w:rsid w:val="00B87C20"/>
    <w:rsid w:val="00B87F0A"/>
    <w:rsid w:val="00B909CB"/>
    <w:rsid w:val="00B90A78"/>
    <w:rsid w:val="00B91CCD"/>
    <w:rsid w:val="00B92307"/>
    <w:rsid w:val="00B92D0B"/>
    <w:rsid w:val="00B92F0A"/>
    <w:rsid w:val="00B93133"/>
    <w:rsid w:val="00B931AE"/>
    <w:rsid w:val="00B93503"/>
    <w:rsid w:val="00B935B3"/>
    <w:rsid w:val="00B9388B"/>
    <w:rsid w:val="00B94945"/>
    <w:rsid w:val="00B94DD6"/>
    <w:rsid w:val="00B95397"/>
    <w:rsid w:val="00B95435"/>
    <w:rsid w:val="00B96482"/>
    <w:rsid w:val="00B9663A"/>
    <w:rsid w:val="00B966F6"/>
    <w:rsid w:val="00B96AB5"/>
    <w:rsid w:val="00B97338"/>
    <w:rsid w:val="00B97F68"/>
    <w:rsid w:val="00BA03AD"/>
    <w:rsid w:val="00BA0B52"/>
    <w:rsid w:val="00BA13AF"/>
    <w:rsid w:val="00BA29F2"/>
    <w:rsid w:val="00BA2EBB"/>
    <w:rsid w:val="00BA322D"/>
    <w:rsid w:val="00BA33A1"/>
    <w:rsid w:val="00BA3C73"/>
    <w:rsid w:val="00BA3E2B"/>
    <w:rsid w:val="00BA3EA4"/>
    <w:rsid w:val="00BA4447"/>
    <w:rsid w:val="00BA4C30"/>
    <w:rsid w:val="00BA565B"/>
    <w:rsid w:val="00BA5761"/>
    <w:rsid w:val="00BA63FA"/>
    <w:rsid w:val="00BA734C"/>
    <w:rsid w:val="00BA7C0C"/>
    <w:rsid w:val="00BA7D6B"/>
    <w:rsid w:val="00BB00B3"/>
    <w:rsid w:val="00BB0147"/>
    <w:rsid w:val="00BB02E5"/>
    <w:rsid w:val="00BB0319"/>
    <w:rsid w:val="00BB04B1"/>
    <w:rsid w:val="00BB0BDD"/>
    <w:rsid w:val="00BB0F10"/>
    <w:rsid w:val="00BB176C"/>
    <w:rsid w:val="00BB19DE"/>
    <w:rsid w:val="00BB1B16"/>
    <w:rsid w:val="00BB2082"/>
    <w:rsid w:val="00BB2A73"/>
    <w:rsid w:val="00BB3400"/>
    <w:rsid w:val="00BB3A45"/>
    <w:rsid w:val="00BB3A6D"/>
    <w:rsid w:val="00BB4779"/>
    <w:rsid w:val="00BB4ACC"/>
    <w:rsid w:val="00BB4D39"/>
    <w:rsid w:val="00BB4DD8"/>
    <w:rsid w:val="00BB4F79"/>
    <w:rsid w:val="00BB5D58"/>
    <w:rsid w:val="00BB6424"/>
    <w:rsid w:val="00BB703E"/>
    <w:rsid w:val="00BB732D"/>
    <w:rsid w:val="00BB7405"/>
    <w:rsid w:val="00BC0039"/>
    <w:rsid w:val="00BC0801"/>
    <w:rsid w:val="00BC0C23"/>
    <w:rsid w:val="00BC1B04"/>
    <w:rsid w:val="00BC2108"/>
    <w:rsid w:val="00BC327B"/>
    <w:rsid w:val="00BC3631"/>
    <w:rsid w:val="00BC3751"/>
    <w:rsid w:val="00BC3B50"/>
    <w:rsid w:val="00BC3C2D"/>
    <w:rsid w:val="00BC3CE4"/>
    <w:rsid w:val="00BC4CAA"/>
    <w:rsid w:val="00BC591F"/>
    <w:rsid w:val="00BC5DA5"/>
    <w:rsid w:val="00BC5EC5"/>
    <w:rsid w:val="00BC6446"/>
    <w:rsid w:val="00BC6B2A"/>
    <w:rsid w:val="00BC73AC"/>
    <w:rsid w:val="00BC7D6D"/>
    <w:rsid w:val="00BC7F42"/>
    <w:rsid w:val="00BD007F"/>
    <w:rsid w:val="00BD0C79"/>
    <w:rsid w:val="00BD1A98"/>
    <w:rsid w:val="00BD20DE"/>
    <w:rsid w:val="00BD2108"/>
    <w:rsid w:val="00BD227C"/>
    <w:rsid w:val="00BD23AF"/>
    <w:rsid w:val="00BD23B6"/>
    <w:rsid w:val="00BD2935"/>
    <w:rsid w:val="00BD2D81"/>
    <w:rsid w:val="00BD3110"/>
    <w:rsid w:val="00BD34AE"/>
    <w:rsid w:val="00BD3852"/>
    <w:rsid w:val="00BD3A1B"/>
    <w:rsid w:val="00BD3A33"/>
    <w:rsid w:val="00BD3C9B"/>
    <w:rsid w:val="00BD3E2D"/>
    <w:rsid w:val="00BD3E68"/>
    <w:rsid w:val="00BD509F"/>
    <w:rsid w:val="00BD51B0"/>
    <w:rsid w:val="00BD5BAD"/>
    <w:rsid w:val="00BD5BB7"/>
    <w:rsid w:val="00BD5C6B"/>
    <w:rsid w:val="00BD6399"/>
    <w:rsid w:val="00BD65FB"/>
    <w:rsid w:val="00BD68A3"/>
    <w:rsid w:val="00BD6938"/>
    <w:rsid w:val="00BD6A6F"/>
    <w:rsid w:val="00BD6CF3"/>
    <w:rsid w:val="00BD6DD5"/>
    <w:rsid w:val="00BD702C"/>
    <w:rsid w:val="00BD70EB"/>
    <w:rsid w:val="00BD7481"/>
    <w:rsid w:val="00BD76CA"/>
    <w:rsid w:val="00BD7F72"/>
    <w:rsid w:val="00BE052D"/>
    <w:rsid w:val="00BE058E"/>
    <w:rsid w:val="00BE0ECA"/>
    <w:rsid w:val="00BE143E"/>
    <w:rsid w:val="00BE1568"/>
    <w:rsid w:val="00BE1763"/>
    <w:rsid w:val="00BE2180"/>
    <w:rsid w:val="00BE21F2"/>
    <w:rsid w:val="00BE2668"/>
    <w:rsid w:val="00BE315A"/>
    <w:rsid w:val="00BE3368"/>
    <w:rsid w:val="00BE36F3"/>
    <w:rsid w:val="00BE41B7"/>
    <w:rsid w:val="00BE4275"/>
    <w:rsid w:val="00BE44B6"/>
    <w:rsid w:val="00BE46BB"/>
    <w:rsid w:val="00BE48B0"/>
    <w:rsid w:val="00BE4AA5"/>
    <w:rsid w:val="00BE4CD1"/>
    <w:rsid w:val="00BE5504"/>
    <w:rsid w:val="00BE57DE"/>
    <w:rsid w:val="00BE5A92"/>
    <w:rsid w:val="00BE5C9B"/>
    <w:rsid w:val="00BE676E"/>
    <w:rsid w:val="00BE6CEA"/>
    <w:rsid w:val="00BE7259"/>
    <w:rsid w:val="00BF06AE"/>
    <w:rsid w:val="00BF0A55"/>
    <w:rsid w:val="00BF0F95"/>
    <w:rsid w:val="00BF1008"/>
    <w:rsid w:val="00BF10EF"/>
    <w:rsid w:val="00BF19A5"/>
    <w:rsid w:val="00BF1B21"/>
    <w:rsid w:val="00BF2045"/>
    <w:rsid w:val="00BF21D2"/>
    <w:rsid w:val="00BF2433"/>
    <w:rsid w:val="00BF2789"/>
    <w:rsid w:val="00BF2E6E"/>
    <w:rsid w:val="00BF34EC"/>
    <w:rsid w:val="00BF34FD"/>
    <w:rsid w:val="00BF4419"/>
    <w:rsid w:val="00BF44AC"/>
    <w:rsid w:val="00BF46A5"/>
    <w:rsid w:val="00BF4949"/>
    <w:rsid w:val="00BF4A34"/>
    <w:rsid w:val="00BF5628"/>
    <w:rsid w:val="00BF61C9"/>
    <w:rsid w:val="00BF6360"/>
    <w:rsid w:val="00BF668D"/>
    <w:rsid w:val="00BF672F"/>
    <w:rsid w:val="00BF6A50"/>
    <w:rsid w:val="00BF6C94"/>
    <w:rsid w:val="00BF712C"/>
    <w:rsid w:val="00C00424"/>
    <w:rsid w:val="00C0098D"/>
    <w:rsid w:val="00C009EA"/>
    <w:rsid w:val="00C00BB0"/>
    <w:rsid w:val="00C00F0B"/>
    <w:rsid w:val="00C01410"/>
    <w:rsid w:val="00C01B6E"/>
    <w:rsid w:val="00C02152"/>
    <w:rsid w:val="00C0216B"/>
    <w:rsid w:val="00C02CF2"/>
    <w:rsid w:val="00C04D06"/>
    <w:rsid w:val="00C051DA"/>
    <w:rsid w:val="00C05316"/>
    <w:rsid w:val="00C05341"/>
    <w:rsid w:val="00C054B2"/>
    <w:rsid w:val="00C05649"/>
    <w:rsid w:val="00C06688"/>
    <w:rsid w:val="00C06F32"/>
    <w:rsid w:val="00C07940"/>
    <w:rsid w:val="00C10DF2"/>
    <w:rsid w:val="00C111DA"/>
    <w:rsid w:val="00C11538"/>
    <w:rsid w:val="00C1179F"/>
    <w:rsid w:val="00C117A9"/>
    <w:rsid w:val="00C11D48"/>
    <w:rsid w:val="00C12538"/>
    <w:rsid w:val="00C1257C"/>
    <w:rsid w:val="00C127B9"/>
    <w:rsid w:val="00C128FA"/>
    <w:rsid w:val="00C12AF1"/>
    <w:rsid w:val="00C12C14"/>
    <w:rsid w:val="00C1318E"/>
    <w:rsid w:val="00C131CE"/>
    <w:rsid w:val="00C14160"/>
    <w:rsid w:val="00C149A1"/>
    <w:rsid w:val="00C15136"/>
    <w:rsid w:val="00C152B7"/>
    <w:rsid w:val="00C1539E"/>
    <w:rsid w:val="00C1583C"/>
    <w:rsid w:val="00C15E49"/>
    <w:rsid w:val="00C15F04"/>
    <w:rsid w:val="00C15FB3"/>
    <w:rsid w:val="00C160EB"/>
    <w:rsid w:val="00C165CF"/>
    <w:rsid w:val="00C16613"/>
    <w:rsid w:val="00C1669D"/>
    <w:rsid w:val="00C16853"/>
    <w:rsid w:val="00C16DD2"/>
    <w:rsid w:val="00C17485"/>
    <w:rsid w:val="00C177F0"/>
    <w:rsid w:val="00C179B3"/>
    <w:rsid w:val="00C17E3F"/>
    <w:rsid w:val="00C200AA"/>
    <w:rsid w:val="00C20AD2"/>
    <w:rsid w:val="00C20FA6"/>
    <w:rsid w:val="00C2139D"/>
    <w:rsid w:val="00C21BDA"/>
    <w:rsid w:val="00C22178"/>
    <w:rsid w:val="00C22F88"/>
    <w:rsid w:val="00C23081"/>
    <w:rsid w:val="00C23328"/>
    <w:rsid w:val="00C237ED"/>
    <w:rsid w:val="00C24632"/>
    <w:rsid w:val="00C24A50"/>
    <w:rsid w:val="00C24D80"/>
    <w:rsid w:val="00C24E96"/>
    <w:rsid w:val="00C25418"/>
    <w:rsid w:val="00C25B5A"/>
    <w:rsid w:val="00C25D1E"/>
    <w:rsid w:val="00C25D9C"/>
    <w:rsid w:val="00C25E6E"/>
    <w:rsid w:val="00C2601B"/>
    <w:rsid w:val="00C2623F"/>
    <w:rsid w:val="00C26ABD"/>
    <w:rsid w:val="00C26C02"/>
    <w:rsid w:val="00C26CED"/>
    <w:rsid w:val="00C27472"/>
    <w:rsid w:val="00C276B8"/>
    <w:rsid w:val="00C2778B"/>
    <w:rsid w:val="00C27912"/>
    <w:rsid w:val="00C27D0C"/>
    <w:rsid w:val="00C30200"/>
    <w:rsid w:val="00C307CC"/>
    <w:rsid w:val="00C3142D"/>
    <w:rsid w:val="00C31556"/>
    <w:rsid w:val="00C31649"/>
    <w:rsid w:val="00C31F13"/>
    <w:rsid w:val="00C326B0"/>
    <w:rsid w:val="00C32B5A"/>
    <w:rsid w:val="00C3434C"/>
    <w:rsid w:val="00C34357"/>
    <w:rsid w:val="00C34390"/>
    <w:rsid w:val="00C348BF"/>
    <w:rsid w:val="00C35596"/>
    <w:rsid w:val="00C359A2"/>
    <w:rsid w:val="00C365D7"/>
    <w:rsid w:val="00C36E93"/>
    <w:rsid w:val="00C37A19"/>
    <w:rsid w:val="00C40385"/>
    <w:rsid w:val="00C40645"/>
    <w:rsid w:val="00C4069C"/>
    <w:rsid w:val="00C4102B"/>
    <w:rsid w:val="00C41184"/>
    <w:rsid w:val="00C41456"/>
    <w:rsid w:val="00C41768"/>
    <w:rsid w:val="00C420D9"/>
    <w:rsid w:val="00C425E9"/>
    <w:rsid w:val="00C42E41"/>
    <w:rsid w:val="00C4301D"/>
    <w:rsid w:val="00C4322C"/>
    <w:rsid w:val="00C437E6"/>
    <w:rsid w:val="00C43985"/>
    <w:rsid w:val="00C43F2F"/>
    <w:rsid w:val="00C449D2"/>
    <w:rsid w:val="00C44A9C"/>
    <w:rsid w:val="00C44DF6"/>
    <w:rsid w:val="00C455E2"/>
    <w:rsid w:val="00C46EAA"/>
    <w:rsid w:val="00C475AA"/>
    <w:rsid w:val="00C4792E"/>
    <w:rsid w:val="00C47EDD"/>
    <w:rsid w:val="00C50153"/>
    <w:rsid w:val="00C51142"/>
    <w:rsid w:val="00C513E8"/>
    <w:rsid w:val="00C51D9D"/>
    <w:rsid w:val="00C5225C"/>
    <w:rsid w:val="00C527C7"/>
    <w:rsid w:val="00C52C0F"/>
    <w:rsid w:val="00C52C4C"/>
    <w:rsid w:val="00C53003"/>
    <w:rsid w:val="00C537E7"/>
    <w:rsid w:val="00C538E7"/>
    <w:rsid w:val="00C53C98"/>
    <w:rsid w:val="00C53D33"/>
    <w:rsid w:val="00C53FEE"/>
    <w:rsid w:val="00C54608"/>
    <w:rsid w:val="00C55203"/>
    <w:rsid w:val="00C5541B"/>
    <w:rsid w:val="00C5594F"/>
    <w:rsid w:val="00C55AF5"/>
    <w:rsid w:val="00C55C97"/>
    <w:rsid w:val="00C56024"/>
    <w:rsid w:val="00C56FCF"/>
    <w:rsid w:val="00C572F6"/>
    <w:rsid w:val="00C57B6C"/>
    <w:rsid w:val="00C57E77"/>
    <w:rsid w:val="00C602EB"/>
    <w:rsid w:val="00C60963"/>
    <w:rsid w:val="00C611D1"/>
    <w:rsid w:val="00C61A59"/>
    <w:rsid w:val="00C61C1E"/>
    <w:rsid w:val="00C628A6"/>
    <w:rsid w:val="00C634C0"/>
    <w:rsid w:val="00C63E38"/>
    <w:rsid w:val="00C640A6"/>
    <w:rsid w:val="00C64220"/>
    <w:rsid w:val="00C64344"/>
    <w:rsid w:val="00C6490E"/>
    <w:rsid w:val="00C64F8C"/>
    <w:rsid w:val="00C6508F"/>
    <w:rsid w:val="00C65108"/>
    <w:rsid w:val="00C65576"/>
    <w:rsid w:val="00C65E70"/>
    <w:rsid w:val="00C66165"/>
    <w:rsid w:val="00C67388"/>
    <w:rsid w:val="00C67A40"/>
    <w:rsid w:val="00C67D02"/>
    <w:rsid w:val="00C705DD"/>
    <w:rsid w:val="00C7060A"/>
    <w:rsid w:val="00C70C80"/>
    <w:rsid w:val="00C7106C"/>
    <w:rsid w:val="00C7151A"/>
    <w:rsid w:val="00C717E3"/>
    <w:rsid w:val="00C71DF1"/>
    <w:rsid w:val="00C71F60"/>
    <w:rsid w:val="00C72241"/>
    <w:rsid w:val="00C7241E"/>
    <w:rsid w:val="00C729D4"/>
    <w:rsid w:val="00C72EC4"/>
    <w:rsid w:val="00C7340E"/>
    <w:rsid w:val="00C73C00"/>
    <w:rsid w:val="00C7475F"/>
    <w:rsid w:val="00C74A95"/>
    <w:rsid w:val="00C74B7E"/>
    <w:rsid w:val="00C750C8"/>
    <w:rsid w:val="00C753DF"/>
    <w:rsid w:val="00C7560F"/>
    <w:rsid w:val="00C75717"/>
    <w:rsid w:val="00C75BDC"/>
    <w:rsid w:val="00C764A7"/>
    <w:rsid w:val="00C76BC6"/>
    <w:rsid w:val="00C772EC"/>
    <w:rsid w:val="00C77F03"/>
    <w:rsid w:val="00C80A0E"/>
    <w:rsid w:val="00C80C29"/>
    <w:rsid w:val="00C80ED9"/>
    <w:rsid w:val="00C80FDF"/>
    <w:rsid w:val="00C8213F"/>
    <w:rsid w:val="00C824C2"/>
    <w:rsid w:val="00C82661"/>
    <w:rsid w:val="00C82741"/>
    <w:rsid w:val="00C8303F"/>
    <w:rsid w:val="00C84045"/>
    <w:rsid w:val="00C84176"/>
    <w:rsid w:val="00C84916"/>
    <w:rsid w:val="00C849CE"/>
    <w:rsid w:val="00C85154"/>
    <w:rsid w:val="00C85856"/>
    <w:rsid w:val="00C858DB"/>
    <w:rsid w:val="00C85A70"/>
    <w:rsid w:val="00C86381"/>
    <w:rsid w:val="00C87102"/>
    <w:rsid w:val="00C8797A"/>
    <w:rsid w:val="00C900B8"/>
    <w:rsid w:val="00C90197"/>
    <w:rsid w:val="00C9071F"/>
    <w:rsid w:val="00C90B0A"/>
    <w:rsid w:val="00C90C71"/>
    <w:rsid w:val="00C90DA2"/>
    <w:rsid w:val="00C91DAB"/>
    <w:rsid w:val="00C91FD1"/>
    <w:rsid w:val="00C92D2C"/>
    <w:rsid w:val="00C92F8B"/>
    <w:rsid w:val="00C93023"/>
    <w:rsid w:val="00C931CF"/>
    <w:rsid w:val="00C9353E"/>
    <w:rsid w:val="00C936CA"/>
    <w:rsid w:val="00C937D6"/>
    <w:rsid w:val="00C938CF"/>
    <w:rsid w:val="00C94053"/>
    <w:rsid w:val="00C942FF"/>
    <w:rsid w:val="00C9441B"/>
    <w:rsid w:val="00C950AE"/>
    <w:rsid w:val="00C950B6"/>
    <w:rsid w:val="00C95707"/>
    <w:rsid w:val="00C9624D"/>
    <w:rsid w:val="00C9651F"/>
    <w:rsid w:val="00C96690"/>
    <w:rsid w:val="00C969DA"/>
    <w:rsid w:val="00C9700D"/>
    <w:rsid w:val="00C9702A"/>
    <w:rsid w:val="00C97660"/>
    <w:rsid w:val="00C97A26"/>
    <w:rsid w:val="00C97B34"/>
    <w:rsid w:val="00CA00B4"/>
    <w:rsid w:val="00CA0559"/>
    <w:rsid w:val="00CA11CB"/>
    <w:rsid w:val="00CA1772"/>
    <w:rsid w:val="00CA22F8"/>
    <w:rsid w:val="00CA2718"/>
    <w:rsid w:val="00CA2C77"/>
    <w:rsid w:val="00CA3264"/>
    <w:rsid w:val="00CA369D"/>
    <w:rsid w:val="00CA3C2A"/>
    <w:rsid w:val="00CA444F"/>
    <w:rsid w:val="00CA4762"/>
    <w:rsid w:val="00CA4820"/>
    <w:rsid w:val="00CA5245"/>
    <w:rsid w:val="00CA549A"/>
    <w:rsid w:val="00CA5F87"/>
    <w:rsid w:val="00CA6034"/>
    <w:rsid w:val="00CA6251"/>
    <w:rsid w:val="00CA6736"/>
    <w:rsid w:val="00CA6752"/>
    <w:rsid w:val="00CA6CF2"/>
    <w:rsid w:val="00CA71F4"/>
    <w:rsid w:val="00CA7AAE"/>
    <w:rsid w:val="00CA7B09"/>
    <w:rsid w:val="00CA7DF9"/>
    <w:rsid w:val="00CB088C"/>
    <w:rsid w:val="00CB0DA4"/>
    <w:rsid w:val="00CB0EE2"/>
    <w:rsid w:val="00CB12A5"/>
    <w:rsid w:val="00CB138F"/>
    <w:rsid w:val="00CB1CAC"/>
    <w:rsid w:val="00CB2763"/>
    <w:rsid w:val="00CB29BB"/>
    <w:rsid w:val="00CB2A61"/>
    <w:rsid w:val="00CB2ABB"/>
    <w:rsid w:val="00CB2AEB"/>
    <w:rsid w:val="00CB2F2A"/>
    <w:rsid w:val="00CB3348"/>
    <w:rsid w:val="00CB373C"/>
    <w:rsid w:val="00CB3A16"/>
    <w:rsid w:val="00CB3A34"/>
    <w:rsid w:val="00CB4216"/>
    <w:rsid w:val="00CB463F"/>
    <w:rsid w:val="00CB5B1A"/>
    <w:rsid w:val="00CB5D09"/>
    <w:rsid w:val="00CB5E3F"/>
    <w:rsid w:val="00CB6B22"/>
    <w:rsid w:val="00CB6B96"/>
    <w:rsid w:val="00CB6BF6"/>
    <w:rsid w:val="00CB786D"/>
    <w:rsid w:val="00CB7ACB"/>
    <w:rsid w:val="00CB7F5F"/>
    <w:rsid w:val="00CBF3DC"/>
    <w:rsid w:val="00CC02AD"/>
    <w:rsid w:val="00CC1B39"/>
    <w:rsid w:val="00CC1BFA"/>
    <w:rsid w:val="00CC2297"/>
    <w:rsid w:val="00CC2E9F"/>
    <w:rsid w:val="00CC35EA"/>
    <w:rsid w:val="00CC3848"/>
    <w:rsid w:val="00CC3D51"/>
    <w:rsid w:val="00CC40DC"/>
    <w:rsid w:val="00CC454A"/>
    <w:rsid w:val="00CC52D8"/>
    <w:rsid w:val="00CC57A8"/>
    <w:rsid w:val="00CC5DCF"/>
    <w:rsid w:val="00CC62CB"/>
    <w:rsid w:val="00CC6D5E"/>
    <w:rsid w:val="00CC7740"/>
    <w:rsid w:val="00CC77E5"/>
    <w:rsid w:val="00CD0200"/>
    <w:rsid w:val="00CD0434"/>
    <w:rsid w:val="00CD0849"/>
    <w:rsid w:val="00CD13DE"/>
    <w:rsid w:val="00CD19F9"/>
    <w:rsid w:val="00CD2256"/>
    <w:rsid w:val="00CD2586"/>
    <w:rsid w:val="00CD2936"/>
    <w:rsid w:val="00CD2AC1"/>
    <w:rsid w:val="00CD2ED4"/>
    <w:rsid w:val="00CD3156"/>
    <w:rsid w:val="00CD3795"/>
    <w:rsid w:val="00CD3A8B"/>
    <w:rsid w:val="00CD3AA5"/>
    <w:rsid w:val="00CD3F77"/>
    <w:rsid w:val="00CD49DD"/>
    <w:rsid w:val="00CD4BA2"/>
    <w:rsid w:val="00CD533D"/>
    <w:rsid w:val="00CD59EA"/>
    <w:rsid w:val="00CD69F4"/>
    <w:rsid w:val="00CD6ADC"/>
    <w:rsid w:val="00CD6D8F"/>
    <w:rsid w:val="00CD7193"/>
    <w:rsid w:val="00CD7C32"/>
    <w:rsid w:val="00CE0497"/>
    <w:rsid w:val="00CE0568"/>
    <w:rsid w:val="00CE096D"/>
    <w:rsid w:val="00CE0AC2"/>
    <w:rsid w:val="00CE14BC"/>
    <w:rsid w:val="00CE1A6D"/>
    <w:rsid w:val="00CE1B56"/>
    <w:rsid w:val="00CE1B8C"/>
    <w:rsid w:val="00CE1BFD"/>
    <w:rsid w:val="00CE2214"/>
    <w:rsid w:val="00CE31CD"/>
    <w:rsid w:val="00CE38C8"/>
    <w:rsid w:val="00CE3B43"/>
    <w:rsid w:val="00CE3BBE"/>
    <w:rsid w:val="00CE5165"/>
    <w:rsid w:val="00CE524F"/>
    <w:rsid w:val="00CE58CC"/>
    <w:rsid w:val="00CE6162"/>
    <w:rsid w:val="00CE6274"/>
    <w:rsid w:val="00CE70BF"/>
    <w:rsid w:val="00CE7155"/>
    <w:rsid w:val="00CE756B"/>
    <w:rsid w:val="00CE77B6"/>
    <w:rsid w:val="00CF1021"/>
    <w:rsid w:val="00CF1F5A"/>
    <w:rsid w:val="00CF208A"/>
    <w:rsid w:val="00CF2B8D"/>
    <w:rsid w:val="00CF2CB6"/>
    <w:rsid w:val="00CF3054"/>
    <w:rsid w:val="00CF3136"/>
    <w:rsid w:val="00CF3333"/>
    <w:rsid w:val="00CF33DB"/>
    <w:rsid w:val="00CF3A1B"/>
    <w:rsid w:val="00CF4216"/>
    <w:rsid w:val="00CF4237"/>
    <w:rsid w:val="00CF456B"/>
    <w:rsid w:val="00CF5480"/>
    <w:rsid w:val="00CF5A22"/>
    <w:rsid w:val="00CF5C97"/>
    <w:rsid w:val="00CF66AE"/>
    <w:rsid w:val="00CF6BAB"/>
    <w:rsid w:val="00CF720E"/>
    <w:rsid w:val="00CF7F24"/>
    <w:rsid w:val="00D0032B"/>
    <w:rsid w:val="00D01123"/>
    <w:rsid w:val="00D011DA"/>
    <w:rsid w:val="00D0235F"/>
    <w:rsid w:val="00D0262E"/>
    <w:rsid w:val="00D0276D"/>
    <w:rsid w:val="00D02A7C"/>
    <w:rsid w:val="00D031F3"/>
    <w:rsid w:val="00D03465"/>
    <w:rsid w:val="00D03679"/>
    <w:rsid w:val="00D036B8"/>
    <w:rsid w:val="00D053BD"/>
    <w:rsid w:val="00D05AD9"/>
    <w:rsid w:val="00D05E3D"/>
    <w:rsid w:val="00D05F5F"/>
    <w:rsid w:val="00D06139"/>
    <w:rsid w:val="00D076DB"/>
    <w:rsid w:val="00D10783"/>
    <w:rsid w:val="00D10841"/>
    <w:rsid w:val="00D10A1B"/>
    <w:rsid w:val="00D10CBF"/>
    <w:rsid w:val="00D10D59"/>
    <w:rsid w:val="00D10D85"/>
    <w:rsid w:val="00D110BD"/>
    <w:rsid w:val="00D119F7"/>
    <w:rsid w:val="00D1218A"/>
    <w:rsid w:val="00D125F0"/>
    <w:rsid w:val="00D129D5"/>
    <w:rsid w:val="00D1342E"/>
    <w:rsid w:val="00D13675"/>
    <w:rsid w:val="00D13EF8"/>
    <w:rsid w:val="00D141E1"/>
    <w:rsid w:val="00D1521E"/>
    <w:rsid w:val="00D1524A"/>
    <w:rsid w:val="00D15314"/>
    <w:rsid w:val="00D15A85"/>
    <w:rsid w:val="00D15B48"/>
    <w:rsid w:val="00D16CB2"/>
    <w:rsid w:val="00D171A6"/>
    <w:rsid w:val="00D179CF"/>
    <w:rsid w:val="00D17D6C"/>
    <w:rsid w:val="00D209A5"/>
    <w:rsid w:val="00D20B77"/>
    <w:rsid w:val="00D20F81"/>
    <w:rsid w:val="00D21033"/>
    <w:rsid w:val="00D21050"/>
    <w:rsid w:val="00D2119D"/>
    <w:rsid w:val="00D2155B"/>
    <w:rsid w:val="00D21611"/>
    <w:rsid w:val="00D21919"/>
    <w:rsid w:val="00D23010"/>
    <w:rsid w:val="00D2394F"/>
    <w:rsid w:val="00D23A30"/>
    <w:rsid w:val="00D23BF5"/>
    <w:rsid w:val="00D23D11"/>
    <w:rsid w:val="00D23DF9"/>
    <w:rsid w:val="00D2422D"/>
    <w:rsid w:val="00D244B6"/>
    <w:rsid w:val="00D255B3"/>
    <w:rsid w:val="00D259CC"/>
    <w:rsid w:val="00D25F21"/>
    <w:rsid w:val="00D266F9"/>
    <w:rsid w:val="00D26EF6"/>
    <w:rsid w:val="00D26F1F"/>
    <w:rsid w:val="00D2754D"/>
    <w:rsid w:val="00D27693"/>
    <w:rsid w:val="00D27B27"/>
    <w:rsid w:val="00D27E8F"/>
    <w:rsid w:val="00D300C2"/>
    <w:rsid w:val="00D30AB4"/>
    <w:rsid w:val="00D30D5B"/>
    <w:rsid w:val="00D319D4"/>
    <w:rsid w:val="00D33461"/>
    <w:rsid w:val="00D338E0"/>
    <w:rsid w:val="00D33BE9"/>
    <w:rsid w:val="00D33F93"/>
    <w:rsid w:val="00D344DF"/>
    <w:rsid w:val="00D34C28"/>
    <w:rsid w:val="00D35718"/>
    <w:rsid w:val="00D357FF"/>
    <w:rsid w:val="00D359DE"/>
    <w:rsid w:val="00D362FE"/>
    <w:rsid w:val="00D36C59"/>
    <w:rsid w:val="00D3748D"/>
    <w:rsid w:val="00D377BC"/>
    <w:rsid w:val="00D37FD7"/>
    <w:rsid w:val="00D40233"/>
    <w:rsid w:val="00D40B69"/>
    <w:rsid w:val="00D40CDD"/>
    <w:rsid w:val="00D40E5F"/>
    <w:rsid w:val="00D42293"/>
    <w:rsid w:val="00D42394"/>
    <w:rsid w:val="00D424C7"/>
    <w:rsid w:val="00D425B3"/>
    <w:rsid w:val="00D42D87"/>
    <w:rsid w:val="00D43270"/>
    <w:rsid w:val="00D432D5"/>
    <w:rsid w:val="00D437C2"/>
    <w:rsid w:val="00D43B2A"/>
    <w:rsid w:val="00D43CF1"/>
    <w:rsid w:val="00D43D83"/>
    <w:rsid w:val="00D43F18"/>
    <w:rsid w:val="00D44232"/>
    <w:rsid w:val="00D44771"/>
    <w:rsid w:val="00D44ED9"/>
    <w:rsid w:val="00D44EF1"/>
    <w:rsid w:val="00D450FD"/>
    <w:rsid w:val="00D453A3"/>
    <w:rsid w:val="00D45558"/>
    <w:rsid w:val="00D45954"/>
    <w:rsid w:val="00D45DF1"/>
    <w:rsid w:val="00D467D2"/>
    <w:rsid w:val="00D474DD"/>
    <w:rsid w:val="00D47575"/>
    <w:rsid w:val="00D500F0"/>
    <w:rsid w:val="00D5025D"/>
    <w:rsid w:val="00D51EDE"/>
    <w:rsid w:val="00D5243B"/>
    <w:rsid w:val="00D5258C"/>
    <w:rsid w:val="00D528BD"/>
    <w:rsid w:val="00D52931"/>
    <w:rsid w:val="00D52CA8"/>
    <w:rsid w:val="00D533EC"/>
    <w:rsid w:val="00D539C5"/>
    <w:rsid w:val="00D53B1D"/>
    <w:rsid w:val="00D5408D"/>
    <w:rsid w:val="00D5496B"/>
    <w:rsid w:val="00D54E45"/>
    <w:rsid w:val="00D54FFE"/>
    <w:rsid w:val="00D5500B"/>
    <w:rsid w:val="00D5528A"/>
    <w:rsid w:val="00D5576E"/>
    <w:rsid w:val="00D55CD2"/>
    <w:rsid w:val="00D56046"/>
    <w:rsid w:val="00D5608D"/>
    <w:rsid w:val="00D561CB"/>
    <w:rsid w:val="00D56547"/>
    <w:rsid w:val="00D56943"/>
    <w:rsid w:val="00D56A95"/>
    <w:rsid w:val="00D56E73"/>
    <w:rsid w:val="00D56F5A"/>
    <w:rsid w:val="00D57525"/>
    <w:rsid w:val="00D57541"/>
    <w:rsid w:val="00D57552"/>
    <w:rsid w:val="00D57DB9"/>
    <w:rsid w:val="00D606F8"/>
    <w:rsid w:val="00D6076E"/>
    <w:rsid w:val="00D60B3E"/>
    <w:rsid w:val="00D60F60"/>
    <w:rsid w:val="00D61E22"/>
    <w:rsid w:val="00D624D9"/>
    <w:rsid w:val="00D626FE"/>
    <w:rsid w:val="00D62A62"/>
    <w:rsid w:val="00D6427A"/>
    <w:rsid w:val="00D64575"/>
    <w:rsid w:val="00D64984"/>
    <w:rsid w:val="00D64DE5"/>
    <w:rsid w:val="00D64FF5"/>
    <w:rsid w:val="00D661C9"/>
    <w:rsid w:val="00D667B6"/>
    <w:rsid w:val="00D667C8"/>
    <w:rsid w:val="00D669F6"/>
    <w:rsid w:val="00D66C47"/>
    <w:rsid w:val="00D66FAE"/>
    <w:rsid w:val="00D6774A"/>
    <w:rsid w:val="00D70A7A"/>
    <w:rsid w:val="00D70F16"/>
    <w:rsid w:val="00D72617"/>
    <w:rsid w:val="00D729A2"/>
    <w:rsid w:val="00D72A66"/>
    <w:rsid w:val="00D72F57"/>
    <w:rsid w:val="00D731F0"/>
    <w:rsid w:val="00D73327"/>
    <w:rsid w:val="00D73DE2"/>
    <w:rsid w:val="00D74449"/>
    <w:rsid w:val="00D746FC"/>
    <w:rsid w:val="00D74BDA"/>
    <w:rsid w:val="00D75362"/>
    <w:rsid w:val="00D7609E"/>
    <w:rsid w:val="00D76948"/>
    <w:rsid w:val="00D76A44"/>
    <w:rsid w:val="00D7771F"/>
    <w:rsid w:val="00D77CE1"/>
    <w:rsid w:val="00D80CCC"/>
    <w:rsid w:val="00D81314"/>
    <w:rsid w:val="00D8158D"/>
    <w:rsid w:val="00D815EF"/>
    <w:rsid w:val="00D81949"/>
    <w:rsid w:val="00D81D73"/>
    <w:rsid w:val="00D81F26"/>
    <w:rsid w:val="00D822E2"/>
    <w:rsid w:val="00D839E8"/>
    <w:rsid w:val="00D843F2"/>
    <w:rsid w:val="00D85852"/>
    <w:rsid w:val="00D85864"/>
    <w:rsid w:val="00D859BA"/>
    <w:rsid w:val="00D85CEF"/>
    <w:rsid w:val="00D85D6B"/>
    <w:rsid w:val="00D85E62"/>
    <w:rsid w:val="00D86231"/>
    <w:rsid w:val="00D867C7"/>
    <w:rsid w:val="00D87866"/>
    <w:rsid w:val="00D87FD2"/>
    <w:rsid w:val="00D90247"/>
    <w:rsid w:val="00D9082B"/>
    <w:rsid w:val="00D91176"/>
    <w:rsid w:val="00D91220"/>
    <w:rsid w:val="00D912AB"/>
    <w:rsid w:val="00D91923"/>
    <w:rsid w:val="00D91C0E"/>
    <w:rsid w:val="00D9204F"/>
    <w:rsid w:val="00D92193"/>
    <w:rsid w:val="00D92544"/>
    <w:rsid w:val="00D92861"/>
    <w:rsid w:val="00D928E0"/>
    <w:rsid w:val="00D92ADE"/>
    <w:rsid w:val="00D92D9D"/>
    <w:rsid w:val="00D932FB"/>
    <w:rsid w:val="00D9337D"/>
    <w:rsid w:val="00D93727"/>
    <w:rsid w:val="00D93753"/>
    <w:rsid w:val="00D94397"/>
    <w:rsid w:val="00D9441E"/>
    <w:rsid w:val="00D945A9"/>
    <w:rsid w:val="00D965B7"/>
    <w:rsid w:val="00D96849"/>
    <w:rsid w:val="00D96BE2"/>
    <w:rsid w:val="00D97DF2"/>
    <w:rsid w:val="00DA0E7F"/>
    <w:rsid w:val="00DA0EE1"/>
    <w:rsid w:val="00DA16DF"/>
    <w:rsid w:val="00DA1A08"/>
    <w:rsid w:val="00DA1E8C"/>
    <w:rsid w:val="00DA2A97"/>
    <w:rsid w:val="00DA2BA1"/>
    <w:rsid w:val="00DA3167"/>
    <w:rsid w:val="00DA32AC"/>
    <w:rsid w:val="00DA35E4"/>
    <w:rsid w:val="00DA3666"/>
    <w:rsid w:val="00DA3A90"/>
    <w:rsid w:val="00DA3B5F"/>
    <w:rsid w:val="00DA4032"/>
    <w:rsid w:val="00DA4389"/>
    <w:rsid w:val="00DA43A1"/>
    <w:rsid w:val="00DA4DC3"/>
    <w:rsid w:val="00DA5107"/>
    <w:rsid w:val="00DA52CE"/>
    <w:rsid w:val="00DA56D1"/>
    <w:rsid w:val="00DA61D6"/>
    <w:rsid w:val="00DA63C4"/>
    <w:rsid w:val="00DA69E5"/>
    <w:rsid w:val="00DA77A5"/>
    <w:rsid w:val="00DA7ED5"/>
    <w:rsid w:val="00DB0E36"/>
    <w:rsid w:val="00DB0F2F"/>
    <w:rsid w:val="00DB107A"/>
    <w:rsid w:val="00DB18B0"/>
    <w:rsid w:val="00DB256D"/>
    <w:rsid w:val="00DB2655"/>
    <w:rsid w:val="00DB26F3"/>
    <w:rsid w:val="00DB2723"/>
    <w:rsid w:val="00DB2E81"/>
    <w:rsid w:val="00DB3219"/>
    <w:rsid w:val="00DB3687"/>
    <w:rsid w:val="00DB3DBF"/>
    <w:rsid w:val="00DB43EB"/>
    <w:rsid w:val="00DB484F"/>
    <w:rsid w:val="00DB55BA"/>
    <w:rsid w:val="00DB5E37"/>
    <w:rsid w:val="00DB5F0F"/>
    <w:rsid w:val="00DB642E"/>
    <w:rsid w:val="00DB65DA"/>
    <w:rsid w:val="00DB67E4"/>
    <w:rsid w:val="00DB6985"/>
    <w:rsid w:val="00DC04F6"/>
    <w:rsid w:val="00DC0690"/>
    <w:rsid w:val="00DC0CB3"/>
    <w:rsid w:val="00DC1D65"/>
    <w:rsid w:val="00DC26AD"/>
    <w:rsid w:val="00DC273B"/>
    <w:rsid w:val="00DC283D"/>
    <w:rsid w:val="00DC3611"/>
    <w:rsid w:val="00DC3C57"/>
    <w:rsid w:val="00DC3FA3"/>
    <w:rsid w:val="00DC43FC"/>
    <w:rsid w:val="00DC4DE7"/>
    <w:rsid w:val="00DC5501"/>
    <w:rsid w:val="00DC55C0"/>
    <w:rsid w:val="00DC5DE4"/>
    <w:rsid w:val="00DC6394"/>
    <w:rsid w:val="00DC66B9"/>
    <w:rsid w:val="00DC7154"/>
    <w:rsid w:val="00DC71C2"/>
    <w:rsid w:val="00DC74AE"/>
    <w:rsid w:val="00DC7E8A"/>
    <w:rsid w:val="00DD0059"/>
    <w:rsid w:val="00DD00A5"/>
    <w:rsid w:val="00DD0EE3"/>
    <w:rsid w:val="00DD0F78"/>
    <w:rsid w:val="00DD0FE5"/>
    <w:rsid w:val="00DD13CD"/>
    <w:rsid w:val="00DD184F"/>
    <w:rsid w:val="00DD1DBA"/>
    <w:rsid w:val="00DD23CD"/>
    <w:rsid w:val="00DD273C"/>
    <w:rsid w:val="00DD305B"/>
    <w:rsid w:val="00DD331A"/>
    <w:rsid w:val="00DD3F28"/>
    <w:rsid w:val="00DD4446"/>
    <w:rsid w:val="00DD4537"/>
    <w:rsid w:val="00DD491C"/>
    <w:rsid w:val="00DD4A9A"/>
    <w:rsid w:val="00DD4CEF"/>
    <w:rsid w:val="00DD4E15"/>
    <w:rsid w:val="00DD5610"/>
    <w:rsid w:val="00DD5C4C"/>
    <w:rsid w:val="00DD5C85"/>
    <w:rsid w:val="00DD5EC2"/>
    <w:rsid w:val="00DD651F"/>
    <w:rsid w:val="00DD6766"/>
    <w:rsid w:val="00DD67FF"/>
    <w:rsid w:val="00DD694B"/>
    <w:rsid w:val="00DD7092"/>
    <w:rsid w:val="00DD7B9B"/>
    <w:rsid w:val="00DD7BC6"/>
    <w:rsid w:val="00DD7D92"/>
    <w:rsid w:val="00DE0134"/>
    <w:rsid w:val="00DE03C9"/>
    <w:rsid w:val="00DE0DC4"/>
    <w:rsid w:val="00DE1C90"/>
    <w:rsid w:val="00DE2304"/>
    <w:rsid w:val="00DE28D8"/>
    <w:rsid w:val="00DE3138"/>
    <w:rsid w:val="00DE37F8"/>
    <w:rsid w:val="00DE38FA"/>
    <w:rsid w:val="00DE3EFA"/>
    <w:rsid w:val="00DE4273"/>
    <w:rsid w:val="00DE47E4"/>
    <w:rsid w:val="00DE4FCB"/>
    <w:rsid w:val="00DE59E9"/>
    <w:rsid w:val="00DE5A1B"/>
    <w:rsid w:val="00DE5D07"/>
    <w:rsid w:val="00DE5DCE"/>
    <w:rsid w:val="00DE6320"/>
    <w:rsid w:val="00DE652E"/>
    <w:rsid w:val="00DE685E"/>
    <w:rsid w:val="00DE68B3"/>
    <w:rsid w:val="00DE6E06"/>
    <w:rsid w:val="00DE72A7"/>
    <w:rsid w:val="00DE7832"/>
    <w:rsid w:val="00DE7934"/>
    <w:rsid w:val="00DE7B1A"/>
    <w:rsid w:val="00DE7CF7"/>
    <w:rsid w:val="00DF0DFD"/>
    <w:rsid w:val="00DF100E"/>
    <w:rsid w:val="00DF18FC"/>
    <w:rsid w:val="00DF1F21"/>
    <w:rsid w:val="00DF2AAD"/>
    <w:rsid w:val="00DF2C5A"/>
    <w:rsid w:val="00DF3105"/>
    <w:rsid w:val="00DF3913"/>
    <w:rsid w:val="00DF3C6D"/>
    <w:rsid w:val="00DF3E55"/>
    <w:rsid w:val="00DF3F67"/>
    <w:rsid w:val="00DF4492"/>
    <w:rsid w:val="00DF46E2"/>
    <w:rsid w:val="00DF4A36"/>
    <w:rsid w:val="00DF4D03"/>
    <w:rsid w:val="00DF4D1A"/>
    <w:rsid w:val="00DF4D9C"/>
    <w:rsid w:val="00DF4F17"/>
    <w:rsid w:val="00DF5541"/>
    <w:rsid w:val="00DF58E6"/>
    <w:rsid w:val="00DF5BAA"/>
    <w:rsid w:val="00DF5D2B"/>
    <w:rsid w:val="00DF632B"/>
    <w:rsid w:val="00DF6341"/>
    <w:rsid w:val="00DF6561"/>
    <w:rsid w:val="00DF67A9"/>
    <w:rsid w:val="00DF68E1"/>
    <w:rsid w:val="00DF7628"/>
    <w:rsid w:val="00DF790C"/>
    <w:rsid w:val="00DF7A75"/>
    <w:rsid w:val="00DF7B21"/>
    <w:rsid w:val="00E004DE"/>
    <w:rsid w:val="00E0076C"/>
    <w:rsid w:val="00E00E8E"/>
    <w:rsid w:val="00E00EEA"/>
    <w:rsid w:val="00E01AAD"/>
    <w:rsid w:val="00E01CA2"/>
    <w:rsid w:val="00E0226E"/>
    <w:rsid w:val="00E02C88"/>
    <w:rsid w:val="00E03293"/>
    <w:rsid w:val="00E03DF5"/>
    <w:rsid w:val="00E03E48"/>
    <w:rsid w:val="00E04D7C"/>
    <w:rsid w:val="00E0502D"/>
    <w:rsid w:val="00E050CA"/>
    <w:rsid w:val="00E053E2"/>
    <w:rsid w:val="00E05630"/>
    <w:rsid w:val="00E066C1"/>
    <w:rsid w:val="00E06A03"/>
    <w:rsid w:val="00E06DBB"/>
    <w:rsid w:val="00E07724"/>
    <w:rsid w:val="00E10149"/>
    <w:rsid w:val="00E105E7"/>
    <w:rsid w:val="00E107BD"/>
    <w:rsid w:val="00E11340"/>
    <w:rsid w:val="00E1152F"/>
    <w:rsid w:val="00E117A8"/>
    <w:rsid w:val="00E122A1"/>
    <w:rsid w:val="00E123A8"/>
    <w:rsid w:val="00E12503"/>
    <w:rsid w:val="00E12BC9"/>
    <w:rsid w:val="00E12D91"/>
    <w:rsid w:val="00E145C0"/>
    <w:rsid w:val="00E156C8"/>
    <w:rsid w:val="00E15716"/>
    <w:rsid w:val="00E15B22"/>
    <w:rsid w:val="00E16372"/>
    <w:rsid w:val="00E1686F"/>
    <w:rsid w:val="00E1692F"/>
    <w:rsid w:val="00E16AD8"/>
    <w:rsid w:val="00E16B85"/>
    <w:rsid w:val="00E16C37"/>
    <w:rsid w:val="00E1720E"/>
    <w:rsid w:val="00E17AC8"/>
    <w:rsid w:val="00E17FFA"/>
    <w:rsid w:val="00E2016D"/>
    <w:rsid w:val="00E202CA"/>
    <w:rsid w:val="00E203DC"/>
    <w:rsid w:val="00E209E2"/>
    <w:rsid w:val="00E20B11"/>
    <w:rsid w:val="00E20E4D"/>
    <w:rsid w:val="00E20ED6"/>
    <w:rsid w:val="00E20F49"/>
    <w:rsid w:val="00E210B7"/>
    <w:rsid w:val="00E21117"/>
    <w:rsid w:val="00E21358"/>
    <w:rsid w:val="00E21A86"/>
    <w:rsid w:val="00E21BFC"/>
    <w:rsid w:val="00E2209B"/>
    <w:rsid w:val="00E222D1"/>
    <w:rsid w:val="00E22379"/>
    <w:rsid w:val="00E2249B"/>
    <w:rsid w:val="00E226B8"/>
    <w:rsid w:val="00E22A0D"/>
    <w:rsid w:val="00E22FCB"/>
    <w:rsid w:val="00E23116"/>
    <w:rsid w:val="00E23271"/>
    <w:rsid w:val="00E238F3"/>
    <w:rsid w:val="00E23F14"/>
    <w:rsid w:val="00E240A1"/>
    <w:rsid w:val="00E24222"/>
    <w:rsid w:val="00E244F6"/>
    <w:rsid w:val="00E24588"/>
    <w:rsid w:val="00E24B1A"/>
    <w:rsid w:val="00E24DB6"/>
    <w:rsid w:val="00E252C7"/>
    <w:rsid w:val="00E258DB"/>
    <w:rsid w:val="00E25D75"/>
    <w:rsid w:val="00E271D1"/>
    <w:rsid w:val="00E27228"/>
    <w:rsid w:val="00E27625"/>
    <w:rsid w:val="00E2771E"/>
    <w:rsid w:val="00E27910"/>
    <w:rsid w:val="00E27993"/>
    <w:rsid w:val="00E27CB1"/>
    <w:rsid w:val="00E27D85"/>
    <w:rsid w:val="00E30127"/>
    <w:rsid w:val="00E301E1"/>
    <w:rsid w:val="00E30BAD"/>
    <w:rsid w:val="00E3105E"/>
    <w:rsid w:val="00E311EF"/>
    <w:rsid w:val="00E32180"/>
    <w:rsid w:val="00E32A87"/>
    <w:rsid w:val="00E32AD5"/>
    <w:rsid w:val="00E33247"/>
    <w:rsid w:val="00E332D3"/>
    <w:rsid w:val="00E336CA"/>
    <w:rsid w:val="00E3385F"/>
    <w:rsid w:val="00E33D97"/>
    <w:rsid w:val="00E33DB2"/>
    <w:rsid w:val="00E33DF1"/>
    <w:rsid w:val="00E3455B"/>
    <w:rsid w:val="00E348E3"/>
    <w:rsid w:val="00E34948"/>
    <w:rsid w:val="00E34BF1"/>
    <w:rsid w:val="00E350F4"/>
    <w:rsid w:val="00E35185"/>
    <w:rsid w:val="00E35469"/>
    <w:rsid w:val="00E359B9"/>
    <w:rsid w:val="00E362A0"/>
    <w:rsid w:val="00E366C4"/>
    <w:rsid w:val="00E3670A"/>
    <w:rsid w:val="00E37569"/>
    <w:rsid w:val="00E401B2"/>
    <w:rsid w:val="00E40792"/>
    <w:rsid w:val="00E41E30"/>
    <w:rsid w:val="00E426A7"/>
    <w:rsid w:val="00E42A30"/>
    <w:rsid w:val="00E42AD9"/>
    <w:rsid w:val="00E42F73"/>
    <w:rsid w:val="00E434D1"/>
    <w:rsid w:val="00E43935"/>
    <w:rsid w:val="00E43D70"/>
    <w:rsid w:val="00E43F0D"/>
    <w:rsid w:val="00E447F8"/>
    <w:rsid w:val="00E44CD1"/>
    <w:rsid w:val="00E45D22"/>
    <w:rsid w:val="00E45E40"/>
    <w:rsid w:val="00E45FCE"/>
    <w:rsid w:val="00E466F3"/>
    <w:rsid w:val="00E4680F"/>
    <w:rsid w:val="00E4693E"/>
    <w:rsid w:val="00E47276"/>
    <w:rsid w:val="00E473A9"/>
    <w:rsid w:val="00E47526"/>
    <w:rsid w:val="00E47B2C"/>
    <w:rsid w:val="00E47CFA"/>
    <w:rsid w:val="00E47F20"/>
    <w:rsid w:val="00E50241"/>
    <w:rsid w:val="00E50358"/>
    <w:rsid w:val="00E5083E"/>
    <w:rsid w:val="00E514A9"/>
    <w:rsid w:val="00E51560"/>
    <w:rsid w:val="00E51821"/>
    <w:rsid w:val="00E51CAE"/>
    <w:rsid w:val="00E52DED"/>
    <w:rsid w:val="00E53FC8"/>
    <w:rsid w:val="00E540DB"/>
    <w:rsid w:val="00E542AA"/>
    <w:rsid w:val="00E54347"/>
    <w:rsid w:val="00E5436A"/>
    <w:rsid w:val="00E54BC9"/>
    <w:rsid w:val="00E54E9E"/>
    <w:rsid w:val="00E55424"/>
    <w:rsid w:val="00E55915"/>
    <w:rsid w:val="00E55BB5"/>
    <w:rsid w:val="00E55C8C"/>
    <w:rsid w:val="00E55F2E"/>
    <w:rsid w:val="00E567BD"/>
    <w:rsid w:val="00E56907"/>
    <w:rsid w:val="00E56B36"/>
    <w:rsid w:val="00E56C41"/>
    <w:rsid w:val="00E570C8"/>
    <w:rsid w:val="00E5797D"/>
    <w:rsid w:val="00E608B1"/>
    <w:rsid w:val="00E611DF"/>
    <w:rsid w:val="00E61BB8"/>
    <w:rsid w:val="00E62788"/>
    <w:rsid w:val="00E627BD"/>
    <w:rsid w:val="00E62897"/>
    <w:rsid w:val="00E63B4E"/>
    <w:rsid w:val="00E63C57"/>
    <w:rsid w:val="00E6478E"/>
    <w:rsid w:val="00E647C1"/>
    <w:rsid w:val="00E64899"/>
    <w:rsid w:val="00E658D3"/>
    <w:rsid w:val="00E659EA"/>
    <w:rsid w:val="00E65A29"/>
    <w:rsid w:val="00E65BD7"/>
    <w:rsid w:val="00E65E79"/>
    <w:rsid w:val="00E663D2"/>
    <w:rsid w:val="00E66BA2"/>
    <w:rsid w:val="00E67071"/>
    <w:rsid w:val="00E67416"/>
    <w:rsid w:val="00E67C93"/>
    <w:rsid w:val="00E67D83"/>
    <w:rsid w:val="00E706E6"/>
    <w:rsid w:val="00E70701"/>
    <w:rsid w:val="00E718B6"/>
    <w:rsid w:val="00E72017"/>
    <w:rsid w:val="00E723BA"/>
    <w:rsid w:val="00E73361"/>
    <w:rsid w:val="00E73581"/>
    <w:rsid w:val="00E73CAD"/>
    <w:rsid w:val="00E74885"/>
    <w:rsid w:val="00E759FD"/>
    <w:rsid w:val="00E75CF9"/>
    <w:rsid w:val="00E77D8E"/>
    <w:rsid w:val="00E80178"/>
    <w:rsid w:val="00E8087E"/>
    <w:rsid w:val="00E80915"/>
    <w:rsid w:val="00E80E87"/>
    <w:rsid w:val="00E81DBB"/>
    <w:rsid w:val="00E82253"/>
    <w:rsid w:val="00E823EB"/>
    <w:rsid w:val="00E833F7"/>
    <w:rsid w:val="00E83BDF"/>
    <w:rsid w:val="00E83E45"/>
    <w:rsid w:val="00E844E6"/>
    <w:rsid w:val="00E845D4"/>
    <w:rsid w:val="00E851A1"/>
    <w:rsid w:val="00E8562B"/>
    <w:rsid w:val="00E86641"/>
    <w:rsid w:val="00E86FCC"/>
    <w:rsid w:val="00E8722A"/>
    <w:rsid w:val="00E876AB"/>
    <w:rsid w:val="00E8790E"/>
    <w:rsid w:val="00E879F8"/>
    <w:rsid w:val="00E87A1D"/>
    <w:rsid w:val="00E87BA5"/>
    <w:rsid w:val="00E87F46"/>
    <w:rsid w:val="00E90821"/>
    <w:rsid w:val="00E9094A"/>
    <w:rsid w:val="00E90CEE"/>
    <w:rsid w:val="00E90F4B"/>
    <w:rsid w:val="00E91C3E"/>
    <w:rsid w:val="00E91D35"/>
    <w:rsid w:val="00E92237"/>
    <w:rsid w:val="00E92366"/>
    <w:rsid w:val="00E926A5"/>
    <w:rsid w:val="00E926AA"/>
    <w:rsid w:val="00E933BD"/>
    <w:rsid w:val="00E9412D"/>
    <w:rsid w:val="00E942E6"/>
    <w:rsid w:val="00E94BBA"/>
    <w:rsid w:val="00E94BEE"/>
    <w:rsid w:val="00E9535C"/>
    <w:rsid w:val="00E95578"/>
    <w:rsid w:val="00E95615"/>
    <w:rsid w:val="00E957E8"/>
    <w:rsid w:val="00E95A1C"/>
    <w:rsid w:val="00E95A38"/>
    <w:rsid w:val="00E962CA"/>
    <w:rsid w:val="00E962CC"/>
    <w:rsid w:val="00E96C79"/>
    <w:rsid w:val="00EA04D8"/>
    <w:rsid w:val="00EA0B10"/>
    <w:rsid w:val="00EA0F7E"/>
    <w:rsid w:val="00EA17C3"/>
    <w:rsid w:val="00EA18DD"/>
    <w:rsid w:val="00EA1ABF"/>
    <w:rsid w:val="00EA1B7F"/>
    <w:rsid w:val="00EA1E47"/>
    <w:rsid w:val="00EA200B"/>
    <w:rsid w:val="00EA2511"/>
    <w:rsid w:val="00EA2CAA"/>
    <w:rsid w:val="00EA2E3B"/>
    <w:rsid w:val="00EA34FC"/>
    <w:rsid w:val="00EA3765"/>
    <w:rsid w:val="00EA3864"/>
    <w:rsid w:val="00EA3B79"/>
    <w:rsid w:val="00EA3B8C"/>
    <w:rsid w:val="00EA3EAF"/>
    <w:rsid w:val="00EA3EFE"/>
    <w:rsid w:val="00EA470E"/>
    <w:rsid w:val="00EA4CFE"/>
    <w:rsid w:val="00EA4D5C"/>
    <w:rsid w:val="00EA4F38"/>
    <w:rsid w:val="00EA532C"/>
    <w:rsid w:val="00EA5FAB"/>
    <w:rsid w:val="00EA694C"/>
    <w:rsid w:val="00EA761D"/>
    <w:rsid w:val="00EA768F"/>
    <w:rsid w:val="00EA7B44"/>
    <w:rsid w:val="00EA7F1C"/>
    <w:rsid w:val="00EB0C97"/>
    <w:rsid w:val="00EB1383"/>
    <w:rsid w:val="00EB15B6"/>
    <w:rsid w:val="00EB1759"/>
    <w:rsid w:val="00EB2594"/>
    <w:rsid w:val="00EB296D"/>
    <w:rsid w:val="00EB2B42"/>
    <w:rsid w:val="00EB2EEE"/>
    <w:rsid w:val="00EB3071"/>
    <w:rsid w:val="00EB3800"/>
    <w:rsid w:val="00EB3D06"/>
    <w:rsid w:val="00EB4364"/>
    <w:rsid w:val="00EB4916"/>
    <w:rsid w:val="00EB4F7F"/>
    <w:rsid w:val="00EB5441"/>
    <w:rsid w:val="00EB5505"/>
    <w:rsid w:val="00EB5EA8"/>
    <w:rsid w:val="00EB6040"/>
    <w:rsid w:val="00EB671C"/>
    <w:rsid w:val="00EB6F94"/>
    <w:rsid w:val="00EB7204"/>
    <w:rsid w:val="00EB7D00"/>
    <w:rsid w:val="00EB7D1A"/>
    <w:rsid w:val="00EC00C9"/>
    <w:rsid w:val="00EC0DD9"/>
    <w:rsid w:val="00EC13B5"/>
    <w:rsid w:val="00EC175A"/>
    <w:rsid w:val="00EC1CA0"/>
    <w:rsid w:val="00EC20E8"/>
    <w:rsid w:val="00EC2649"/>
    <w:rsid w:val="00EC2789"/>
    <w:rsid w:val="00EC2B12"/>
    <w:rsid w:val="00EC2FF0"/>
    <w:rsid w:val="00EC31A2"/>
    <w:rsid w:val="00EC31ED"/>
    <w:rsid w:val="00EC368A"/>
    <w:rsid w:val="00EC3880"/>
    <w:rsid w:val="00EC3FB3"/>
    <w:rsid w:val="00EC5836"/>
    <w:rsid w:val="00EC5F8A"/>
    <w:rsid w:val="00EC67EE"/>
    <w:rsid w:val="00EC688C"/>
    <w:rsid w:val="00EC6B20"/>
    <w:rsid w:val="00EC73DC"/>
    <w:rsid w:val="00EC78CD"/>
    <w:rsid w:val="00EC7D15"/>
    <w:rsid w:val="00ED0945"/>
    <w:rsid w:val="00ED0B1A"/>
    <w:rsid w:val="00ED0CBB"/>
    <w:rsid w:val="00ED1098"/>
    <w:rsid w:val="00ED12E3"/>
    <w:rsid w:val="00ED157B"/>
    <w:rsid w:val="00ED18D1"/>
    <w:rsid w:val="00ED1C55"/>
    <w:rsid w:val="00ED1E12"/>
    <w:rsid w:val="00ED2BBC"/>
    <w:rsid w:val="00ED3980"/>
    <w:rsid w:val="00ED41AE"/>
    <w:rsid w:val="00ED474C"/>
    <w:rsid w:val="00ED4B04"/>
    <w:rsid w:val="00ED4BF2"/>
    <w:rsid w:val="00ED57EA"/>
    <w:rsid w:val="00ED5BD4"/>
    <w:rsid w:val="00ED5F53"/>
    <w:rsid w:val="00ED6707"/>
    <w:rsid w:val="00ED6B16"/>
    <w:rsid w:val="00ED6B24"/>
    <w:rsid w:val="00EE07D3"/>
    <w:rsid w:val="00EE1996"/>
    <w:rsid w:val="00EE1C01"/>
    <w:rsid w:val="00EE21A5"/>
    <w:rsid w:val="00EE22AF"/>
    <w:rsid w:val="00EE25C2"/>
    <w:rsid w:val="00EE2D44"/>
    <w:rsid w:val="00EE2E5C"/>
    <w:rsid w:val="00EE3157"/>
    <w:rsid w:val="00EE3E04"/>
    <w:rsid w:val="00EE3E8D"/>
    <w:rsid w:val="00EE4257"/>
    <w:rsid w:val="00EE4804"/>
    <w:rsid w:val="00EE48F6"/>
    <w:rsid w:val="00EE5756"/>
    <w:rsid w:val="00EE5CE9"/>
    <w:rsid w:val="00EE5E59"/>
    <w:rsid w:val="00EE64B4"/>
    <w:rsid w:val="00EE78BD"/>
    <w:rsid w:val="00EF0171"/>
    <w:rsid w:val="00EF023B"/>
    <w:rsid w:val="00EF0794"/>
    <w:rsid w:val="00EF07FD"/>
    <w:rsid w:val="00EF102F"/>
    <w:rsid w:val="00EF1084"/>
    <w:rsid w:val="00EF1B25"/>
    <w:rsid w:val="00EF1CC0"/>
    <w:rsid w:val="00EF1DA0"/>
    <w:rsid w:val="00EF1ED5"/>
    <w:rsid w:val="00EF1F84"/>
    <w:rsid w:val="00EF2009"/>
    <w:rsid w:val="00EF2B69"/>
    <w:rsid w:val="00EF2E8A"/>
    <w:rsid w:val="00EF2FEF"/>
    <w:rsid w:val="00EF32DB"/>
    <w:rsid w:val="00EF3B49"/>
    <w:rsid w:val="00EF4637"/>
    <w:rsid w:val="00EF4747"/>
    <w:rsid w:val="00EF499F"/>
    <w:rsid w:val="00EF4BF8"/>
    <w:rsid w:val="00EF4E7C"/>
    <w:rsid w:val="00EF7C2B"/>
    <w:rsid w:val="00F00F44"/>
    <w:rsid w:val="00F00FAD"/>
    <w:rsid w:val="00F0147F"/>
    <w:rsid w:val="00F01CC4"/>
    <w:rsid w:val="00F0224D"/>
    <w:rsid w:val="00F02253"/>
    <w:rsid w:val="00F03043"/>
    <w:rsid w:val="00F03BD3"/>
    <w:rsid w:val="00F03C2E"/>
    <w:rsid w:val="00F04682"/>
    <w:rsid w:val="00F048E9"/>
    <w:rsid w:val="00F04A66"/>
    <w:rsid w:val="00F04B4B"/>
    <w:rsid w:val="00F0516C"/>
    <w:rsid w:val="00F05981"/>
    <w:rsid w:val="00F059D5"/>
    <w:rsid w:val="00F05DCD"/>
    <w:rsid w:val="00F05E8B"/>
    <w:rsid w:val="00F05F3E"/>
    <w:rsid w:val="00F067A2"/>
    <w:rsid w:val="00F06A4B"/>
    <w:rsid w:val="00F06BA7"/>
    <w:rsid w:val="00F0767E"/>
    <w:rsid w:val="00F07A90"/>
    <w:rsid w:val="00F07B9E"/>
    <w:rsid w:val="00F0D9C7"/>
    <w:rsid w:val="00F10346"/>
    <w:rsid w:val="00F10734"/>
    <w:rsid w:val="00F1116F"/>
    <w:rsid w:val="00F11857"/>
    <w:rsid w:val="00F11EAA"/>
    <w:rsid w:val="00F1263A"/>
    <w:rsid w:val="00F12842"/>
    <w:rsid w:val="00F130D6"/>
    <w:rsid w:val="00F13150"/>
    <w:rsid w:val="00F139C5"/>
    <w:rsid w:val="00F147AC"/>
    <w:rsid w:val="00F147D8"/>
    <w:rsid w:val="00F15258"/>
    <w:rsid w:val="00F15B77"/>
    <w:rsid w:val="00F15BF0"/>
    <w:rsid w:val="00F15E02"/>
    <w:rsid w:val="00F171F8"/>
    <w:rsid w:val="00F1723A"/>
    <w:rsid w:val="00F1786C"/>
    <w:rsid w:val="00F17D6A"/>
    <w:rsid w:val="00F17D7A"/>
    <w:rsid w:val="00F2074C"/>
    <w:rsid w:val="00F21236"/>
    <w:rsid w:val="00F21BB6"/>
    <w:rsid w:val="00F21EAA"/>
    <w:rsid w:val="00F2249A"/>
    <w:rsid w:val="00F225EA"/>
    <w:rsid w:val="00F2299C"/>
    <w:rsid w:val="00F2322F"/>
    <w:rsid w:val="00F239DF"/>
    <w:rsid w:val="00F24379"/>
    <w:rsid w:val="00F24837"/>
    <w:rsid w:val="00F24853"/>
    <w:rsid w:val="00F24D6B"/>
    <w:rsid w:val="00F250F8"/>
    <w:rsid w:val="00F25683"/>
    <w:rsid w:val="00F2575F"/>
    <w:rsid w:val="00F25B4C"/>
    <w:rsid w:val="00F26708"/>
    <w:rsid w:val="00F274B9"/>
    <w:rsid w:val="00F27565"/>
    <w:rsid w:val="00F3076F"/>
    <w:rsid w:val="00F30C19"/>
    <w:rsid w:val="00F30D76"/>
    <w:rsid w:val="00F310D4"/>
    <w:rsid w:val="00F3114A"/>
    <w:rsid w:val="00F31608"/>
    <w:rsid w:val="00F316CD"/>
    <w:rsid w:val="00F31D5A"/>
    <w:rsid w:val="00F32268"/>
    <w:rsid w:val="00F33975"/>
    <w:rsid w:val="00F33DE9"/>
    <w:rsid w:val="00F34BE5"/>
    <w:rsid w:val="00F35CE9"/>
    <w:rsid w:val="00F35E6D"/>
    <w:rsid w:val="00F3619A"/>
    <w:rsid w:val="00F3655A"/>
    <w:rsid w:val="00F377EF"/>
    <w:rsid w:val="00F37B75"/>
    <w:rsid w:val="00F405A1"/>
    <w:rsid w:val="00F40AAA"/>
    <w:rsid w:val="00F40BA7"/>
    <w:rsid w:val="00F40C9D"/>
    <w:rsid w:val="00F40DEA"/>
    <w:rsid w:val="00F40F9D"/>
    <w:rsid w:val="00F41ACD"/>
    <w:rsid w:val="00F41DE4"/>
    <w:rsid w:val="00F41E8D"/>
    <w:rsid w:val="00F424F5"/>
    <w:rsid w:val="00F42CDA"/>
    <w:rsid w:val="00F432F2"/>
    <w:rsid w:val="00F436FB"/>
    <w:rsid w:val="00F45C68"/>
    <w:rsid w:val="00F460F2"/>
    <w:rsid w:val="00F462E5"/>
    <w:rsid w:val="00F46CB6"/>
    <w:rsid w:val="00F47406"/>
    <w:rsid w:val="00F4756D"/>
    <w:rsid w:val="00F47692"/>
    <w:rsid w:val="00F47B4B"/>
    <w:rsid w:val="00F47DE8"/>
    <w:rsid w:val="00F47FD6"/>
    <w:rsid w:val="00F50107"/>
    <w:rsid w:val="00F509EF"/>
    <w:rsid w:val="00F50BE2"/>
    <w:rsid w:val="00F510CC"/>
    <w:rsid w:val="00F517C3"/>
    <w:rsid w:val="00F517D9"/>
    <w:rsid w:val="00F51906"/>
    <w:rsid w:val="00F51A6C"/>
    <w:rsid w:val="00F51AC2"/>
    <w:rsid w:val="00F524D2"/>
    <w:rsid w:val="00F542C1"/>
    <w:rsid w:val="00F543E2"/>
    <w:rsid w:val="00F54F57"/>
    <w:rsid w:val="00F550E3"/>
    <w:rsid w:val="00F55639"/>
    <w:rsid w:val="00F55C49"/>
    <w:rsid w:val="00F55CDC"/>
    <w:rsid w:val="00F55E73"/>
    <w:rsid w:val="00F55EDA"/>
    <w:rsid w:val="00F55FED"/>
    <w:rsid w:val="00F56122"/>
    <w:rsid w:val="00F56909"/>
    <w:rsid w:val="00F56C80"/>
    <w:rsid w:val="00F56D8E"/>
    <w:rsid w:val="00F57842"/>
    <w:rsid w:val="00F57EA5"/>
    <w:rsid w:val="00F60092"/>
    <w:rsid w:val="00F60957"/>
    <w:rsid w:val="00F60E78"/>
    <w:rsid w:val="00F61732"/>
    <w:rsid w:val="00F61C18"/>
    <w:rsid w:val="00F61F70"/>
    <w:rsid w:val="00F622FE"/>
    <w:rsid w:val="00F62C7C"/>
    <w:rsid w:val="00F63647"/>
    <w:rsid w:val="00F63A0B"/>
    <w:rsid w:val="00F63E1B"/>
    <w:rsid w:val="00F645D2"/>
    <w:rsid w:val="00F64CB3"/>
    <w:rsid w:val="00F650C4"/>
    <w:rsid w:val="00F650F2"/>
    <w:rsid w:val="00F65BDE"/>
    <w:rsid w:val="00F65F4B"/>
    <w:rsid w:val="00F6606C"/>
    <w:rsid w:val="00F66235"/>
    <w:rsid w:val="00F66D6B"/>
    <w:rsid w:val="00F66EA3"/>
    <w:rsid w:val="00F679F8"/>
    <w:rsid w:val="00F67A69"/>
    <w:rsid w:val="00F67D90"/>
    <w:rsid w:val="00F67DDF"/>
    <w:rsid w:val="00F70BFF"/>
    <w:rsid w:val="00F70C9D"/>
    <w:rsid w:val="00F72651"/>
    <w:rsid w:val="00F73322"/>
    <w:rsid w:val="00F73989"/>
    <w:rsid w:val="00F739FC"/>
    <w:rsid w:val="00F73E08"/>
    <w:rsid w:val="00F74AAC"/>
    <w:rsid w:val="00F74CD9"/>
    <w:rsid w:val="00F75458"/>
    <w:rsid w:val="00F75C22"/>
    <w:rsid w:val="00F76550"/>
    <w:rsid w:val="00F76781"/>
    <w:rsid w:val="00F80221"/>
    <w:rsid w:val="00F802C3"/>
    <w:rsid w:val="00F80A7B"/>
    <w:rsid w:val="00F80E5D"/>
    <w:rsid w:val="00F81E78"/>
    <w:rsid w:val="00F82272"/>
    <w:rsid w:val="00F82362"/>
    <w:rsid w:val="00F8321A"/>
    <w:rsid w:val="00F83916"/>
    <w:rsid w:val="00F83CDB"/>
    <w:rsid w:val="00F83FFB"/>
    <w:rsid w:val="00F84238"/>
    <w:rsid w:val="00F8435A"/>
    <w:rsid w:val="00F84722"/>
    <w:rsid w:val="00F850AF"/>
    <w:rsid w:val="00F851CE"/>
    <w:rsid w:val="00F85630"/>
    <w:rsid w:val="00F85894"/>
    <w:rsid w:val="00F85B16"/>
    <w:rsid w:val="00F8629D"/>
    <w:rsid w:val="00F865EF"/>
    <w:rsid w:val="00F86953"/>
    <w:rsid w:val="00F86AE1"/>
    <w:rsid w:val="00F873E8"/>
    <w:rsid w:val="00F87675"/>
    <w:rsid w:val="00F8775F"/>
    <w:rsid w:val="00F8790A"/>
    <w:rsid w:val="00F87A30"/>
    <w:rsid w:val="00F87E39"/>
    <w:rsid w:val="00F90B60"/>
    <w:rsid w:val="00F90BC4"/>
    <w:rsid w:val="00F91219"/>
    <w:rsid w:val="00F91253"/>
    <w:rsid w:val="00F913C1"/>
    <w:rsid w:val="00F92252"/>
    <w:rsid w:val="00F92444"/>
    <w:rsid w:val="00F93065"/>
    <w:rsid w:val="00F933BF"/>
    <w:rsid w:val="00F934D0"/>
    <w:rsid w:val="00F93548"/>
    <w:rsid w:val="00F9393E"/>
    <w:rsid w:val="00F93BA0"/>
    <w:rsid w:val="00F95117"/>
    <w:rsid w:val="00F95C25"/>
    <w:rsid w:val="00F9671A"/>
    <w:rsid w:val="00F96AF0"/>
    <w:rsid w:val="00F96C95"/>
    <w:rsid w:val="00F96E73"/>
    <w:rsid w:val="00F96FD0"/>
    <w:rsid w:val="00F974FE"/>
    <w:rsid w:val="00F977AF"/>
    <w:rsid w:val="00F97A78"/>
    <w:rsid w:val="00F97FEA"/>
    <w:rsid w:val="00FA01B2"/>
    <w:rsid w:val="00FA0B20"/>
    <w:rsid w:val="00FA14F6"/>
    <w:rsid w:val="00FA24E7"/>
    <w:rsid w:val="00FA4619"/>
    <w:rsid w:val="00FA46FF"/>
    <w:rsid w:val="00FA4F0F"/>
    <w:rsid w:val="00FA5EE6"/>
    <w:rsid w:val="00FA6743"/>
    <w:rsid w:val="00FA6C27"/>
    <w:rsid w:val="00FA744C"/>
    <w:rsid w:val="00FA7956"/>
    <w:rsid w:val="00FB0824"/>
    <w:rsid w:val="00FB15EE"/>
    <w:rsid w:val="00FB19C9"/>
    <w:rsid w:val="00FB229D"/>
    <w:rsid w:val="00FB23AE"/>
    <w:rsid w:val="00FB26EF"/>
    <w:rsid w:val="00FB2FC9"/>
    <w:rsid w:val="00FB2FCB"/>
    <w:rsid w:val="00FB30A0"/>
    <w:rsid w:val="00FB3264"/>
    <w:rsid w:val="00FB3762"/>
    <w:rsid w:val="00FB48C0"/>
    <w:rsid w:val="00FB4C9C"/>
    <w:rsid w:val="00FB5414"/>
    <w:rsid w:val="00FB5846"/>
    <w:rsid w:val="00FB597A"/>
    <w:rsid w:val="00FB5EA7"/>
    <w:rsid w:val="00FB6253"/>
    <w:rsid w:val="00FB6559"/>
    <w:rsid w:val="00FB65B3"/>
    <w:rsid w:val="00FB778C"/>
    <w:rsid w:val="00FB7C55"/>
    <w:rsid w:val="00FC02C3"/>
    <w:rsid w:val="00FC1074"/>
    <w:rsid w:val="00FC1744"/>
    <w:rsid w:val="00FC1853"/>
    <w:rsid w:val="00FC1884"/>
    <w:rsid w:val="00FC217C"/>
    <w:rsid w:val="00FC227F"/>
    <w:rsid w:val="00FC23B2"/>
    <w:rsid w:val="00FC30A5"/>
    <w:rsid w:val="00FC33B0"/>
    <w:rsid w:val="00FC371D"/>
    <w:rsid w:val="00FC39EF"/>
    <w:rsid w:val="00FC3D54"/>
    <w:rsid w:val="00FC4470"/>
    <w:rsid w:val="00FC4896"/>
    <w:rsid w:val="00FC57F7"/>
    <w:rsid w:val="00FC5F0B"/>
    <w:rsid w:val="00FC6007"/>
    <w:rsid w:val="00FC6211"/>
    <w:rsid w:val="00FC6235"/>
    <w:rsid w:val="00FC667F"/>
    <w:rsid w:val="00FC6F17"/>
    <w:rsid w:val="00FC7D01"/>
    <w:rsid w:val="00FD033F"/>
    <w:rsid w:val="00FD0555"/>
    <w:rsid w:val="00FD0834"/>
    <w:rsid w:val="00FD095E"/>
    <w:rsid w:val="00FD0CF3"/>
    <w:rsid w:val="00FD1147"/>
    <w:rsid w:val="00FD11A5"/>
    <w:rsid w:val="00FD15A5"/>
    <w:rsid w:val="00FD168A"/>
    <w:rsid w:val="00FD177A"/>
    <w:rsid w:val="00FD2100"/>
    <w:rsid w:val="00FD244B"/>
    <w:rsid w:val="00FD25B4"/>
    <w:rsid w:val="00FD2D32"/>
    <w:rsid w:val="00FD34BA"/>
    <w:rsid w:val="00FD42E3"/>
    <w:rsid w:val="00FD436C"/>
    <w:rsid w:val="00FD446D"/>
    <w:rsid w:val="00FD484D"/>
    <w:rsid w:val="00FD4DD0"/>
    <w:rsid w:val="00FD4F2C"/>
    <w:rsid w:val="00FD5A94"/>
    <w:rsid w:val="00FD5C47"/>
    <w:rsid w:val="00FD5D08"/>
    <w:rsid w:val="00FD6394"/>
    <w:rsid w:val="00FE042E"/>
    <w:rsid w:val="00FE0E6C"/>
    <w:rsid w:val="00FE1443"/>
    <w:rsid w:val="00FE165C"/>
    <w:rsid w:val="00FE18D1"/>
    <w:rsid w:val="00FE1CDC"/>
    <w:rsid w:val="00FE1CDE"/>
    <w:rsid w:val="00FE1D16"/>
    <w:rsid w:val="00FE1DF5"/>
    <w:rsid w:val="00FE1FB6"/>
    <w:rsid w:val="00FE2059"/>
    <w:rsid w:val="00FE250A"/>
    <w:rsid w:val="00FE294E"/>
    <w:rsid w:val="00FE2C7F"/>
    <w:rsid w:val="00FE2F29"/>
    <w:rsid w:val="00FE34A5"/>
    <w:rsid w:val="00FE352F"/>
    <w:rsid w:val="00FE3810"/>
    <w:rsid w:val="00FE3BF3"/>
    <w:rsid w:val="00FE3BF6"/>
    <w:rsid w:val="00FE3C10"/>
    <w:rsid w:val="00FE436D"/>
    <w:rsid w:val="00FE46E0"/>
    <w:rsid w:val="00FE5DEB"/>
    <w:rsid w:val="00FE692C"/>
    <w:rsid w:val="00FE70C3"/>
    <w:rsid w:val="00FF0089"/>
    <w:rsid w:val="00FF045E"/>
    <w:rsid w:val="00FF04BA"/>
    <w:rsid w:val="00FF069E"/>
    <w:rsid w:val="00FF06BF"/>
    <w:rsid w:val="00FF09E9"/>
    <w:rsid w:val="00FF0E5E"/>
    <w:rsid w:val="00FF12A6"/>
    <w:rsid w:val="00FF15EA"/>
    <w:rsid w:val="00FF1859"/>
    <w:rsid w:val="00FF18A3"/>
    <w:rsid w:val="00FF1A8B"/>
    <w:rsid w:val="00FF216B"/>
    <w:rsid w:val="00FF2410"/>
    <w:rsid w:val="00FF29B4"/>
    <w:rsid w:val="00FF2AD9"/>
    <w:rsid w:val="00FF2B92"/>
    <w:rsid w:val="00FF359F"/>
    <w:rsid w:val="00FF3DCF"/>
    <w:rsid w:val="00FF492C"/>
    <w:rsid w:val="00FF4A21"/>
    <w:rsid w:val="00FF4C33"/>
    <w:rsid w:val="00FF58A4"/>
    <w:rsid w:val="00FF5AA3"/>
    <w:rsid w:val="00FF5AD8"/>
    <w:rsid w:val="00FF611A"/>
    <w:rsid w:val="00FF68C7"/>
    <w:rsid w:val="00FF6E91"/>
    <w:rsid w:val="00FF7629"/>
    <w:rsid w:val="00FF7AF1"/>
    <w:rsid w:val="01F3EA08"/>
    <w:rsid w:val="02019088"/>
    <w:rsid w:val="022AD88F"/>
    <w:rsid w:val="02335417"/>
    <w:rsid w:val="02C9EF15"/>
    <w:rsid w:val="038FCA5C"/>
    <w:rsid w:val="03B85989"/>
    <w:rsid w:val="041A207F"/>
    <w:rsid w:val="041C62EB"/>
    <w:rsid w:val="04A1F801"/>
    <w:rsid w:val="04E246F6"/>
    <w:rsid w:val="052E1E9C"/>
    <w:rsid w:val="054001E8"/>
    <w:rsid w:val="055A3140"/>
    <w:rsid w:val="05875779"/>
    <w:rsid w:val="0596A823"/>
    <w:rsid w:val="05BC6378"/>
    <w:rsid w:val="05CC2841"/>
    <w:rsid w:val="05E6036E"/>
    <w:rsid w:val="060793F6"/>
    <w:rsid w:val="065D25B7"/>
    <w:rsid w:val="069128B7"/>
    <w:rsid w:val="06CE55EE"/>
    <w:rsid w:val="06DFA839"/>
    <w:rsid w:val="076DEE2F"/>
    <w:rsid w:val="07964BDB"/>
    <w:rsid w:val="081B0B2A"/>
    <w:rsid w:val="08E04CE7"/>
    <w:rsid w:val="091CF08F"/>
    <w:rsid w:val="093D54D5"/>
    <w:rsid w:val="09407103"/>
    <w:rsid w:val="094AC8D7"/>
    <w:rsid w:val="096528ED"/>
    <w:rsid w:val="09D8CF66"/>
    <w:rsid w:val="09E25F19"/>
    <w:rsid w:val="0AB4EAA5"/>
    <w:rsid w:val="0ABCA83C"/>
    <w:rsid w:val="0AF94AE5"/>
    <w:rsid w:val="0B5C33D7"/>
    <w:rsid w:val="0B6BFE1C"/>
    <w:rsid w:val="0BC723FF"/>
    <w:rsid w:val="0BDCE15B"/>
    <w:rsid w:val="0C21EAE0"/>
    <w:rsid w:val="0CC711A2"/>
    <w:rsid w:val="0D154282"/>
    <w:rsid w:val="0D447516"/>
    <w:rsid w:val="0D8F7E6D"/>
    <w:rsid w:val="0DCB0C62"/>
    <w:rsid w:val="0DFF79CC"/>
    <w:rsid w:val="0E32F7B3"/>
    <w:rsid w:val="0E4ED2E9"/>
    <w:rsid w:val="0E7911E2"/>
    <w:rsid w:val="0E9B1366"/>
    <w:rsid w:val="0EDCDB01"/>
    <w:rsid w:val="0F02A64F"/>
    <w:rsid w:val="0F14D819"/>
    <w:rsid w:val="0F4130CE"/>
    <w:rsid w:val="0FC53D35"/>
    <w:rsid w:val="0FECD9F6"/>
    <w:rsid w:val="1001218E"/>
    <w:rsid w:val="104CE593"/>
    <w:rsid w:val="106A9A2D"/>
    <w:rsid w:val="107E3CAB"/>
    <w:rsid w:val="10B45828"/>
    <w:rsid w:val="11A39C88"/>
    <w:rsid w:val="11B49BD5"/>
    <w:rsid w:val="11BDD012"/>
    <w:rsid w:val="1267A42C"/>
    <w:rsid w:val="12BC06F7"/>
    <w:rsid w:val="12DBE2DB"/>
    <w:rsid w:val="1361D383"/>
    <w:rsid w:val="136C9BE0"/>
    <w:rsid w:val="137B5E8A"/>
    <w:rsid w:val="13878280"/>
    <w:rsid w:val="1388F7EC"/>
    <w:rsid w:val="1396E108"/>
    <w:rsid w:val="13AD984C"/>
    <w:rsid w:val="13D8112B"/>
    <w:rsid w:val="1582367F"/>
    <w:rsid w:val="15AB06B1"/>
    <w:rsid w:val="15E25ACC"/>
    <w:rsid w:val="161D97CA"/>
    <w:rsid w:val="16315908"/>
    <w:rsid w:val="16381126"/>
    <w:rsid w:val="16470F93"/>
    <w:rsid w:val="16681E9F"/>
    <w:rsid w:val="168826E2"/>
    <w:rsid w:val="16BBB8D3"/>
    <w:rsid w:val="16F4EC1F"/>
    <w:rsid w:val="1736D2A8"/>
    <w:rsid w:val="177F8395"/>
    <w:rsid w:val="17D9726B"/>
    <w:rsid w:val="17F3F3F1"/>
    <w:rsid w:val="1898DFB7"/>
    <w:rsid w:val="197F6D13"/>
    <w:rsid w:val="19B9C2AF"/>
    <w:rsid w:val="1A0EE27F"/>
    <w:rsid w:val="1A5D86C6"/>
    <w:rsid w:val="1AC7E3AD"/>
    <w:rsid w:val="1AE9F0C5"/>
    <w:rsid w:val="1BAE78D8"/>
    <w:rsid w:val="1C1C106F"/>
    <w:rsid w:val="1C2657A0"/>
    <w:rsid w:val="1C2E8381"/>
    <w:rsid w:val="1CAE2B83"/>
    <w:rsid w:val="1D18D9DA"/>
    <w:rsid w:val="1D4795FA"/>
    <w:rsid w:val="1DBC22DD"/>
    <w:rsid w:val="1DC112E4"/>
    <w:rsid w:val="1DC8D4FD"/>
    <w:rsid w:val="1E5F0261"/>
    <w:rsid w:val="1E834BCB"/>
    <w:rsid w:val="1ED402FD"/>
    <w:rsid w:val="1EFB1F83"/>
    <w:rsid w:val="1F0BE34C"/>
    <w:rsid w:val="1F21FCA7"/>
    <w:rsid w:val="1FC302B0"/>
    <w:rsid w:val="1FDFC09F"/>
    <w:rsid w:val="202C058A"/>
    <w:rsid w:val="20C7663D"/>
    <w:rsid w:val="2110B7D4"/>
    <w:rsid w:val="212CDEFE"/>
    <w:rsid w:val="21A84FB2"/>
    <w:rsid w:val="21C0520A"/>
    <w:rsid w:val="21DF4680"/>
    <w:rsid w:val="221A22DB"/>
    <w:rsid w:val="22801165"/>
    <w:rsid w:val="22B77720"/>
    <w:rsid w:val="22D732BE"/>
    <w:rsid w:val="22EEB20A"/>
    <w:rsid w:val="230C4F6D"/>
    <w:rsid w:val="2313EC8A"/>
    <w:rsid w:val="2331C14E"/>
    <w:rsid w:val="233CA772"/>
    <w:rsid w:val="2345CFF1"/>
    <w:rsid w:val="2351C245"/>
    <w:rsid w:val="2363DA5E"/>
    <w:rsid w:val="236C3E7D"/>
    <w:rsid w:val="23AC1482"/>
    <w:rsid w:val="23CA4B58"/>
    <w:rsid w:val="247B9E3B"/>
    <w:rsid w:val="24B627D4"/>
    <w:rsid w:val="24D41AC6"/>
    <w:rsid w:val="252E168C"/>
    <w:rsid w:val="253EEB08"/>
    <w:rsid w:val="25D763A3"/>
    <w:rsid w:val="265EAE53"/>
    <w:rsid w:val="271090B3"/>
    <w:rsid w:val="271A2740"/>
    <w:rsid w:val="27CD0669"/>
    <w:rsid w:val="27D758E9"/>
    <w:rsid w:val="280D42DA"/>
    <w:rsid w:val="284F3E4D"/>
    <w:rsid w:val="287455DF"/>
    <w:rsid w:val="28E3868C"/>
    <w:rsid w:val="29A1E158"/>
    <w:rsid w:val="29B0EFA9"/>
    <w:rsid w:val="29D1A993"/>
    <w:rsid w:val="2A7AFFF8"/>
    <w:rsid w:val="2AD6D789"/>
    <w:rsid w:val="2AE841B6"/>
    <w:rsid w:val="2B135CC1"/>
    <w:rsid w:val="2B4FC36D"/>
    <w:rsid w:val="2B73E79F"/>
    <w:rsid w:val="2BA62B59"/>
    <w:rsid w:val="2BCC5032"/>
    <w:rsid w:val="2C3E9A98"/>
    <w:rsid w:val="2C80B739"/>
    <w:rsid w:val="2D749F55"/>
    <w:rsid w:val="2D8DDA83"/>
    <w:rsid w:val="2DAC65F4"/>
    <w:rsid w:val="2DE067DE"/>
    <w:rsid w:val="2EDF9D51"/>
    <w:rsid w:val="2F5FDB48"/>
    <w:rsid w:val="2F925136"/>
    <w:rsid w:val="2FB8E26D"/>
    <w:rsid w:val="2FE88920"/>
    <w:rsid w:val="30173034"/>
    <w:rsid w:val="30480E3B"/>
    <w:rsid w:val="3063DF26"/>
    <w:rsid w:val="30999B9C"/>
    <w:rsid w:val="3102A0C9"/>
    <w:rsid w:val="310ED254"/>
    <w:rsid w:val="3117C6F8"/>
    <w:rsid w:val="31217C72"/>
    <w:rsid w:val="31610D43"/>
    <w:rsid w:val="3177689E"/>
    <w:rsid w:val="31B5F742"/>
    <w:rsid w:val="31F1E393"/>
    <w:rsid w:val="31FF2A30"/>
    <w:rsid w:val="327E14FA"/>
    <w:rsid w:val="32A1F9B3"/>
    <w:rsid w:val="32B25A5B"/>
    <w:rsid w:val="333B466E"/>
    <w:rsid w:val="33505132"/>
    <w:rsid w:val="336D0F64"/>
    <w:rsid w:val="33BF24C7"/>
    <w:rsid w:val="33C916A9"/>
    <w:rsid w:val="33C91803"/>
    <w:rsid w:val="341F8A65"/>
    <w:rsid w:val="3455C2D6"/>
    <w:rsid w:val="347832C3"/>
    <w:rsid w:val="347DEB4F"/>
    <w:rsid w:val="349C18EA"/>
    <w:rsid w:val="355EC0E6"/>
    <w:rsid w:val="35AC9BF9"/>
    <w:rsid w:val="3601ACF2"/>
    <w:rsid w:val="361DCF9D"/>
    <w:rsid w:val="3660BC42"/>
    <w:rsid w:val="368F3732"/>
    <w:rsid w:val="36B50398"/>
    <w:rsid w:val="37370C7F"/>
    <w:rsid w:val="37503E60"/>
    <w:rsid w:val="37693E70"/>
    <w:rsid w:val="37B7C442"/>
    <w:rsid w:val="37E21468"/>
    <w:rsid w:val="383E5602"/>
    <w:rsid w:val="387C87A3"/>
    <w:rsid w:val="389C545B"/>
    <w:rsid w:val="38D9C200"/>
    <w:rsid w:val="3942B191"/>
    <w:rsid w:val="3992215E"/>
    <w:rsid w:val="39976FEE"/>
    <w:rsid w:val="39B42E49"/>
    <w:rsid w:val="39BB6D37"/>
    <w:rsid w:val="3A14F8E1"/>
    <w:rsid w:val="3A3B76DB"/>
    <w:rsid w:val="3A422234"/>
    <w:rsid w:val="3A4B6128"/>
    <w:rsid w:val="3A58618F"/>
    <w:rsid w:val="3A6E5ACC"/>
    <w:rsid w:val="3A733922"/>
    <w:rsid w:val="3A7F9020"/>
    <w:rsid w:val="3A8C38E2"/>
    <w:rsid w:val="3AA3939C"/>
    <w:rsid w:val="3AC7E953"/>
    <w:rsid w:val="3B83138F"/>
    <w:rsid w:val="3BB7600B"/>
    <w:rsid w:val="3BB8FBFD"/>
    <w:rsid w:val="3BEB9E9A"/>
    <w:rsid w:val="3C8A5B83"/>
    <w:rsid w:val="3CA3648F"/>
    <w:rsid w:val="3CB113E5"/>
    <w:rsid w:val="3CBCFB6E"/>
    <w:rsid w:val="3D46D829"/>
    <w:rsid w:val="3D6EFC11"/>
    <w:rsid w:val="3D9EA6D5"/>
    <w:rsid w:val="3DE0A91B"/>
    <w:rsid w:val="3DFEB0F6"/>
    <w:rsid w:val="3E201D7D"/>
    <w:rsid w:val="3E79C2C6"/>
    <w:rsid w:val="3E81C1F8"/>
    <w:rsid w:val="3E892BD1"/>
    <w:rsid w:val="3F011C87"/>
    <w:rsid w:val="3F21E1AC"/>
    <w:rsid w:val="3F33E262"/>
    <w:rsid w:val="3FE45D01"/>
    <w:rsid w:val="401DF4CA"/>
    <w:rsid w:val="404E89E0"/>
    <w:rsid w:val="40E1D194"/>
    <w:rsid w:val="40E50C9B"/>
    <w:rsid w:val="4127802C"/>
    <w:rsid w:val="418C45A9"/>
    <w:rsid w:val="41A3E84C"/>
    <w:rsid w:val="42B4894A"/>
    <w:rsid w:val="42E5DD1C"/>
    <w:rsid w:val="42ED1816"/>
    <w:rsid w:val="4344C5BF"/>
    <w:rsid w:val="43B025F2"/>
    <w:rsid w:val="4444172D"/>
    <w:rsid w:val="4470440C"/>
    <w:rsid w:val="4483103F"/>
    <w:rsid w:val="455D9D5A"/>
    <w:rsid w:val="45CAC908"/>
    <w:rsid w:val="46065F04"/>
    <w:rsid w:val="4624F344"/>
    <w:rsid w:val="463C20AF"/>
    <w:rsid w:val="469D52DF"/>
    <w:rsid w:val="46A65D54"/>
    <w:rsid w:val="46B0DD49"/>
    <w:rsid w:val="46C93ABB"/>
    <w:rsid w:val="46CC10E3"/>
    <w:rsid w:val="46E1A4BE"/>
    <w:rsid w:val="46F81778"/>
    <w:rsid w:val="470AFAB3"/>
    <w:rsid w:val="471B612D"/>
    <w:rsid w:val="471F1426"/>
    <w:rsid w:val="475D3813"/>
    <w:rsid w:val="47A4F8FE"/>
    <w:rsid w:val="47B560C6"/>
    <w:rsid w:val="480F8031"/>
    <w:rsid w:val="483B1F3F"/>
    <w:rsid w:val="486A1935"/>
    <w:rsid w:val="4890FB68"/>
    <w:rsid w:val="49466B66"/>
    <w:rsid w:val="49974445"/>
    <w:rsid w:val="4A32AFFD"/>
    <w:rsid w:val="4A4525CA"/>
    <w:rsid w:val="4A49DCCA"/>
    <w:rsid w:val="4A55E40B"/>
    <w:rsid w:val="4AE84FBE"/>
    <w:rsid w:val="4AE86A12"/>
    <w:rsid w:val="4B2F6B08"/>
    <w:rsid w:val="4B9D06EC"/>
    <w:rsid w:val="4BB0780B"/>
    <w:rsid w:val="4BF4CABE"/>
    <w:rsid w:val="4C13825A"/>
    <w:rsid w:val="4C37A28A"/>
    <w:rsid w:val="4C4E581F"/>
    <w:rsid w:val="4CEFE3CB"/>
    <w:rsid w:val="4D2BAA30"/>
    <w:rsid w:val="4D664D7D"/>
    <w:rsid w:val="4D72FECA"/>
    <w:rsid w:val="4EE69B2A"/>
    <w:rsid w:val="4EE9A027"/>
    <w:rsid w:val="4EFB1753"/>
    <w:rsid w:val="4F098C0B"/>
    <w:rsid w:val="4F20AA01"/>
    <w:rsid w:val="4F423583"/>
    <w:rsid w:val="4F813811"/>
    <w:rsid w:val="4F932263"/>
    <w:rsid w:val="503568B3"/>
    <w:rsid w:val="5041F65F"/>
    <w:rsid w:val="5047A176"/>
    <w:rsid w:val="5095A18A"/>
    <w:rsid w:val="50BC24F6"/>
    <w:rsid w:val="50CE807A"/>
    <w:rsid w:val="50F36F25"/>
    <w:rsid w:val="51899AAF"/>
    <w:rsid w:val="51F9D26A"/>
    <w:rsid w:val="525F76CE"/>
    <w:rsid w:val="526E0415"/>
    <w:rsid w:val="5283D829"/>
    <w:rsid w:val="529C87E9"/>
    <w:rsid w:val="52B41EA2"/>
    <w:rsid w:val="5323196F"/>
    <w:rsid w:val="534825B9"/>
    <w:rsid w:val="5355EDD5"/>
    <w:rsid w:val="53921457"/>
    <w:rsid w:val="53A14113"/>
    <w:rsid w:val="545A7299"/>
    <w:rsid w:val="5471EEF5"/>
    <w:rsid w:val="549D9B1D"/>
    <w:rsid w:val="54AE3B28"/>
    <w:rsid w:val="550EA531"/>
    <w:rsid w:val="55276705"/>
    <w:rsid w:val="55721871"/>
    <w:rsid w:val="5586D193"/>
    <w:rsid w:val="55888B83"/>
    <w:rsid w:val="5589FD63"/>
    <w:rsid w:val="55AB87B9"/>
    <w:rsid w:val="561F7764"/>
    <w:rsid w:val="56BDD849"/>
    <w:rsid w:val="56CC324E"/>
    <w:rsid w:val="56D115C4"/>
    <w:rsid w:val="571B1AB0"/>
    <w:rsid w:val="575EA3F8"/>
    <w:rsid w:val="57D3C618"/>
    <w:rsid w:val="57DAEA81"/>
    <w:rsid w:val="57F8F9CE"/>
    <w:rsid w:val="580A0964"/>
    <w:rsid w:val="5814A01D"/>
    <w:rsid w:val="58C9E338"/>
    <w:rsid w:val="58F21031"/>
    <w:rsid w:val="59A5A291"/>
    <w:rsid w:val="59EBC2F7"/>
    <w:rsid w:val="5A01AB88"/>
    <w:rsid w:val="5A2476B6"/>
    <w:rsid w:val="5AC6C41E"/>
    <w:rsid w:val="5AEAF565"/>
    <w:rsid w:val="5AEDF11A"/>
    <w:rsid w:val="5AF1A8D2"/>
    <w:rsid w:val="5AF7BD09"/>
    <w:rsid w:val="5BE89099"/>
    <w:rsid w:val="5C0FD76C"/>
    <w:rsid w:val="5C2F14A7"/>
    <w:rsid w:val="5C305051"/>
    <w:rsid w:val="5C4379AD"/>
    <w:rsid w:val="5C5B9D1B"/>
    <w:rsid w:val="5C87A20A"/>
    <w:rsid w:val="5C8F82DB"/>
    <w:rsid w:val="5CE86F91"/>
    <w:rsid w:val="5D04B03D"/>
    <w:rsid w:val="5D1C2E41"/>
    <w:rsid w:val="5D9A3D2B"/>
    <w:rsid w:val="5DB06E44"/>
    <w:rsid w:val="5DD3AE09"/>
    <w:rsid w:val="5E395238"/>
    <w:rsid w:val="5E6F6C17"/>
    <w:rsid w:val="5EB25764"/>
    <w:rsid w:val="5EBB2684"/>
    <w:rsid w:val="5F16CB53"/>
    <w:rsid w:val="5FF16216"/>
    <w:rsid w:val="60345A60"/>
    <w:rsid w:val="60B192EB"/>
    <w:rsid w:val="60E3AC34"/>
    <w:rsid w:val="60F65C67"/>
    <w:rsid w:val="60FA4761"/>
    <w:rsid w:val="6101E34A"/>
    <w:rsid w:val="617A1F09"/>
    <w:rsid w:val="619283D0"/>
    <w:rsid w:val="61BF6EDE"/>
    <w:rsid w:val="620ADD35"/>
    <w:rsid w:val="6217394D"/>
    <w:rsid w:val="621D9789"/>
    <w:rsid w:val="621E6BDF"/>
    <w:rsid w:val="626079CE"/>
    <w:rsid w:val="62921F43"/>
    <w:rsid w:val="62A48E0E"/>
    <w:rsid w:val="62C2E3AB"/>
    <w:rsid w:val="6359CDA4"/>
    <w:rsid w:val="63748069"/>
    <w:rsid w:val="63CD7C7B"/>
    <w:rsid w:val="63D72501"/>
    <w:rsid w:val="64916F88"/>
    <w:rsid w:val="64F5A5AC"/>
    <w:rsid w:val="65753447"/>
    <w:rsid w:val="66215B52"/>
    <w:rsid w:val="6659F070"/>
    <w:rsid w:val="668CF381"/>
    <w:rsid w:val="66E83C11"/>
    <w:rsid w:val="6749E9AB"/>
    <w:rsid w:val="674A3EF4"/>
    <w:rsid w:val="675F9F4A"/>
    <w:rsid w:val="67780717"/>
    <w:rsid w:val="67AA2D28"/>
    <w:rsid w:val="67BAA539"/>
    <w:rsid w:val="68C5F9AF"/>
    <w:rsid w:val="68D45F38"/>
    <w:rsid w:val="68FE85EF"/>
    <w:rsid w:val="69441938"/>
    <w:rsid w:val="697F0684"/>
    <w:rsid w:val="69DB0FEB"/>
    <w:rsid w:val="6A33AAD6"/>
    <w:rsid w:val="6A6C89D1"/>
    <w:rsid w:val="6ABC8C66"/>
    <w:rsid w:val="6B36DA15"/>
    <w:rsid w:val="6BC98BA8"/>
    <w:rsid w:val="6C14EDF5"/>
    <w:rsid w:val="6D1363F1"/>
    <w:rsid w:val="6D22F644"/>
    <w:rsid w:val="6D4269EC"/>
    <w:rsid w:val="6DE06285"/>
    <w:rsid w:val="6DF50FCE"/>
    <w:rsid w:val="6E8819D6"/>
    <w:rsid w:val="6F5234D2"/>
    <w:rsid w:val="6F7587CC"/>
    <w:rsid w:val="6F86A469"/>
    <w:rsid w:val="6FE4AE10"/>
    <w:rsid w:val="6FF00B69"/>
    <w:rsid w:val="70572727"/>
    <w:rsid w:val="70A111CE"/>
    <w:rsid w:val="70F671B8"/>
    <w:rsid w:val="71BB5577"/>
    <w:rsid w:val="71E0B2B3"/>
    <w:rsid w:val="733964A2"/>
    <w:rsid w:val="735D060C"/>
    <w:rsid w:val="73BE30CC"/>
    <w:rsid w:val="73E08066"/>
    <w:rsid w:val="741C70AE"/>
    <w:rsid w:val="74251982"/>
    <w:rsid w:val="743C19C0"/>
    <w:rsid w:val="744173DC"/>
    <w:rsid w:val="74AC47CD"/>
    <w:rsid w:val="751B79ED"/>
    <w:rsid w:val="75289192"/>
    <w:rsid w:val="7534FA2A"/>
    <w:rsid w:val="7594DFF3"/>
    <w:rsid w:val="764EFBBD"/>
    <w:rsid w:val="77250EB8"/>
    <w:rsid w:val="77690765"/>
    <w:rsid w:val="785878C8"/>
    <w:rsid w:val="7861470C"/>
    <w:rsid w:val="78CF26A1"/>
    <w:rsid w:val="78E593DA"/>
    <w:rsid w:val="792ECDE6"/>
    <w:rsid w:val="795DC024"/>
    <w:rsid w:val="79773A26"/>
    <w:rsid w:val="7B19F616"/>
    <w:rsid w:val="7B5E1B6F"/>
    <w:rsid w:val="7B71ADEE"/>
    <w:rsid w:val="7C6C5F88"/>
    <w:rsid w:val="7C827EE1"/>
    <w:rsid w:val="7C86393B"/>
    <w:rsid w:val="7C8AFE46"/>
    <w:rsid w:val="7CA70FC3"/>
    <w:rsid w:val="7CC40CC2"/>
    <w:rsid w:val="7CD715DF"/>
    <w:rsid w:val="7D548839"/>
    <w:rsid w:val="7D8B0B2C"/>
    <w:rsid w:val="7DE748D0"/>
    <w:rsid w:val="7DF89D75"/>
    <w:rsid w:val="7DFF5AB8"/>
    <w:rsid w:val="7E003115"/>
    <w:rsid w:val="7EBC5B27"/>
    <w:rsid w:val="7EC6440D"/>
    <w:rsid w:val="7ECAD48C"/>
    <w:rsid w:val="7FB52F81"/>
    <w:rsid w:val="7FCC17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B2A"/>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6C0FF8"/>
    <w:pPr>
      <w:keepNext/>
      <w:keepLines/>
      <w:framePr w:hSpace="180" w:wrap="around" w:vAnchor="text" w:hAnchor="text" w:y="1"/>
      <w:suppressOverlap/>
    </w:pPr>
    <w:rPr>
      <w:rFonts w:ascii="Arial Narrow" w:eastAsiaTheme="majorEastAsia" w:hAnsi="Arial Narrow" w:cstheme="majorBidi"/>
      <w:bCs/>
      <w:snapToGrid w:val="0"/>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874192"/>
    <w:pPr>
      <w:keepLines/>
      <w:framePr w:hSpace="180" w:wrap="around" w:vAnchor="text" w:hAnchor="text" w:y="1"/>
      <w:suppressOverlap/>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4C3B02"/>
    <w:pPr>
      <w:numPr>
        <w:ilvl w:val="1"/>
        <w:numId w:val="6"/>
      </w:numPr>
      <w:spacing w:before="60" w:after="6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C3B0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6C0FF8"/>
    <w:rPr>
      <w:rFonts w:ascii="Arial Narrow" w:eastAsiaTheme="majorEastAsia" w:hAnsi="Arial Narrow" w:cstheme="majorBidi"/>
      <w:bCs/>
      <w:snapToGrid w:val="0"/>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ind w:left="720"/>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265947"/>
    <w:pPr>
      <w:keepNext/>
      <w:keepLines/>
      <w:contextualSpacing/>
      <w:jc w:val="left"/>
    </w:pPr>
    <w:rPr>
      <w:rFonts w:ascii="Arial Narrow" w:eastAsia="Calibri" w:hAnsi="Arial Narrow"/>
      <w:i/>
      <w:iCs/>
      <w:snapToGrid w:val="0"/>
      <w:sz w:val="18"/>
      <w:szCs w:val="22"/>
    </w:rPr>
  </w:style>
  <w:style w:type="character" w:customStyle="1" w:styleId="TableFigureFooterChar">
    <w:name w:val="Table/Figure Footer Char"/>
    <w:link w:val="TableFigureFooter"/>
    <w:rsid w:val="00265947"/>
    <w:rPr>
      <w:rFonts w:ascii="Arial Narrow" w:eastAsia="Calibri" w:hAnsi="Arial Narrow" w:cs="Arial"/>
      <w:i/>
      <w:iCs/>
      <w:snapToGrid w:val="0"/>
      <w:sz w:val="18"/>
      <w:szCs w:val="22"/>
    </w:rPr>
  </w:style>
  <w:style w:type="paragraph" w:customStyle="1" w:styleId="TableParagraph">
    <w:name w:val="Table Paragraph"/>
    <w:basedOn w:val="Normal"/>
    <w:uiPriority w:val="1"/>
    <w:qFormat/>
    <w:rsid w:val="002974C2"/>
    <w:pPr>
      <w:widowControl w:val="0"/>
      <w:autoSpaceDE w:val="0"/>
      <w:autoSpaceDN w:val="0"/>
      <w:spacing w:line="210" w:lineRule="exact"/>
      <w:ind w:left="107"/>
      <w:jc w:val="left"/>
    </w:pPr>
    <w:rPr>
      <w:rFonts w:ascii="Arial Narrow" w:eastAsia="Arial Narrow" w:hAnsi="Arial Narrow" w:cs="Arial Narrow"/>
      <w:sz w:val="22"/>
      <w:szCs w:val="22"/>
      <w:lang w:val="en-US" w:eastAsia="en-US"/>
    </w:rPr>
  </w:style>
  <w:style w:type="paragraph" w:styleId="FootnoteText">
    <w:name w:val="footnote text"/>
    <w:basedOn w:val="Normal"/>
    <w:link w:val="FootnoteTextChar"/>
    <w:unhideWhenUsed/>
    <w:rsid w:val="00267610"/>
    <w:rPr>
      <w:sz w:val="20"/>
      <w:szCs w:val="20"/>
    </w:rPr>
  </w:style>
  <w:style w:type="character" w:customStyle="1" w:styleId="FootnoteTextChar">
    <w:name w:val="Footnote Text Char"/>
    <w:basedOn w:val="DefaultParagraphFont"/>
    <w:link w:val="FootnoteText"/>
    <w:rsid w:val="00267610"/>
    <w:rPr>
      <w:rFonts w:ascii="Calibri" w:hAnsi="Calibri" w:cs="Arial"/>
    </w:rPr>
  </w:style>
  <w:style w:type="character" w:styleId="FootnoteReference">
    <w:name w:val="footnote reference"/>
    <w:basedOn w:val="DefaultParagraphFont"/>
    <w:semiHidden/>
    <w:unhideWhenUsed/>
    <w:rsid w:val="00267610"/>
    <w:rPr>
      <w:vertAlign w:val="superscript"/>
    </w:rPr>
  </w:style>
  <w:style w:type="character" w:styleId="UnresolvedMention">
    <w:name w:val="Unresolved Mention"/>
    <w:basedOn w:val="DefaultParagraphFont"/>
    <w:uiPriority w:val="99"/>
    <w:semiHidden/>
    <w:unhideWhenUsed/>
    <w:rsid w:val="00267610"/>
    <w:rPr>
      <w:color w:val="605E5C"/>
      <w:shd w:val="clear" w:color="auto" w:fill="E1DFDD"/>
    </w:rPr>
  </w:style>
  <w:style w:type="paragraph" w:styleId="EndnoteText">
    <w:name w:val="endnote text"/>
    <w:basedOn w:val="Normal"/>
    <w:link w:val="EndnoteTextChar"/>
    <w:semiHidden/>
    <w:unhideWhenUsed/>
    <w:rsid w:val="001D4D02"/>
    <w:rPr>
      <w:sz w:val="20"/>
      <w:szCs w:val="20"/>
    </w:rPr>
  </w:style>
  <w:style w:type="character" w:customStyle="1" w:styleId="EndnoteTextChar">
    <w:name w:val="Endnote Text Char"/>
    <w:basedOn w:val="DefaultParagraphFont"/>
    <w:link w:val="EndnoteText"/>
    <w:semiHidden/>
    <w:rsid w:val="001D4D02"/>
    <w:rPr>
      <w:rFonts w:ascii="Calibri" w:hAnsi="Calibri" w:cs="Arial"/>
    </w:rPr>
  </w:style>
  <w:style w:type="character" w:styleId="PlaceholderText">
    <w:name w:val="Placeholder Text"/>
    <w:basedOn w:val="DefaultParagraphFont"/>
    <w:uiPriority w:val="99"/>
    <w:semiHidden/>
    <w:rsid w:val="00624A23"/>
    <w:rPr>
      <w:color w:val="666666"/>
    </w:rPr>
  </w:style>
  <w:style w:type="paragraph" w:customStyle="1" w:styleId="TableLeft">
    <w:name w:val="Table Left"/>
    <w:basedOn w:val="Normal"/>
    <w:link w:val="TableLeftChar"/>
    <w:uiPriority w:val="99"/>
    <w:qFormat/>
    <w:rsid w:val="00823594"/>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823594"/>
    <w:rPr>
      <w:rFonts w:ascii="Calibri" w:hAnsi="Calibri"/>
      <w:szCs w:val="22"/>
      <w:lang w:eastAsia="en-US"/>
    </w:rPr>
  </w:style>
  <w:style w:type="character" w:styleId="EndnoteReference">
    <w:name w:val="endnote reference"/>
    <w:basedOn w:val="DefaultParagraphFont"/>
    <w:semiHidden/>
    <w:unhideWhenUsed/>
    <w:rsid w:val="00823594"/>
    <w:rPr>
      <w:vertAlign w:val="superscript"/>
    </w:rPr>
  </w:style>
  <w:style w:type="character" w:customStyle="1" w:styleId="Heading1Char">
    <w:name w:val="Heading 1 Char"/>
    <w:basedOn w:val="DefaultParagraphFont"/>
    <w:link w:val="Heading1"/>
    <w:uiPriority w:val="1"/>
    <w:rsid w:val="00823594"/>
    <w:rPr>
      <w:rFonts w:ascii="Calibri" w:hAnsi="Calibri" w:cs="Arial"/>
      <w:b/>
      <w:caps/>
      <w:sz w:val="32"/>
      <w:szCs w:val="24"/>
    </w:rPr>
  </w:style>
  <w:style w:type="character" w:customStyle="1" w:styleId="Heading3Char">
    <w:name w:val="Heading 3 Char"/>
    <w:basedOn w:val="DefaultParagraphFont"/>
    <w:link w:val="Heading3"/>
    <w:rsid w:val="00823594"/>
    <w:rPr>
      <w:rFonts w:ascii="Calibri" w:hAnsi="Calibri" w:cs="Arial"/>
      <w:sz w:val="24"/>
      <w:szCs w:val="24"/>
      <w:u w:val="single"/>
    </w:rPr>
  </w:style>
  <w:style w:type="character" w:customStyle="1" w:styleId="Heading4Char">
    <w:name w:val="Heading 4 Char"/>
    <w:basedOn w:val="DefaultParagraphFont"/>
    <w:link w:val="Heading4"/>
    <w:rsid w:val="00823594"/>
    <w:rPr>
      <w:rFonts w:ascii="Calibri" w:hAnsi="Calibri" w:cs="Arial"/>
      <w:b/>
      <w:bCs/>
      <w:i/>
      <w:sz w:val="26"/>
      <w:szCs w:val="28"/>
    </w:rPr>
  </w:style>
  <w:style w:type="character" w:customStyle="1" w:styleId="Heading5Char">
    <w:name w:val="Heading 5 Char"/>
    <w:basedOn w:val="DefaultParagraphFont"/>
    <w:link w:val="Heading5"/>
    <w:rsid w:val="00823594"/>
    <w:rPr>
      <w:rFonts w:ascii="Calibri" w:hAnsi="Calibri" w:cs="Arial"/>
      <w:b/>
      <w:bCs/>
      <w:iCs/>
      <w:sz w:val="26"/>
      <w:szCs w:val="26"/>
    </w:rPr>
  </w:style>
  <w:style w:type="character" w:customStyle="1" w:styleId="Heading6Char">
    <w:name w:val="Heading 6 Char"/>
    <w:basedOn w:val="DefaultParagraphFont"/>
    <w:link w:val="Heading6"/>
    <w:rsid w:val="00823594"/>
    <w:rPr>
      <w:rFonts w:ascii="Calibri" w:hAnsi="Calibri" w:cs="Arial"/>
      <w:b/>
      <w:bCs/>
      <w:i/>
      <w:sz w:val="24"/>
      <w:szCs w:val="24"/>
    </w:rPr>
  </w:style>
  <w:style w:type="paragraph" w:customStyle="1" w:styleId="pf0">
    <w:name w:val="pf0"/>
    <w:basedOn w:val="Normal"/>
    <w:rsid w:val="00823594"/>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823594"/>
    <w:rPr>
      <w:rFonts w:ascii="Segoe UI" w:hAnsi="Segoe UI" w:cs="Segoe UI" w:hint="default"/>
      <w:i/>
      <w:iCs/>
      <w:sz w:val="18"/>
      <w:szCs w:val="18"/>
    </w:rPr>
  </w:style>
  <w:style w:type="character" w:customStyle="1" w:styleId="cf11">
    <w:name w:val="cf11"/>
    <w:basedOn w:val="DefaultParagraphFont"/>
    <w:rsid w:val="00823594"/>
    <w:rPr>
      <w:rFonts w:ascii="Segoe UI" w:hAnsi="Segoe UI" w:cs="Segoe UI" w:hint="default"/>
      <w:i/>
      <w:iCs/>
      <w:sz w:val="18"/>
      <w:szCs w:val="18"/>
      <w:shd w:val="clear" w:color="auto" w:fill="FFFF00"/>
    </w:rPr>
  </w:style>
  <w:style w:type="character" w:customStyle="1" w:styleId="cf21">
    <w:name w:val="cf21"/>
    <w:basedOn w:val="DefaultParagraphFont"/>
    <w:rsid w:val="00823594"/>
    <w:rPr>
      <w:rFonts w:ascii="Segoe UI" w:hAnsi="Segoe UI" w:cs="Segoe UI" w:hint="default"/>
      <w:sz w:val="18"/>
      <w:szCs w:val="18"/>
      <w:shd w:val="clear" w:color="auto" w:fill="FFFF0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74BDA"/>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D74BDA"/>
  </w:style>
  <w:style w:type="table" w:customStyle="1" w:styleId="TableGrid1">
    <w:name w:val="Table Grid1"/>
    <w:basedOn w:val="TableNormal"/>
    <w:next w:val="TableGrid"/>
    <w:uiPriority w:val="39"/>
    <w:rsid w:val="00D74BDA"/>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4BDA"/>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4BDA"/>
    <w:rPr>
      <w:b/>
      <w:bCs/>
    </w:rPr>
  </w:style>
  <w:style w:type="character" w:styleId="Mention">
    <w:name w:val="Mention"/>
    <w:basedOn w:val="DefaultParagraphFont"/>
    <w:uiPriority w:val="99"/>
    <w:unhideWhenUsed/>
    <w:rsid w:val="00D74BDA"/>
    <w:rPr>
      <w:color w:val="2B579A"/>
      <w:shd w:val="clear" w:color="auto" w:fill="E1DFDD"/>
    </w:rPr>
  </w:style>
  <w:style w:type="paragraph" w:customStyle="1" w:styleId="3-SubsectionHeading">
    <w:name w:val="3-Subsection Heading"/>
    <w:basedOn w:val="Heading2"/>
    <w:next w:val="Normal"/>
    <w:link w:val="3-SubsectionHeadingChar"/>
    <w:qFormat/>
    <w:rsid w:val="0032139C"/>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32139C"/>
    <w:rPr>
      <w:rFonts w:asciiTheme="minorHAnsi" w:eastAsiaTheme="majorEastAsia" w:hAnsiTheme="minorHAnsi" w:cstheme="majorBidi"/>
      <w:b/>
      <w:i/>
      <w:snapToGrid/>
      <w:color w:val="365F91" w:themeColor="accent1" w:themeShade="BF"/>
      <w:spacing w:val="5"/>
      <w:kern w:val="28"/>
      <w:sz w:val="28"/>
      <w:szCs w:val="36"/>
      <w:lang w:eastAsia="en-US"/>
    </w:rPr>
  </w:style>
  <w:style w:type="numbering" w:customStyle="1" w:styleId="Style3">
    <w:name w:val="Style3"/>
    <w:uiPriority w:val="99"/>
    <w:rsid w:val="00B857EB"/>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5232">
      <w:bodyDiv w:val="1"/>
      <w:marLeft w:val="0"/>
      <w:marRight w:val="0"/>
      <w:marTop w:val="0"/>
      <w:marBottom w:val="0"/>
      <w:divBdr>
        <w:top w:val="none" w:sz="0" w:space="0" w:color="auto"/>
        <w:left w:val="none" w:sz="0" w:space="0" w:color="auto"/>
        <w:bottom w:val="none" w:sz="0" w:space="0" w:color="auto"/>
        <w:right w:val="none" w:sz="0" w:space="0" w:color="auto"/>
      </w:divBdr>
    </w:div>
    <w:div w:id="8454288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9339009">
      <w:bodyDiv w:val="1"/>
      <w:marLeft w:val="0"/>
      <w:marRight w:val="0"/>
      <w:marTop w:val="0"/>
      <w:marBottom w:val="0"/>
      <w:divBdr>
        <w:top w:val="none" w:sz="0" w:space="0" w:color="auto"/>
        <w:left w:val="none" w:sz="0" w:space="0" w:color="auto"/>
        <w:bottom w:val="none" w:sz="0" w:space="0" w:color="auto"/>
        <w:right w:val="none" w:sz="0" w:space="0" w:color="auto"/>
      </w:divBdr>
    </w:div>
    <w:div w:id="55261743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0188703">
      <w:bodyDiv w:val="1"/>
      <w:marLeft w:val="0"/>
      <w:marRight w:val="0"/>
      <w:marTop w:val="0"/>
      <w:marBottom w:val="0"/>
      <w:divBdr>
        <w:top w:val="none" w:sz="0" w:space="0" w:color="auto"/>
        <w:left w:val="none" w:sz="0" w:space="0" w:color="auto"/>
        <w:bottom w:val="none" w:sz="0" w:space="0" w:color="auto"/>
        <w:right w:val="none" w:sz="0" w:space="0" w:color="auto"/>
      </w:divBdr>
    </w:div>
    <w:div w:id="114912839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64793440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BC8C22D5-2555-46BD-9F30-E887F5CC1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12FDA-9581-4041-B1B9-7A02010E795A}">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4.xml><?xml version="1.0" encoding="utf-8"?>
<ds:datastoreItem xmlns:ds="http://schemas.openxmlformats.org/officeDocument/2006/customXml" ds:itemID="{B247E7F1-2965-4BCB-A3B3-F512E1C94CF4}">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45</Pages>
  <Words>17370</Words>
  <Characters>99013</Characters>
  <Application>Microsoft Office Word</Application>
  <DocSecurity>0</DocSecurity>
  <Lines>825</Lines>
  <Paragraphs>232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5.13	PALOPEGTERIPARATIDE, Solution for subcutaneous injection 168 mcg in  0.56 m</vt:lpstr>
      <vt:lpstr>Purpose of submission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trials</vt:lpstr>
      <vt:lpstr>    Comparative effectiveness</vt:lpstr>
      <vt:lpstr>    Comparative harms</vt:lpstr>
      <vt:lpstr>    Benefits/harms</vt:lpstr>
      <vt:lpstr>    Clinical claim</vt:lpstr>
      <vt:lpstr>    Economic analysis </vt:lpstr>
      <vt:lpstr>    Palopegteriparatide cost/patient/year</vt:lpstr>
      <vt:lpstr>    Estimated PBS usage &amp; financial implications</vt:lpstr>
    </vt:vector>
  </TitlesOfParts>
  <Company/>
  <LinksUpToDate>false</LinksUpToDate>
  <CharactersWithSpaces>116151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2025-07-15T04:57:00Z</dcterms:created>
  <dcterms:modified xsi:type="dcterms:W3CDTF">2025-07-16T11:20:00Z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54fd80-e2ff-40dc-a7ce-a8751429c4f7_SiteId">
    <vt:lpwstr>e8911c26-cf9f-4a9c-878e-527807be8791</vt:lpwstr>
  </property>
  <property fmtid="{D5CDD505-2E9C-101B-9397-08002B2CF9AE}" pid="3" name="MSIP_Label_0f488380-630a-4f55-a077-a19445e3f360_ActionId">
    <vt:lpwstr>bac964c0-cb30-47d3-8229-a925a51b5384</vt:lpwstr>
  </property>
  <property fmtid="{D5CDD505-2E9C-101B-9397-08002B2CF9AE}" pid="4" name="MSIP_Label_7454fd80-e2ff-40dc-a7ce-a8751429c4f7_Method">
    <vt:lpwstr>Privileged</vt:lpwstr>
  </property>
  <property fmtid="{D5CDD505-2E9C-101B-9397-08002B2CF9AE}" pid="5" name="MSIP_Label_7454fd80-e2ff-40dc-a7ce-a8751429c4f7_ContentBits">
    <vt:lpwstr>0</vt:lpwstr>
  </property>
  <property fmtid="{D5CDD505-2E9C-101B-9397-08002B2CF9AE}" pid="6" name="MSIP_Label_7454fd80-e2ff-40dc-a7ce-a8751429c4f7_ActionId">
    <vt:lpwstr>23c10b7f-c57c-4b89-ba6e-ee2140eda84b</vt:lpwstr>
  </property>
  <property fmtid="{D5CDD505-2E9C-101B-9397-08002B2CF9AE}" pid="7" name="MSIP_Label_0f488380-630a-4f55-a077-a19445e3f360_ContentBits">
    <vt:lpwstr>0</vt:lpwstr>
  </property>
  <property fmtid="{D5CDD505-2E9C-101B-9397-08002B2CF9AE}" pid="8" name="MediaServiceImageTags">
    <vt:lpwstr/>
  </property>
  <property fmtid="{D5CDD505-2E9C-101B-9397-08002B2CF9AE}" pid="9" name="MSIP_Label_0f488380-630a-4f55-a077-a19445e3f360_SiteId">
    <vt:lpwstr>b6e377cf-9db3-46cb-91a2-fad9605bb15c</vt:lpwstr>
  </property>
  <property fmtid="{D5CDD505-2E9C-101B-9397-08002B2CF9AE}" pid="10" name="MSIP_Label_0f488380-630a-4f55-a077-a19445e3f360_Method">
    <vt:lpwstr>Standard</vt:lpwstr>
  </property>
  <property fmtid="{D5CDD505-2E9C-101B-9397-08002B2CF9AE}" pid="11" name="MSIP_Label_7454fd80-e2ff-40dc-a7ce-a8751429c4f7_SetDate">
    <vt:lpwstr>2024-12-11T12:45:51Z</vt:lpwstr>
  </property>
  <property fmtid="{D5CDD505-2E9C-101B-9397-08002B2CF9AE}" pid="12" name="MSIP_Label_0f488380-630a-4f55-a077-a19445e3f360_SetDate">
    <vt:lpwstr>2025-02-24T22:39:58Z</vt:lpwstr>
  </property>
  <property fmtid="{D5CDD505-2E9C-101B-9397-08002B2CF9AE}" pid="13" name="MSIP_Label_0f488380-630a-4f55-a077-a19445e3f360_Name">
    <vt:lpwstr>OFFICIAL - INTERNAL</vt:lpwstr>
  </property>
  <property fmtid="{D5CDD505-2E9C-101B-9397-08002B2CF9AE}" pid="14" name="MSIP_Label_0f488380-630a-4f55-a077-a19445e3f360_Tag">
    <vt:lpwstr>10, 3, 0, 1</vt:lpwstr>
  </property>
  <property fmtid="{D5CDD505-2E9C-101B-9397-08002B2CF9AE}" pid="15" name="MSIP_Label_7454fd80-e2ff-40dc-a7ce-a8751429c4f7_Name">
    <vt:lpwstr>UTS-Confidential</vt:lpwstr>
  </property>
  <property fmtid="{D5CDD505-2E9C-101B-9397-08002B2CF9AE}" pid="16" name="MSIP_Label_7454fd80-e2ff-40dc-a7ce-a8751429c4f7_Enabled">
    <vt:lpwstr>true</vt:lpwstr>
  </property>
  <property fmtid="{D5CDD505-2E9C-101B-9397-08002B2CF9AE}" pid="17" name="MSIP_Label_0f488380-630a-4f55-a077-a19445e3f360_Enabled">
    <vt:lpwstr>true</vt:lpwstr>
  </property>
  <property fmtid="{D5CDD505-2E9C-101B-9397-08002B2CF9AE}" pid="18" name="ContentTypeId">
    <vt:lpwstr>0x0101007FED174C5281F747A8037A05221D6DBD</vt:lpwstr>
  </property>
</Properties>
</file>