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5D74E" w14:textId="3D5A103D" w:rsidR="00634374" w:rsidRPr="0098262F" w:rsidRDefault="00423001" w:rsidP="00634374">
      <w:pPr>
        <w:pStyle w:val="1-MainHeading"/>
      </w:pPr>
      <w:bookmarkStart w:id="0" w:name="_Toc184797832"/>
      <w:bookmarkStart w:id="1" w:name="_Toc188348778"/>
      <w:r>
        <w:t>7.10</w:t>
      </w:r>
      <w:r w:rsidR="00634374" w:rsidRPr="0098262F">
        <w:tab/>
      </w:r>
      <w:r w:rsidR="00634374">
        <w:t>RUXOLITINIB</w:t>
      </w:r>
      <w:r w:rsidR="00634374" w:rsidRPr="0098262F">
        <w:t>,</w:t>
      </w:r>
      <w:r w:rsidR="00634374" w:rsidRPr="0098262F">
        <w:br/>
      </w:r>
      <w:r w:rsidR="00634374" w:rsidRPr="00533213">
        <w:t xml:space="preserve">Tablet 5 mg, </w:t>
      </w:r>
      <w:r w:rsidR="008E063F">
        <w:br/>
        <w:t>T</w:t>
      </w:r>
      <w:r w:rsidR="00634374" w:rsidRPr="00533213">
        <w:t>ablet 10 mg,</w:t>
      </w:r>
      <w:r w:rsidR="00634374">
        <w:t xml:space="preserve"> </w:t>
      </w:r>
      <w:r w:rsidR="008E063F">
        <w:br/>
        <w:t>T</w:t>
      </w:r>
      <w:r w:rsidR="00634374" w:rsidRPr="00533213">
        <w:t xml:space="preserve">ablet </w:t>
      </w:r>
      <w:r w:rsidR="00634374">
        <w:t>1</w:t>
      </w:r>
      <w:r w:rsidR="00634374" w:rsidRPr="00533213">
        <w:t xml:space="preserve">5 mg, </w:t>
      </w:r>
      <w:r w:rsidR="008E063F">
        <w:br/>
        <w:t>T</w:t>
      </w:r>
      <w:r w:rsidR="00634374" w:rsidRPr="00533213">
        <w:t xml:space="preserve">ablet </w:t>
      </w:r>
      <w:r w:rsidR="00634374">
        <w:t>2</w:t>
      </w:r>
      <w:r w:rsidR="00634374" w:rsidRPr="00533213">
        <w:t>0 mg,</w:t>
      </w:r>
      <w:r w:rsidR="00634374" w:rsidRPr="0098262F">
        <w:br/>
      </w:r>
      <w:r w:rsidR="00634374" w:rsidRPr="00E50463">
        <w:t>Jakavi</w:t>
      </w:r>
      <w:r w:rsidR="00634374" w:rsidRPr="0098262F">
        <w:rPr>
          <w:vertAlign w:val="superscript"/>
        </w:rPr>
        <w:t>®</w:t>
      </w:r>
      <w:r w:rsidR="00634374" w:rsidRPr="0098262F">
        <w:t>,</w:t>
      </w:r>
      <w:r w:rsidR="00634374" w:rsidRPr="0098262F">
        <w:br/>
      </w:r>
      <w:r w:rsidR="00634374" w:rsidRPr="00634988">
        <w:t>N</w:t>
      </w:r>
      <w:r w:rsidR="00B56013" w:rsidRPr="00634988">
        <w:t>ovartis</w:t>
      </w:r>
      <w:r w:rsidR="00634374" w:rsidRPr="00634988">
        <w:t xml:space="preserve"> P</w:t>
      </w:r>
      <w:r w:rsidR="00B56013" w:rsidRPr="00634988">
        <w:t>harmaceuticals</w:t>
      </w:r>
      <w:r w:rsidR="00634374" w:rsidRPr="00634988">
        <w:t xml:space="preserve"> A</w:t>
      </w:r>
      <w:r w:rsidR="00B56013" w:rsidRPr="00634988">
        <w:t>ustralia</w:t>
      </w:r>
      <w:r w:rsidR="00634374" w:rsidRPr="00634988">
        <w:t xml:space="preserve"> P</w:t>
      </w:r>
      <w:r w:rsidR="00B56013" w:rsidRPr="00634988">
        <w:t>ty</w:t>
      </w:r>
      <w:r w:rsidR="00634374" w:rsidRPr="00634988">
        <w:t xml:space="preserve"> L</w:t>
      </w:r>
      <w:r w:rsidR="00B56013" w:rsidRPr="00634988">
        <w:t>td</w:t>
      </w:r>
      <w:bookmarkEnd w:id="0"/>
      <w:bookmarkEnd w:id="1"/>
      <w:r w:rsidR="00634374" w:rsidRPr="0098262F">
        <w:t xml:space="preserve"> </w:t>
      </w:r>
    </w:p>
    <w:p w14:paraId="1B3D0A3C" w14:textId="77777777" w:rsidR="0021538D" w:rsidRPr="0021538D" w:rsidRDefault="0021538D" w:rsidP="00A947F4">
      <w:pPr>
        <w:pStyle w:val="2-SectionHeading"/>
      </w:pPr>
      <w:bookmarkStart w:id="2" w:name="_Toc187830909"/>
      <w:bookmarkStart w:id="3" w:name="_Toc184797834"/>
      <w:bookmarkStart w:id="4" w:name="_Toc188348780"/>
      <w:bookmarkEnd w:id="2"/>
      <w:r w:rsidRPr="0021538D">
        <w:t>Purpose of submission</w:t>
      </w:r>
      <w:bookmarkEnd w:id="3"/>
      <w:bookmarkEnd w:id="4"/>
    </w:p>
    <w:p w14:paraId="3216BD7B" w14:textId="5A4C9289" w:rsidR="00FC230B" w:rsidRDefault="00FC230B" w:rsidP="00FC230B">
      <w:pPr>
        <w:pStyle w:val="3-BodyText"/>
      </w:pPr>
      <w:r w:rsidRPr="0910F2D2">
        <w:t>The Category 2 resubmission requested Authority Required (STREAMLINED) listing for ruxolitinib for the treatment of adult patients with polycythaemia vera (PV) who are resistant to or intolerant of hydroxycarbamide (hydroxyurea) (HC/HU).</w:t>
      </w:r>
    </w:p>
    <w:p w14:paraId="776D8EEC" w14:textId="47BBCEE7" w:rsidR="00C54BA3" w:rsidRDefault="22A44CD7" w:rsidP="00C54BA3">
      <w:pPr>
        <w:pStyle w:val="3-BodyText"/>
      </w:pPr>
      <w:r w:rsidRPr="0F1D33A4">
        <w:t xml:space="preserve">Listing was requested on the basis of a cost-utility analysis versus best available therapy (BAT). </w:t>
      </w:r>
    </w:p>
    <w:p w14:paraId="0565D0C2" w14:textId="4A3F7436" w:rsidR="00C54BA3" w:rsidRPr="00C54BA3" w:rsidRDefault="6C249AE4" w:rsidP="00C54BA3">
      <w:pPr>
        <w:pStyle w:val="TableFigureHeading"/>
      </w:pPr>
      <w:bookmarkStart w:id="5" w:name="_Ref190692979"/>
      <w:r w:rsidRPr="0F1D33A4">
        <w:t xml:space="preserve">Table </w:t>
      </w:r>
      <w:r w:rsidRPr="0F1D33A4">
        <w:fldChar w:fldCharType="begin" w:fldLock="1"/>
      </w:r>
      <w:r>
        <w:instrText xml:space="preserve"> SEQ Table \* ARABIC </w:instrText>
      </w:r>
      <w:r w:rsidRPr="0F1D33A4">
        <w:fldChar w:fldCharType="separate"/>
      </w:r>
      <w:r w:rsidR="001F427F">
        <w:rPr>
          <w:noProof/>
        </w:rPr>
        <w:t>1</w:t>
      </w:r>
      <w:r w:rsidRPr="0F1D33A4">
        <w:rPr>
          <w:noProof/>
        </w:rPr>
        <w:fldChar w:fldCharType="end"/>
      </w:r>
      <w:bookmarkEnd w:id="5"/>
      <w:r w:rsidRPr="0F1D33A4">
        <w:t>: Key components of the clinical issue addressed by the submission (as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as stated in the submission)"/>
      </w:tblPr>
      <w:tblGrid>
        <w:gridCol w:w="1668"/>
        <w:gridCol w:w="7488"/>
      </w:tblGrid>
      <w:tr w:rsidR="00C54BA3" w:rsidRPr="00C54BA3" w14:paraId="2098517A" w14:textId="77777777" w:rsidTr="0F1D33A4">
        <w:tc>
          <w:tcPr>
            <w:tcW w:w="1668" w:type="dxa"/>
            <w:vAlign w:val="center"/>
          </w:tcPr>
          <w:p w14:paraId="2E066504" w14:textId="77777777" w:rsidR="00C54BA3" w:rsidRPr="00C54BA3" w:rsidRDefault="00C54BA3" w:rsidP="00C54BA3">
            <w:pPr>
              <w:keepNext/>
              <w:keepLines/>
              <w:jc w:val="left"/>
              <w:rPr>
                <w:rFonts w:ascii="Arial Narrow" w:eastAsiaTheme="majorEastAsia" w:hAnsi="Arial Narrow" w:cs="Times New Roman"/>
                <w:b/>
                <w:sz w:val="20"/>
                <w:lang w:val="en-US"/>
              </w:rPr>
            </w:pPr>
            <w:r w:rsidRPr="00C54BA3">
              <w:rPr>
                <w:rFonts w:ascii="Arial Narrow" w:eastAsiaTheme="majorEastAsia" w:hAnsi="Arial Narrow" w:cs="Times New Roman"/>
                <w:b/>
                <w:sz w:val="20"/>
                <w:lang w:val="en-US"/>
              </w:rPr>
              <w:t>Component</w:t>
            </w:r>
          </w:p>
        </w:tc>
        <w:tc>
          <w:tcPr>
            <w:tcW w:w="7488" w:type="dxa"/>
            <w:vAlign w:val="center"/>
          </w:tcPr>
          <w:p w14:paraId="465E0951" w14:textId="77777777" w:rsidR="00C54BA3" w:rsidRPr="00C54BA3" w:rsidRDefault="00C54BA3" w:rsidP="00C54BA3">
            <w:pPr>
              <w:keepNext/>
              <w:keepLines/>
              <w:jc w:val="left"/>
              <w:rPr>
                <w:rFonts w:ascii="Arial Narrow" w:eastAsiaTheme="majorEastAsia" w:hAnsi="Arial Narrow" w:cs="Times New Roman"/>
                <w:b/>
                <w:sz w:val="20"/>
                <w:lang w:val="en-US"/>
              </w:rPr>
            </w:pPr>
            <w:r w:rsidRPr="00C54BA3">
              <w:rPr>
                <w:rFonts w:ascii="Arial Narrow" w:eastAsiaTheme="majorEastAsia" w:hAnsi="Arial Narrow" w:cs="Times New Roman"/>
                <w:b/>
                <w:sz w:val="20"/>
                <w:lang w:val="en-US"/>
              </w:rPr>
              <w:t>Description</w:t>
            </w:r>
          </w:p>
        </w:tc>
      </w:tr>
      <w:tr w:rsidR="00C54BA3" w:rsidRPr="00C54BA3" w14:paraId="587B4017" w14:textId="77777777" w:rsidTr="0F1D33A4">
        <w:tc>
          <w:tcPr>
            <w:tcW w:w="1668" w:type="dxa"/>
            <w:shd w:val="clear" w:color="auto" w:fill="auto"/>
            <w:vAlign w:val="center"/>
          </w:tcPr>
          <w:p w14:paraId="0E7A8220" w14:textId="77777777" w:rsidR="00C54BA3" w:rsidRPr="00C54BA3" w:rsidRDefault="00C54BA3" w:rsidP="00C54BA3">
            <w:pPr>
              <w:keepNext/>
              <w:keepLines/>
              <w:jc w:val="left"/>
              <w:rPr>
                <w:rFonts w:ascii="Arial Narrow" w:eastAsiaTheme="majorEastAsia" w:hAnsi="Arial Narrow" w:cstheme="majorBidi"/>
                <w:bCs/>
                <w:sz w:val="20"/>
              </w:rPr>
            </w:pPr>
            <w:r w:rsidRPr="00C54BA3">
              <w:rPr>
                <w:rFonts w:ascii="Arial Narrow" w:eastAsiaTheme="majorEastAsia" w:hAnsi="Arial Narrow" w:cstheme="majorBidi"/>
                <w:bCs/>
                <w:sz w:val="20"/>
              </w:rPr>
              <w:t>Population</w:t>
            </w:r>
          </w:p>
        </w:tc>
        <w:tc>
          <w:tcPr>
            <w:tcW w:w="7488" w:type="dxa"/>
            <w:shd w:val="clear" w:color="auto" w:fill="B8CCE4" w:themeFill="accent1" w:themeFillTint="66"/>
          </w:tcPr>
          <w:p w14:paraId="0CDEC013" w14:textId="59F5C17A" w:rsidR="00C54BA3" w:rsidRPr="00C54BA3" w:rsidRDefault="00C54BA3" w:rsidP="0910F2D2">
            <w:pPr>
              <w:keepNext/>
              <w:keepLines/>
              <w:jc w:val="left"/>
              <w:rPr>
                <w:rFonts w:ascii="Arial Narrow" w:eastAsiaTheme="majorEastAsia" w:hAnsi="Arial Narrow" w:cstheme="majorBidi"/>
                <w:sz w:val="20"/>
                <w:szCs w:val="20"/>
              </w:rPr>
            </w:pPr>
            <w:r w:rsidRPr="0910F2D2">
              <w:rPr>
                <w:rFonts w:ascii="Arial Narrow" w:eastAsiaTheme="majorEastAsia" w:hAnsi="Arial Narrow" w:cstheme="majorBidi"/>
                <w:sz w:val="20"/>
                <w:szCs w:val="20"/>
                <w:shd w:val="clear" w:color="auto" w:fill="FFFFFF" w:themeFill="background1"/>
              </w:rPr>
              <w:t>Adult</w:t>
            </w:r>
            <w:r w:rsidRPr="0910F2D2">
              <w:rPr>
                <w:rFonts w:ascii="Arial Narrow" w:eastAsiaTheme="majorEastAsia" w:hAnsi="Arial Narrow" w:cstheme="majorBidi"/>
                <w:sz w:val="20"/>
                <w:szCs w:val="20"/>
              </w:rPr>
              <w:t xml:space="preserve"> patients with Polycythemia vera (PV) who are resistant to or intolerant of hydroxycarbamide/hydroxyurea (HC/HU)</w:t>
            </w:r>
          </w:p>
        </w:tc>
      </w:tr>
      <w:tr w:rsidR="00C54BA3" w:rsidRPr="00C54BA3" w14:paraId="4751203E" w14:textId="77777777" w:rsidTr="0F1D33A4">
        <w:tc>
          <w:tcPr>
            <w:tcW w:w="1668" w:type="dxa"/>
            <w:shd w:val="clear" w:color="auto" w:fill="auto"/>
            <w:vAlign w:val="center"/>
          </w:tcPr>
          <w:p w14:paraId="0B568C20" w14:textId="77777777" w:rsidR="00C54BA3" w:rsidRPr="00C54BA3" w:rsidRDefault="00C54BA3" w:rsidP="00C54BA3">
            <w:pPr>
              <w:keepNext/>
              <w:keepLines/>
              <w:jc w:val="left"/>
              <w:rPr>
                <w:rFonts w:ascii="Arial Narrow" w:eastAsiaTheme="majorEastAsia" w:hAnsi="Arial Narrow" w:cstheme="majorBidi"/>
                <w:bCs/>
                <w:sz w:val="20"/>
              </w:rPr>
            </w:pPr>
            <w:r w:rsidRPr="00C54BA3">
              <w:rPr>
                <w:rFonts w:ascii="Arial Narrow" w:eastAsiaTheme="majorEastAsia" w:hAnsi="Arial Narrow" w:cstheme="majorBidi"/>
                <w:bCs/>
                <w:sz w:val="20"/>
              </w:rPr>
              <w:t>Intervention</w:t>
            </w:r>
          </w:p>
        </w:tc>
        <w:tc>
          <w:tcPr>
            <w:tcW w:w="7488" w:type="dxa"/>
            <w:shd w:val="clear" w:color="auto" w:fill="B8CCE4" w:themeFill="accent1" w:themeFillTint="66"/>
          </w:tcPr>
          <w:p w14:paraId="124A4BF8" w14:textId="77777777" w:rsidR="00C54BA3" w:rsidRPr="00C54BA3" w:rsidRDefault="00C54BA3" w:rsidP="0910F2D2">
            <w:pPr>
              <w:keepNext/>
              <w:keepLines/>
              <w:jc w:val="left"/>
              <w:rPr>
                <w:rFonts w:ascii="Arial Narrow" w:eastAsiaTheme="majorEastAsia" w:hAnsi="Arial Narrow" w:cstheme="majorBidi"/>
                <w:sz w:val="20"/>
                <w:szCs w:val="20"/>
              </w:rPr>
            </w:pPr>
            <w:r w:rsidRPr="0910F2D2">
              <w:rPr>
                <w:rFonts w:ascii="Arial Narrow" w:eastAsiaTheme="majorEastAsia" w:hAnsi="Arial Narrow" w:cstheme="majorBidi"/>
                <w:sz w:val="20"/>
                <w:szCs w:val="20"/>
              </w:rPr>
              <w:t>Ruxolitinib 10 mg twice daily; up to 25 mg twice daily</w:t>
            </w:r>
          </w:p>
        </w:tc>
      </w:tr>
      <w:tr w:rsidR="00C54BA3" w:rsidRPr="00C54BA3" w14:paraId="1F063464" w14:textId="77777777" w:rsidTr="0F1D33A4">
        <w:tc>
          <w:tcPr>
            <w:tcW w:w="1668" w:type="dxa"/>
            <w:shd w:val="clear" w:color="auto" w:fill="auto"/>
            <w:vAlign w:val="center"/>
          </w:tcPr>
          <w:p w14:paraId="0E4EB861" w14:textId="77777777" w:rsidR="00C54BA3" w:rsidRPr="00C54BA3" w:rsidRDefault="00C54BA3" w:rsidP="00C54BA3">
            <w:pPr>
              <w:keepNext/>
              <w:keepLines/>
              <w:jc w:val="left"/>
              <w:rPr>
                <w:rFonts w:ascii="Arial Narrow" w:eastAsiaTheme="majorEastAsia" w:hAnsi="Arial Narrow" w:cstheme="majorBidi"/>
                <w:bCs/>
                <w:sz w:val="20"/>
              </w:rPr>
            </w:pPr>
            <w:r w:rsidRPr="00C54BA3">
              <w:rPr>
                <w:rFonts w:ascii="Arial Narrow" w:eastAsiaTheme="majorEastAsia" w:hAnsi="Arial Narrow" w:cstheme="majorBidi"/>
                <w:bCs/>
                <w:sz w:val="20"/>
              </w:rPr>
              <w:t>Comparator</w:t>
            </w:r>
          </w:p>
        </w:tc>
        <w:tc>
          <w:tcPr>
            <w:tcW w:w="7488" w:type="dxa"/>
            <w:shd w:val="clear" w:color="auto" w:fill="B8CCE4" w:themeFill="accent1" w:themeFillTint="66"/>
          </w:tcPr>
          <w:p w14:paraId="7D040A25" w14:textId="77777777" w:rsidR="00C54BA3" w:rsidRPr="00C54BA3" w:rsidRDefault="00C54BA3" w:rsidP="00C54BA3">
            <w:pPr>
              <w:keepNext/>
              <w:keepLines/>
              <w:jc w:val="left"/>
              <w:rPr>
                <w:rFonts w:ascii="Arial Narrow" w:eastAsiaTheme="majorEastAsia" w:hAnsi="Arial Narrow" w:cstheme="majorBidi"/>
                <w:bCs/>
                <w:sz w:val="20"/>
              </w:rPr>
            </w:pPr>
            <w:r w:rsidRPr="00C54BA3">
              <w:rPr>
                <w:rFonts w:ascii="Arial Narrow" w:eastAsiaTheme="majorEastAsia" w:hAnsi="Arial Narrow" w:cstheme="majorBidi"/>
                <w:bCs/>
                <w:sz w:val="20"/>
              </w:rPr>
              <w:t>Best available therapy (BAT)</w:t>
            </w:r>
            <w:r w:rsidRPr="00C54BA3">
              <w:rPr>
                <w:rFonts w:ascii="Arial Narrow" w:eastAsiaTheme="majorEastAsia" w:hAnsi="Arial Narrow" w:cstheme="majorBidi"/>
                <w:bCs/>
                <w:sz w:val="20"/>
                <w:vertAlign w:val="superscript"/>
              </w:rPr>
              <w:t>a</w:t>
            </w:r>
          </w:p>
        </w:tc>
      </w:tr>
      <w:tr w:rsidR="00C54BA3" w:rsidRPr="00C54BA3" w14:paraId="370EA3F7" w14:textId="77777777" w:rsidTr="0F1D33A4">
        <w:tc>
          <w:tcPr>
            <w:tcW w:w="1668" w:type="dxa"/>
            <w:shd w:val="clear" w:color="auto" w:fill="auto"/>
            <w:vAlign w:val="center"/>
          </w:tcPr>
          <w:p w14:paraId="4C14990C" w14:textId="77777777" w:rsidR="00C54BA3" w:rsidRPr="00C54BA3" w:rsidRDefault="00C54BA3" w:rsidP="00C54BA3">
            <w:pPr>
              <w:keepNext/>
              <w:keepLines/>
              <w:jc w:val="left"/>
              <w:rPr>
                <w:rFonts w:ascii="Arial Narrow" w:eastAsiaTheme="majorEastAsia" w:hAnsi="Arial Narrow" w:cstheme="majorBidi"/>
                <w:bCs/>
                <w:sz w:val="20"/>
              </w:rPr>
            </w:pPr>
            <w:r w:rsidRPr="00C54BA3">
              <w:rPr>
                <w:rFonts w:ascii="Arial Narrow" w:eastAsiaTheme="majorEastAsia" w:hAnsi="Arial Narrow" w:cstheme="majorBidi"/>
                <w:bCs/>
                <w:sz w:val="20"/>
              </w:rPr>
              <w:t>Outcomes</w:t>
            </w:r>
          </w:p>
        </w:tc>
        <w:tc>
          <w:tcPr>
            <w:tcW w:w="7488" w:type="dxa"/>
            <w:shd w:val="clear" w:color="auto" w:fill="B8CCE4" w:themeFill="accent1" w:themeFillTint="66"/>
          </w:tcPr>
          <w:p w14:paraId="4D404E74" w14:textId="5DF911AA" w:rsidR="00C54BA3" w:rsidRPr="00C54BA3" w:rsidRDefault="6C249AE4" w:rsidP="0F1D33A4">
            <w:pPr>
              <w:keepNext/>
              <w:keepLines/>
              <w:spacing w:after="40"/>
              <w:jc w:val="left"/>
              <w:rPr>
                <w:rFonts w:ascii="Arial Narrow" w:eastAsiaTheme="majorEastAsia" w:hAnsi="Arial Narrow" w:cstheme="majorBidi"/>
                <w:sz w:val="20"/>
                <w:szCs w:val="20"/>
              </w:rPr>
            </w:pPr>
            <w:r w:rsidRPr="0F1D33A4">
              <w:rPr>
                <w:rFonts w:ascii="Arial Narrow" w:eastAsiaTheme="majorEastAsia" w:hAnsi="Arial Narrow" w:cstheme="majorBidi"/>
                <w:sz w:val="20"/>
                <w:szCs w:val="20"/>
                <w:shd w:val="clear" w:color="auto" w:fill="FFFFFF" w:themeFill="background1"/>
              </w:rPr>
              <w:t>Response</w:t>
            </w:r>
            <w:r w:rsidR="00816D74">
              <w:rPr>
                <w:rFonts w:ascii="Arial Narrow" w:eastAsiaTheme="majorEastAsia" w:hAnsi="Arial Narrow" w:cstheme="majorBidi"/>
                <w:sz w:val="20"/>
                <w:szCs w:val="20"/>
                <w:shd w:val="clear" w:color="auto" w:fill="FFFFFF" w:themeFill="background1"/>
              </w:rPr>
              <w:t xml:space="preserve"> </w:t>
            </w:r>
            <w:r w:rsidRPr="0F1D33A4">
              <w:rPr>
                <w:rFonts w:ascii="Arial Narrow" w:eastAsiaTheme="majorEastAsia" w:hAnsi="Arial Narrow" w:cstheme="majorBidi"/>
                <w:sz w:val="20"/>
                <w:szCs w:val="20"/>
                <w:shd w:val="clear" w:color="auto" w:fill="FFFFFF" w:themeFill="background1"/>
                <w:vertAlign w:val="superscript"/>
              </w:rPr>
              <w:t>b</w:t>
            </w:r>
            <w:r w:rsidRPr="0F1D33A4">
              <w:rPr>
                <w:rFonts w:ascii="Arial Narrow" w:eastAsiaTheme="majorEastAsia" w:hAnsi="Arial Narrow" w:cstheme="majorBidi"/>
                <w:sz w:val="20"/>
                <w:szCs w:val="20"/>
                <w:shd w:val="clear" w:color="auto" w:fill="FFFFFF" w:themeFill="background1"/>
              </w:rPr>
              <w:t xml:space="preserve"> rate</w:t>
            </w:r>
            <w:r w:rsidRPr="0F1D33A4">
              <w:rPr>
                <w:rFonts w:ascii="Arial Narrow" w:eastAsiaTheme="majorEastAsia" w:hAnsi="Arial Narrow" w:cstheme="majorBidi"/>
                <w:sz w:val="20"/>
                <w:szCs w:val="20"/>
              </w:rPr>
              <w:t xml:space="preserve">, duration of response, </w:t>
            </w:r>
            <w:r w:rsidRPr="0F1D33A4">
              <w:rPr>
                <w:rFonts w:ascii="Arial Narrow" w:eastAsiaTheme="majorEastAsia" w:hAnsi="Arial Narrow" w:cstheme="majorBidi"/>
                <w:sz w:val="20"/>
                <w:szCs w:val="20"/>
                <w:shd w:val="clear" w:color="auto" w:fill="FFFFFF" w:themeFill="background1"/>
              </w:rPr>
              <w:t>event-free</w:t>
            </w:r>
            <w:r w:rsidR="00816D74">
              <w:rPr>
                <w:rFonts w:ascii="Arial Narrow" w:eastAsiaTheme="majorEastAsia" w:hAnsi="Arial Narrow" w:cstheme="majorBidi"/>
                <w:sz w:val="20"/>
                <w:szCs w:val="20"/>
                <w:shd w:val="clear" w:color="auto" w:fill="FFFFFF" w:themeFill="background1"/>
              </w:rPr>
              <w:t xml:space="preserve"> </w:t>
            </w:r>
            <w:r w:rsidRPr="0F1D33A4">
              <w:rPr>
                <w:rFonts w:ascii="Arial Narrow" w:eastAsiaTheme="majorEastAsia" w:hAnsi="Arial Narrow" w:cstheme="majorBidi"/>
                <w:sz w:val="20"/>
                <w:szCs w:val="20"/>
                <w:shd w:val="clear" w:color="auto" w:fill="FFFFFF" w:themeFill="background1"/>
                <w:vertAlign w:val="superscript"/>
              </w:rPr>
              <w:t>c</w:t>
            </w:r>
            <w:r w:rsidRPr="0F1D33A4">
              <w:rPr>
                <w:rFonts w:ascii="Arial Narrow" w:eastAsiaTheme="majorEastAsia" w:hAnsi="Arial Narrow" w:cstheme="majorBidi"/>
                <w:sz w:val="20"/>
                <w:szCs w:val="20"/>
                <w:shd w:val="clear" w:color="auto" w:fill="FFFFFF" w:themeFill="background1"/>
              </w:rPr>
              <w:t xml:space="preserve"> survival, overall survival and safety</w:t>
            </w:r>
          </w:p>
        </w:tc>
      </w:tr>
      <w:tr w:rsidR="00C54BA3" w:rsidRPr="00C54BA3" w14:paraId="78EE5E2A" w14:textId="77777777" w:rsidTr="0F1D33A4">
        <w:tc>
          <w:tcPr>
            <w:tcW w:w="1668" w:type="dxa"/>
            <w:shd w:val="clear" w:color="auto" w:fill="auto"/>
            <w:vAlign w:val="center"/>
          </w:tcPr>
          <w:p w14:paraId="47B4FCD1" w14:textId="77777777" w:rsidR="00C54BA3" w:rsidRPr="00C54BA3" w:rsidRDefault="00C54BA3" w:rsidP="00C54BA3">
            <w:pPr>
              <w:keepNext/>
              <w:keepLines/>
              <w:jc w:val="left"/>
              <w:rPr>
                <w:rFonts w:ascii="Arial Narrow" w:eastAsiaTheme="majorEastAsia" w:hAnsi="Arial Narrow" w:cstheme="majorBidi"/>
                <w:bCs/>
                <w:sz w:val="20"/>
              </w:rPr>
            </w:pPr>
            <w:r w:rsidRPr="00C54BA3">
              <w:rPr>
                <w:rFonts w:ascii="Arial Narrow" w:eastAsiaTheme="majorEastAsia" w:hAnsi="Arial Narrow" w:cstheme="majorBidi"/>
                <w:bCs/>
                <w:sz w:val="20"/>
              </w:rPr>
              <w:t>Clinical claim</w:t>
            </w:r>
          </w:p>
        </w:tc>
        <w:tc>
          <w:tcPr>
            <w:tcW w:w="7488" w:type="dxa"/>
            <w:shd w:val="clear" w:color="auto" w:fill="B8CCE4" w:themeFill="accent1" w:themeFillTint="66"/>
            <w:vAlign w:val="center"/>
          </w:tcPr>
          <w:p w14:paraId="0553BFB6" w14:textId="412C093A" w:rsidR="00C54BA3" w:rsidRPr="00C54BA3" w:rsidRDefault="00C54BA3" w:rsidP="00C54BA3">
            <w:pPr>
              <w:keepNext/>
              <w:keepLines/>
              <w:spacing w:after="40"/>
              <w:jc w:val="left"/>
              <w:rPr>
                <w:rFonts w:ascii="Arial Narrow" w:eastAsiaTheme="majorEastAsia" w:hAnsi="Arial Narrow" w:cstheme="majorBidi"/>
                <w:bCs/>
                <w:sz w:val="20"/>
              </w:rPr>
            </w:pPr>
            <w:r w:rsidRPr="00C54BA3">
              <w:rPr>
                <w:rFonts w:ascii="Arial Narrow" w:eastAsiaTheme="majorEastAsia" w:hAnsi="Arial Narrow" w:cstheme="majorBidi"/>
                <w:bCs/>
                <w:sz w:val="20"/>
              </w:rPr>
              <w:t xml:space="preserve">In treatment of PV, </w:t>
            </w:r>
            <w:r w:rsidR="000448FF">
              <w:rPr>
                <w:rFonts w:ascii="Arial Narrow" w:eastAsiaTheme="majorEastAsia" w:hAnsi="Arial Narrow" w:cstheme="majorBidi"/>
                <w:bCs/>
                <w:sz w:val="20"/>
              </w:rPr>
              <w:t>ruxolitinib</w:t>
            </w:r>
            <w:r w:rsidRPr="00C54BA3">
              <w:rPr>
                <w:rFonts w:ascii="Arial Narrow" w:eastAsiaTheme="majorEastAsia" w:hAnsi="Arial Narrow" w:cstheme="majorBidi"/>
                <w:bCs/>
                <w:sz w:val="20"/>
                <w:lang w:val="en-US"/>
              </w:rPr>
              <w:t xml:space="preserve"> is superior to BAT </w:t>
            </w:r>
            <w:r w:rsidRPr="00BA3024">
              <w:rPr>
                <w:rFonts w:ascii="Arial Narrow" w:eastAsiaTheme="majorEastAsia" w:hAnsi="Arial Narrow" w:cstheme="majorBidi"/>
                <w:bCs/>
                <w:sz w:val="20"/>
                <w:shd w:val="clear" w:color="auto" w:fill="FFFFFF" w:themeFill="background1"/>
                <w:lang w:val="en-US"/>
              </w:rPr>
              <w:t>in terms of comparative effectiveness. Ruxolitinib has a different safety profile to BAT</w:t>
            </w:r>
            <w:r w:rsidRPr="00BA3024">
              <w:rPr>
                <w:rFonts w:ascii="Arial Narrow" w:eastAsiaTheme="majorEastAsia" w:hAnsi="Arial Narrow" w:cstheme="majorBidi"/>
                <w:bCs/>
                <w:sz w:val="20"/>
                <w:lang w:val="en-US"/>
              </w:rPr>
              <w:t>.</w:t>
            </w:r>
            <w:r w:rsidRPr="00C54BA3">
              <w:rPr>
                <w:rFonts w:ascii="Arial Narrow" w:eastAsiaTheme="majorEastAsia" w:hAnsi="Arial Narrow" w:cstheme="majorBidi"/>
                <w:bCs/>
                <w:sz w:val="20"/>
                <w:u w:val="single"/>
              </w:rPr>
              <w:t xml:space="preserve"> </w:t>
            </w:r>
          </w:p>
        </w:tc>
      </w:tr>
    </w:tbl>
    <w:p w14:paraId="6B9F622C" w14:textId="77777777" w:rsidR="00C54BA3" w:rsidRPr="00C54BA3" w:rsidRDefault="6C249AE4" w:rsidP="0F1D33A4">
      <w:pPr>
        <w:spacing w:after="120"/>
        <w:contextualSpacing/>
        <w:rPr>
          <w:rFonts w:ascii="Arial Narrow" w:hAnsi="Arial Narrow"/>
          <w:snapToGrid w:val="0"/>
          <w:sz w:val="18"/>
          <w:szCs w:val="18"/>
        </w:rPr>
      </w:pPr>
      <w:r w:rsidRPr="0F1D33A4">
        <w:rPr>
          <w:rFonts w:ascii="Arial Narrow" w:hAnsi="Arial Narrow"/>
          <w:snapToGrid w:val="0"/>
          <w:sz w:val="18"/>
          <w:szCs w:val="18"/>
        </w:rPr>
        <w:t>Source: Table 1.1 Key components of the clinical issue addressed by the resubmission, p13 of the submission.</w:t>
      </w:r>
      <w:r w:rsidR="00C54BA3" w:rsidRPr="00C54BA3">
        <w:rPr>
          <w:rFonts w:ascii="Arial Narrow" w:hAnsi="Arial Narrow"/>
          <w:snapToGrid w:val="0"/>
          <w:sz w:val="18"/>
          <w:szCs w:val="22"/>
        </w:rPr>
        <w:tab/>
      </w:r>
    </w:p>
    <w:p w14:paraId="5C8627FF" w14:textId="77777777" w:rsidR="00C54BA3" w:rsidRPr="00C54BA3" w:rsidRDefault="00C54BA3" w:rsidP="00C54BA3">
      <w:pPr>
        <w:spacing w:after="120"/>
        <w:contextualSpacing/>
        <w:rPr>
          <w:rFonts w:ascii="Arial Narrow" w:hAnsi="Arial Narrow"/>
          <w:snapToGrid w:val="0"/>
          <w:sz w:val="18"/>
          <w:szCs w:val="22"/>
        </w:rPr>
      </w:pPr>
      <w:r w:rsidRPr="00C54BA3">
        <w:rPr>
          <w:rFonts w:ascii="Arial Narrow" w:hAnsi="Arial Narrow"/>
          <w:snapToGrid w:val="0"/>
          <w:sz w:val="18"/>
          <w:szCs w:val="22"/>
        </w:rPr>
        <w:t>Abbreviations: mg, milligram.</w:t>
      </w:r>
    </w:p>
    <w:p w14:paraId="21B93EC6" w14:textId="77777777" w:rsidR="00C54BA3" w:rsidRPr="00C54BA3" w:rsidRDefault="00C54BA3" w:rsidP="00C54BA3">
      <w:pPr>
        <w:spacing w:after="120"/>
        <w:contextualSpacing/>
        <w:rPr>
          <w:rFonts w:ascii="Arial Narrow" w:hAnsi="Arial Narrow"/>
          <w:snapToGrid w:val="0"/>
          <w:sz w:val="18"/>
          <w:szCs w:val="22"/>
        </w:rPr>
      </w:pPr>
      <w:r w:rsidRPr="00C54BA3">
        <w:rPr>
          <w:rFonts w:ascii="Arial Narrow" w:hAnsi="Arial Narrow"/>
          <w:snapToGrid w:val="0"/>
          <w:sz w:val="18"/>
          <w:szCs w:val="22"/>
          <w:vertAlign w:val="superscript"/>
        </w:rPr>
        <w:t>a</w:t>
      </w:r>
      <w:r w:rsidRPr="00C54BA3">
        <w:rPr>
          <w:rFonts w:ascii="Arial Narrow" w:hAnsi="Arial Narrow"/>
          <w:snapToGrid w:val="0"/>
          <w:sz w:val="18"/>
          <w:szCs w:val="22"/>
        </w:rPr>
        <w:t xml:space="preserve"> BAT includes treatment with HC/HU, peginterferon </w:t>
      </w:r>
      <w:r w:rsidRPr="00C54BA3">
        <w:rPr>
          <w:rFonts w:ascii="Arial Narrow" w:hAnsi="Arial Narrow"/>
          <w:iCs/>
          <w:snapToGrid w:val="0"/>
          <w:sz w:val="18"/>
          <w:szCs w:val="22"/>
        </w:rPr>
        <w:t>α-</w:t>
      </w:r>
      <w:r w:rsidRPr="00C54BA3">
        <w:rPr>
          <w:rFonts w:ascii="Arial Narrow" w:hAnsi="Arial Narrow"/>
          <w:snapToGrid w:val="0"/>
          <w:sz w:val="18"/>
          <w:szCs w:val="22"/>
        </w:rPr>
        <w:t>2a or observation.</w:t>
      </w:r>
    </w:p>
    <w:p w14:paraId="5AAA034D" w14:textId="54CBC21B" w:rsidR="00C54BA3" w:rsidRPr="00C54BA3" w:rsidRDefault="6C249AE4" w:rsidP="0F1D33A4">
      <w:pPr>
        <w:spacing w:after="120"/>
        <w:contextualSpacing/>
        <w:rPr>
          <w:rFonts w:ascii="Arial Narrow" w:hAnsi="Arial Narrow"/>
          <w:snapToGrid w:val="0"/>
          <w:sz w:val="18"/>
          <w:szCs w:val="18"/>
        </w:rPr>
      </w:pPr>
      <w:r w:rsidRPr="0F1D33A4">
        <w:rPr>
          <w:rFonts w:ascii="Arial Narrow" w:hAnsi="Arial Narrow"/>
          <w:snapToGrid w:val="0"/>
          <w:sz w:val="18"/>
          <w:szCs w:val="18"/>
          <w:vertAlign w:val="superscript"/>
        </w:rPr>
        <w:t>b</w:t>
      </w:r>
      <w:r w:rsidRPr="0F1D33A4">
        <w:rPr>
          <w:rFonts w:ascii="Arial Narrow" w:hAnsi="Arial Narrow"/>
          <w:snapToGrid w:val="0"/>
          <w:sz w:val="18"/>
          <w:szCs w:val="18"/>
        </w:rPr>
        <w:t xml:space="preserve"> Response was defined as HCT &lt;45% without </w:t>
      </w:r>
      <w:r w:rsidR="66EAFF25" w:rsidRPr="0F1D33A4">
        <w:rPr>
          <w:rFonts w:ascii="Arial Narrow" w:hAnsi="Arial Narrow"/>
          <w:snapToGrid w:val="0"/>
          <w:sz w:val="18"/>
          <w:szCs w:val="18"/>
        </w:rPr>
        <w:t>venesection</w:t>
      </w:r>
      <w:r w:rsidRPr="0F1D33A4">
        <w:rPr>
          <w:rFonts w:ascii="Arial Narrow" w:hAnsi="Arial Narrow"/>
          <w:snapToGrid w:val="0"/>
          <w:sz w:val="18"/>
          <w:szCs w:val="18"/>
        </w:rPr>
        <w:t xml:space="preserve"> and/or all of the three items: platelet count ≤ 400 x 10</w:t>
      </w:r>
      <w:r w:rsidRPr="0F1D33A4">
        <w:rPr>
          <w:rFonts w:ascii="Arial Narrow" w:hAnsi="Arial Narrow"/>
          <w:snapToGrid w:val="0"/>
          <w:sz w:val="18"/>
          <w:szCs w:val="18"/>
          <w:vertAlign w:val="superscript"/>
        </w:rPr>
        <w:t>9</w:t>
      </w:r>
      <w:r w:rsidRPr="0F1D33A4">
        <w:rPr>
          <w:rFonts w:ascii="Arial Narrow" w:hAnsi="Arial Narrow"/>
          <w:snapToGrid w:val="0"/>
          <w:sz w:val="18"/>
          <w:szCs w:val="18"/>
        </w:rPr>
        <w:t>/L, WBC &lt; 10 x 10</w:t>
      </w:r>
      <w:r w:rsidRPr="0F1D33A4">
        <w:rPr>
          <w:rFonts w:ascii="Arial Narrow" w:hAnsi="Arial Narrow"/>
          <w:snapToGrid w:val="0"/>
          <w:sz w:val="18"/>
          <w:szCs w:val="18"/>
          <w:vertAlign w:val="superscript"/>
        </w:rPr>
        <w:t>9</w:t>
      </w:r>
      <w:r w:rsidRPr="0F1D33A4">
        <w:rPr>
          <w:rFonts w:ascii="Arial Narrow" w:hAnsi="Arial Narrow"/>
          <w:snapToGrid w:val="0"/>
          <w:sz w:val="18"/>
          <w:szCs w:val="18"/>
        </w:rPr>
        <w:t xml:space="preserve">/L, and absence of splenomegaly on imaging </w:t>
      </w:r>
    </w:p>
    <w:p w14:paraId="474D84DA" w14:textId="77777777" w:rsidR="00C54BA3" w:rsidRPr="00C54BA3" w:rsidRDefault="00C54BA3" w:rsidP="00C54BA3">
      <w:pPr>
        <w:spacing w:after="360"/>
        <w:contextualSpacing/>
        <w:rPr>
          <w:rFonts w:ascii="Arial Narrow" w:hAnsi="Arial Narrow"/>
          <w:snapToGrid w:val="0"/>
          <w:sz w:val="18"/>
          <w:szCs w:val="22"/>
        </w:rPr>
      </w:pPr>
      <w:r w:rsidRPr="00C54BA3">
        <w:rPr>
          <w:rFonts w:ascii="Arial Narrow" w:hAnsi="Arial Narrow"/>
          <w:snapToGrid w:val="0"/>
          <w:sz w:val="18"/>
          <w:szCs w:val="22"/>
          <w:vertAlign w:val="superscript"/>
        </w:rPr>
        <w:t>c</w:t>
      </w:r>
      <w:r w:rsidRPr="00C54BA3">
        <w:rPr>
          <w:rFonts w:ascii="Arial Narrow" w:hAnsi="Arial Narrow"/>
          <w:snapToGrid w:val="0"/>
          <w:sz w:val="18"/>
          <w:szCs w:val="22"/>
        </w:rPr>
        <w:t xml:space="preserve"> Event-free is reduction in the risk of patient relevant outcomes such as thrombosis, haemorrhage, and progression to MF or AML.</w:t>
      </w:r>
    </w:p>
    <w:p w14:paraId="03EE7DE9" w14:textId="616F81DB" w:rsidR="00C54BA3" w:rsidRPr="00C54BA3" w:rsidRDefault="00BA3024" w:rsidP="0F1D33A4">
      <w:pPr>
        <w:spacing w:after="360"/>
        <w:contextualSpacing/>
        <w:rPr>
          <w:rFonts w:ascii="Arial Narrow" w:hAnsi="Arial Narrow"/>
          <w:snapToGrid w:val="0"/>
          <w:sz w:val="20"/>
          <w:szCs w:val="20"/>
        </w:rPr>
      </w:pPr>
      <w:r w:rsidRPr="0F1D33A4">
        <w:rPr>
          <w:rStyle w:val="CommentReference"/>
          <w:b w:val="0"/>
          <w:sz w:val="18"/>
          <w:szCs w:val="18"/>
          <w:shd w:val="clear" w:color="auto" w:fill="B8CCE4" w:themeFill="accent1" w:themeFillTint="66"/>
        </w:rPr>
        <w:t>Blue shading</w:t>
      </w:r>
      <w:r w:rsidRPr="0F1D33A4">
        <w:rPr>
          <w:rStyle w:val="CommentReference"/>
          <w:b w:val="0"/>
          <w:sz w:val="18"/>
          <w:szCs w:val="18"/>
        </w:rPr>
        <w:t xml:space="preserve"> indicates information previously seen by the PBAC</w:t>
      </w:r>
      <w:r w:rsidR="6C249AE4" w:rsidRPr="0F1D33A4">
        <w:rPr>
          <w:rFonts w:ascii="Arial Narrow" w:hAnsi="Arial Narrow"/>
          <w:snapToGrid w:val="0"/>
          <w:sz w:val="18"/>
          <w:szCs w:val="18"/>
        </w:rPr>
        <w:t xml:space="preserve">. </w:t>
      </w:r>
    </w:p>
    <w:p w14:paraId="7363C85F" w14:textId="77777777" w:rsidR="0069210B" w:rsidRPr="0069210B" w:rsidRDefault="0069210B" w:rsidP="0069210B">
      <w:pPr>
        <w:pStyle w:val="2-SectionHeading"/>
      </w:pPr>
      <w:bookmarkStart w:id="6" w:name="_Toc184797835"/>
      <w:bookmarkStart w:id="7" w:name="_Toc188348781"/>
      <w:r w:rsidRPr="0069210B">
        <w:t>Background</w:t>
      </w:r>
      <w:bookmarkEnd w:id="6"/>
      <w:bookmarkEnd w:id="7"/>
    </w:p>
    <w:p w14:paraId="560ACF22" w14:textId="77777777" w:rsidR="0069210B" w:rsidRPr="0069210B" w:rsidRDefault="0069210B" w:rsidP="0069210B">
      <w:pPr>
        <w:keepNext/>
        <w:spacing w:before="120" w:after="120"/>
        <w:outlineLvl w:val="1"/>
        <w:rPr>
          <w:rFonts w:asciiTheme="minorHAnsi" w:eastAsiaTheme="majorEastAsia" w:hAnsiTheme="minorHAnsi" w:cstheme="majorBidi"/>
          <w:b/>
          <w:i/>
          <w:spacing w:val="5"/>
          <w:kern w:val="28"/>
          <w:sz w:val="28"/>
          <w:szCs w:val="36"/>
          <w:lang w:eastAsia="en-US"/>
        </w:rPr>
      </w:pPr>
      <w:bookmarkStart w:id="8" w:name="_Toc22897638"/>
      <w:bookmarkStart w:id="9" w:name="_Toc184797836"/>
      <w:r w:rsidRPr="0069210B">
        <w:rPr>
          <w:rFonts w:asciiTheme="minorHAnsi" w:eastAsiaTheme="majorEastAsia" w:hAnsiTheme="minorHAnsi" w:cstheme="majorBidi"/>
          <w:b/>
          <w:i/>
          <w:spacing w:val="5"/>
          <w:kern w:val="28"/>
          <w:sz w:val="28"/>
          <w:szCs w:val="36"/>
          <w:lang w:eastAsia="en-US"/>
        </w:rPr>
        <w:t>Registration status</w:t>
      </w:r>
      <w:bookmarkEnd w:id="8"/>
      <w:bookmarkEnd w:id="9"/>
    </w:p>
    <w:p w14:paraId="7383D65A" w14:textId="77777777" w:rsidR="0069210B" w:rsidRDefault="0069210B" w:rsidP="0069210B">
      <w:pPr>
        <w:pStyle w:val="3-BodyText"/>
      </w:pPr>
      <w:r w:rsidRPr="0910F2D2">
        <w:t xml:space="preserve">Ruxolitinib was Therapeutic Goods Administration (TGA) registered on 14 December 2015 for treatment of adult patients with PV who are resistant to or intolerant of HC/HU. </w:t>
      </w:r>
    </w:p>
    <w:p w14:paraId="1791FAEB" w14:textId="7F26186C" w:rsidR="0069210B" w:rsidRPr="0069210B" w:rsidRDefault="0069210B" w:rsidP="0069210B">
      <w:pPr>
        <w:pStyle w:val="3-BodyText"/>
      </w:pPr>
      <w:r w:rsidRPr="0910F2D2">
        <w:t>Ruxolitinib is also registered for:</w:t>
      </w:r>
    </w:p>
    <w:p w14:paraId="5653DAD1" w14:textId="77777777" w:rsidR="0069210B" w:rsidRPr="0069210B" w:rsidRDefault="0069210B" w:rsidP="009E06E3">
      <w:pPr>
        <w:numPr>
          <w:ilvl w:val="0"/>
          <w:numId w:val="10"/>
        </w:numPr>
        <w:spacing w:before="60" w:after="60"/>
        <w:ind w:left="993"/>
        <w:rPr>
          <w:rFonts w:asciiTheme="minorHAnsi" w:eastAsiaTheme="minorEastAsia" w:hAnsiTheme="minorHAnsi" w:cstheme="minorBidi"/>
        </w:rPr>
      </w:pPr>
      <w:r w:rsidRPr="0910F2D2">
        <w:rPr>
          <w:rFonts w:asciiTheme="minorHAnsi" w:eastAsiaTheme="minorEastAsia" w:hAnsiTheme="minorHAnsi" w:cstheme="minorBidi"/>
        </w:rPr>
        <w:t xml:space="preserve">the treatment of disease-related splenomegaly or symptoms in patients with primary myelofibrosis (MF), post-PV MF or post-essential thrombocythaemia MF; and </w:t>
      </w:r>
    </w:p>
    <w:p w14:paraId="69FE6EC5" w14:textId="77777777" w:rsidR="0069210B" w:rsidRPr="0069210B" w:rsidRDefault="0069210B" w:rsidP="009E06E3">
      <w:pPr>
        <w:numPr>
          <w:ilvl w:val="0"/>
          <w:numId w:val="10"/>
        </w:numPr>
        <w:spacing w:before="60" w:after="60"/>
        <w:ind w:left="993"/>
        <w:rPr>
          <w:rFonts w:asciiTheme="minorHAnsi" w:eastAsiaTheme="minorHAnsi" w:hAnsiTheme="minorHAnsi" w:cstheme="minorBidi"/>
          <w:szCs w:val="22"/>
        </w:rPr>
      </w:pPr>
      <w:r w:rsidRPr="0069210B">
        <w:rPr>
          <w:rFonts w:asciiTheme="minorHAnsi" w:eastAsiaTheme="minorHAnsi" w:hAnsiTheme="minorHAnsi" w:cstheme="minorBidi"/>
          <w:szCs w:val="22"/>
        </w:rPr>
        <w:lastRenderedPageBreak/>
        <w:t>the treatment of patients aged 12 years and older with chronic graft versus host disease (GVHD) who have inadequate response to corticosteroids and treatment of patients aged 12 years and older with acute GVHD who have inadequate response to corticosteroids.</w:t>
      </w:r>
    </w:p>
    <w:p w14:paraId="60EC7C84" w14:textId="77777777" w:rsidR="0069210B" w:rsidRPr="0069210B" w:rsidRDefault="0069210B" w:rsidP="0F1D33A4">
      <w:pPr>
        <w:keepNext/>
        <w:spacing w:before="120" w:after="120"/>
        <w:outlineLvl w:val="1"/>
        <w:rPr>
          <w:rFonts w:asciiTheme="minorHAnsi" w:eastAsiaTheme="majorEastAsia" w:hAnsiTheme="minorHAnsi" w:cstheme="majorBidi"/>
          <w:b/>
          <w:bCs/>
          <w:i/>
          <w:iCs/>
          <w:spacing w:val="5"/>
          <w:kern w:val="28"/>
          <w:sz w:val="28"/>
          <w:szCs w:val="28"/>
          <w:lang w:eastAsia="en-US"/>
        </w:rPr>
      </w:pPr>
      <w:bookmarkStart w:id="10" w:name="_Toc22897639"/>
      <w:bookmarkStart w:id="11" w:name="_Toc184797837"/>
      <w:r w:rsidRPr="0F1D33A4">
        <w:rPr>
          <w:rFonts w:asciiTheme="minorHAnsi" w:eastAsiaTheme="majorEastAsia" w:hAnsiTheme="minorHAnsi" w:cstheme="majorBidi"/>
          <w:b/>
          <w:bCs/>
          <w:i/>
          <w:iCs/>
          <w:spacing w:val="5"/>
          <w:kern w:val="28"/>
          <w:sz w:val="28"/>
          <w:szCs w:val="28"/>
          <w:lang w:eastAsia="en-US"/>
        </w:rPr>
        <w:t>Previous PBAC consideration</w:t>
      </w:r>
      <w:bookmarkEnd w:id="10"/>
      <w:bookmarkEnd w:id="11"/>
    </w:p>
    <w:p w14:paraId="069D4E76" w14:textId="156B18B2" w:rsidR="0069210B" w:rsidRPr="00267944" w:rsidRDefault="0069210B" w:rsidP="00267944">
      <w:pPr>
        <w:pStyle w:val="3-BodyText"/>
      </w:pPr>
      <w:r w:rsidRPr="0069210B">
        <w:fldChar w:fldCharType="begin" w:fldLock="1"/>
      </w:r>
      <w:r w:rsidRPr="0069210B">
        <w:instrText xml:space="preserve"> REF _Ref184732142 \h </w:instrText>
      </w:r>
      <w:r w:rsidRPr="0069210B">
        <w:fldChar w:fldCharType="separate"/>
      </w:r>
      <w:r w:rsidR="0096555B" w:rsidRPr="00CC612E">
        <w:t>Table 2</w:t>
      </w:r>
      <w:r w:rsidRPr="0069210B">
        <w:fldChar w:fldCharType="end"/>
      </w:r>
      <w:r w:rsidRPr="0069210B">
        <w:t xml:space="preserve"> summarises the key matters of concern highlighted at the November 2019 </w:t>
      </w:r>
      <w:r w:rsidR="000D7BDD">
        <w:t>Pharmaceutical Benefits Advisory Committee (</w:t>
      </w:r>
      <w:r w:rsidRPr="0069210B">
        <w:t>PBAC</w:t>
      </w:r>
      <w:r w:rsidR="000D7BDD">
        <w:t>)</w:t>
      </w:r>
      <w:r w:rsidRPr="0069210B">
        <w:t xml:space="preserve"> meeting.</w:t>
      </w:r>
    </w:p>
    <w:p w14:paraId="5BD7B08D" w14:textId="16C422D5" w:rsidR="0069210B" w:rsidRPr="0069210B" w:rsidRDefault="0069210B" w:rsidP="0069210B">
      <w:pPr>
        <w:keepNext/>
        <w:jc w:val="left"/>
        <w:rPr>
          <w:rFonts w:ascii="Arial Narrow" w:eastAsiaTheme="majorEastAsia" w:hAnsi="Arial Narrow" w:cstheme="majorBidi"/>
          <w:b/>
          <w:bCs/>
          <w:snapToGrid w:val="0"/>
          <w:sz w:val="18"/>
          <w:szCs w:val="22"/>
        </w:rPr>
      </w:pPr>
      <w:bookmarkStart w:id="12" w:name="_Ref184732142"/>
      <w:r w:rsidRPr="0069210B">
        <w:rPr>
          <w:rFonts w:ascii="Arial Narrow" w:eastAsiaTheme="majorEastAsia" w:hAnsi="Arial Narrow" w:cstheme="majorBidi"/>
          <w:b/>
          <w:bCs/>
          <w:sz w:val="20"/>
        </w:rPr>
        <w:t xml:space="preserve">Table </w:t>
      </w:r>
      <w:r w:rsidRPr="0069210B">
        <w:rPr>
          <w:rFonts w:ascii="Arial Narrow" w:eastAsiaTheme="majorEastAsia" w:hAnsi="Arial Narrow" w:cstheme="majorBidi"/>
          <w:b/>
          <w:bCs/>
          <w:sz w:val="20"/>
        </w:rPr>
        <w:fldChar w:fldCharType="begin" w:fldLock="1"/>
      </w:r>
      <w:r w:rsidRPr="0069210B">
        <w:rPr>
          <w:rFonts w:ascii="Arial Narrow" w:eastAsiaTheme="majorEastAsia" w:hAnsi="Arial Narrow" w:cstheme="majorBidi"/>
          <w:b/>
          <w:bCs/>
          <w:sz w:val="20"/>
        </w:rPr>
        <w:instrText xml:space="preserve"> SEQ Table \* ARABIC </w:instrText>
      </w:r>
      <w:r w:rsidRPr="0069210B">
        <w:rPr>
          <w:rFonts w:ascii="Arial Narrow" w:eastAsiaTheme="majorEastAsia" w:hAnsi="Arial Narrow" w:cstheme="majorBidi"/>
          <w:b/>
          <w:bCs/>
          <w:sz w:val="20"/>
        </w:rPr>
        <w:fldChar w:fldCharType="separate"/>
      </w:r>
      <w:r w:rsidR="001F427F">
        <w:rPr>
          <w:rFonts w:ascii="Arial Narrow" w:eastAsiaTheme="majorEastAsia" w:hAnsi="Arial Narrow" w:cstheme="majorBidi"/>
          <w:b/>
          <w:bCs/>
          <w:noProof/>
          <w:sz w:val="20"/>
        </w:rPr>
        <w:t>2</w:t>
      </w:r>
      <w:r w:rsidRPr="0069210B">
        <w:rPr>
          <w:rFonts w:ascii="Arial Narrow" w:eastAsiaTheme="majorEastAsia" w:hAnsi="Arial Narrow" w:cstheme="majorBidi"/>
          <w:b/>
          <w:bCs/>
          <w:noProof/>
          <w:sz w:val="20"/>
        </w:rPr>
        <w:fldChar w:fldCharType="end"/>
      </w:r>
      <w:bookmarkEnd w:id="12"/>
      <w:r w:rsidRPr="0069210B">
        <w:rPr>
          <w:rFonts w:ascii="Arial Narrow" w:eastAsiaTheme="majorEastAsia" w:hAnsi="Arial Narrow" w:cstheme="majorBidi"/>
          <w:b/>
          <w:bCs/>
          <w:sz w:val="20"/>
        </w:rPr>
        <w:t>: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key matters of concern"/>
      </w:tblPr>
      <w:tblGrid>
        <w:gridCol w:w="1524"/>
        <w:gridCol w:w="3913"/>
        <w:gridCol w:w="3580"/>
      </w:tblGrid>
      <w:tr w:rsidR="0069210B" w:rsidRPr="0069210B" w14:paraId="2C48980A" w14:textId="77777777" w:rsidTr="0F1D33A4">
        <w:trPr>
          <w:cantSplit/>
          <w:tblHeader/>
        </w:trPr>
        <w:tc>
          <w:tcPr>
            <w:tcW w:w="845" w:type="pct"/>
            <w:tcBorders>
              <w:top w:val="single" w:sz="4" w:space="0" w:color="auto"/>
              <w:left w:val="single" w:sz="4" w:space="0" w:color="auto"/>
              <w:bottom w:val="single" w:sz="4" w:space="0" w:color="auto"/>
              <w:right w:val="single" w:sz="4" w:space="0" w:color="auto"/>
            </w:tcBorders>
            <w:hideMark/>
          </w:tcPr>
          <w:p w14:paraId="7C9CE716" w14:textId="77777777" w:rsidR="0069210B" w:rsidRPr="0069210B" w:rsidRDefault="0069210B" w:rsidP="0F1D33A4">
            <w:pPr>
              <w:spacing w:after="120"/>
              <w:contextualSpacing/>
              <w:rPr>
                <w:rFonts w:ascii="Arial Narrow" w:hAnsi="Arial Narrow"/>
                <w:b/>
                <w:bCs/>
                <w:snapToGrid w:val="0"/>
                <w:sz w:val="20"/>
                <w:szCs w:val="20"/>
              </w:rPr>
            </w:pPr>
            <w:r w:rsidRPr="0F1D33A4">
              <w:rPr>
                <w:rFonts w:ascii="Arial Narrow" w:hAnsi="Arial Narrow"/>
                <w:b/>
                <w:bCs/>
                <w:snapToGrid w:val="0"/>
                <w:sz w:val="20"/>
                <w:szCs w:val="20"/>
              </w:rPr>
              <w:t>Component</w:t>
            </w:r>
          </w:p>
        </w:tc>
        <w:tc>
          <w:tcPr>
            <w:tcW w:w="2170" w:type="pct"/>
            <w:tcBorders>
              <w:top w:val="single" w:sz="4" w:space="0" w:color="auto"/>
              <w:left w:val="single" w:sz="4" w:space="0" w:color="auto"/>
              <w:bottom w:val="single" w:sz="4" w:space="0" w:color="auto"/>
              <w:right w:val="single" w:sz="4" w:space="0" w:color="auto"/>
            </w:tcBorders>
            <w:hideMark/>
          </w:tcPr>
          <w:p w14:paraId="2A5A3D57" w14:textId="77777777" w:rsidR="0069210B" w:rsidRPr="0069210B" w:rsidRDefault="0069210B" w:rsidP="0069210B">
            <w:pPr>
              <w:spacing w:after="120"/>
              <w:contextualSpacing/>
              <w:rPr>
                <w:rFonts w:ascii="Arial Narrow" w:hAnsi="Arial Narrow"/>
                <w:b/>
                <w:snapToGrid w:val="0"/>
                <w:sz w:val="20"/>
                <w:szCs w:val="20"/>
              </w:rPr>
            </w:pPr>
            <w:r w:rsidRPr="0069210B">
              <w:rPr>
                <w:rFonts w:ascii="Arial Narrow" w:hAnsi="Arial Narrow"/>
                <w:b/>
                <w:snapToGrid w:val="0"/>
                <w:sz w:val="20"/>
                <w:szCs w:val="20"/>
              </w:rPr>
              <w:t>Matter of concern</w:t>
            </w:r>
          </w:p>
        </w:tc>
        <w:tc>
          <w:tcPr>
            <w:tcW w:w="1985" w:type="pct"/>
            <w:tcBorders>
              <w:top w:val="single" w:sz="4" w:space="0" w:color="auto"/>
              <w:left w:val="single" w:sz="4" w:space="0" w:color="auto"/>
              <w:bottom w:val="single" w:sz="4" w:space="0" w:color="auto"/>
              <w:right w:val="single" w:sz="4" w:space="0" w:color="auto"/>
            </w:tcBorders>
            <w:hideMark/>
          </w:tcPr>
          <w:p w14:paraId="62F0004E" w14:textId="77777777" w:rsidR="0069210B" w:rsidRPr="006124A7" w:rsidRDefault="0069210B" w:rsidP="0069210B">
            <w:pPr>
              <w:spacing w:after="120"/>
              <w:contextualSpacing/>
              <w:rPr>
                <w:rFonts w:ascii="Arial Narrow" w:hAnsi="Arial Narrow"/>
                <w:b/>
                <w:snapToGrid w:val="0"/>
                <w:sz w:val="20"/>
                <w:szCs w:val="20"/>
              </w:rPr>
            </w:pPr>
            <w:r w:rsidRPr="006124A7">
              <w:rPr>
                <w:rFonts w:ascii="Arial Narrow" w:hAnsi="Arial Narrow"/>
                <w:b/>
                <w:snapToGrid w:val="0"/>
                <w:sz w:val="20"/>
                <w:szCs w:val="20"/>
              </w:rPr>
              <w:t>How the resubmission addresses it</w:t>
            </w:r>
          </w:p>
        </w:tc>
      </w:tr>
      <w:tr w:rsidR="0069210B" w:rsidRPr="0069210B" w14:paraId="55869B71" w14:textId="77777777" w:rsidTr="0F1D33A4">
        <w:trPr>
          <w:cantSplit/>
        </w:trPr>
        <w:tc>
          <w:tcPr>
            <w:tcW w:w="845" w:type="pct"/>
            <w:tcBorders>
              <w:top w:val="single" w:sz="4" w:space="0" w:color="auto"/>
              <w:left w:val="single" w:sz="4" w:space="0" w:color="auto"/>
              <w:bottom w:val="single" w:sz="4" w:space="0" w:color="auto"/>
              <w:right w:val="single" w:sz="4" w:space="0" w:color="auto"/>
            </w:tcBorders>
            <w:hideMark/>
          </w:tcPr>
          <w:p w14:paraId="77FD7A17" w14:textId="77777777" w:rsidR="0069210B" w:rsidRPr="0069210B" w:rsidRDefault="0069210B" w:rsidP="0069210B">
            <w:pPr>
              <w:contextualSpacing/>
              <w:rPr>
                <w:rFonts w:ascii="Arial Narrow" w:hAnsi="Arial Narrow"/>
                <w:bCs/>
                <w:snapToGrid w:val="0"/>
                <w:sz w:val="20"/>
                <w:szCs w:val="20"/>
              </w:rPr>
            </w:pPr>
            <w:r w:rsidRPr="0069210B">
              <w:rPr>
                <w:rFonts w:ascii="Arial Narrow" w:hAnsi="Arial Narrow"/>
                <w:bCs/>
                <w:snapToGrid w:val="0"/>
                <w:sz w:val="20"/>
                <w:szCs w:val="20"/>
              </w:rPr>
              <w:t>Proposed listing</w:t>
            </w:r>
          </w:p>
        </w:tc>
        <w:tc>
          <w:tcPr>
            <w:tcW w:w="2170" w:type="pct"/>
            <w:tcBorders>
              <w:top w:val="single" w:sz="4" w:space="0" w:color="auto"/>
              <w:left w:val="single" w:sz="4" w:space="0" w:color="auto"/>
              <w:bottom w:val="single" w:sz="4" w:space="0" w:color="auto"/>
              <w:right w:val="single" w:sz="4" w:space="0" w:color="auto"/>
            </w:tcBorders>
            <w:hideMark/>
          </w:tcPr>
          <w:p w14:paraId="5241C8FA" w14:textId="484CE3E2" w:rsidR="0069210B" w:rsidRPr="0069210B" w:rsidRDefault="0069210B" w:rsidP="0069210B">
            <w:pPr>
              <w:contextualSpacing/>
              <w:rPr>
                <w:rFonts w:ascii="Arial Narrow" w:hAnsi="Arial Narrow"/>
                <w:bCs/>
                <w:snapToGrid w:val="0"/>
                <w:sz w:val="20"/>
                <w:szCs w:val="20"/>
              </w:rPr>
            </w:pPr>
            <w:r w:rsidRPr="0069210B">
              <w:rPr>
                <w:rFonts w:ascii="Arial Narrow" w:hAnsi="Arial Narrow"/>
                <w:bCs/>
                <w:snapToGrid w:val="0"/>
                <w:sz w:val="20"/>
                <w:szCs w:val="20"/>
              </w:rPr>
              <w:t xml:space="preserve">ELN criteria for response in PV (updated 2013) included more clinically relevant response definitions </w:t>
            </w:r>
            <w:r w:rsidRPr="0069210B">
              <w:rPr>
                <w:rFonts w:ascii="Arial Narrow" w:hAnsi="Arial Narrow"/>
                <w:snapToGrid w:val="0"/>
                <w:sz w:val="20"/>
                <w:szCs w:val="20"/>
              </w:rPr>
              <w:t>(Para 7.2, Nov 2019</w:t>
            </w:r>
            <w:r w:rsidR="00F87B86">
              <w:rPr>
                <w:rFonts w:ascii="Arial Narrow" w:hAnsi="Arial Narrow"/>
                <w:snapToGrid w:val="0"/>
                <w:sz w:val="20"/>
                <w:szCs w:val="20"/>
              </w:rPr>
              <w:t xml:space="preserve"> Public Summary Document</w:t>
            </w:r>
            <w:r w:rsidRPr="0069210B">
              <w:rPr>
                <w:rFonts w:ascii="Arial Narrow" w:hAnsi="Arial Narrow"/>
                <w:snapToGrid w:val="0"/>
                <w:sz w:val="20"/>
                <w:szCs w:val="20"/>
              </w:rPr>
              <w:t xml:space="preserve"> </w:t>
            </w:r>
            <w:r w:rsidR="00F87B86">
              <w:rPr>
                <w:rFonts w:ascii="Arial Narrow" w:hAnsi="Arial Narrow"/>
                <w:snapToGrid w:val="0"/>
                <w:sz w:val="20"/>
                <w:szCs w:val="20"/>
              </w:rPr>
              <w:t>(</w:t>
            </w:r>
            <w:r w:rsidRPr="0069210B">
              <w:rPr>
                <w:rFonts w:ascii="Arial Narrow" w:hAnsi="Arial Narrow"/>
                <w:snapToGrid w:val="0"/>
                <w:sz w:val="20"/>
                <w:szCs w:val="20"/>
              </w:rPr>
              <w:t>PSD)</w:t>
            </w:r>
            <w:r w:rsidR="00F87B86">
              <w:rPr>
                <w:rFonts w:ascii="Arial Narrow" w:hAnsi="Arial Narrow"/>
                <w:snapToGrid w:val="0"/>
                <w:sz w:val="20"/>
                <w:szCs w:val="20"/>
              </w:rPr>
              <w:t>)</w:t>
            </w:r>
            <w:r w:rsidRPr="0069210B">
              <w:rPr>
                <w:rFonts w:ascii="Arial Narrow" w:hAnsi="Arial Narrow"/>
                <w:snapToGrid w:val="0"/>
                <w:sz w:val="20"/>
                <w:szCs w:val="20"/>
              </w:rPr>
              <w:t>.</w:t>
            </w:r>
          </w:p>
        </w:tc>
        <w:tc>
          <w:tcPr>
            <w:tcW w:w="1985" w:type="pct"/>
            <w:tcBorders>
              <w:top w:val="single" w:sz="4" w:space="0" w:color="auto"/>
              <w:left w:val="single" w:sz="4" w:space="0" w:color="auto"/>
              <w:bottom w:val="single" w:sz="4" w:space="0" w:color="auto"/>
              <w:right w:val="single" w:sz="4" w:space="0" w:color="auto"/>
            </w:tcBorders>
            <w:hideMark/>
          </w:tcPr>
          <w:p w14:paraId="40C80C24" w14:textId="274FEF75" w:rsidR="0069210B" w:rsidRPr="006124A7" w:rsidRDefault="0069210B" w:rsidP="0069210B">
            <w:pPr>
              <w:contextualSpacing/>
              <w:rPr>
                <w:rFonts w:ascii="Arial Narrow" w:hAnsi="Arial Narrow"/>
                <w:bCs/>
                <w:snapToGrid w:val="0"/>
                <w:sz w:val="20"/>
                <w:szCs w:val="20"/>
              </w:rPr>
            </w:pPr>
            <w:r w:rsidRPr="006124A7" w:rsidDel="00552627">
              <w:rPr>
                <w:rFonts w:ascii="Arial Narrow" w:hAnsi="Arial Narrow"/>
                <w:bCs/>
                <w:snapToGrid w:val="0"/>
                <w:sz w:val="20"/>
                <w:szCs w:val="20"/>
              </w:rPr>
              <w:t>Addressed</w:t>
            </w:r>
            <w:r w:rsidRPr="006124A7">
              <w:rPr>
                <w:rFonts w:ascii="Arial Narrow" w:hAnsi="Arial Narrow"/>
                <w:bCs/>
                <w:snapToGrid w:val="0"/>
                <w:sz w:val="20"/>
                <w:szCs w:val="20"/>
              </w:rPr>
              <w:t xml:space="preserve">. Resubmission response criteria have incorporated modified response criteria (per </w:t>
            </w:r>
            <w:r w:rsidR="00B1285C" w:rsidRPr="006124A7">
              <w:rPr>
                <w:rFonts w:ascii="Arial Narrow" w:hAnsi="Arial Narrow"/>
                <w:bCs/>
                <w:snapToGrid w:val="0"/>
                <w:sz w:val="20"/>
                <w:szCs w:val="20"/>
              </w:rPr>
              <w:t>P</w:t>
            </w:r>
            <w:r w:rsidRPr="006124A7">
              <w:rPr>
                <w:rFonts w:ascii="Arial Narrow" w:hAnsi="Arial Narrow"/>
                <w:snapToGrid w:val="0"/>
                <w:sz w:val="20"/>
                <w:szCs w:val="20"/>
              </w:rPr>
              <w:t>ara 7.2, Nov 2019 PSD)</w:t>
            </w:r>
            <w:r w:rsidRPr="006124A7">
              <w:rPr>
                <w:rFonts w:ascii="Arial Narrow" w:hAnsi="Arial Narrow"/>
                <w:bCs/>
                <w:snapToGrid w:val="0"/>
                <w:sz w:val="20"/>
                <w:szCs w:val="20"/>
              </w:rPr>
              <w:t xml:space="preserve"> now referring to 'absence of palpable splenomegaly'; WBC counts </w:t>
            </w:r>
            <w:r w:rsidR="00F915F4">
              <w:rPr>
                <w:rFonts w:ascii="Arial Narrow" w:hAnsi="Arial Narrow"/>
                <w:bCs/>
                <w:snapToGrid w:val="0"/>
                <w:sz w:val="20"/>
                <w:szCs w:val="20"/>
              </w:rPr>
              <w:t>were</w:t>
            </w:r>
            <w:r w:rsidR="00F915F4" w:rsidRPr="006124A7">
              <w:rPr>
                <w:rFonts w:ascii="Arial Narrow" w:hAnsi="Arial Narrow"/>
                <w:bCs/>
                <w:snapToGrid w:val="0"/>
                <w:sz w:val="20"/>
                <w:szCs w:val="20"/>
              </w:rPr>
              <w:t xml:space="preserve"> </w:t>
            </w:r>
            <w:r w:rsidRPr="006124A7">
              <w:rPr>
                <w:rFonts w:ascii="Arial Narrow" w:hAnsi="Arial Narrow"/>
                <w:bCs/>
                <w:snapToGrid w:val="0"/>
                <w:sz w:val="20"/>
                <w:szCs w:val="20"/>
              </w:rPr>
              <w:t>excluded.</w:t>
            </w:r>
          </w:p>
        </w:tc>
      </w:tr>
      <w:tr w:rsidR="0069210B" w:rsidRPr="0069210B" w14:paraId="24D33923" w14:textId="77777777" w:rsidTr="0F1D33A4">
        <w:trPr>
          <w:cantSplit/>
        </w:trPr>
        <w:tc>
          <w:tcPr>
            <w:tcW w:w="845" w:type="pct"/>
            <w:tcBorders>
              <w:top w:val="single" w:sz="4" w:space="0" w:color="auto"/>
              <w:left w:val="single" w:sz="4" w:space="0" w:color="auto"/>
              <w:bottom w:val="single" w:sz="4" w:space="0" w:color="auto"/>
              <w:right w:val="single" w:sz="4" w:space="0" w:color="auto"/>
            </w:tcBorders>
            <w:hideMark/>
          </w:tcPr>
          <w:p w14:paraId="28061A24" w14:textId="77777777" w:rsidR="0069210B" w:rsidRPr="0069210B" w:rsidRDefault="0069210B" w:rsidP="0069210B">
            <w:pPr>
              <w:contextualSpacing/>
              <w:rPr>
                <w:rFonts w:ascii="Arial Narrow" w:hAnsi="Arial Narrow"/>
                <w:bCs/>
                <w:snapToGrid w:val="0"/>
                <w:sz w:val="20"/>
                <w:szCs w:val="20"/>
              </w:rPr>
            </w:pPr>
            <w:r w:rsidRPr="0069210B">
              <w:rPr>
                <w:rFonts w:ascii="Arial Narrow" w:hAnsi="Arial Narrow"/>
                <w:bCs/>
                <w:snapToGrid w:val="0"/>
                <w:sz w:val="20"/>
                <w:szCs w:val="20"/>
              </w:rPr>
              <w:t>Clinical place in therapy</w:t>
            </w:r>
          </w:p>
        </w:tc>
        <w:tc>
          <w:tcPr>
            <w:tcW w:w="2170" w:type="pct"/>
            <w:tcBorders>
              <w:top w:val="single" w:sz="4" w:space="0" w:color="auto"/>
              <w:left w:val="single" w:sz="4" w:space="0" w:color="auto"/>
              <w:bottom w:val="single" w:sz="4" w:space="0" w:color="auto"/>
              <w:right w:val="single" w:sz="4" w:space="0" w:color="auto"/>
            </w:tcBorders>
            <w:hideMark/>
          </w:tcPr>
          <w:p w14:paraId="0D2593A0" w14:textId="77777777" w:rsidR="0069210B" w:rsidRPr="0069210B" w:rsidRDefault="0069210B" w:rsidP="0910F2D2">
            <w:pPr>
              <w:contextualSpacing/>
              <w:rPr>
                <w:rFonts w:ascii="Arial Narrow" w:hAnsi="Arial Narrow"/>
                <w:snapToGrid w:val="0"/>
                <w:sz w:val="20"/>
                <w:szCs w:val="20"/>
              </w:rPr>
            </w:pPr>
            <w:r w:rsidRPr="0910F2D2">
              <w:rPr>
                <w:rFonts w:ascii="Arial Narrow" w:hAnsi="Arial Narrow"/>
                <w:snapToGrid w:val="0"/>
                <w:sz w:val="20"/>
                <w:szCs w:val="20"/>
              </w:rPr>
              <w:t>The clinical place of ruxolitinib should be for patients who have failed treatment with other available therapies and/or for those with extreme pruritus or symptoms of splenomegaly (Para 7.3, Nov 2019 PSD).</w:t>
            </w:r>
          </w:p>
        </w:tc>
        <w:tc>
          <w:tcPr>
            <w:tcW w:w="1985" w:type="pct"/>
            <w:tcBorders>
              <w:top w:val="single" w:sz="4" w:space="0" w:color="auto"/>
              <w:left w:val="single" w:sz="4" w:space="0" w:color="auto"/>
              <w:bottom w:val="single" w:sz="4" w:space="0" w:color="auto"/>
              <w:right w:val="single" w:sz="4" w:space="0" w:color="auto"/>
            </w:tcBorders>
            <w:hideMark/>
          </w:tcPr>
          <w:p w14:paraId="759D0B9B" w14:textId="5CB4B776" w:rsidR="00F67FB5" w:rsidRPr="00F67FB5" w:rsidRDefault="0069210B" w:rsidP="0069210B">
            <w:pPr>
              <w:contextualSpacing/>
              <w:rPr>
                <w:rFonts w:ascii="Arial Narrow" w:hAnsi="Arial Narrow"/>
                <w:bCs/>
                <w:i/>
                <w:iCs/>
                <w:snapToGrid w:val="0"/>
                <w:sz w:val="20"/>
                <w:szCs w:val="20"/>
              </w:rPr>
            </w:pPr>
            <w:r w:rsidRPr="006124A7">
              <w:rPr>
                <w:rFonts w:ascii="Arial Narrow" w:hAnsi="Arial Narrow"/>
                <w:bCs/>
                <w:snapToGrid w:val="0"/>
                <w:sz w:val="20"/>
                <w:szCs w:val="20"/>
              </w:rPr>
              <w:t xml:space="preserve">Not addressed – the resubmission argued advisory board feedback recommended against specifying patients with extreme pruritus or symptoms of splenomegaly. The resubmission did not assume patients with HC/HU resistance or intolerance </w:t>
            </w:r>
            <w:r w:rsidR="000C62B9">
              <w:rPr>
                <w:rFonts w:ascii="Arial Narrow" w:hAnsi="Arial Narrow"/>
                <w:bCs/>
                <w:snapToGrid w:val="0"/>
                <w:sz w:val="20"/>
                <w:szCs w:val="20"/>
              </w:rPr>
              <w:t>would</w:t>
            </w:r>
            <w:r w:rsidR="000C62B9" w:rsidRPr="006124A7">
              <w:rPr>
                <w:rFonts w:ascii="Arial Narrow" w:hAnsi="Arial Narrow"/>
                <w:bCs/>
                <w:snapToGrid w:val="0"/>
                <w:sz w:val="20"/>
                <w:szCs w:val="20"/>
              </w:rPr>
              <w:t xml:space="preserve"> </w:t>
            </w:r>
            <w:r w:rsidRPr="006124A7">
              <w:rPr>
                <w:rFonts w:ascii="Arial Narrow" w:hAnsi="Arial Narrow"/>
                <w:bCs/>
                <w:snapToGrid w:val="0"/>
                <w:sz w:val="20"/>
                <w:szCs w:val="20"/>
              </w:rPr>
              <w:t>have failed peginterferon a-2a</w:t>
            </w:r>
            <w:r w:rsidR="00D54061" w:rsidRPr="006124A7">
              <w:rPr>
                <w:rFonts w:ascii="Arial Narrow" w:hAnsi="Arial Narrow"/>
                <w:bCs/>
                <w:snapToGrid w:val="0"/>
                <w:sz w:val="20"/>
                <w:szCs w:val="20"/>
              </w:rPr>
              <w:t>.</w:t>
            </w:r>
            <w:r w:rsidR="00D54061" w:rsidRPr="006124A7" w:rsidDel="00D54061">
              <w:rPr>
                <w:rFonts w:ascii="Arial Narrow" w:hAnsi="Arial Narrow"/>
                <w:bCs/>
                <w:snapToGrid w:val="0"/>
                <w:sz w:val="20"/>
                <w:szCs w:val="20"/>
              </w:rPr>
              <w:t xml:space="preserve"> </w:t>
            </w:r>
          </w:p>
        </w:tc>
      </w:tr>
      <w:tr w:rsidR="0069210B" w:rsidRPr="0069210B" w14:paraId="34B70E08" w14:textId="77777777" w:rsidTr="0F1D33A4">
        <w:trPr>
          <w:cantSplit/>
        </w:trPr>
        <w:tc>
          <w:tcPr>
            <w:tcW w:w="845" w:type="pct"/>
            <w:tcBorders>
              <w:top w:val="single" w:sz="4" w:space="0" w:color="auto"/>
              <w:left w:val="single" w:sz="4" w:space="0" w:color="auto"/>
              <w:bottom w:val="single" w:sz="4" w:space="0" w:color="auto"/>
              <w:right w:val="single" w:sz="4" w:space="0" w:color="auto"/>
            </w:tcBorders>
            <w:hideMark/>
          </w:tcPr>
          <w:p w14:paraId="5643C90F" w14:textId="77777777" w:rsidR="0069210B" w:rsidRPr="0069210B" w:rsidRDefault="0069210B" w:rsidP="0069210B">
            <w:pPr>
              <w:spacing w:after="120"/>
              <w:contextualSpacing/>
              <w:rPr>
                <w:rFonts w:ascii="Arial Narrow" w:hAnsi="Arial Narrow"/>
                <w:bCs/>
                <w:snapToGrid w:val="0"/>
                <w:sz w:val="20"/>
                <w:szCs w:val="20"/>
              </w:rPr>
            </w:pPr>
            <w:r w:rsidRPr="0069210B">
              <w:rPr>
                <w:rFonts w:ascii="Arial Narrow" w:hAnsi="Arial Narrow"/>
                <w:bCs/>
                <w:snapToGrid w:val="0"/>
                <w:sz w:val="20"/>
                <w:szCs w:val="20"/>
              </w:rPr>
              <w:t>Clinical effectiveness</w:t>
            </w:r>
          </w:p>
        </w:tc>
        <w:tc>
          <w:tcPr>
            <w:tcW w:w="2170" w:type="pct"/>
            <w:tcBorders>
              <w:top w:val="single" w:sz="4" w:space="0" w:color="auto"/>
              <w:left w:val="single" w:sz="4" w:space="0" w:color="auto"/>
              <w:bottom w:val="single" w:sz="4" w:space="0" w:color="auto"/>
              <w:right w:val="single" w:sz="4" w:space="0" w:color="auto"/>
            </w:tcBorders>
            <w:hideMark/>
          </w:tcPr>
          <w:p w14:paraId="01851A05" w14:textId="77777777" w:rsidR="0069210B" w:rsidRPr="0069210B" w:rsidRDefault="0069210B" w:rsidP="0069210B">
            <w:pPr>
              <w:spacing w:after="120"/>
              <w:contextualSpacing/>
              <w:rPr>
                <w:rFonts w:ascii="Arial Narrow" w:hAnsi="Arial Narrow"/>
                <w:snapToGrid w:val="0"/>
                <w:sz w:val="20"/>
                <w:szCs w:val="20"/>
              </w:rPr>
            </w:pPr>
            <w:r w:rsidRPr="0069210B">
              <w:rPr>
                <w:rFonts w:ascii="Arial Narrow" w:hAnsi="Arial Narrow"/>
                <w:bCs/>
                <w:snapToGrid w:val="0"/>
                <w:sz w:val="20"/>
                <w:szCs w:val="20"/>
              </w:rPr>
              <w:t xml:space="preserve">MAJIC did not support a benefit for clinically relevant outcomes or OS </w:t>
            </w:r>
            <w:r w:rsidRPr="0069210B">
              <w:rPr>
                <w:rFonts w:ascii="Arial Narrow" w:hAnsi="Arial Narrow"/>
                <w:snapToGrid w:val="0"/>
                <w:sz w:val="20"/>
                <w:szCs w:val="20"/>
              </w:rPr>
              <w:t>(Para 7.1, Nov 2019 PSD).</w:t>
            </w:r>
          </w:p>
          <w:p w14:paraId="6A43F5ED" w14:textId="77777777" w:rsidR="0069210B" w:rsidRPr="0069210B" w:rsidRDefault="0069210B" w:rsidP="0069210B">
            <w:pPr>
              <w:spacing w:after="120"/>
              <w:contextualSpacing/>
              <w:rPr>
                <w:rFonts w:ascii="Arial Narrow" w:hAnsi="Arial Narrow"/>
                <w:snapToGrid w:val="0"/>
                <w:sz w:val="20"/>
                <w:szCs w:val="20"/>
              </w:rPr>
            </w:pPr>
            <w:r w:rsidRPr="0069210B">
              <w:rPr>
                <w:rFonts w:ascii="Arial Narrow" w:hAnsi="Arial Narrow"/>
                <w:snapToGrid w:val="0"/>
                <w:sz w:val="20"/>
                <w:szCs w:val="20"/>
              </w:rPr>
              <w:t>The association between response and relevant clinical outcomes (thrombosis, haemorrhage, transformation to MF or AML, and OS) was not supported by the available evidence (Para 7.6 Nov 2019 PSD).</w:t>
            </w:r>
          </w:p>
          <w:p w14:paraId="4C3E6335" w14:textId="449E40E9" w:rsidR="0069210B" w:rsidRPr="0069210B" w:rsidRDefault="0069210B" w:rsidP="0F1D33A4">
            <w:pPr>
              <w:spacing w:after="120"/>
              <w:contextualSpacing/>
              <w:rPr>
                <w:rFonts w:ascii="Arial Narrow" w:hAnsi="Arial Narrow"/>
                <w:snapToGrid w:val="0"/>
                <w:sz w:val="20"/>
                <w:szCs w:val="20"/>
              </w:rPr>
            </w:pPr>
            <w:r w:rsidRPr="0F1D33A4">
              <w:rPr>
                <w:rFonts w:ascii="Arial Narrow" w:hAnsi="Arial Narrow"/>
                <w:snapToGrid w:val="0"/>
                <w:sz w:val="20"/>
                <w:szCs w:val="20"/>
              </w:rPr>
              <w:t xml:space="preserve">RESPONSE trials indicated that </w:t>
            </w:r>
            <w:r w:rsidR="007E6797" w:rsidRPr="0F1D33A4">
              <w:rPr>
                <w:rFonts w:ascii="Arial Narrow" w:hAnsi="Arial Narrow"/>
                <w:snapToGrid w:val="0"/>
                <w:sz w:val="20"/>
                <w:szCs w:val="20"/>
              </w:rPr>
              <w:t>venesections</w:t>
            </w:r>
            <w:r w:rsidRPr="0F1D33A4">
              <w:rPr>
                <w:rFonts w:ascii="Arial Narrow" w:hAnsi="Arial Narrow"/>
                <w:snapToGrid w:val="0"/>
                <w:sz w:val="20"/>
                <w:szCs w:val="20"/>
              </w:rPr>
              <w:t xml:space="preserve"> and thrombotic events were relevant clinical outcomes for PV patients (Para 7.10 Nov 2019 PSD).</w:t>
            </w:r>
          </w:p>
          <w:p w14:paraId="1070D2F4" w14:textId="77777777" w:rsidR="0069210B" w:rsidRPr="0069210B" w:rsidRDefault="0069210B" w:rsidP="0069210B">
            <w:pPr>
              <w:spacing w:after="120"/>
              <w:contextualSpacing/>
              <w:rPr>
                <w:rFonts w:ascii="Arial Narrow" w:hAnsi="Arial Narrow"/>
                <w:snapToGrid w:val="0"/>
                <w:sz w:val="20"/>
                <w:szCs w:val="20"/>
              </w:rPr>
            </w:pPr>
            <w:r w:rsidRPr="0069210B">
              <w:rPr>
                <w:rFonts w:ascii="Arial Narrow" w:hAnsi="Arial Narrow"/>
                <w:snapToGrid w:val="0"/>
                <w:sz w:val="20"/>
                <w:szCs w:val="20"/>
              </w:rPr>
              <w:t>The claim of superior comparative effectiveness not adequately supported (Para 7.11 Nov 2019 PSD).</w:t>
            </w:r>
          </w:p>
          <w:p w14:paraId="5359A74B" w14:textId="77777777" w:rsidR="0069210B" w:rsidRPr="0069210B" w:rsidRDefault="0069210B" w:rsidP="0F1D33A4">
            <w:pPr>
              <w:spacing w:after="120"/>
              <w:contextualSpacing/>
              <w:rPr>
                <w:rFonts w:ascii="Arial Narrow" w:hAnsi="Arial Narrow"/>
                <w:snapToGrid w:val="0"/>
                <w:sz w:val="20"/>
                <w:szCs w:val="20"/>
              </w:rPr>
            </w:pPr>
            <w:r w:rsidRPr="0F1D33A4">
              <w:rPr>
                <w:rFonts w:ascii="Arial Narrow" w:hAnsi="Arial Narrow"/>
                <w:snapToGrid w:val="0"/>
                <w:sz w:val="20"/>
                <w:szCs w:val="20"/>
              </w:rPr>
              <w:t xml:space="preserve">Results for DoR from MAJIC were unreliable due limited follow-up beyond 2 years (Para 7.7, Nov 2019 PSD). </w:t>
            </w:r>
          </w:p>
        </w:tc>
        <w:tc>
          <w:tcPr>
            <w:tcW w:w="1985" w:type="pct"/>
            <w:tcBorders>
              <w:top w:val="single" w:sz="4" w:space="0" w:color="auto"/>
              <w:left w:val="single" w:sz="4" w:space="0" w:color="auto"/>
              <w:bottom w:val="single" w:sz="4" w:space="0" w:color="auto"/>
              <w:right w:val="single" w:sz="4" w:space="0" w:color="auto"/>
            </w:tcBorders>
            <w:hideMark/>
          </w:tcPr>
          <w:p w14:paraId="3173BB1E" w14:textId="77777777" w:rsidR="0069210B" w:rsidRPr="006124A7" w:rsidRDefault="0069210B" w:rsidP="0069210B">
            <w:pPr>
              <w:spacing w:after="120"/>
              <w:contextualSpacing/>
              <w:rPr>
                <w:rFonts w:ascii="Arial Narrow" w:hAnsi="Arial Narrow"/>
                <w:bCs/>
                <w:snapToGrid w:val="0"/>
                <w:sz w:val="20"/>
                <w:szCs w:val="20"/>
              </w:rPr>
            </w:pPr>
            <w:r w:rsidRPr="006124A7">
              <w:rPr>
                <w:rFonts w:ascii="Arial Narrow" w:hAnsi="Arial Narrow"/>
                <w:bCs/>
                <w:snapToGrid w:val="0"/>
                <w:sz w:val="20"/>
                <w:szCs w:val="20"/>
              </w:rPr>
              <w:t>Partially addressed. The resubmission presented updated results for MAJIC, RESPONSE and RESPONSE-2 trials. Median follow-up was partially reported:</w:t>
            </w:r>
          </w:p>
          <w:p w14:paraId="3FDE43B1" w14:textId="77777777" w:rsidR="0069210B" w:rsidRPr="006124A7" w:rsidRDefault="0069210B" w:rsidP="0069210B">
            <w:pPr>
              <w:spacing w:after="120"/>
              <w:contextualSpacing/>
              <w:rPr>
                <w:rFonts w:ascii="Arial Narrow" w:hAnsi="Arial Narrow"/>
                <w:bCs/>
                <w:snapToGrid w:val="0"/>
                <w:sz w:val="20"/>
                <w:szCs w:val="20"/>
                <w:lang w:val="fr-CA"/>
              </w:rPr>
            </w:pPr>
            <w:r w:rsidRPr="006124A7">
              <w:rPr>
                <w:rFonts w:ascii="Arial Narrow" w:hAnsi="Arial Narrow"/>
                <w:bCs/>
                <w:snapToGrid w:val="0"/>
                <w:sz w:val="20"/>
                <w:szCs w:val="20"/>
              </w:rPr>
              <w:t xml:space="preserve">MAJIC: 4.8 y (range n.r.) </w:t>
            </w:r>
            <w:r w:rsidRPr="006124A7">
              <w:rPr>
                <w:rFonts w:ascii="Arial Narrow" w:hAnsi="Arial Narrow"/>
                <w:bCs/>
                <w:snapToGrid w:val="0"/>
                <w:sz w:val="20"/>
                <w:szCs w:val="20"/>
                <w:lang w:val="fr-CA"/>
              </w:rPr>
              <w:t>[4.9 y (ruxolitinib arm) (range n.r.); 4.8 y (BAT arm) (range n.r.)]</w:t>
            </w:r>
          </w:p>
          <w:p w14:paraId="4CD7B651" w14:textId="77777777" w:rsidR="0069210B" w:rsidRPr="006124A7" w:rsidRDefault="0069210B" w:rsidP="0F1D33A4">
            <w:pPr>
              <w:spacing w:after="120"/>
              <w:contextualSpacing/>
              <w:rPr>
                <w:rFonts w:ascii="Arial Narrow" w:hAnsi="Arial Narrow"/>
                <w:snapToGrid w:val="0"/>
                <w:sz w:val="20"/>
                <w:szCs w:val="20"/>
              </w:rPr>
            </w:pPr>
            <w:r w:rsidRPr="0F1D33A4">
              <w:rPr>
                <w:rFonts w:ascii="Arial Narrow" w:hAnsi="Arial Narrow"/>
                <w:snapToGrid w:val="0"/>
                <w:sz w:val="20"/>
                <w:szCs w:val="20"/>
              </w:rPr>
              <w:t>RESPONSE: median n.r. (range n.r)</w:t>
            </w:r>
          </w:p>
          <w:p w14:paraId="0A7A132D" w14:textId="77777777" w:rsidR="0069210B" w:rsidRPr="006124A7" w:rsidRDefault="0069210B" w:rsidP="0F1D33A4">
            <w:pPr>
              <w:spacing w:after="120"/>
              <w:contextualSpacing/>
              <w:rPr>
                <w:rFonts w:ascii="Arial Narrow" w:hAnsi="Arial Narrow"/>
                <w:snapToGrid w:val="0"/>
                <w:sz w:val="20"/>
                <w:szCs w:val="20"/>
              </w:rPr>
            </w:pPr>
            <w:r w:rsidRPr="0F1D33A4">
              <w:rPr>
                <w:rFonts w:ascii="Arial Narrow" w:hAnsi="Arial Narrow"/>
                <w:snapToGrid w:val="0"/>
                <w:sz w:val="20"/>
                <w:szCs w:val="20"/>
              </w:rPr>
              <w:t>RESPONSE-2: 67 mo (IQR: 65-70 mo)</w:t>
            </w:r>
          </w:p>
          <w:p w14:paraId="083E5F59" w14:textId="77777777" w:rsidR="0069210B" w:rsidRPr="006124A7" w:rsidRDefault="0069210B" w:rsidP="0069210B">
            <w:pPr>
              <w:spacing w:after="120"/>
              <w:contextualSpacing/>
              <w:rPr>
                <w:rFonts w:ascii="Arial Narrow" w:hAnsi="Arial Narrow"/>
                <w:bCs/>
                <w:snapToGrid w:val="0"/>
                <w:sz w:val="20"/>
                <w:szCs w:val="20"/>
              </w:rPr>
            </w:pPr>
          </w:p>
          <w:p w14:paraId="299B030F" w14:textId="77777777" w:rsidR="0069210B" w:rsidRDefault="0069210B" w:rsidP="0069210B">
            <w:pPr>
              <w:spacing w:after="120"/>
              <w:contextualSpacing/>
              <w:rPr>
                <w:rFonts w:ascii="Arial Narrow" w:hAnsi="Arial Narrow"/>
                <w:bCs/>
                <w:snapToGrid w:val="0"/>
                <w:sz w:val="20"/>
                <w:szCs w:val="20"/>
              </w:rPr>
            </w:pPr>
            <w:r w:rsidRPr="006124A7">
              <w:rPr>
                <w:rFonts w:ascii="Arial Narrow" w:hAnsi="Arial Narrow"/>
                <w:bCs/>
                <w:snapToGrid w:val="0"/>
                <w:sz w:val="20"/>
                <w:szCs w:val="20"/>
              </w:rPr>
              <w:t>However,</w:t>
            </w:r>
            <w:r w:rsidRPr="006124A7" w:rsidDel="00924553">
              <w:rPr>
                <w:rFonts w:ascii="Arial Narrow" w:hAnsi="Arial Narrow"/>
                <w:bCs/>
                <w:snapToGrid w:val="0"/>
                <w:sz w:val="20"/>
                <w:szCs w:val="20"/>
              </w:rPr>
              <w:t xml:space="preserve"> </w:t>
            </w:r>
            <w:r w:rsidRPr="006124A7">
              <w:rPr>
                <w:rFonts w:ascii="Arial Narrow" w:hAnsi="Arial Narrow"/>
                <w:bCs/>
                <w:snapToGrid w:val="0"/>
                <w:sz w:val="20"/>
                <w:szCs w:val="20"/>
              </w:rPr>
              <w:t>updated data for EFS, PFS, OS and haemorrhagic events showed no statistically significant differences across treatment arms. EFS was a post hoc outcome for MAJIC newly presented in this resubmission.</w:t>
            </w:r>
          </w:p>
          <w:p w14:paraId="5BDC7D12" w14:textId="13637B59" w:rsidR="004C2A8E" w:rsidRPr="007265D8" w:rsidRDefault="004C2A8E" w:rsidP="0069210B">
            <w:pPr>
              <w:spacing w:after="120"/>
              <w:contextualSpacing/>
              <w:rPr>
                <w:rFonts w:ascii="Arial Narrow" w:hAnsi="Arial Narrow"/>
                <w:bCs/>
                <w:i/>
                <w:iCs/>
                <w:snapToGrid w:val="0"/>
                <w:sz w:val="20"/>
                <w:szCs w:val="20"/>
              </w:rPr>
            </w:pPr>
          </w:p>
        </w:tc>
      </w:tr>
      <w:tr w:rsidR="0069210B" w:rsidRPr="0069210B" w14:paraId="3FC7321B" w14:textId="77777777" w:rsidTr="0F1D33A4">
        <w:trPr>
          <w:cantSplit/>
        </w:trPr>
        <w:tc>
          <w:tcPr>
            <w:tcW w:w="845" w:type="pct"/>
            <w:tcBorders>
              <w:top w:val="single" w:sz="4" w:space="0" w:color="auto"/>
              <w:left w:val="single" w:sz="4" w:space="0" w:color="auto"/>
              <w:bottom w:val="single" w:sz="4" w:space="0" w:color="auto"/>
              <w:right w:val="single" w:sz="4" w:space="0" w:color="auto"/>
            </w:tcBorders>
            <w:hideMark/>
          </w:tcPr>
          <w:p w14:paraId="6DA2115C" w14:textId="77777777" w:rsidR="0069210B" w:rsidRPr="0069210B" w:rsidRDefault="0069210B" w:rsidP="0069210B">
            <w:pPr>
              <w:contextualSpacing/>
              <w:rPr>
                <w:rFonts w:ascii="Arial Narrow" w:hAnsi="Arial Narrow"/>
                <w:bCs/>
                <w:snapToGrid w:val="0"/>
                <w:sz w:val="20"/>
                <w:szCs w:val="20"/>
              </w:rPr>
            </w:pPr>
            <w:r w:rsidRPr="0069210B">
              <w:rPr>
                <w:rFonts w:ascii="Arial Narrow" w:hAnsi="Arial Narrow"/>
                <w:bCs/>
                <w:snapToGrid w:val="0"/>
                <w:sz w:val="20"/>
                <w:szCs w:val="20"/>
              </w:rPr>
              <w:t>Clinical effectiveness</w:t>
            </w:r>
          </w:p>
        </w:tc>
        <w:tc>
          <w:tcPr>
            <w:tcW w:w="2170" w:type="pct"/>
            <w:tcBorders>
              <w:top w:val="single" w:sz="4" w:space="0" w:color="auto"/>
              <w:left w:val="single" w:sz="4" w:space="0" w:color="auto"/>
              <w:bottom w:val="single" w:sz="4" w:space="0" w:color="auto"/>
              <w:right w:val="single" w:sz="4" w:space="0" w:color="auto"/>
            </w:tcBorders>
            <w:hideMark/>
          </w:tcPr>
          <w:p w14:paraId="7D80E90F" w14:textId="77777777" w:rsidR="0069210B" w:rsidRPr="0069210B" w:rsidRDefault="0069210B" w:rsidP="0F1D33A4">
            <w:pPr>
              <w:contextualSpacing/>
              <w:rPr>
                <w:rFonts w:ascii="Arial Narrow" w:hAnsi="Arial Narrow"/>
                <w:snapToGrid w:val="0"/>
                <w:sz w:val="20"/>
                <w:szCs w:val="20"/>
              </w:rPr>
            </w:pPr>
            <w:r w:rsidRPr="0F1D33A4">
              <w:rPr>
                <w:rFonts w:ascii="Arial Narrow" w:hAnsi="Arial Narrow"/>
                <w:snapToGrid w:val="0"/>
                <w:sz w:val="20"/>
                <w:szCs w:val="20"/>
              </w:rPr>
              <w:t>The pivotal trial (MAJIC) was considered unreliable given high risk of bias […], open label design, limited median follow-up of 2.6 y, DoR secondary outcome not clearly defined, limited safety data, and no magnitude of effect on patient-reported symptoms (Para 7.5, Nov 2019 PSD).</w:t>
            </w:r>
          </w:p>
        </w:tc>
        <w:tc>
          <w:tcPr>
            <w:tcW w:w="1985" w:type="pct"/>
            <w:tcBorders>
              <w:top w:val="single" w:sz="4" w:space="0" w:color="auto"/>
              <w:left w:val="single" w:sz="4" w:space="0" w:color="auto"/>
              <w:bottom w:val="single" w:sz="4" w:space="0" w:color="auto"/>
              <w:right w:val="single" w:sz="4" w:space="0" w:color="auto"/>
            </w:tcBorders>
            <w:hideMark/>
          </w:tcPr>
          <w:p w14:paraId="1100F0C5" w14:textId="0C0492D3" w:rsidR="0069210B" w:rsidRDefault="0069210B" w:rsidP="0F1D33A4">
            <w:pPr>
              <w:contextualSpacing/>
              <w:rPr>
                <w:rFonts w:ascii="Arial Narrow" w:hAnsi="Arial Narrow"/>
                <w:snapToGrid w:val="0"/>
                <w:sz w:val="20"/>
                <w:szCs w:val="20"/>
              </w:rPr>
            </w:pPr>
            <w:r w:rsidRPr="0F1D33A4">
              <w:rPr>
                <w:rFonts w:ascii="Arial Narrow" w:hAnsi="Arial Narrow"/>
                <w:snapToGrid w:val="0"/>
                <w:sz w:val="20"/>
                <w:szCs w:val="20"/>
              </w:rPr>
              <w:t>Partially addressed. Resubmission presented updated results for MAJIC trial with longer follow up, and a publication and CSR, minimising the risk of selective reporting bias. Previous concerns regarding the open label design and definition of duration of response remain.</w:t>
            </w:r>
          </w:p>
          <w:p w14:paraId="5579E15B" w14:textId="0FC9F2C0" w:rsidR="004C2A8E" w:rsidRPr="006124A7" w:rsidRDefault="004C2A8E" w:rsidP="0069210B">
            <w:pPr>
              <w:contextualSpacing/>
              <w:rPr>
                <w:rFonts w:ascii="Arial Narrow" w:hAnsi="Arial Narrow"/>
                <w:bCs/>
                <w:snapToGrid w:val="0"/>
                <w:sz w:val="20"/>
                <w:szCs w:val="20"/>
              </w:rPr>
            </w:pPr>
          </w:p>
        </w:tc>
      </w:tr>
      <w:tr w:rsidR="0069210B" w:rsidRPr="0069210B" w14:paraId="21627FA5" w14:textId="77777777" w:rsidTr="0F1D33A4">
        <w:trPr>
          <w:cantSplit/>
        </w:trPr>
        <w:tc>
          <w:tcPr>
            <w:tcW w:w="845" w:type="pct"/>
            <w:tcBorders>
              <w:top w:val="single" w:sz="4" w:space="0" w:color="auto"/>
              <w:left w:val="single" w:sz="4" w:space="0" w:color="auto"/>
              <w:bottom w:val="single" w:sz="4" w:space="0" w:color="auto"/>
              <w:right w:val="single" w:sz="4" w:space="0" w:color="auto"/>
            </w:tcBorders>
            <w:hideMark/>
          </w:tcPr>
          <w:p w14:paraId="57DA0BAD" w14:textId="77777777" w:rsidR="0069210B" w:rsidRPr="0069210B" w:rsidRDefault="0069210B" w:rsidP="0069210B">
            <w:pPr>
              <w:contextualSpacing/>
              <w:rPr>
                <w:rFonts w:ascii="Arial Narrow" w:hAnsi="Arial Narrow"/>
                <w:bCs/>
                <w:snapToGrid w:val="0"/>
                <w:sz w:val="20"/>
                <w:szCs w:val="20"/>
              </w:rPr>
            </w:pPr>
            <w:r w:rsidRPr="0069210B">
              <w:rPr>
                <w:rFonts w:ascii="Arial Narrow" w:hAnsi="Arial Narrow"/>
                <w:bCs/>
                <w:snapToGrid w:val="0"/>
                <w:sz w:val="20"/>
                <w:szCs w:val="20"/>
              </w:rPr>
              <w:t>Clinical effectiveness</w:t>
            </w:r>
          </w:p>
        </w:tc>
        <w:tc>
          <w:tcPr>
            <w:tcW w:w="2170" w:type="pct"/>
            <w:tcBorders>
              <w:top w:val="single" w:sz="4" w:space="0" w:color="auto"/>
              <w:left w:val="single" w:sz="4" w:space="0" w:color="auto"/>
              <w:bottom w:val="single" w:sz="4" w:space="0" w:color="auto"/>
              <w:right w:val="single" w:sz="4" w:space="0" w:color="auto"/>
            </w:tcBorders>
            <w:hideMark/>
          </w:tcPr>
          <w:p w14:paraId="62FECBD4" w14:textId="77777777" w:rsidR="0069210B" w:rsidRPr="0069210B" w:rsidRDefault="0069210B" w:rsidP="0910F2D2">
            <w:pPr>
              <w:contextualSpacing/>
              <w:rPr>
                <w:rFonts w:ascii="Arial Narrow" w:hAnsi="Arial Narrow"/>
                <w:snapToGrid w:val="0"/>
                <w:sz w:val="20"/>
                <w:szCs w:val="20"/>
              </w:rPr>
            </w:pPr>
            <w:r w:rsidRPr="0910F2D2">
              <w:rPr>
                <w:rFonts w:ascii="Arial Narrow" w:hAnsi="Arial Narrow"/>
                <w:snapToGrid w:val="0"/>
                <w:sz w:val="20"/>
                <w:szCs w:val="20"/>
              </w:rPr>
              <w:t>The clinical importance of the difference in safety profiles (ruxolitinib vs BAT) was unclear given the lack of long-term safety data. The non-inferior safety claim was not adequately supported (Para 7.12, Nov 2019 PSD).</w:t>
            </w:r>
          </w:p>
        </w:tc>
        <w:tc>
          <w:tcPr>
            <w:tcW w:w="1985" w:type="pct"/>
            <w:tcBorders>
              <w:top w:val="single" w:sz="4" w:space="0" w:color="auto"/>
              <w:left w:val="single" w:sz="4" w:space="0" w:color="auto"/>
              <w:bottom w:val="single" w:sz="4" w:space="0" w:color="auto"/>
              <w:right w:val="single" w:sz="4" w:space="0" w:color="auto"/>
            </w:tcBorders>
          </w:tcPr>
          <w:p w14:paraId="63DE7801" w14:textId="77777777" w:rsidR="0069210B" w:rsidRPr="006124A7" w:rsidRDefault="0069210B" w:rsidP="0069210B">
            <w:pPr>
              <w:contextualSpacing/>
              <w:jc w:val="left"/>
              <w:rPr>
                <w:rFonts w:ascii="Arial Narrow" w:hAnsi="Arial Narrow"/>
                <w:bCs/>
                <w:snapToGrid w:val="0"/>
                <w:sz w:val="20"/>
                <w:szCs w:val="20"/>
              </w:rPr>
            </w:pPr>
            <w:r w:rsidRPr="006124A7">
              <w:rPr>
                <w:rFonts w:ascii="Arial Narrow" w:hAnsi="Arial Narrow"/>
                <w:bCs/>
                <w:snapToGrid w:val="0"/>
                <w:sz w:val="20"/>
                <w:szCs w:val="20"/>
              </w:rPr>
              <w:t>Addressed. Updated safety data was presented with up to 5 years follow up.</w:t>
            </w:r>
          </w:p>
          <w:p w14:paraId="68AE9F18" w14:textId="77777777" w:rsidR="0069210B" w:rsidRPr="006124A7" w:rsidRDefault="0069210B" w:rsidP="0069210B">
            <w:pPr>
              <w:contextualSpacing/>
              <w:rPr>
                <w:rFonts w:ascii="Arial Narrow" w:hAnsi="Arial Narrow"/>
                <w:bCs/>
                <w:snapToGrid w:val="0"/>
                <w:sz w:val="20"/>
                <w:szCs w:val="20"/>
              </w:rPr>
            </w:pPr>
          </w:p>
          <w:p w14:paraId="0E1A48AB" w14:textId="77777777" w:rsidR="0069210B" w:rsidRPr="006124A7" w:rsidRDefault="0069210B" w:rsidP="0F1D33A4">
            <w:pPr>
              <w:contextualSpacing/>
              <w:rPr>
                <w:rFonts w:ascii="Arial Narrow" w:hAnsi="Arial Narrow"/>
                <w:snapToGrid w:val="0"/>
                <w:sz w:val="20"/>
                <w:szCs w:val="20"/>
              </w:rPr>
            </w:pPr>
            <w:r w:rsidRPr="0F1D33A4">
              <w:rPr>
                <w:rFonts w:ascii="Arial Narrow" w:hAnsi="Arial Narrow"/>
                <w:snapToGrid w:val="0"/>
                <w:sz w:val="20"/>
                <w:szCs w:val="20"/>
              </w:rPr>
              <w:t xml:space="preserve">The resubmission revised their safety claim from non-inferior to “different safety profile”. </w:t>
            </w:r>
          </w:p>
        </w:tc>
      </w:tr>
      <w:tr w:rsidR="0069210B" w:rsidRPr="0069210B" w14:paraId="7F033388" w14:textId="77777777" w:rsidTr="0F1D33A4">
        <w:trPr>
          <w:cantSplit/>
        </w:trPr>
        <w:tc>
          <w:tcPr>
            <w:tcW w:w="845" w:type="pct"/>
            <w:tcBorders>
              <w:top w:val="single" w:sz="4" w:space="0" w:color="auto"/>
              <w:left w:val="single" w:sz="4" w:space="0" w:color="auto"/>
              <w:bottom w:val="single" w:sz="4" w:space="0" w:color="auto"/>
              <w:right w:val="single" w:sz="4" w:space="0" w:color="auto"/>
            </w:tcBorders>
            <w:hideMark/>
          </w:tcPr>
          <w:p w14:paraId="5AC7A745" w14:textId="77777777" w:rsidR="0069210B" w:rsidRPr="0069210B" w:rsidRDefault="0069210B" w:rsidP="0069210B">
            <w:pPr>
              <w:contextualSpacing/>
              <w:rPr>
                <w:rFonts w:ascii="Arial Narrow" w:hAnsi="Arial Narrow"/>
                <w:bCs/>
                <w:snapToGrid w:val="0"/>
                <w:sz w:val="20"/>
                <w:szCs w:val="20"/>
              </w:rPr>
            </w:pPr>
            <w:r w:rsidRPr="0069210B">
              <w:rPr>
                <w:rFonts w:ascii="Arial Narrow" w:hAnsi="Arial Narrow"/>
                <w:bCs/>
                <w:snapToGrid w:val="0"/>
                <w:sz w:val="20"/>
                <w:szCs w:val="20"/>
              </w:rPr>
              <w:lastRenderedPageBreak/>
              <w:t>Economic model</w:t>
            </w:r>
          </w:p>
        </w:tc>
        <w:tc>
          <w:tcPr>
            <w:tcW w:w="2170" w:type="pct"/>
            <w:tcBorders>
              <w:top w:val="single" w:sz="4" w:space="0" w:color="auto"/>
              <w:left w:val="single" w:sz="4" w:space="0" w:color="auto"/>
              <w:bottom w:val="single" w:sz="4" w:space="0" w:color="auto"/>
              <w:right w:val="single" w:sz="4" w:space="0" w:color="auto"/>
            </w:tcBorders>
            <w:hideMark/>
          </w:tcPr>
          <w:p w14:paraId="3868E319" w14:textId="77777777" w:rsidR="0069210B" w:rsidRPr="0069210B" w:rsidRDefault="0069210B" w:rsidP="0069210B">
            <w:pPr>
              <w:contextualSpacing/>
              <w:rPr>
                <w:rFonts w:ascii="Arial Narrow" w:hAnsi="Arial Narrow"/>
                <w:bCs/>
                <w:snapToGrid w:val="0"/>
                <w:sz w:val="20"/>
                <w:szCs w:val="20"/>
              </w:rPr>
            </w:pPr>
            <w:r w:rsidRPr="0069210B">
              <w:rPr>
                <w:rFonts w:ascii="Arial Narrow" w:hAnsi="Arial Narrow"/>
                <w:bCs/>
                <w:snapToGrid w:val="0"/>
                <w:sz w:val="20"/>
                <w:szCs w:val="20"/>
              </w:rPr>
              <w:t xml:space="preserve">The model relied on responder health states that did not correlate to clinically relevant outcomes and did not capture the benefits of treatment. Model reliance on OS was inappropriate given MAJIC demonstrated no OS benefit </w:t>
            </w:r>
            <w:r w:rsidRPr="0069210B">
              <w:rPr>
                <w:rFonts w:ascii="Arial Narrow" w:hAnsi="Arial Narrow"/>
                <w:snapToGrid w:val="0"/>
                <w:sz w:val="20"/>
                <w:szCs w:val="20"/>
              </w:rPr>
              <w:t>(Para 7.13, Nov 2019 PSD).</w:t>
            </w:r>
          </w:p>
        </w:tc>
        <w:tc>
          <w:tcPr>
            <w:tcW w:w="1985" w:type="pct"/>
            <w:tcBorders>
              <w:top w:val="single" w:sz="4" w:space="0" w:color="auto"/>
              <w:left w:val="single" w:sz="4" w:space="0" w:color="auto"/>
              <w:bottom w:val="single" w:sz="4" w:space="0" w:color="auto"/>
              <w:right w:val="single" w:sz="4" w:space="0" w:color="auto"/>
            </w:tcBorders>
            <w:hideMark/>
          </w:tcPr>
          <w:p w14:paraId="2ADD188A" w14:textId="20EDC91C" w:rsidR="0069210B" w:rsidRPr="00A528F7" w:rsidRDefault="003D6E85" w:rsidP="0F1D33A4">
            <w:pPr>
              <w:contextualSpacing/>
              <w:jc w:val="left"/>
              <w:rPr>
                <w:rFonts w:ascii="Arial Narrow" w:hAnsi="Arial Narrow"/>
                <w:i/>
                <w:iCs/>
                <w:snapToGrid w:val="0"/>
                <w:sz w:val="20"/>
                <w:szCs w:val="20"/>
              </w:rPr>
            </w:pPr>
            <w:r w:rsidRPr="0046244A">
              <w:rPr>
                <w:rFonts w:ascii="Arial Narrow" w:hAnsi="Arial Narrow"/>
                <w:snapToGrid w:val="0"/>
                <w:sz w:val="20"/>
                <w:szCs w:val="20"/>
              </w:rPr>
              <w:t xml:space="preserve">Partially </w:t>
            </w:r>
            <w:r w:rsidRPr="0F1D33A4">
              <w:rPr>
                <w:rFonts w:ascii="Arial Narrow" w:hAnsi="Arial Narrow"/>
                <w:snapToGrid w:val="0"/>
                <w:sz w:val="20"/>
                <w:szCs w:val="20"/>
              </w:rPr>
              <w:t>a</w:t>
            </w:r>
            <w:r w:rsidR="0069210B" w:rsidRPr="0F1D33A4">
              <w:rPr>
                <w:rFonts w:ascii="Arial Narrow" w:hAnsi="Arial Narrow"/>
                <w:snapToGrid w:val="0"/>
                <w:sz w:val="20"/>
                <w:szCs w:val="20"/>
              </w:rPr>
              <w:t>ddressed. The economic model has been updated to a four state Markov model. Health states include progression</w:t>
            </w:r>
            <w:r w:rsidR="00317307" w:rsidRPr="0F1D33A4">
              <w:rPr>
                <w:rFonts w:ascii="Arial Narrow" w:hAnsi="Arial Narrow"/>
                <w:snapToGrid w:val="0"/>
                <w:sz w:val="20"/>
                <w:szCs w:val="20"/>
              </w:rPr>
              <w:t>-</w:t>
            </w:r>
            <w:r w:rsidR="0069210B" w:rsidRPr="0F1D33A4">
              <w:rPr>
                <w:rFonts w:ascii="Arial Narrow" w:hAnsi="Arial Narrow"/>
                <w:snapToGrid w:val="0"/>
                <w:sz w:val="20"/>
                <w:szCs w:val="20"/>
              </w:rPr>
              <w:t>free disease on ruxolitinib, progression-free on BAT, a progressed state (includes MF, AML and MDS), and death. These states reflect clinically relevant progression of PV.</w:t>
            </w:r>
            <w:r w:rsidR="00802375" w:rsidRPr="0F1D33A4">
              <w:rPr>
                <w:rFonts w:ascii="Arial Narrow" w:hAnsi="Arial Narrow"/>
                <w:snapToGrid w:val="0"/>
                <w:sz w:val="20"/>
                <w:szCs w:val="20"/>
              </w:rPr>
              <w:t xml:space="preserve"> </w:t>
            </w:r>
            <w:r w:rsidR="00A528F7" w:rsidRPr="00FB0E11">
              <w:rPr>
                <w:rFonts w:ascii="Arial Narrow" w:hAnsi="Arial Narrow"/>
                <w:snapToGrid w:val="0"/>
                <w:sz w:val="20"/>
                <w:szCs w:val="20"/>
              </w:rPr>
              <w:t xml:space="preserve">The ESC </w:t>
            </w:r>
            <w:r w:rsidR="00E0382A" w:rsidRPr="00FB0E11">
              <w:rPr>
                <w:rFonts w:ascii="Arial Narrow" w:hAnsi="Arial Narrow"/>
                <w:snapToGrid w:val="0"/>
                <w:sz w:val="20"/>
                <w:szCs w:val="20"/>
              </w:rPr>
              <w:t xml:space="preserve">considered this issue was partially addressed as while the </w:t>
            </w:r>
            <w:r w:rsidR="00EF6C72" w:rsidRPr="00FB0E11">
              <w:rPr>
                <w:rFonts w:ascii="Arial Narrow" w:hAnsi="Arial Narrow"/>
                <w:snapToGrid w:val="0"/>
                <w:sz w:val="20"/>
                <w:szCs w:val="20"/>
              </w:rPr>
              <w:t xml:space="preserve">PFS health states were now more objective, the trial did not demonstrate a significant difference </w:t>
            </w:r>
            <w:r w:rsidR="00621EEA" w:rsidRPr="00FB0E11">
              <w:rPr>
                <w:rFonts w:ascii="Arial Narrow" w:hAnsi="Arial Narrow"/>
                <w:snapToGrid w:val="0"/>
                <w:sz w:val="20"/>
                <w:szCs w:val="20"/>
              </w:rPr>
              <w:t xml:space="preserve">in this outcome for patients treated with </w:t>
            </w:r>
            <w:r w:rsidR="001D47AE" w:rsidRPr="00FB0E11">
              <w:rPr>
                <w:rFonts w:ascii="Arial Narrow" w:hAnsi="Arial Narrow"/>
                <w:snapToGrid w:val="0"/>
                <w:sz w:val="20"/>
                <w:szCs w:val="20"/>
              </w:rPr>
              <w:t xml:space="preserve">ruxolitinib. In </w:t>
            </w:r>
            <w:r w:rsidR="00FC5813" w:rsidRPr="00FB0E11">
              <w:rPr>
                <w:rFonts w:ascii="Arial Narrow" w:hAnsi="Arial Narrow"/>
                <w:snapToGrid w:val="0"/>
                <w:sz w:val="20"/>
                <w:szCs w:val="20"/>
              </w:rPr>
              <w:t xml:space="preserve">addition, </w:t>
            </w:r>
            <w:r w:rsidR="00892940" w:rsidRPr="00FB0E11">
              <w:rPr>
                <w:rFonts w:ascii="Arial Narrow" w:hAnsi="Arial Narrow"/>
                <w:snapToGrid w:val="0"/>
                <w:sz w:val="20"/>
                <w:szCs w:val="20"/>
              </w:rPr>
              <w:t xml:space="preserve">the ESC </w:t>
            </w:r>
            <w:r w:rsidR="001A3A86" w:rsidRPr="00FB0E11">
              <w:rPr>
                <w:rFonts w:ascii="Arial Narrow" w:hAnsi="Arial Narrow"/>
                <w:snapToGrid w:val="0"/>
                <w:sz w:val="20"/>
                <w:szCs w:val="20"/>
              </w:rPr>
              <w:t>noted</w:t>
            </w:r>
            <w:r w:rsidR="00892940" w:rsidRPr="00FB0E11">
              <w:rPr>
                <w:rFonts w:ascii="Arial Narrow" w:hAnsi="Arial Narrow"/>
                <w:snapToGrid w:val="0"/>
                <w:sz w:val="20"/>
                <w:szCs w:val="20"/>
              </w:rPr>
              <w:t xml:space="preserve"> the </w:t>
            </w:r>
            <w:r w:rsidR="00A817A0" w:rsidRPr="00FB0E11">
              <w:rPr>
                <w:rFonts w:ascii="Arial Narrow" w:hAnsi="Arial Narrow"/>
                <w:snapToGrid w:val="0"/>
                <w:sz w:val="20"/>
                <w:szCs w:val="20"/>
              </w:rPr>
              <w:t xml:space="preserve">updated results continued to demonstrate no OS benefit and </w:t>
            </w:r>
            <w:r w:rsidR="001A3A86" w:rsidRPr="00FB0E11">
              <w:rPr>
                <w:rFonts w:ascii="Arial Narrow" w:hAnsi="Arial Narrow"/>
                <w:snapToGrid w:val="0"/>
                <w:sz w:val="20"/>
                <w:szCs w:val="20"/>
              </w:rPr>
              <w:t>considered</w:t>
            </w:r>
            <w:r w:rsidR="00A817A0" w:rsidRPr="00FB0E11">
              <w:rPr>
                <w:rFonts w:ascii="Arial Narrow" w:hAnsi="Arial Narrow"/>
                <w:snapToGrid w:val="0"/>
                <w:sz w:val="20"/>
                <w:szCs w:val="20"/>
              </w:rPr>
              <w:t xml:space="preserve"> the model reliance on this outcome remained inappropriate. </w:t>
            </w:r>
          </w:p>
        </w:tc>
      </w:tr>
      <w:tr w:rsidR="0069210B" w:rsidRPr="0069210B" w14:paraId="280D10BB" w14:textId="77777777" w:rsidTr="0F1D33A4">
        <w:trPr>
          <w:cantSplit/>
        </w:trPr>
        <w:tc>
          <w:tcPr>
            <w:tcW w:w="845" w:type="pct"/>
            <w:tcBorders>
              <w:top w:val="single" w:sz="4" w:space="0" w:color="auto"/>
              <w:left w:val="single" w:sz="4" w:space="0" w:color="auto"/>
              <w:bottom w:val="single" w:sz="4" w:space="0" w:color="auto"/>
              <w:right w:val="single" w:sz="4" w:space="0" w:color="auto"/>
            </w:tcBorders>
            <w:hideMark/>
          </w:tcPr>
          <w:p w14:paraId="38DCDA99" w14:textId="77777777" w:rsidR="0069210B" w:rsidRPr="0069210B" w:rsidRDefault="0069210B" w:rsidP="0069210B">
            <w:pPr>
              <w:spacing w:after="120"/>
              <w:contextualSpacing/>
              <w:rPr>
                <w:rFonts w:ascii="Arial Narrow" w:hAnsi="Arial Narrow"/>
                <w:bCs/>
                <w:snapToGrid w:val="0"/>
                <w:sz w:val="20"/>
                <w:szCs w:val="20"/>
              </w:rPr>
            </w:pPr>
            <w:r w:rsidRPr="0069210B">
              <w:rPr>
                <w:rFonts w:ascii="Arial Narrow" w:hAnsi="Arial Narrow"/>
                <w:bCs/>
                <w:snapToGrid w:val="0"/>
                <w:sz w:val="20"/>
                <w:szCs w:val="20"/>
              </w:rPr>
              <w:t>Economic model</w:t>
            </w:r>
          </w:p>
        </w:tc>
        <w:tc>
          <w:tcPr>
            <w:tcW w:w="2170" w:type="pct"/>
            <w:tcBorders>
              <w:top w:val="single" w:sz="4" w:space="0" w:color="auto"/>
              <w:left w:val="single" w:sz="4" w:space="0" w:color="auto"/>
              <w:bottom w:val="single" w:sz="4" w:space="0" w:color="auto"/>
              <w:right w:val="single" w:sz="4" w:space="0" w:color="auto"/>
            </w:tcBorders>
            <w:hideMark/>
          </w:tcPr>
          <w:p w14:paraId="0BBAF288" w14:textId="77777777" w:rsidR="0069210B" w:rsidRPr="0069210B" w:rsidRDefault="0069210B" w:rsidP="0069210B">
            <w:pPr>
              <w:spacing w:after="120"/>
              <w:contextualSpacing/>
              <w:rPr>
                <w:rFonts w:ascii="Arial Narrow" w:hAnsi="Arial Narrow"/>
                <w:bCs/>
                <w:snapToGrid w:val="0"/>
                <w:sz w:val="20"/>
                <w:szCs w:val="20"/>
              </w:rPr>
            </w:pPr>
            <w:r w:rsidRPr="0069210B">
              <w:rPr>
                <w:rFonts w:ascii="Arial Narrow" w:hAnsi="Arial Narrow"/>
                <w:bCs/>
                <w:snapToGrid w:val="0"/>
                <w:sz w:val="20"/>
                <w:szCs w:val="20"/>
              </w:rPr>
              <w:t xml:space="preserve">A cost minimisation analysis should be considered, with the use of peginterferon </w:t>
            </w:r>
            <w:r w:rsidRPr="0069210B">
              <w:rPr>
                <w:rFonts w:ascii="Arial Narrow" w:hAnsi="Arial Narrow"/>
                <w:iCs/>
                <w:snapToGrid w:val="0"/>
                <w:sz w:val="20"/>
                <w:szCs w:val="20"/>
              </w:rPr>
              <w:t>α-</w:t>
            </w:r>
            <w:r w:rsidRPr="0069210B">
              <w:rPr>
                <w:rFonts w:ascii="Arial Narrow" w:hAnsi="Arial Narrow"/>
                <w:bCs/>
                <w:snapToGrid w:val="0"/>
                <w:sz w:val="20"/>
                <w:szCs w:val="20"/>
              </w:rPr>
              <w:t xml:space="preserve">2a in the BAT arm reflecting the trial evidence given that the clinical evidence suggests no OS benefit and as such the more clinically meaningful outcomes will include reductions in vascular events and thrombosis (Para 7.16, Nov 2019 PSD). </w:t>
            </w:r>
          </w:p>
        </w:tc>
        <w:tc>
          <w:tcPr>
            <w:tcW w:w="1985" w:type="pct"/>
            <w:tcBorders>
              <w:top w:val="single" w:sz="4" w:space="0" w:color="auto"/>
              <w:left w:val="single" w:sz="4" w:space="0" w:color="auto"/>
              <w:bottom w:val="single" w:sz="4" w:space="0" w:color="auto"/>
              <w:right w:val="single" w:sz="4" w:space="0" w:color="auto"/>
            </w:tcBorders>
            <w:hideMark/>
          </w:tcPr>
          <w:p w14:paraId="1DF701CE" w14:textId="776E288A" w:rsidR="0069210B" w:rsidRPr="006124A7" w:rsidRDefault="0069210B" w:rsidP="0069210B">
            <w:pPr>
              <w:spacing w:after="120"/>
              <w:contextualSpacing/>
              <w:rPr>
                <w:rFonts w:ascii="Arial Narrow" w:hAnsi="Arial Narrow"/>
                <w:bCs/>
                <w:snapToGrid w:val="0"/>
                <w:sz w:val="20"/>
                <w:szCs w:val="20"/>
              </w:rPr>
            </w:pPr>
            <w:r w:rsidRPr="006124A7">
              <w:rPr>
                <w:rFonts w:ascii="Arial Narrow" w:hAnsi="Arial Narrow"/>
                <w:bCs/>
                <w:snapToGrid w:val="0"/>
                <w:sz w:val="20"/>
                <w:szCs w:val="20"/>
              </w:rPr>
              <w:t>Partially addressed with the updated clinical data and model structure. However, the model continue</w:t>
            </w:r>
            <w:r w:rsidR="006B07F0">
              <w:rPr>
                <w:rFonts w:ascii="Arial Narrow" w:hAnsi="Arial Narrow"/>
                <w:bCs/>
                <w:snapToGrid w:val="0"/>
                <w:sz w:val="20"/>
                <w:szCs w:val="20"/>
              </w:rPr>
              <w:t>d</w:t>
            </w:r>
            <w:r w:rsidRPr="006124A7">
              <w:rPr>
                <w:rFonts w:ascii="Arial Narrow" w:hAnsi="Arial Narrow"/>
                <w:bCs/>
                <w:snapToGrid w:val="0"/>
                <w:sz w:val="20"/>
                <w:szCs w:val="20"/>
              </w:rPr>
              <w:t xml:space="preserve"> to assume an OS treatment benefit which is not supported by longer term clinical evidence. Given the potential change of in the use of peginterferon </w:t>
            </w:r>
            <w:r w:rsidRPr="006124A7">
              <w:rPr>
                <w:rFonts w:ascii="Arial Narrow" w:hAnsi="Arial Narrow"/>
                <w:snapToGrid w:val="0"/>
                <w:sz w:val="20"/>
                <w:szCs w:val="20"/>
              </w:rPr>
              <w:t>α-</w:t>
            </w:r>
            <w:r w:rsidRPr="006124A7">
              <w:rPr>
                <w:rFonts w:ascii="Arial Narrow" w:hAnsi="Arial Narrow"/>
                <w:bCs/>
                <w:snapToGrid w:val="0"/>
                <w:sz w:val="20"/>
                <w:szCs w:val="20"/>
              </w:rPr>
              <w:t xml:space="preserve">2a use in clinical practice, a cost-minimisation analysis could be considered. </w:t>
            </w:r>
          </w:p>
        </w:tc>
      </w:tr>
      <w:tr w:rsidR="0069210B" w:rsidRPr="0069210B" w14:paraId="600D6FC5" w14:textId="77777777" w:rsidTr="0F1D33A4">
        <w:trPr>
          <w:cantSplit/>
        </w:trPr>
        <w:tc>
          <w:tcPr>
            <w:tcW w:w="845" w:type="pct"/>
            <w:tcBorders>
              <w:top w:val="single" w:sz="4" w:space="0" w:color="auto"/>
              <w:left w:val="single" w:sz="4" w:space="0" w:color="auto"/>
              <w:bottom w:val="single" w:sz="4" w:space="0" w:color="auto"/>
              <w:right w:val="single" w:sz="4" w:space="0" w:color="auto"/>
            </w:tcBorders>
          </w:tcPr>
          <w:p w14:paraId="0B9CD26B" w14:textId="77777777" w:rsidR="0069210B" w:rsidRPr="0069210B" w:rsidRDefault="0069210B" w:rsidP="0F1D33A4">
            <w:pPr>
              <w:spacing w:after="120"/>
              <w:contextualSpacing/>
              <w:rPr>
                <w:rFonts w:ascii="Arial Narrow" w:hAnsi="Arial Narrow"/>
                <w:snapToGrid w:val="0"/>
                <w:sz w:val="20"/>
                <w:szCs w:val="20"/>
              </w:rPr>
            </w:pPr>
            <w:r w:rsidRPr="0F1D33A4">
              <w:rPr>
                <w:rFonts w:ascii="Arial Narrow" w:hAnsi="Arial Narrow"/>
                <w:snapToGrid w:val="0"/>
                <w:sz w:val="20"/>
                <w:szCs w:val="20"/>
              </w:rPr>
              <w:t>Financial impact</w:t>
            </w:r>
          </w:p>
        </w:tc>
        <w:tc>
          <w:tcPr>
            <w:tcW w:w="2170" w:type="pct"/>
            <w:tcBorders>
              <w:top w:val="single" w:sz="4" w:space="0" w:color="auto"/>
              <w:left w:val="single" w:sz="4" w:space="0" w:color="auto"/>
              <w:bottom w:val="single" w:sz="4" w:space="0" w:color="auto"/>
              <w:right w:val="single" w:sz="4" w:space="0" w:color="auto"/>
            </w:tcBorders>
          </w:tcPr>
          <w:p w14:paraId="1A410BD2" w14:textId="77777777" w:rsidR="0069210B" w:rsidRPr="0069210B" w:rsidRDefault="0069210B" w:rsidP="0069210B">
            <w:pPr>
              <w:spacing w:after="120"/>
              <w:contextualSpacing/>
              <w:rPr>
                <w:rFonts w:ascii="Arial Narrow" w:hAnsi="Arial Narrow"/>
                <w:bCs/>
                <w:snapToGrid w:val="0"/>
                <w:sz w:val="20"/>
                <w:szCs w:val="20"/>
              </w:rPr>
            </w:pPr>
            <w:r w:rsidRPr="0069210B">
              <w:rPr>
                <w:rFonts w:ascii="Arial Narrow" w:hAnsi="Arial Narrow"/>
                <w:bCs/>
                <w:snapToGrid w:val="0"/>
                <w:sz w:val="20"/>
                <w:szCs w:val="20"/>
              </w:rPr>
              <w:t xml:space="preserve">Low certainty around the financial estimates in that the eligible population was overestimated, but the overall costs were underestimated </w:t>
            </w:r>
            <w:r w:rsidRPr="0069210B">
              <w:rPr>
                <w:rFonts w:ascii="Arial Narrow" w:hAnsi="Arial Narrow"/>
                <w:snapToGrid w:val="0"/>
                <w:sz w:val="20"/>
                <w:szCs w:val="20"/>
              </w:rPr>
              <w:t>(Para 7.14, Nov 2019 PSD).</w:t>
            </w:r>
          </w:p>
        </w:tc>
        <w:tc>
          <w:tcPr>
            <w:tcW w:w="1985" w:type="pct"/>
            <w:tcBorders>
              <w:top w:val="single" w:sz="4" w:space="0" w:color="auto"/>
              <w:left w:val="single" w:sz="4" w:space="0" w:color="auto"/>
              <w:bottom w:val="single" w:sz="4" w:space="0" w:color="auto"/>
              <w:right w:val="single" w:sz="4" w:space="0" w:color="auto"/>
            </w:tcBorders>
          </w:tcPr>
          <w:p w14:paraId="4C6F2C90" w14:textId="092DB2C5" w:rsidR="0069210B" w:rsidRPr="006124A7" w:rsidRDefault="6D60184C" w:rsidP="0F1D33A4">
            <w:pPr>
              <w:spacing w:after="120"/>
              <w:contextualSpacing/>
              <w:rPr>
                <w:rFonts w:ascii="Arial Narrow" w:hAnsi="Arial Narrow"/>
                <w:snapToGrid w:val="0"/>
                <w:sz w:val="20"/>
                <w:szCs w:val="20"/>
              </w:rPr>
            </w:pPr>
            <w:r w:rsidRPr="0F1D33A4">
              <w:rPr>
                <w:rFonts w:ascii="Arial Narrow" w:hAnsi="Arial Narrow"/>
                <w:snapToGrid w:val="0"/>
                <w:sz w:val="20"/>
                <w:szCs w:val="20"/>
              </w:rPr>
              <w:t xml:space="preserve">Not addressed. The resubmission changed the financial estimates modelling approach </w:t>
            </w:r>
            <w:r w:rsidR="005B31E8" w:rsidRPr="0F1D33A4">
              <w:rPr>
                <w:rFonts w:ascii="Arial Narrow" w:hAnsi="Arial Narrow"/>
                <w:snapToGrid w:val="0"/>
                <w:sz w:val="20"/>
                <w:szCs w:val="20"/>
              </w:rPr>
              <w:t>to</w:t>
            </w:r>
            <w:r w:rsidRPr="0F1D33A4">
              <w:rPr>
                <w:rFonts w:ascii="Arial Narrow" w:hAnsi="Arial Narrow"/>
                <w:snapToGrid w:val="0"/>
                <w:sz w:val="20"/>
                <w:szCs w:val="20"/>
              </w:rPr>
              <w:t xml:space="preserve"> model the incident and prevalent patients together and included assumptions which could not be verified; thus the patient numbers and financial estimates were considered unreliable and uncertain. </w:t>
            </w:r>
          </w:p>
        </w:tc>
      </w:tr>
      <w:tr w:rsidR="0069210B" w:rsidRPr="0069210B" w14:paraId="627CC249" w14:textId="77777777" w:rsidTr="0F1D33A4">
        <w:trPr>
          <w:cantSplit/>
        </w:trPr>
        <w:tc>
          <w:tcPr>
            <w:tcW w:w="845" w:type="pct"/>
            <w:tcBorders>
              <w:top w:val="single" w:sz="4" w:space="0" w:color="auto"/>
              <w:left w:val="single" w:sz="4" w:space="0" w:color="auto"/>
              <w:bottom w:val="single" w:sz="4" w:space="0" w:color="auto"/>
              <w:right w:val="single" w:sz="4" w:space="0" w:color="auto"/>
            </w:tcBorders>
          </w:tcPr>
          <w:p w14:paraId="7E85C223" w14:textId="77777777" w:rsidR="0069210B" w:rsidRPr="0069210B" w:rsidRDefault="0069210B" w:rsidP="0F1D33A4">
            <w:pPr>
              <w:spacing w:after="120"/>
              <w:contextualSpacing/>
              <w:rPr>
                <w:rFonts w:ascii="Arial Narrow" w:hAnsi="Arial Narrow"/>
                <w:snapToGrid w:val="0"/>
                <w:sz w:val="20"/>
                <w:szCs w:val="20"/>
              </w:rPr>
            </w:pPr>
            <w:r w:rsidRPr="0F1D33A4">
              <w:rPr>
                <w:rFonts w:ascii="Arial Narrow" w:hAnsi="Arial Narrow"/>
                <w:snapToGrid w:val="0"/>
                <w:sz w:val="20"/>
                <w:szCs w:val="20"/>
              </w:rPr>
              <w:t>Financial impact</w:t>
            </w:r>
          </w:p>
        </w:tc>
        <w:tc>
          <w:tcPr>
            <w:tcW w:w="2170" w:type="pct"/>
            <w:tcBorders>
              <w:top w:val="single" w:sz="4" w:space="0" w:color="auto"/>
              <w:left w:val="single" w:sz="4" w:space="0" w:color="auto"/>
              <w:bottom w:val="single" w:sz="4" w:space="0" w:color="auto"/>
              <w:right w:val="single" w:sz="4" w:space="0" w:color="auto"/>
            </w:tcBorders>
          </w:tcPr>
          <w:p w14:paraId="6C75B64B" w14:textId="77777777" w:rsidR="0069210B" w:rsidRPr="0069210B" w:rsidRDefault="0069210B" w:rsidP="0F1D33A4">
            <w:pPr>
              <w:spacing w:after="120"/>
              <w:contextualSpacing/>
              <w:rPr>
                <w:rFonts w:ascii="Arial Narrow" w:hAnsi="Arial Narrow"/>
                <w:snapToGrid w:val="0"/>
                <w:sz w:val="20"/>
                <w:szCs w:val="20"/>
              </w:rPr>
            </w:pPr>
            <w:r w:rsidRPr="0F1D33A4">
              <w:rPr>
                <w:rFonts w:ascii="Arial Narrow" w:hAnsi="Arial Narrow"/>
                <w:snapToGrid w:val="0"/>
                <w:sz w:val="20"/>
                <w:szCs w:val="20"/>
              </w:rPr>
              <w:t>DUSC considered the assumptions used to derive eligible patient numbers (prevalence rate, incidence rate, proportion treated with HC/HU and proportion intolerant or resistant to HC/HU) were all likely overestimated, leading to an overestimated number of eligible patients. This was exacerbated in Year 1 by the additional less than 10,000 grandfathered patients, for which no justification was provided (Para 6.82, Nov 2019 PSD).</w:t>
            </w:r>
          </w:p>
        </w:tc>
        <w:tc>
          <w:tcPr>
            <w:tcW w:w="1985" w:type="pct"/>
            <w:tcBorders>
              <w:top w:val="single" w:sz="4" w:space="0" w:color="auto"/>
              <w:left w:val="single" w:sz="4" w:space="0" w:color="auto"/>
              <w:bottom w:val="single" w:sz="4" w:space="0" w:color="auto"/>
              <w:right w:val="single" w:sz="4" w:space="0" w:color="auto"/>
            </w:tcBorders>
          </w:tcPr>
          <w:p w14:paraId="7ADF4591" w14:textId="04DEF7B6" w:rsidR="0069210B" w:rsidRPr="006124A7" w:rsidRDefault="0069210B" w:rsidP="0069210B">
            <w:pPr>
              <w:spacing w:after="120"/>
              <w:contextualSpacing/>
              <w:rPr>
                <w:rFonts w:ascii="Arial Narrow" w:hAnsi="Arial Narrow"/>
                <w:snapToGrid w:val="0"/>
                <w:sz w:val="20"/>
                <w:szCs w:val="20"/>
              </w:rPr>
            </w:pPr>
            <w:r w:rsidRPr="006124A7">
              <w:rPr>
                <w:rFonts w:ascii="Arial Narrow" w:hAnsi="Arial Narrow"/>
                <w:snapToGrid w:val="0"/>
                <w:sz w:val="20"/>
                <w:szCs w:val="20"/>
              </w:rPr>
              <w:t>Partially addressed. Both the incidence and prevalence rates have been updated using AIHW cancer data; proportion intolerant or resistant to HC/HU has been revised from 24% to 22.5%, grandfathered patients (n=</w:t>
            </w:r>
            <w:r w:rsidR="00A268DC" w:rsidRPr="00F87B86">
              <w:rPr>
                <w:rFonts w:ascii="Arial Narrow" w:hAnsi="Arial Narrow"/>
                <w:snapToGrid w:val="0"/>
                <w:color w:val="000000"/>
                <w:spacing w:val="23"/>
                <w:sz w:val="20"/>
                <w:szCs w:val="20"/>
                <w:shd w:val="solid" w:color="000000" w:fill="000000"/>
                <w:fitText w:val="310" w:id="-694973696"/>
                <w14:textFill>
                  <w14:solidFill>
                    <w14:srgbClr w14:val="000000">
                      <w14:alpha w14:val="100000"/>
                    </w14:srgbClr>
                  </w14:solidFill>
                </w14:textFill>
              </w:rPr>
              <w:t>||</w:t>
            </w:r>
            <w:r w:rsidR="00F87B86" w:rsidRPr="00F87B86">
              <w:rPr>
                <w:rFonts w:ascii="Arial Narrow" w:hAnsi="Arial Narrow"/>
                <w:snapToGrid w:val="0"/>
                <w:color w:val="000000"/>
                <w:spacing w:val="23"/>
                <w:sz w:val="20"/>
                <w:szCs w:val="20"/>
                <w:shd w:val="solid" w:color="000000" w:fill="000000"/>
                <w:fitText w:val="310" w:id="-694973696"/>
                <w14:textFill>
                  <w14:solidFill>
                    <w14:srgbClr w14:val="000000">
                      <w14:alpha w14:val="100000"/>
                    </w14:srgbClr>
                  </w14:solidFill>
                </w14:textFill>
              </w:rPr>
              <w:t xml:space="preserve"> </w:t>
            </w:r>
            <w:r w:rsidR="00A268DC" w:rsidRPr="00F87B86">
              <w:rPr>
                <w:rFonts w:ascii="Arial Narrow" w:hAnsi="Arial Narrow"/>
                <w:snapToGrid w:val="0"/>
                <w:color w:val="000000"/>
                <w:spacing w:val="23"/>
                <w:sz w:val="20"/>
                <w:szCs w:val="20"/>
                <w:shd w:val="solid" w:color="000000" w:fill="000000"/>
                <w:fitText w:val="310" w:id="-694973696"/>
                <w14:textFill>
                  <w14:solidFill>
                    <w14:srgbClr w14:val="000000">
                      <w14:alpha w14:val="100000"/>
                    </w14:srgbClr>
                  </w14:solidFill>
                </w14:textFill>
              </w:rPr>
              <w:t>|</w:t>
            </w:r>
            <w:r w:rsidR="00A268DC" w:rsidRPr="00F87B86">
              <w:rPr>
                <w:rFonts w:ascii="Arial Narrow" w:hAnsi="Arial Narrow"/>
                <w:snapToGrid w:val="0"/>
                <w:color w:val="000000"/>
                <w:spacing w:val="3"/>
                <w:sz w:val="20"/>
                <w:szCs w:val="20"/>
                <w:shd w:val="solid" w:color="000000" w:fill="000000"/>
                <w:fitText w:val="310" w:id="-694973696"/>
                <w14:textFill>
                  <w14:solidFill>
                    <w14:srgbClr w14:val="000000">
                      <w14:alpha w14:val="100000"/>
                    </w14:srgbClr>
                  </w14:solidFill>
                </w14:textFill>
              </w:rPr>
              <w:t>|</w:t>
            </w:r>
            <w:r w:rsidR="003055D3">
              <w:rPr>
                <w:rFonts w:ascii="Arial Narrow" w:hAnsi="Arial Narrow"/>
                <w:snapToGrid w:val="0"/>
                <w:sz w:val="20"/>
                <w:szCs w:val="20"/>
                <w:vertAlign w:val="superscript"/>
              </w:rPr>
              <w:t>1</w:t>
            </w:r>
            <w:r w:rsidRPr="006124A7">
              <w:rPr>
                <w:rFonts w:ascii="Arial Narrow" w:hAnsi="Arial Narrow"/>
                <w:snapToGrid w:val="0"/>
                <w:sz w:val="20"/>
                <w:szCs w:val="20"/>
              </w:rPr>
              <w:t xml:space="preserve">) included into the prevalent population, and uptake rates adjusted. Despite the revisions made in the resubmission, it </w:t>
            </w:r>
            <w:r w:rsidR="0070614A">
              <w:rPr>
                <w:rFonts w:ascii="Arial Narrow" w:hAnsi="Arial Narrow"/>
                <w:snapToGrid w:val="0"/>
                <w:sz w:val="20"/>
                <w:szCs w:val="20"/>
              </w:rPr>
              <w:t>wa</w:t>
            </w:r>
            <w:r w:rsidRPr="006124A7">
              <w:rPr>
                <w:rFonts w:ascii="Arial Narrow" w:hAnsi="Arial Narrow"/>
                <w:snapToGrid w:val="0"/>
                <w:sz w:val="20"/>
                <w:szCs w:val="20"/>
              </w:rPr>
              <w:t>s likely that the number of eligible patients is overestimated.</w:t>
            </w:r>
          </w:p>
        </w:tc>
      </w:tr>
      <w:tr w:rsidR="0069210B" w:rsidRPr="0069210B" w14:paraId="75BEE95C" w14:textId="77777777" w:rsidTr="0F1D33A4">
        <w:trPr>
          <w:cantSplit/>
        </w:trPr>
        <w:tc>
          <w:tcPr>
            <w:tcW w:w="845" w:type="pct"/>
            <w:tcBorders>
              <w:top w:val="single" w:sz="4" w:space="0" w:color="auto"/>
              <w:left w:val="single" w:sz="4" w:space="0" w:color="auto"/>
              <w:bottom w:val="single" w:sz="4" w:space="0" w:color="auto"/>
              <w:right w:val="single" w:sz="4" w:space="0" w:color="auto"/>
            </w:tcBorders>
          </w:tcPr>
          <w:p w14:paraId="67365909" w14:textId="77777777" w:rsidR="0069210B" w:rsidRPr="0069210B" w:rsidRDefault="0069210B" w:rsidP="0F1D33A4">
            <w:pPr>
              <w:spacing w:after="120"/>
              <w:contextualSpacing/>
              <w:rPr>
                <w:rFonts w:ascii="Arial Narrow" w:hAnsi="Arial Narrow"/>
                <w:snapToGrid w:val="0"/>
                <w:sz w:val="20"/>
                <w:szCs w:val="20"/>
              </w:rPr>
            </w:pPr>
            <w:r w:rsidRPr="0F1D33A4">
              <w:rPr>
                <w:rFonts w:ascii="Arial Narrow" w:hAnsi="Arial Narrow"/>
                <w:snapToGrid w:val="0"/>
                <w:sz w:val="20"/>
                <w:szCs w:val="20"/>
              </w:rPr>
              <w:t>Financial impact</w:t>
            </w:r>
          </w:p>
        </w:tc>
        <w:tc>
          <w:tcPr>
            <w:tcW w:w="2170" w:type="pct"/>
            <w:tcBorders>
              <w:top w:val="single" w:sz="4" w:space="0" w:color="auto"/>
              <w:left w:val="single" w:sz="4" w:space="0" w:color="auto"/>
              <w:bottom w:val="single" w:sz="4" w:space="0" w:color="auto"/>
              <w:right w:val="single" w:sz="4" w:space="0" w:color="auto"/>
            </w:tcBorders>
          </w:tcPr>
          <w:p w14:paraId="2B02AB67" w14:textId="77777777" w:rsidR="0069210B" w:rsidRPr="0069210B" w:rsidRDefault="0069210B" w:rsidP="0069210B">
            <w:pPr>
              <w:spacing w:after="120"/>
              <w:contextualSpacing/>
              <w:rPr>
                <w:rFonts w:ascii="Arial Narrow" w:hAnsi="Arial Narrow"/>
                <w:bCs/>
                <w:snapToGrid w:val="0"/>
                <w:sz w:val="20"/>
                <w:szCs w:val="20"/>
              </w:rPr>
            </w:pPr>
            <w:r w:rsidRPr="0069210B">
              <w:rPr>
                <w:rFonts w:ascii="Arial Narrow" w:hAnsi="Arial Narrow"/>
                <w:bCs/>
                <w:snapToGrid w:val="0"/>
                <w:sz w:val="20"/>
                <w:szCs w:val="20"/>
              </w:rPr>
              <w:t xml:space="preserve">The estimated prescription and MBS offsets relied on an economic model with little face validity (i.e. the economic model relies on an overall survival benefit, which was not supported by the MAJIC trial) </w:t>
            </w:r>
            <w:r w:rsidRPr="0069210B">
              <w:rPr>
                <w:rFonts w:ascii="Arial Narrow" w:hAnsi="Arial Narrow"/>
                <w:snapToGrid w:val="0"/>
                <w:sz w:val="20"/>
                <w:szCs w:val="20"/>
              </w:rPr>
              <w:t>(Para 6.82, Nov 2019 PSD).</w:t>
            </w:r>
          </w:p>
        </w:tc>
        <w:tc>
          <w:tcPr>
            <w:tcW w:w="1985" w:type="pct"/>
            <w:tcBorders>
              <w:top w:val="single" w:sz="4" w:space="0" w:color="auto"/>
              <w:left w:val="single" w:sz="4" w:space="0" w:color="auto"/>
              <w:bottom w:val="single" w:sz="4" w:space="0" w:color="auto"/>
              <w:right w:val="single" w:sz="4" w:space="0" w:color="auto"/>
            </w:tcBorders>
          </w:tcPr>
          <w:p w14:paraId="20764EEF" w14:textId="2C882F70" w:rsidR="0069210B" w:rsidRPr="006124A7" w:rsidRDefault="0069210B" w:rsidP="0F1D33A4">
            <w:pPr>
              <w:spacing w:after="120"/>
              <w:contextualSpacing/>
              <w:rPr>
                <w:rFonts w:ascii="Arial Narrow" w:hAnsi="Arial Narrow"/>
                <w:snapToGrid w:val="0"/>
                <w:sz w:val="20"/>
                <w:szCs w:val="20"/>
              </w:rPr>
            </w:pPr>
            <w:r w:rsidRPr="0F1D33A4">
              <w:rPr>
                <w:rFonts w:ascii="Arial Narrow" w:hAnsi="Arial Narrow"/>
                <w:snapToGrid w:val="0"/>
                <w:sz w:val="20"/>
                <w:szCs w:val="20"/>
              </w:rPr>
              <w:t>Not addressed. The financial estimates continued to rely on outputs from the economic model which in turn relie</w:t>
            </w:r>
            <w:r w:rsidR="00360476" w:rsidRPr="0F1D33A4">
              <w:rPr>
                <w:rFonts w:ascii="Arial Narrow" w:hAnsi="Arial Narrow"/>
                <w:snapToGrid w:val="0"/>
                <w:sz w:val="20"/>
                <w:szCs w:val="20"/>
              </w:rPr>
              <w:t>d</w:t>
            </w:r>
            <w:r w:rsidRPr="0F1D33A4">
              <w:rPr>
                <w:rFonts w:ascii="Arial Narrow" w:hAnsi="Arial Narrow"/>
                <w:snapToGrid w:val="0"/>
                <w:sz w:val="20"/>
                <w:szCs w:val="20"/>
              </w:rPr>
              <w:t xml:space="preserve"> on a number of assumptions not adequately supported by clinical evidence which increases the risk of uncertainty.</w:t>
            </w:r>
          </w:p>
        </w:tc>
      </w:tr>
      <w:tr w:rsidR="0069210B" w:rsidRPr="0069210B" w14:paraId="55A9059E" w14:textId="77777777" w:rsidTr="0F1D33A4">
        <w:trPr>
          <w:cantSplit/>
        </w:trPr>
        <w:tc>
          <w:tcPr>
            <w:tcW w:w="845" w:type="pct"/>
            <w:tcBorders>
              <w:top w:val="single" w:sz="4" w:space="0" w:color="auto"/>
              <w:left w:val="single" w:sz="4" w:space="0" w:color="auto"/>
              <w:bottom w:val="single" w:sz="4" w:space="0" w:color="auto"/>
              <w:right w:val="single" w:sz="4" w:space="0" w:color="auto"/>
            </w:tcBorders>
          </w:tcPr>
          <w:p w14:paraId="380B53A7" w14:textId="77777777" w:rsidR="0069210B" w:rsidRPr="0069210B" w:rsidRDefault="0069210B" w:rsidP="0F1D33A4">
            <w:pPr>
              <w:spacing w:after="120"/>
              <w:contextualSpacing/>
              <w:rPr>
                <w:rFonts w:ascii="Arial Narrow" w:hAnsi="Arial Narrow"/>
                <w:snapToGrid w:val="0"/>
                <w:sz w:val="20"/>
                <w:szCs w:val="20"/>
              </w:rPr>
            </w:pPr>
            <w:r w:rsidRPr="0F1D33A4">
              <w:rPr>
                <w:rFonts w:ascii="Arial Narrow" w:hAnsi="Arial Narrow"/>
                <w:snapToGrid w:val="0"/>
                <w:sz w:val="20"/>
                <w:szCs w:val="20"/>
              </w:rPr>
              <w:t>Financial impact</w:t>
            </w:r>
          </w:p>
        </w:tc>
        <w:tc>
          <w:tcPr>
            <w:tcW w:w="2170" w:type="pct"/>
            <w:tcBorders>
              <w:top w:val="single" w:sz="4" w:space="0" w:color="auto"/>
              <w:left w:val="single" w:sz="4" w:space="0" w:color="auto"/>
              <w:bottom w:val="single" w:sz="4" w:space="0" w:color="auto"/>
              <w:right w:val="single" w:sz="4" w:space="0" w:color="auto"/>
            </w:tcBorders>
          </w:tcPr>
          <w:p w14:paraId="2594F06E" w14:textId="77777777" w:rsidR="0069210B" w:rsidRPr="0069210B" w:rsidRDefault="0069210B" w:rsidP="0F1D33A4">
            <w:pPr>
              <w:spacing w:after="120"/>
              <w:contextualSpacing/>
              <w:rPr>
                <w:rFonts w:ascii="Arial Narrow" w:hAnsi="Arial Narrow"/>
                <w:snapToGrid w:val="0"/>
                <w:sz w:val="20"/>
                <w:szCs w:val="20"/>
              </w:rPr>
            </w:pPr>
            <w:r w:rsidRPr="0F1D33A4">
              <w:rPr>
                <w:rFonts w:ascii="Arial Narrow" w:hAnsi="Arial Narrow"/>
                <w:snapToGrid w:val="0"/>
                <w:sz w:val="20"/>
                <w:szCs w:val="20"/>
              </w:rPr>
              <w:t>No link between continuation criteria and outcomes, would likely lead to long-term use in a population with up to 30-year survival (Para 7.14, Nov 2019 PSD).</w:t>
            </w:r>
          </w:p>
        </w:tc>
        <w:tc>
          <w:tcPr>
            <w:tcW w:w="1985" w:type="pct"/>
            <w:tcBorders>
              <w:top w:val="single" w:sz="4" w:space="0" w:color="auto"/>
              <w:left w:val="single" w:sz="4" w:space="0" w:color="auto"/>
              <w:bottom w:val="single" w:sz="4" w:space="0" w:color="auto"/>
              <w:right w:val="single" w:sz="4" w:space="0" w:color="auto"/>
            </w:tcBorders>
            <w:hideMark/>
          </w:tcPr>
          <w:p w14:paraId="5DD87FBB" w14:textId="77777777" w:rsidR="0069210B" w:rsidRPr="006124A7" w:rsidRDefault="0069210B" w:rsidP="0F1D33A4">
            <w:pPr>
              <w:spacing w:after="120"/>
              <w:contextualSpacing/>
              <w:rPr>
                <w:rFonts w:ascii="Arial Narrow" w:hAnsi="Arial Narrow"/>
                <w:snapToGrid w:val="0"/>
                <w:sz w:val="20"/>
                <w:szCs w:val="20"/>
                <w:highlight w:val="yellow"/>
              </w:rPr>
            </w:pPr>
            <w:r w:rsidRPr="0F1D33A4">
              <w:rPr>
                <w:rFonts w:ascii="Arial Narrow" w:hAnsi="Arial Narrow"/>
                <w:snapToGrid w:val="0"/>
                <w:sz w:val="20"/>
                <w:szCs w:val="20"/>
              </w:rPr>
              <w:t>Not addressed. Long term use remains likely.</w:t>
            </w:r>
          </w:p>
        </w:tc>
      </w:tr>
    </w:tbl>
    <w:p w14:paraId="504972B0" w14:textId="195787BB" w:rsidR="0069210B" w:rsidRDefault="0069210B" w:rsidP="0F1D33A4">
      <w:pPr>
        <w:spacing w:after="120"/>
        <w:contextualSpacing/>
        <w:rPr>
          <w:rFonts w:ascii="Arial Narrow" w:hAnsi="Arial Narrow"/>
          <w:snapToGrid w:val="0"/>
          <w:sz w:val="18"/>
          <w:szCs w:val="18"/>
        </w:rPr>
      </w:pPr>
      <w:r w:rsidRPr="0F1D33A4">
        <w:rPr>
          <w:rFonts w:ascii="Arial Narrow" w:hAnsi="Arial Narrow"/>
          <w:snapToGrid w:val="0"/>
          <w:sz w:val="18"/>
          <w:szCs w:val="18"/>
        </w:rPr>
        <w:t xml:space="preserve">Source: </w:t>
      </w:r>
      <w:r w:rsidR="00D75EB1" w:rsidRPr="0F1D33A4">
        <w:rPr>
          <w:rFonts w:ascii="Arial Narrow" w:hAnsi="Arial Narrow"/>
          <w:snapToGrid w:val="0"/>
          <w:sz w:val="18"/>
          <w:szCs w:val="18"/>
        </w:rPr>
        <w:t>C</w:t>
      </w:r>
      <w:r w:rsidRPr="0F1D33A4">
        <w:rPr>
          <w:rFonts w:ascii="Arial Narrow" w:hAnsi="Arial Narrow"/>
          <w:snapToGrid w:val="0"/>
          <w:sz w:val="18"/>
          <w:szCs w:val="18"/>
        </w:rPr>
        <w:t>ompiled during the evaluation.</w:t>
      </w:r>
      <w:r w:rsidRPr="0069210B">
        <w:rPr>
          <w:rFonts w:ascii="Arial Narrow" w:hAnsi="Arial Narrow"/>
          <w:snapToGrid w:val="0"/>
          <w:sz w:val="18"/>
          <w:szCs w:val="22"/>
        </w:rPr>
        <w:tab/>
      </w:r>
      <w:r w:rsidRPr="0069210B">
        <w:rPr>
          <w:rFonts w:ascii="Arial Narrow" w:hAnsi="Arial Narrow"/>
          <w:snapToGrid w:val="0"/>
          <w:sz w:val="18"/>
          <w:szCs w:val="22"/>
        </w:rPr>
        <w:br/>
      </w:r>
      <w:r w:rsidRPr="0F1D33A4">
        <w:rPr>
          <w:rFonts w:ascii="Arial Narrow" w:hAnsi="Arial Narrow"/>
          <w:snapToGrid w:val="0"/>
          <w:sz w:val="18"/>
          <w:szCs w:val="18"/>
        </w:rPr>
        <w:t xml:space="preserve">AIHW, Australian Institute of Health and Welfare; AML, acute myeloid leukaemia; BAT, best available therapy; CR, complete response; CSR, clinical study report; CUA, cost utility analysis; DoR, duration of response; DUSC, Drug Utilisation Sub Committee; EFS, event-free survival; ELN, European LeukemiaNet; HC/HU, hydroxycarbamide/hydroxyurea; MBS, Medicare Benefits Schedule; MDS, myelodysplastic </w:t>
      </w:r>
      <w:r w:rsidRPr="0F1D33A4">
        <w:rPr>
          <w:rFonts w:ascii="Arial Narrow" w:hAnsi="Arial Narrow"/>
          <w:snapToGrid w:val="0"/>
          <w:sz w:val="18"/>
          <w:szCs w:val="18"/>
        </w:rPr>
        <w:lastRenderedPageBreak/>
        <w:t>syndrome; MF, myelofibrosis; mo, month; n.r, not reported; OR, odds ratio; OS, overall survival; PBAC, Pharmaceutical Benefits Advisory Committee; PFs, progression</w:t>
      </w:r>
      <w:r w:rsidR="00317307" w:rsidRPr="0F1D33A4">
        <w:rPr>
          <w:rFonts w:ascii="Arial Narrow" w:hAnsi="Arial Narrow"/>
          <w:snapToGrid w:val="0"/>
          <w:sz w:val="18"/>
          <w:szCs w:val="18"/>
        </w:rPr>
        <w:t>-</w:t>
      </w:r>
      <w:r w:rsidRPr="0F1D33A4">
        <w:rPr>
          <w:rFonts w:ascii="Arial Narrow" w:hAnsi="Arial Narrow"/>
          <w:snapToGrid w:val="0"/>
          <w:sz w:val="18"/>
          <w:szCs w:val="18"/>
        </w:rPr>
        <w:t>free survival; PR, partial response; PSD, public summary document; PV, polycythaemia vera; WBC, white blood cells; yr, year.</w:t>
      </w:r>
    </w:p>
    <w:p w14:paraId="2511C1FF" w14:textId="24C76B52" w:rsidR="00C414A4" w:rsidRDefault="007D4C6D" w:rsidP="0F1D33A4">
      <w:pPr>
        <w:spacing w:after="120"/>
        <w:contextualSpacing/>
        <w:rPr>
          <w:rFonts w:ascii="Arial Narrow" w:hAnsi="Arial Narrow"/>
          <w:i/>
          <w:iCs/>
          <w:snapToGrid w:val="0"/>
          <w:sz w:val="18"/>
          <w:szCs w:val="18"/>
        </w:rPr>
      </w:pPr>
      <w:r w:rsidRPr="007D4C6D">
        <w:rPr>
          <w:rFonts w:ascii="Arial Narrow" w:hAnsi="Arial Narrow"/>
          <w:i/>
          <w:iCs/>
          <w:snapToGrid w:val="0"/>
          <w:sz w:val="18"/>
          <w:szCs w:val="18"/>
        </w:rPr>
        <w:t>The redacted values correspond to the following ranges:</w:t>
      </w:r>
    </w:p>
    <w:p w14:paraId="11701601" w14:textId="07A261D9" w:rsidR="007D4C6D" w:rsidRPr="007D4C6D" w:rsidRDefault="007D4C6D" w:rsidP="0F1D33A4">
      <w:pPr>
        <w:spacing w:after="120"/>
        <w:contextualSpacing/>
        <w:rPr>
          <w:rFonts w:ascii="Arial Narrow" w:hAnsi="Arial Narrow"/>
          <w:i/>
          <w:iCs/>
          <w:snapToGrid w:val="0"/>
          <w:sz w:val="18"/>
          <w:szCs w:val="18"/>
        </w:rPr>
      </w:pPr>
      <w:r>
        <w:rPr>
          <w:rFonts w:ascii="Arial Narrow" w:hAnsi="Arial Narrow"/>
          <w:i/>
          <w:iCs/>
          <w:snapToGrid w:val="0"/>
          <w:sz w:val="18"/>
          <w:szCs w:val="18"/>
          <w:vertAlign w:val="superscript"/>
        </w:rPr>
        <w:t>1</w:t>
      </w:r>
      <w:r>
        <w:rPr>
          <w:rFonts w:ascii="Arial Narrow" w:hAnsi="Arial Narrow"/>
          <w:i/>
          <w:iCs/>
          <w:snapToGrid w:val="0"/>
          <w:sz w:val="18"/>
          <w:szCs w:val="18"/>
        </w:rPr>
        <w:t xml:space="preserve"> &lt; 500</w:t>
      </w:r>
    </w:p>
    <w:p w14:paraId="071F5DB7" w14:textId="77777777" w:rsidR="007F26A2" w:rsidRDefault="007F26A2" w:rsidP="0F1D33A4">
      <w:pPr>
        <w:spacing w:after="120"/>
        <w:contextualSpacing/>
        <w:rPr>
          <w:rFonts w:ascii="Arial Narrow" w:hAnsi="Arial Narrow"/>
          <w:snapToGrid w:val="0"/>
          <w:sz w:val="18"/>
          <w:szCs w:val="18"/>
        </w:rPr>
      </w:pPr>
    </w:p>
    <w:p w14:paraId="10F8218C" w14:textId="4DACEEFC" w:rsidR="007F26A2" w:rsidRPr="004932E5" w:rsidRDefault="004932E5" w:rsidP="004932E5">
      <w:pPr>
        <w:spacing w:after="120"/>
        <w:ind w:firstLine="709"/>
        <w:rPr>
          <w:rFonts w:asciiTheme="minorHAnsi" w:hAnsiTheme="minorHAnsi" w:cs="Times New Roman"/>
          <w:i/>
          <w:lang w:eastAsia="en-US"/>
        </w:rPr>
      </w:pPr>
      <w:bookmarkStart w:id="13" w:name="_Hlk76375324"/>
      <w:r w:rsidRPr="004932E5">
        <w:rPr>
          <w:rFonts w:asciiTheme="minorHAnsi" w:hAnsiTheme="minorHAnsi" w:cs="Times New Roman"/>
          <w:i/>
          <w:lang w:eastAsia="en-US"/>
        </w:rPr>
        <w:t>For more detail on PBAC’s view, see section 7 PBAC outcome.</w:t>
      </w:r>
      <w:bookmarkEnd w:id="13"/>
    </w:p>
    <w:p w14:paraId="228A5DC8" w14:textId="77777777" w:rsidR="00F92E7E" w:rsidRPr="00F92E7E" w:rsidRDefault="00F92E7E" w:rsidP="00F92E7E">
      <w:pPr>
        <w:pStyle w:val="2-SectionHeading"/>
      </w:pPr>
      <w:bookmarkStart w:id="14" w:name="_Toc184797838"/>
      <w:bookmarkStart w:id="15" w:name="_Toc188348782"/>
      <w:r w:rsidRPr="00F92E7E">
        <w:t>Requested listing</w:t>
      </w:r>
      <w:bookmarkEnd w:id="14"/>
      <w:bookmarkEnd w:id="15"/>
    </w:p>
    <w:tbl>
      <w:tblPr>
        <w:tblW w:w="9391" w:type="dxa"/>
        <w:tblInd w:w="108" w:type="dxa"/>
        <w:tblLayout w:type="fixed"/>
        <w:tblLook w:val="0000" w:firstRow="0" w:lastRow="0" w:firstColumn="0" w:lastColumn="0" w:noHBand="0" w:noVBand="0"/>
        <w:tblCaption w:val="Requested listing"/>
        <w:tblDescription w:val="Medicine Forms "/>
      </w:tblPr>
      <w:tblGrid>
        <w:gridCol w:w="2302"/>
        <w:gridCol w:w="1134"/>
        <w:gridCol w:w="1134"/>
        <w:gridCol w:w="851"/>
        <w:gridCol w:w="1701"/>
        <w:gridCol w:w="1701"/>
        <w:gridCol w:w="568"/>
      </w:tblGrid>
      <w:tr w:rsidR="00F92E7E" w:rsidRPr="00F92E7E" w14:paraId="46318783" w14:textId="77777777">
        <w:trPr>
          <w:cantSplit/>
          <w:trHeight w:val="471"/>
        </w:trPr>
        <w:tc>
          <w:tcPr>
            <w:tcW w:w="2302" w:type="dxa"/>
            <w:tcBorders>
              <w:bottom w:val="single" w:sz="4" w:space="0" w:color="auto"/>
            </w:tcBorders>
          </w:tcPr>
          <w:p w14:paraId="313C74D5" w14:textId="77777777" w:rsidR="00F92E7E" w:rsidRPr="00F92E7E" w:rsidRDefault="00F92E7E" w:rsidP="00F92E7E">
            <w:pPr>
              <w:keepNext/>
              <w:keepLines/>
              <w:jc w:val="left"/>
              <w:rPr>
                <w:rFonts w:ascii="Arial Narrow" w:eastAsiaTheme="majorEastAsia" w:hAnsi="Arial Narrow" w:cs="Times New Roman"/>
                <w:b/>
                <w:sz w:val="20"/>
                <w:lang w:val="en-US"/>
              </w:rPr>
            </w:pPr>
            <w:r w:rsidRPr="00F92E7E">
              <w:rPr>
                <w:rFonts w:ascii="Arial Narrow" w:eastAsiaTheme="majorEastAsia" w:hAnsi="Arial Narrow" w:cs="Times New Roman"/>
                <w:b/>
                <w:sz w:val="20"/>
                <w:lang w:val="en-US"/>
              </w:rPr>
              <w:t>Name, Restriction,</w:t>
            </w:r>
          </w:p>
          <w:p w14:paraId="775AEB8A" w14:textId="77777777" w:rsidR="00F92E7E" w:rsidRPr="00F92E7E" w:rsidRDefault="00F92E7E" w:rsidP="00F92E7E">
            <w:pPr>
              <w:keepNext/>
              <w:keepLines/>
              <w:jc w:val="left"/>
              <w:rPr>
                <w:rFonts w:ascii="Arial Narrow" w:eastAsiaTheme="majorEastAsia" w:hAnsi="Arial Narrow" w:cs="Times New Roman"/>
                <w:b/>
                <w:sz w:val="20"/>
                <w:lang w:val="en-US"/>
              </w:rPr>
            </w:pPr>
            <w:r w:rsidRPr="00F92E7E">
              <w:rPr>
                <w:rFonts w:ascii="Arial Narrow" w:eastAsiaTheme="majorEastAsia" w:hAnsi="Arial Narrow" w:cs="Times New Roman"/>
                <w:b/>
                <w:sz w:val="20"/>
                <w:lang w:val="en-US"/>
              </w:rPr>
              <w:t>Manner of administration and form</w:t>
            </w:r>
          </w:p>
        </w:tc>
        <w:tc>
          <w:tcPr>
            <w:tcW w:w="1134" w:type="dxa"/>
            <w:tcBorders>
              <w:bottom w:val="single" w:sz="4" w:space="0" w:color="auto"/>
            </w:tcBorders>
          </w:tcPr>
          <w:p w14:paraId="760AF701" w14:textId="77777777" w:rsidR="00F92E7E" w:rsidRPr="00F92E7E" w:rsidRDefault="00F92E7E" w:rsidP="00F92E7E">
            <w:pPr>
              <w:keepNext/>
              <w:keepLines/>
              <w:jc w:val="left"/>
              <w:rPr>
                <w:rFonts w:ascii="Arial Narrow" w:eastAsiaTheme="majorEastAsia" w:hAnsi="Arial Narrow" w:cs="Times New Roman"/>
                <w:b/>
                <w:sz w:val="20"/>
                <w:lang w:val="en-US"/>
              </w:rPr>
            </w:pPr>
            <w:r w:rsidRPr="00F92E7E">
              <w:rPr>
                <w:rFonts w:ascii="Arial Narrow" w:eastAsiaTheme="majorEastAsia" w:hAnsi="Arial Narrow" w:cs="Times New Roman"/>
                <w:b/>
                <w:sz w:val="20"/>
                <w:lang w:val="en-US"/>
              </w:rPr>
              <w:t xml:space="preserve">Max. Qty </w:t>
            </w:r>
          </w:p>
          <w:p w14:paraId="1DB2D488" w14:textId="77777777" w:rsidR="00F92E7E" w:rsidRPr="00F92E7E" w:rsidRDefault="00F92E7E" w:rsidP="00F92E7E">
            <w:pPr>
              <w:keepNext/>
              <w:keepLines/>
              <w:jc w:val="left"/>
              <w:rPr>
                <w:rFonts w:ascii="Arial Narrow" w:eastAsiaTheme="majorEastAsia" w:hAnsi="Arial Narrow" w:cs="Times New Roman"/>
                <w:b/>
                <w:sz w:val="20"/>
                <w:lang w:val="en-US"/>
              </w:rPr>
            </w:pPr>
            <w:r w:rsidRPr="00F92E7E">
              <w:rPr>
                <w:rFonts w:ascii="Arial Narrow" w:eastAsiaTheme="majorEastAsia" w:hAnsi="Arial Narrow" w:cs="Times New Roman"/>
                <w:b/>
                <w:sz w:val="20"/>
                <w:lang w:val="en-US"/>
              </w:rPr>
              <w:t>(packs)</w:t>
            </w:r>
          </w:p>
        </w:tc>
        <w:tc>
          <w:tcPr>
            <w:tcW w:w="1134" w:type="dxa"/>
            <w:tcBorders>
              <w:bottom w:val="single" w:sz="4" w:space="0" w:color="auto"/>
            </w:tcBorders>
          </w:tcPr>
          <w:p w14:paraId="70901FEC" w14:textId="77777777" w:rsidR="00F92E7E" w:rsidRPr="00F92E7E" w:rsidRDefault="00F92E7E" w:rsidP="00F92E7E">
            <w:pPr>
              <w:keepNext/>
              <w:keepLines/>
              <w:jc w:val="left"/>
              <w:rPr>
                <w:rFonts w:ascii="Arial Narrow" w:eastAsiaTheme="majorEastAsia" w:hAnsi="Arial Narrow" w:cs="Times New Roman"/>
                <w:b/>
                <w:sz w:val="20"/>
                <w:lang w:val="en-US"/>
              </w:rPr>
            </w:pPr>
            <w:r w:rsidRPr="00F92E7E">
              <w:rPr>
                <w:rFonts w:ascii="Arial Narrow" w:eastAsiaTheme="majorEastAsia" w:hAnsi="Arial Narrow" w:cs="Times New Roman"/>
                <w:b/>
                <w:sz w:val="20"/>
                <w:lang w:val="en-US"/>
              </w:rPr>
              <w:t>Max. Qty</w:t>
            </w:r>
            <w:r w:rsidRPr="00F92E7E">
              <w:rPr>
                <w:rFonts w:ascii="Arial Narrow" w:eastAsiaTheme="majorEastAsia" w:hAnsi="Arial Narrow" w:cs="Times New Roman"/>
                <w:b/>
                <w:sz w:val="20"/>
                <w:lang w:val="en-US"/>
              </w:rPr>
              <w:br/>
              <w:t>(units)</w:t>
            </w:r>
          </w:p>
        </w:tc>
        <w:tc>
          <w:tcPr>
            <w:tcW w:w="851" w:type="dxa"/>
            <w:tcBorders>
              <w:bottom w:val="single" w:sz="4" w:space="0" w:color="auto"/>
            </w:tcBorders>
          </w:tcPr>
          <w:p w14:paraId="64259B9D" w14:textId="77777777" w:rsidR="00F92E7E" w:rsidRPr="00F92E7E" w:rsidRDefault="00F92E7E" w:rsidP="00F92E7E">
            <w:pPr>
              <w:keepNext/>
              <w:keepLines/>
              <w:jc w:val="left"/>
              <w:rPr>
                <w:rFonts w:ascii="Arial Narrow" w:eastAsiaTheme="majorEastAsia" w:hAnsi="Arial Narrow" w:cs="Times New Roman"/>
                <w:b/>
                <w:sz w:val="20"/>
                <w:lang w:val="en-US"/>
              </w:rPr>
            </w:pPr>
            <w:r w:rsidRPr="00F92E7E">
              <w:rPr>
                <w:rFonts w:ascii="Arial Narrow" w:eastAsiaTheme="majorEastAsia" w:hAnsi="Arial Narrow" w:cs="Times New Roman"/>
                <w:b/>
                <w:sz w:val="20"/>
                <w:lang w:val="en-US"/>
              </w:rPr>
              <w:t>№.of</w:t>
            </w:r>
          </w:p>
          <w:p w14:paraId="11CFD20B" w14:textId="77777777" w:rsidR="00F92E7E" w:rsidRPr="00F92E7E" w:rsidRDefault="00F92E7E" w:rsidP="00F92E7E">
            <w:pPr>
              <w:keepNext/>
              <w:keepLines/>
              <w:jc w:val="left"/>
              <w:rPr>
                <w:rFonts w:ascii="Arial Narrow" w:eastAsiaTheme="majorEastAsia" w:hAnsi="Arial Narrow" w:cs="Times New Roman"/>
                <w:b/>
                <w:sz w:val="20"/>
                <w:lang w:val="en-US"/>
              </w:rPr>
            </w:pPr>
            <w:r w:rsidRPr="00F92E7E">
              <w:rPr>
                <w:rFonts w:ascii="Arial Narrow" w:eastAsiaTheme="majorEastAsia" w:hAnsi="Arial Narrow" w:cs="Times New Roman"/>
                <w:b/>
                <w:sz w:val="20"/>
                <w:lang w:val="en-US"/>
              </w:rPr>
              <w:t>Rpts</w:t>
            </w:r>
          </w:p>
        </w:tc>
        <w:tc>
          <w:tcPr>
            <w:tcW w:w="1701" w:type="dxa"/>
            <w:tcBorders>
              <w:bottom w:val="single" w:sz="4" w:space="0" w:color="auto"/>
            </w:tcBorders>
          </w:tcPr>
          <w:p w14:paraId="6CB9BB12" w14:textId="77777777" w:rsidR="00F92E7E" w:rsidRPr="00F92E7E" w:rsidRDefault="00F92E7E" w:rsidP="00F92E7E">
            <w:pPr>
              <w:keepNext/>
              <w:keepLines/>
              <w:jc w:val="left"/>
              <w:rPr>
                <w:rFonts w:ascii="Arial Narrow" w:eastAsiaTheme="majorEastAsia" w:hAnsi="Arial Narrow" w:cs="Times New Roman"/>
                <w:b/>
                <w:sz w:val="20"/>
                <w:lang w:val="en-US"/>
              </w:rPr>
            </w:pPr>
            <w:r w:rsidRPr="00F92E7E">
              <w:rPr>
                <w:rFonts w:ascii="Arial Narrow" w:eastAsiaTheme="majorEastAsia" w:hAnsi="Arial Narrow" w:cs="Times New Roman"/>
                <w:b/>
                <w:sz w:val="20"/>
                <w:lang w:val="en-US"/>
              </w:rPr>
              <w:t>Dispensed Price for Max. Qty</w:t>
            </w:r>
          </w:p>
        </w:tc>
        <w:tc>
          <w:tcPr>
            <w:tcW w:w="2269" w:type="dxa"/>
            <w:gridSpan w:val="2"/>
            <w:tcBorders>
              <w:bottom w:val="single" w:sz="4" w:space="0" w:color="auto"/>
            </w:tcBorders>
          </w:tcPr>
          <w:p w14:paraId="2C4AA1E5" w14:textId="77777777" w:rsidR="00F92E7E" w:rsidRPr="00F92E7E" w:rsidRDefault="00F92E7E" w:rsidP="00F92E7E">
            <w:pPr>
              <w:keepNext/>
              <w:keepLines/>
              <w:jc w:val="left"/>
              <w:rPr>
                <w:rFonts w:ascii="Arial Narrow" w:eastAsiaTheme="majorEastAsia" w:hAnsi="Arial Narrow" w:cs="Times New Roman"/>
                <w:b/>
                <w:sz w:val="20"/>
                <w:lang w:val="fr-FR"/>
              </w:rPr>
            </w:pPr>
            <w:r w:rsidRPr="00F92E7E">
              <w:rPr>
                <w:rFonts w:ascii="Arial Narrow" w:eastAsiaTheme="majorEastAsia" w:hAnsi="Arial Narrow" w:cs="Times New Roman"/>
                <w:b/>
                <w:sz w:val="20"/>
                <w:lang w:val="en-US"/>
              </w:rPr>
              <w:t>Proprietary Name and Manufacturer</w:t>
            </w:r>
          </w:p>
        </w:tc>
      </w:tr>
      <w:tr w:rsidR="00F92E7E" w:rsidRPr="00F92E7E" w14:paraId="55497BB1" w14:textId="77777777">
        <w:trPr>
          <w:cantSplit/>
          <w:trHeight w:val="577"/>
        </w:trPr>
        <w:tc>
          <w:tcPr>
            <w:tcW w:w="2302" w:type="dxa"/>
          </w:tcPr>
          <w:p w14:paraId="752884B4" w14:textId="77777777" w:rsidR="00F92E7E" w:rsidRPr="00F92E7E" w:rsidRDefault="00F92E7E" w:rsidP="00F92E7E">
            <w:pPr>
              <w:keepNext/>
              <w:ind w:left="-108"/>
              <w:jc w:val="left"/>
              <w:rPr>
                <w:rFonts w:ascii="Arial Narrow" w:hAnsi="Arial Narrow"/>
                <w:sz w:val="20"/>
              </w:rPr>
            </w:pPr>
            <w:r w:rsidRPr="00F92E7E">
              <w:rPr>
                <w:rFonts w:ascii="Arial Narrow" w:hAnsi="Arial Narrow"/>
                <w:sz w:val="20"/>
              </w:rPr>
              <w:t>5 mg, 56 tablets</w:t>
            </w:r>
          </w:p>
          <w:p w14:paraId="2E77DE9C" w14:textId="77777777" w:rsidR="00F92E7E" w:rsidRPr="00F92E7E" w:rsidRDefault="00F92E7E" w:rsidP="00F92E7E">
            <w:pPr>
              <w:keepNext/>
              <w:ind w:left="-108"/>
              <w:jc w:val="left"/>
              <w:rPr>
                <w:rFonts w:ascii="Arial Narrow" w:hAnsi="Arial Narrow"/>
                <w:sz w:val="20"/>
              </w:rPr>
            </w:pPr>
          </w:p>
          <w:p w14:paraId="47A3CBD5" w14:textId="77777777" w:rsidR="00F92E7E" w:rsidRPr="00F92E7E" w:rsidRDefault="00F92E7E" w:rsidP="00F92E7E">
            <w:pPr>
              <w:keepNext/>
              <w:ind w:left="-108"/>
              <w:jc w:val="left"/>
              <w:rPr>
                <w:rFonts w:ascii="Arial Narrow" w:hAnsi="Arial Narrow"/>
                <w:sz w:val="20"/>
              </w:rPr>
            </w:pPr>
            <w:r w:rsidRPr="00F92E7E">
              <w:rPr>
                <w:rFonts w:ascii="Arial Narrow" w:hAnsi="Arial Narrow"/>
                <w:sz w:val="20"/>
              </w:rPr>
              <w:t>10 mg, 56 tablets</w:t>
            </w:r>
          </w:p>
          <w:p w14:paraId="71CF76F4" w14:textId="77777777" w:rsidR="00F92E7E" w:rsidRPr="00F92E7E" w:rsidRDefault="00F92E7E" w:rsidP="00F92E7E">
            <w:pPr>
              <w:keepNext/>
              <w:ind w:left="-108"/>
              <w:jc w:val="left"/>
              <w:rPr>
                <w:rFonts w:ascii="Arial Narrow" w:hAnsi="Arial Narrow"/>
                <w:sz w:val="20"/>
              </w:rPr>
            </w:pPr>
          </w:p>
          <w:p w14:paraId="3F1360E8" w14:textId="77777777" w:rsidR="00F92E7E" w:rsidRPr="00F92E7E" w:rsidRDefault="00F92E7E" w:rsidP="00F92E7E">
            <w:pPr>
              <w:keepNext/>
              <w:ind w:left="-108"/>
              <w:jc w:val="left"/>
              <w:rPr>
                <w:rFonts w:ascii="Arial Narrow" w:hAnsi="Arial Narrow"/>
                <w:sz w:val="20"/>
              </w:rPr>
            </w:pPr>
            <w:r w:rsidRPr="00F92E7E">
              <w:rPr>
                <w:rFonts w:ascii="Arial Narrow" w:hAnsi="Arial Narrow"/>
                <w:sz w:val="20"/>
              </w:rPr>
              <w:t>15 mg, 56 tablets</w:t>
            </w:r>
          </w:p>
          <w:p w14:paraId="65797E45" w14:textId="77777777" w:rsidR="00F92E7E" w:rsidRPr="00F92E7E" w:rsidRDefault="00F92E7E" w:rsidP="00F92E7E">
            <w:pPr>
              <w:keepNext/>
              <w:ind w:left="-108"/>
              <w:jc w:val="left"/>
              <w:rPr>
                <w:rFonts w:ascii="Arial Narrow" w:hAnsi="Arial Narrow"/>
                <w:sz w:val="20"/>
              </w:rPr>
            </w:pPr>
          </w:p>
          <w:p w14:paraId="00EDFCAE" w14:textId="77777777" w:rsidR="00F92E7E" w:rsidRPr="00F92E7E" w:rsidRDefault="00F92E7E" w:rsidP="00F92E7E">
            <w:pPr>
              <w:keepNext/>
              <w:ind w:left="-108"/>
              <w:jc w:val="left"/>
              <w:rPr>
                <w:rFonts w:ascii="Arial Narrow" w:hAnsi="Arial Narrow"/>
                <w:sz w:val="20"/>
              </w:rPr>
            </w:pPr>
            <w:r w:rsidRPr="00F92E7E">
              <w:rPr>
                <w:rFonts w:ascii="Arial Narrow" w:hAnsi="Arial Narrow"/>
                <w:sz w:val="20"/>
              </w:rPr>
              <w:t>20 mg, 56 tablets</w:t>
            </w:r>
          </w:p>
          <w:p w14:paraId="450349FF" w14:textId="77777777" w:rsidR="00F92E7E" w:rsidRPr="00F92E7E" w:rsidRDefault="00F92E7E" w:rsidP="00F92E7E">
            <w:pPr>
              <w:keepNext/>
              <w:ind w:left="-108"/>
              <w:jc w:val="left"/>
              <w:rPr>
                <w:rFonts w:ascii="Arial Narrow" w:hAnsi="Arial Narrow"/>
                <w:sz w:val="20"/>
              </w:rPr>
            </w:pPr>
          </w:p>
        </w:tc>
        <w:tc>
          <w:tcPr>
            <w:tcW w:w="1134" w:type="dxa"/>
          </w:tcPr>
          <w:p w14:paraId="2A3A8A9D" w14:textId="77777777" w:rsidR="00F92E7E" w:rsidRPr="00F92E7E" w:rsidRDefault="00F92E7E" w:rsidP="00F92E7E">
            <w:pPr>
              <w:keepNext/>
              <w:ind w:left="-108"/>
              <w:jc w:val="left"/>
              <w:rPr>
                <w:rFonts w:ascii="Arial Narrow" w:hAnsi="Arial Narrow"/>
                <w:sz w:val="20"/>
              </w:rPr>
            </w:pPr>
            <w:r w:rsidRPr="00F92E7E">
              <w:rPr>
                <w:rFonts w:ascii="Arial Narrow" w:hAnsi="Arial Narrow"/>
                <w:sz w:val="20"/>
              </w:rPr>
              <w:t>1</w:t>
            </w:r>
          </w:p>
          <w:p w14:paraId="22E47936" w14:textId="77777777" w:rsidR="00F92E7E" w:rsidRPr="00F92E7E" w:rsidRDefault="00F92E7E" w:rsidP="00F92E7E">
            <w:pPr>
              <w:keepNext/>
              <w:ind w:left="-108"/>
              <w:jc w:val="left"/>
              <w:rPr>
                <w:rFonts w:ascii="Arial Narrow" w:hAnsi="Arial Narrow"/>
                <w:sz w:val="20"/>
              </w:rPr>
            </w:pPr>
          </w:p>
          <w:p w14:paraId="320ACDBB" w14:textId="77777777" w:rsidR="00F92E7E" w:rsidRPr="00F92E7E" w:rsidRDefault="00F92E7E" w:rsidP="00F92E7E">
            <w:pPr>
              <w:keepNext/>
              <w:ind w:left="-108"/>
              <w:jc w:val="left"/>
              <w:rPr>
                <w:rFonts w:ascii="Arial Narrow" w:hAnsi="Arial Narrow"/>
                <w:sz w:val="20"/>
              </w:rPr>
            </w:pPr>
            <w:r w:rsidRPr="00F92E7E">
              <w:rPr>
                <w:rFonts w:ascii="Arial Narrow" w:hAnsi="Arial Narrow"/>
                <w:sz w:val="20"/>
              </w:rPr>
              <w:t>1</w:t>
            </w:r>
          </w:p>
          <w:p w14:paraId="638352DA" w14:textId="77777777" w:rsidR="00F92E7E" w:rsidRPr="00F92E7E" w:rsidRDefault="00F92E7E" w:rsidP="00F92E7E">
            <w:pPr>
              <w:keepNext/>
              <w:ind w:left="-108"/>
              <w:jc w:val="left"/>
              <w:rPr>
                <w:rFonts w:ascii="Arial Narrow" w:hAnsi="Arial Narrow"/>
                <w:sz w:val="20"/>
              </w:rPr>
            </w:pPr>
          </w:p>
          <w:p w14:paraId="400E5FD2" w14:textId="77777777" w:rsidR="00F92E7E" w:rsidRPr="00F92E7E" w:rsidRDefault="00F92E7E" w:rsidP="00F92E7E">
            <w:pPr>
              <w:keepNext/>
              <w:ind w:left="-108"/>
              <w:jc w:val="left"/>
              <w:rPr>
                <w:rFonts w:ascii="Arial Narrow" w:hAnsi="Arial Narrow"/>
                <w:sz w:val="20"/>
              </w:rPr>
            </w:pPr>
            <w:r w:rsidRPr="00F92E7E">
              <w:rPr>
                <w:rFonts w:ascii="Arial Narrow" w:hAnsi="Arial Narrow"/>
                <w:sz w:val="20"/>
              </w:rPr>
              <w:t>1</w:t>
            </w:r>
          </w:p>
          <w:p w14:paraId="027EC0FA" w14:textId="77777777" w:rsidR="00F92E7E" w:rsidRPr="00F92E7E" w:rsidRDefault="00F92E7E" w:rsidP="00F92E7E">
            <w:pPr>
              <w:keepNext/>
              <w:ind w:left="-108"/>
              <w:jc w:val="left"/>
              <w:rPr>
                <w:rFonts w:ascii="Arial Narrow" w:hAnsi="Arial Narrow"/>
                <w:sz w:val="20"/>
              </w:rPr>
            </w:pPr>
          </w:p>
          <w:p w14:paraId="53BDE773" w14:textId="77777777" w:rsidR="00F92E7E" w:rsidRPr="00F92E7E" w:rsidRDefault="00F92E7E" w:rsidP="00F92E7E">
            <w:pPr>
              <w:keepNext/>
              <w:ind w:left="-108"/>
              <w:jc w:val="left"/>
              <w:rPr>
                <w:rFonts w:ascii="Arial Narrow" w:hAnsi="Arial Narrow"/>
                <w:sz w:val="20"/>
              </w:rPr>
            </w:pPr>
            <w:r w:rsidRPr="00F92E7E">
              <w:rPr>
                <w:rFonts w:ascii="Arial Narrow" w:hAnsi="Arial Narrow"/>
                <w:sz w:val="20"/>
              </w:rPr>
              <w:t>1</w:t>
            </w:r>
          </w:p>
        </w:tc>
        <w:tc>
          <w:tcPr>
            <w:tcW w:w="1134" w:type="dxa"/>
          </w:tcPr>
          <w:p w14:paraId="3764FC33" w14:textId="77777777" w:rsidR="00F92E7E" w:rsidRPr="00F92E7E" w:rsidRDefault="00F92E7E" w:rsidP="00F92E7E">
            <w:pPr>
              <w:keepNext/>
              <w:ind w:left="-108"/>
              <w:jc w:val="left"/>
              <w:rPr>
                <w:rFonts w:ascii="Arial Narrow" w:hAnsi="Arial Narrow"/>
                <w:sz w:val="20"/>
              </w:rPr>
            </w:pPr>
            <w:r w:rsidRPr="00F92E7E">
              <w:rPr>
                <w:rFonts w:ascii="Arial Narrow" w:hAnsi="Arial Narrow"/>
                <w:sz w:val="20"/>
              </w:rPr>
              <w:t>56</w:t>
            </w:r>
          </w:p>
          <w:p w14:paraId="382BFDB4" w14:textId="77777777" w:rsidR="00F92E7E" w:rsidRPr="00F92E7E" w:rsidRDefault="00F92E7E" w:rsidP="00F92E7E">
            <w:pPr>
              <w:keepNext/>
              <w:ind w:left="-108"/>
              <w:jc w:val="left"/>
              <w:rPr>
                <w:rFonts w:ascii="Arial Narrow" w:hAnsi="Arial Narrow"/>
                <w:sz w:val="20"/>
              </w:rPr>
            </w:pPr>
          </w:p>
          <w:p w14:paraId="0AB0BFAE" w14:textId="77777777" w:rsidR="00F92E7E" w:rsidRPr="00F92E7E" w:rsidRDefault="00F92E7E" w:rsidP="00F92E7E">
            <w:pPr>
              <w:keepNext/>
              <w:ind w:left="-108"/>
              <w:jc w:val="left"/>
              <w:rPr>
                <w:rFonts w:ascii="Arial Narrow" w:hAnsi="Arial Narrow"/>
                <w:sz w:val="20"/>
              </w:rPr>
            </w:pPr>
            <w:r w:rsidRPr="00F92E7E">
              <w:rPr>
                <w:rFonts w:ascii="Arial Narrow" w:hAnsi="Arial Narrow"/>
                <w:sz w:val="20"/>
              </w:rPr>
              <w:t>56</w:t>
            </w:r>
          </w:p>
          <w:p w14:paraId="39B62F28" w14:textId="77777777" w:rsidR="00F92E7E" w:rsidRPr="00F92E7E" w:rsidRDefault="00F92E7E" w:rsidP="00F92E7E">
            <w:pPr>
              <w:keepNext/>
              <w:ind w:left="-108"/>
              <w:jc w:val="left"/>
              <w:rPr>
                <w:rFonts w:ascii="Arial Narrow" w:hAnsi="Arial Narrow"/>
                <w:sz w:val="20"/>
              </w:rPr>
            </w:pPr>
          </w:p>
          <w:p w14:paraId="1D3BED2C" w14:textId="77777777" w:rsidR="00F92E7E" w:rsidRPr="00F92E7E" w:rsidRDefault="00F92E7E" w:rsidP="00F92E7E">
            <w:pPr>
              <w:keepNext/>
              <w:ind w:left="-108"/>
              <w:jc w:val="left"/>
              <w:rPr>
                <w:rFonts w:ascii="Arial Narrow" w:hAnsi="Arial Narrow"/>
                <w:sz w:val="20"/>
              </w:rPr>
            </w:pPr>
            <w:r w:rsidRPr="00F92E7E">
              <w:rPr>
                <w:rFonts w:ascii="Arial Narrow" w:hAnsi="Arial Narrow"/>
                <w:sz w:val="20"/>
              </w:rPr>
              <w:t>56</w:t>
            </w:r>
          </w:p>
          <w:p w14:paraId="1F066A15" w14:textId="77777777" w:rsidR="00F92E7E" w:rsidRPr="00F92E7E" w:rsidRDefault="00F92E7E" w:rsidP="00F92E7E">
            <w:pPr>
              <w:keepNext/>
              <w:ind w:left="-108"/>
              <w:jc w:val="left"/>
              <w:rPr>
                <w:rFonts w:ascii="Arial Narrow" w:hAnsi="Arial Narrow"/>
                <w:sz w:val="20"/>
              </w:rPr>
            </w:pPr>
          </w:p>
          <w:p w14:paraId="54206AD7" w14:textId="77777777" w:rsidR="00F92E7E" w:rsidRPr="00F92E7E" w:rsidRDefault="00F92E7E" w:rsidP="00F92E7E">
            <w:pPr>
              <w:keepNext/>
              <w:ind w:left="-108"/>
              <w:jc w:val="left"/>
              <w:rPr>
                <w:rFonts w:ascii="Arial Narrow" w:hAnsi="Arial Narrow"/>
                <w:sz w:val="20"/>
              </w:rPr>
            </w:pPr>
            <w:r w:rsidRPr="00F92E7E">
              <w:rPr>
                <w:rFonts w:ascii="Arial Narrow" w:hAnsi="Arial Narrow"/>
                <w:sz w:val="20"/>
              </w:rPr>
              <w:t>56</w:t>
            </w:r>
          </w:p>
        </w:tc>
        <w:tc>
          <w:tcPr>
            <w:tcW w:w="851" w:type="dxa"/>
          </w:tcPr>
          <w:p w14:paraId="7AAF9152" w14:textId="77777777" w:rsidR="00F92E7E" w:rsidRPr="00F92E7E" w:rsidRDefault="00F92E7E" w:rsidP="00F92E7E">
            <w:pPr>
              <w:keepNext/>
              <w:ind w:left="-108"/>
              <w:jc w:val="left"/>
              <w:rPr>
                <w:rFonts w:ascii="Arial Narrow" w:hAnsi="Arial Narrow"/>
                <w:sz w:val="20"/>
              </w:rPr>
            </w:pPr>
            <w:r w:rsidRPr="00F92E7E">
              <w:rPr>
                <w:rFonts w:ascii="Arial Narrow" w:hAnsi="Arial Narrow"/>
                <w:sz w:val="20"/>
              </w:rPr>
              <w:t>5</w:t>
            </w:r>
          </w:p>
          <w:p w14:paraId="3C66E11D" w14:textId="77777777" w:rsidR="00F92E7E" w:rsidRPr="00F92E7E" w:rsidRDefault="00F92E7E" w:rsidP="00F92E7E">
            <w:pPr>
              <w:keepNext/>
              <w:ind w:left="-108"/>
              <w:jc w:val="left"/>
              <w:rPr>
                <w:rFonts w:ascii="Arial Narrow" w:hAnsi="Arial Narrow"/>
                <w:sz w:val="20"/>
              </w:rPr>
            </w:pPr>
          </w:p>
          <w:p w14:paraId="51D6E5C8" w14:textId="77777777" w:rsidR="00F92E7E" w:rsidRPr="00F92E7E" w:rsidRDefault="00F92E7E" w:rsidP="00F92E7E">
            <w:pPr>
              <w:keepNext/>
              <w:ind w:left="-108"/>
              <w:jc w:val="left"/>
              <w:rPr>
                <w:rFonts w:ascii="Arial Narrow" w:hAnsi="Arial Narrow"/>
                <w:sz w:val="20"/>
              </w:rPr>
            </w:pPr>
            <w:r w:rsidRPr="00F92E7E">
              <w:rPr>
                <w:rFonts w:ascii="Arial Narrow" w:hAnsi="Arial Narrow"/>
                <w:sz w:val="20"/>
              </w:rPr>
              <w:t>5</w:t>
            </w:r>
          </w:p>
          <w:p w14:paraId="3C3A181A" w14:textId="77777777" w:rsidR="00F92E7E" w:rsidRPr="00F92E7E" w:rsidRDefault="00F92E7E" w:rsidP="00F92E7E">
            <w:pPr>
              <w:keepNext/>
              <w:ind w:left="-108"/>
              <w:jc w:val="left"/>
              <w:rPr>
                <w:rFonts w:ascii="Arial Narrow" w:hAnsi="Arial Narrow"/>
                <w:sz w:val="20"/>
              </w:rPr>
            </w:pPr>
          </w:p>
          <w:p w14:paraId="1BBB6D3F" w14:textId="77777777" w:rsidR="00F92E7E" w:rsidRPr="00F92E7E" w:rsidRDefault="00F92E7E" w:rsidP="00F92E7E">
            <w:pPr>
              <w:keepNext/>
              <w:ind w:left="-108"/>
              <w:jc w:val="left"/>
              <w:rPr>
                <w:rFonts w:ascii="Arial Narrow" w:hAnsi="Arial Narrow"/>
                <w:sz w:val="20"/>
              </w:rPr>
            </w:pPr>
            <w:r w:rsidRPr="00F92E7E">
              <w:rPr>
                <w:rFonts w:ascii="Arial Narrow" w:hAnsi="Arial Narrow"/>
                <w:sz w:val="20"/>
              </w:rPr>
              <w:t>5</w:t>
            </w:r>
          </w:p>
          <w:p w14:paraId="005ACE86" w14:textId="77777777" w:rsidR="00F92E7E" w:rsidRPr="00F92E7E" w:rsidRDefault="00F92E7E" w:rsidP="00F92E7E">
            <w:pPr>
              <w:keepNext/>
              <w:ind w:left="-108"/>
              <w:jc w:val="left"/>
              <w:rPr>
                <w:rFonts w:ascii="Arial Narrow" w:hAnsi="Arial Narrow"/>
                <w:sz w:val="20"/>
              </w:rPr>
            </w:pPr>
          </w:p>
          <w:p w14:paraId="36B1ACD8" w14:textId="77777777" w:rsidR="00F92E7E" w:rsidRPr="00F92E7E" w:rsidRDefault="00F92E7E" w:rsidP="00F92E7E">
            <w:pPr>
              <w:keepNext/>
              <w:ind w:left="-108"/>
              <w:jc w:val="left"/>
              <w:rPr>
                <w:rFonts w:ascii="Arial Narrow" w:hAnsi="Arial Narrow"/>
                <w:sz w:val="20"/>
              </w:rPr>
            </w:pPr>
            <w:r w:rsidRPr="00F92E7E">
              <w:rPr>
                <w:rFonts w:ascii="Arial Narrow" w:hAnsi="Arial Narrow"/>
                <w:sz w:val="20"/>
              </w:rPr>
              <w:t>5</w:t>
            </w:r>
          </w:p>
        </w:tc>
        <w:tc>
          <w:tcPr>
            <w:tcW w:w="1701" w:type="dxa"/>
          </w:tcPr>
          <w:p w14:paraId="59409CDB" w14:textId="77777777" w:rsidR="00F92E7E" w:rsidRPr="00F92E7E" w:rsidRDefault="00F92E7E" w:rsidP="00F92E7E">
            <w:pPr>
              <w:keepNext/>
              <w:jc w:val="left"/>
              <w:rPr>
                <w:rFonts w:ascii="Arial Narrow" w:hAnsi="Arial Narrow"/>
                <w:sz w:val="20"/>
              </w:rPr>
            </w:pPr>
            <w:r w:rsidRPr="00F92E7E">
              <w:rPr>
                <w:rFonts w:ascii="Arial Narrow" w:hAnsi="Arial Narrow"/>
                <w:sz w:val="20"/>
              </w:rPr>
              <w:t>Published: $4,912.60</w:t>
            </w:r>
          </w:p>
          <w:p w14:paraId="1ECE633D" w14:textId="77777777" w:rsidR="00F92E7E" w:rsidRPr="00F92E7E" w:rsidRDefault="00F92E7E" w:rsidP="00F92E7E">
            <w:pPr>
              <w:keepNext/>
              <w:jc w:val="left"/>
              <w:rPr>
                <w:rFonts w:ascii="Arial Narrow" w:hAnsi="Arial Narrow"/>
                <w:sz w:val="20"/>
              </w:rPr>
            </w:pPr>
            <w:r w:rsidRPr="00F92E7E">
              <w:rPr>
                <w:rFonts w:ascii="Arial Narrow" w:hAnsi="Arial Narrow"/>
                <w:sz w:val="20"/>
              </w:rPr>
              <w:t>Effective:</w:t>
            </w:r>
          </w:p>
          <w:p w14:paraId="6EC1E14A" w14:textId="3EFCB2CB" w:rsidR="00F92E7E" w:rsidRPr="00F92E7E" w:rsidRDefault="00F92E7E" w:rsidP="00F92E7E">
            <w:pPr>
              <w:keepNext/>
              <w:jc w:val="left"/>
              <w:rPr>
                <w:rFonts w:ascii="Arial Narrow" w:hAnsi="Arial Narrow"/>
                <w:sz w:val="20"/>
              </w:rPr>
            </w:pPr>
            <w:r w:rsidRPr="00F92E7E">
              <w:rPr>
                <w:rFonts w:ascii="Arial Narrow" w:hAnsi="Arial Narrow"/>
                <w:sz w:val="20"/>
              </w:rPr>
              <w:t>$</w:t>
            </w:r>
            <w:r w:rsidR="00A268DC" w:rsidRPr="00717209">
              <w:rPr>
                <w:rFonts w:ascii="Arial Narrow" w:hAnsi="Arial Narrow"/>
                <w:color w:val="000000"/>
                <w:spacing w:val="55"/>
                <w:w w:val="96"/>
                <w:sz w:val="20"/>
                <w:shd w:val="solid" w:color="000000" w:fill="000000"/>
                <w:fitText w:val="330" w:id="-694973695"/>
                <w14:textFill>
                  <w14:solidFill>
                    <w14:srgbClr w14:val="000000">
                      <w14:alpha w14:val="100000"/>
                    </w14:srgbClr>
                  </w14:solidFill>
                </w14:textFill>
              </w:rPr>
              <w:t>|||</w:t>
            </w:r>
            <w:r w:rsidR="00A268DC" w:rsidRPr="00717209">
              <w:rPr>
                <w:rFonts w:ascii="Arial Narrow" w:hAnsi="Arial Narrow"/>
                <w:color w:val="000000"/>
                <w:spacing w:val="2"/>
                <w:w w:val="96"/>
                <w:sz w:val="20"/>
                <w:shd w:val="solid" w:color="000000" w:fill="000000"/>
                <w:fitText w:val="330" w:id="-694973695"/>
                <w14:textFill>
                  <w14:solidFill>
                    <w14:srgbClr w14:val="000000">
                      <w14:alpha w14:val="100000"/>
                    </w14:srgbClr>
                  </w14:solidFill>
                </w14:textFill>
              </w:rPr>
              <w:t>|</w:t>
            </w:r>
          </w:p>
        </w:tc>
        <w:tc>
          <w:tcPr>
            <w:tcW w:w="1701" w:type="dxa"/>
          </w:tcPr>
          <w:p w14:paraId="1EECD4B0" w14:textId="77777777" w:rsidR="00F92E7E" w:rsidRPr="00F92E7E" w:rsidRDefault="00F92E7E" w:rsidP="00F92E7E">
            <w:pPr>
              <w:keepNext/>
              <w:jc w:val="left"/>
              <w:rPr>
                <w:rFonts w:ascii="Arial Narrow" w:hAnsi="Arial Narrow"/>
                <w:sz w:val="20"/>
                <w:lang w:val="pt-BR"/>
              </w:rPr>
            </w:pPr>
            <w:r w:rsidRPr="00F92E7E">
              <w:rPr>
                <w:rFonts w:ascii="Arial Narrow" w:hAnsi="Arial Narrow"/>
                <w:sz w:val="20"/>
                <w:lang w:val="pt-BR"/>
              </w:rPr>
              <w:t>Jakavi</w:t>
            </w:r>
            <w:r w:rsidRPr="00F92E7E">
              <w:rPr>
                <w:rFonts w:ascii="Arial Narrow" w:hAnsi="Arial Narrow"/>
                <w:sz w:val="20"/>
                <w:vertAlign w:val="superscript"/>
                <w:lang w:val="pt-BR"/>
              </w:rPr>
              <w:t>®</w:t>
            </w:r>
          </w:p>
          <w:p w14:paraId="7EA820B3" w14:textId="77777777" w:rsidR="00F92E7E" w:rsidRPr="00F92E7E" w:rsidRDefault="00F92E7E" w:rsidP="00F92E7E">
            <w:pPr>
              <w:keepNext/>
              <w:jc w:val="left"/>
              <w:rPr>
                <w:rFonts w:ascii="Arial Narrow" w:hAnsi="Arial Narrow"/>
                <w:sz w:val="20"/>
                <w:lang w:val="pt-BR"/>
              </w:rPr>
            </w:pPr>
            <w:r w:rsidRPr="00F92E7E">
              <w:rPr>
                <w:rFonts w:ascii="Arial Narrow" w:hAnsi="Arial Narrow"/>
                <w:sz w:val="20"/>
                <w:lang w:val="pt-BR"/>
              </w:rPr>
              <w:t>Novartis Pharmaceuticals Australia Pty Ltd</w:t>
            </w:r>
          </w:p>
        </w:tc>
        <w:tc>
          <w:tcPr>
            <w:tcW w:w="568" w:type="dxa"/>
          </w:tcPr>
          <w:p w14:paraId="12FB7F25" w14:textId="77777777" w:rsidR="00F92E7E" w:rsidRPr="00F92E7E" w:rsidRDefault="00F92E7E" w:rsidP="00F92E7E">
            <w:pPr>
              <w:keepNext/>
              <w:rPr>
                <w:rFonts w:ascii="Arial Narrow" w:hAnsi="Arial Narrow"/>
                <w:sz w:val="20"/>
                <w:lang w:val="pt-BR"/>
              </w:rPr>
            </w:pPr>
          </w:p>
        </w:tc>
      </w:tr>
    </w:tbl>
    <w:tbl>
      <w:tblPr>
        <w:tblpPr w:leftFromText="180" w:rightFromText="180" w:vertAnchor="text" w:tblpY="1"/>
        <w:tblOverlap w:val="never"/>
        <w:tblW w:w="5000" w:type="pct"/>
        <w:tblLook w:val="04A0" w:firstRow="1" w:lastRow="0" w:firstColumn="1" w:lastColumn="0" w:noHBand="0" w:noVBand="1"/>
        <w:tblCaption w:val="Requested listing"/>
        <w:tblDescription w:val="Medicine Forms "/>
      </w:tblPr>
      <w:tblGrid>
        <w:gridCol w:w="1924"/>
        <w:gridCol w:w="7093"/>
      </w:tblGrid>
      <w:tr w:rsidR="00F92E7E" w:rsidRPr="00F92E7E" w14:paraId="7C588303" w14:textId="77777777" w:rsidTr="0F1D33A4">
        <w:tc>
          <w:tcPr>
            <w:tcW w:w="1067" w:type="pct"/>
            <w:tcBorders>
              <w:top w:val="single" w:sz="4" w:space="0" w:color="auto"/>
              <w:left w:val="single" w:sz="4" w:space="0" w:color="auto"/>
              <w:bottom w:val="single" w:sz="4" w:space="0" w:color="auto"/>
              <w:right w:val="single" w:sz="4" w:space="0" w:color="auto"/>
            </w:tcBorders>
            <w:hideMark/>
          </w:tcPr>
          <w:p w14:paraId="7F1B198D" w14:textId="77777777" w:rsidR="00F92E7E" w:rsidRPr="00F92E7E" w:rsidRDefault="00F92E7E" w:rsidP="00F92E7E">
            <w:pPr>
              <w:keepNext/>
              <w:snapToGrid w:val="0"/>
              <w:rPr>
                <w:rFonts w:ascii="Arial Narrow" w:hAnsi="Arial Narrow" w:cstheme="minorHAnsi"/>
                <w:b/>
                <w:sz w:val="20"/>
              </w:rPr>
            </w:pPr>
            <w:r w:rsidRPr="00F92E7E">
              <w:rPr>
                <w:rFonts w:ascii="Arial Narrow" w:hAnsi="Arial Narrow" w:cstheme="minorHAnsi"/>
                <w:b/>
                <w:sz w:val="20"/>
              </w:rPr>
              <w:t>Category / Program:</w:t>
            </w:r>
          </w:p>
        </w:tc>
        <w:tc>
          <w:tcPr>
            <w:tcW w:w="3933" w:type="pct"/>
            <w:tcBorders>
              <w:top w:val="single" w:sz="4" w:space="0" w:color="auto"/>
              <w:left w:val="single" w:sz="4" w:space="0" w:color="auto"/>
              <w:bottom w:val="single" w:sz="4" w:space="0" w:color="auto"/>
              <w:right w:val="single" w:sz="4" w:space="0" w:color="auto"/>
            </w:tcBorders>
            <w:hideMark/>
          </w:tcPr>
          <w:p w14:paraId="4DB037C6" w14:textId="77777777" w:rsidR="00F92E7E" w:rsidRPr="00F92E7E" w:rsidRDefault="00F92E7E" w:rsidP="00F92E7E">
            <w:pPr>
              <w:keepNext/>
              <w:snapToGrid w:val="0"/>
              <w:rPr>
                <w:rFonts w:ascii="Arial Narrow" w:hAnsi="Arial Narrow" w:cstheme="minorHAnsi"/>
                <w:sz w:val="20"/>
              </w:rPr>
            </w:pPr>
            <w:r w:rsidRPr="00F92E7E">
              <w:rPr>
                <w:rFonts w:ascii="Arial Narrow" w:hAnsi="Arial Narrow" w:cstheme="minorHAnsi"/>
                <w:sz w:val="20"/>
              </w:rPr>
              <w:t>GENERAL - General Schedule (Code GE)</w:t>
            </w:r>
          </w:p>
        </w:tc>
      </w:tr>
      <w:tr w:rsidR="00F92E7E" w:rsidRPr="00F92E7E" w14:paraId="29D20D88" w14:textId="77777777" w:rsidTr="0F1D33A4">
        <w:tc>
          <w:tcPr>
            <w:tcW w:w="1067" w:type="pct"/>
            <w:tcBorders>
              <w:top w:val="single" w:sz="4" w:space="0" w:color="auto"/>
              <w:left w:val="single" w:sz="4" w:space="0" w:color="auto"/>
              <w:bottom w:val="single" w:sz="4" w:space="0" w:color="auto"/>
              <w:right w:val="single" w:sz="4" w:space="0" w:color="auto"/>
            </w:tcBorders>
            <w:hideMark/>
          </w:tcPr>
          <w:p w14:paraId="6AA7135B" w14:textId="77777777" w:rsidR="00F92E7E" w:rsidRPr="00F92E7E" w:rsidRDefault="00F92E7E" w:rsidP="00F92E7E">
            <w:pPr>
              <w:keepNext/>
              <w:snapToGrid w:val="0"/>
              <w:rPr>
                <w:rFonts w:ascii="Arial Narrow" w:hAnsi="Arial Narrow" w:cstheme="minorHAnsi"/>
                <w:b/>
                <w:sz w:val="20"/>
              </w:rPr>
            </w:pPr>
            <w:r w:rsidRPr="00F92E7E">
              <w:rPr>
                <w:rFonts w:ascii="Arial Narrow" w:hAnsi="Arial Narrow" w:cstheme="minorHAnsi"/>
                <w:b/>
                <w:sz w:val="20"/>
              </w:rPr>
              <w:t>Prescriber type:</w:t>
            </w:r>
          </w:p>
        </w:tc>
        <w:tc>
          <w:tcPr>
            <w:tcW w:w="3933" w:type="pct"/>
            <w:tcBorders>
              <w:top w:val="single" w:sz="4" w:space="0" w:color="auto"/>
              <w:left w:val="single" w:sz="4" w:space="0" w:color="auto"/>
              <w:bottom w:val="single" w:sz="4" w:space="0" w:color="auto"/>
              <w:right w:val="single" w:sz="4" w:space="0" w:color="auto"/>
            </w:tcBorders>
            <w:hideMark/>
          </w:tcPr>
          <w:p w14:paraId="269E8145" w14:textId="107DEC0C" w:rsidR="00F92E7E" w:rsidRPr="00F92E7E" w:rsidRDefault="00F92E7E" w:rsidP="00F92E7E">
            <w:pPr>
              <w:keepNext/>
              <w:snapToGrid w:val="0"/>
              <w:rPr>
                <w:rFonts w:ascii="Arial Narrow" w:hAnsi="Arial Narrow" w:cstheme="minorHAnsi"/>
                <w:sz w:val="20"/>
              </w:rPr>
            </w:pPr>
            <w:r w:rsidRPr="00F92E7E">
              <w:rPr>
                <w:rFonts w:ascii="Arial Narrow" w:hAnsi="Arial Narrow" w:cstheme="minorHAnsi"/>
                <w:sz w:val="20"/>
              </w:rPr>
              <w:fldChar w:fldCharType="begin" w:fldLock="1">
                <w:ffData>
                  <w:name w:val="Check1"/>
                  <w:enabled/>
                  <w:calcOnExit w:val="0"/>
                  <w:checkBox>
                    <w:sizeAuto/>
                    <w:default w:val="0"/>
                  </w:checkBox>
                </w:ffData>
              </w:fldChar>
            </w:r>
            <w:r w:rsidRPr="00F92E7E">
              <w:rPr>
                <w:rFonts w:ascii="Arial Narrow" w:hAnsi="Arial Narrow" w:cstheme="minorHAnsi"/>
                <w:sz w:val="20"/>
              </w:rPr>
              <w:instrText xml:space="preserve"> FORMCHECKBOX </w:instrText>
            </w:r>
            <w:r w:rsidRPr="00F92E7E">
              <w:rPr>
                <w:rFonts w:ascii="Arial Narrow" w:hAnsi="Arial Narrow" w:cstheme="minorHAnsi"/>
                <w:sz w:val="20"/>
              </w:rPr>
            </w:r>
            <w:r w:rsidRPr="00F92E7E">
              <w:rPr>
                <w:rFonts w:ascii="Arial Narrow" w:hAnsi="Arial Narrow" w:cstheme="minorHAnsi"/>
                <w:sz w:val="20"/>
              </w:rPr>
              <w:fldChar w:fldCharType="separate"/>
            </w:r>
            <w:r w:rsidRPr="00F92E7E">
              <w:rPr>
                <w:rFonts w:ascii="Arial Narrow" w:hAnsi="Arial Narrow" w:cstheme="minorHAnsi"/>
                <w:sz w:val="20"/>
              </w:rPr>
              <w:fldChar w:fldCharType="end"/>
            </w:r>
            <w:r w:rsidRPr="00F92E7E">
              <w:rPr>
                <w:rFonts w:ascii="Arial Narrow" w:hAnsi="Arial Narrow" w:cstheme="minorHAnsi"/>
                <w:sz w:val="20"/>
              </w:rPr>
              <w:t xml:space="preserve">Dental </w:t>
            </w:r>
            <w:r w:rsidRPr="00F92E7E">
              <w:rPr>
                <w:rFonts w:ascii="Arial Narrow" w:hAnsi="Arial Narrow" w:cstheme="minorHAnsi"/>
                <w:sz w:val="20"/>
              </w:rPr>
              <w:fldChar w:fldCharType="begin" w:fldLock="1">
                <w:ffData>
                  <w:name w:val=""/>
                  <w:enabled/>
                  <w:calcOnExit w:val="0"/>
                  <w:checkBox>
                    <w:sizeAuto/>
                    <w:default w:val="1"/>
                  </w:checkBox>
                </w:ffData>
              </w:fldChar>
            </w:r>
            <w:r w:rsidRPr="00F92E7E">
              <w:rPr>
                <w:rFonts w:ascii="Arial Narrow" w:hAnsi="Arial Narrow" w:cstheme="minorHAnsi"/>
                <w:sz w:val="20"/>
              </w:rPr>
              <w:instrText xml:space="preserve"> FORMCHECKBOX </w:instrText>
            </w:r>
            <w:r w:rsidRPr="00F92E7E">
              <w:rPr>
                <w:rFonts w:ascii="Arial Narrow" w:hAnsi="Arial Narrow" w:cstheme="minorHAnsi"/>
                <w:sz w:val="20"/>
              </w:rPr>
            </w:r>
            <w:r w:rsidRPr="00F92E7E">
              <w:rPr>
                <w:rFonts w:ascii="Arial Narrow" w:hAnsi="Arial Narrow" w:cstheme="minorHAnsi"/>
                <w:sz w:val="20"/>
              </w:rPr>
              <w:fldChar w:fldCharType="separate"/>
            </w:r>
            <w:r w:rsidRPr="00F92E7E">
              <w:rPr>
                <w:rFonts w:ascii="Arial Narrow" w:hAnsi="Arial Narrow" w:cstheme="minorHAnsi"/>
                <w:sz w:val="20"/>
              </w:rPr>
              <w:fldChar w:fldCharType="end"/>
            </w:r>
            <w:r w:rsidRPr="00F92E7E">
              <w:rPr>
                <w:rFonts w:ascii="Arial Narrow" w:hAnsi="Arial Narrow" w:cstheme="minorHAnsi"/>
                <w:sz w:val="20"/>
              </w:rPr>
              <w:t xml:space="preserve">Medical Practitioners </w:t>
            </w:r>
            <w:r w:rsidRPr="00F92E7E">
              <w:rPr>
                <w:rFonts w:ascii="Arial Narrow" w:hAnsi="Arial Narrow" w:cstheme="minorHAnsi"/>
                <w:sz w:val="20"/>
              </w:rPr>
              <w:fldChar w:fldCharType="begin" w:fldLock="1">
                <w:ffData>
                  <w:name w:val="Check3"/>
                  <w:enabled/>
                  <w:calcOnExit w:val="0"/>
                  <w:checkBox>
                    <w:sizeAuto/>
                    <w:default w:val="0"/>
                  </w:checkBox>
                </w:ffData>
              </w:fldChar>
            </w:r>
            <w:r w:rsidRPr="00F92E7E">
              <w:rPr>
                <w:rFonts w:ascii="Arial Narrow" w:hAnsi="Arial Narrow" w:cstheme="minorHAnsi"/>
                <w:sz w:val="20"/>
              </w:rPr>
              <w:instrText xml:space="preserve"> FORMCHECKBOX </w:instrText>
            </w:r>
            <w:r w:rsidRPr="00F92E7E">
              <w:rPr>
                <w:rFonts w:ascii="Arial Narrow" w:hAnsi="Arial Narrow" w:cstheme="minorHAnsi"/>
                <w:sz w:val="20"/>
              </w:rPr>
            </w:r>
            <w:r w:rsidRPr="00F92E7E">
              <w:rPr>
                <w:rFonts w:ascii="Arial Narrow" w:hAnsi="Arial Narrow" w:cstheme="minorHAnsi"/>
                <w:sz w:val="20"/>
              </w:rPr>
              <w:fldChar w:fldCharType="separate"/>
            </w:r>
            <w:r w:rsidRPr="00F92E7E">
              <w:rPr>
                <w:rFonts w:ascii="Arial Narrow" w:hAnsi="Arial Narrow" w:cstheme="minorHAnsi"/>
                <w:sz w:val="20"/>
              </w:rPr>
              <w:fldChar w:fldCharType="end"/>
            </w:r>
            <w:r w:rsidRPr="00F92E7E">
              <w:rPr>
                <w:rFonts w:ascii="Arial Narrow" w:hAnsi="Arial Narrow" w:cstheme="minorHAnsi"/>
                <w:sz w:val="20"/>
              </w:rPr>
              <w:t xml:space="preserve">Nurse practitioners </w:t>
            </w:r>
            <w:r w:rsidRPr="00F92E7E">
              <w:rPr>
                <w:rFonts w:ascii="Arial Narrow" w:hAnsi="Arial Narrow" w:cstheme="minorHAnsi"/>
                <w:sz w:val="20"/>
              </w:rPr>
              <w:fldChar w:fldCharType="begin" w:fldLock="1">
                <w:ffData>
                  <w:name w:val=""/>
                  <w:enabled/>
                  <w:calcOnExit w:val="0"/>
                  <w:checkBox>
                    <w:sizeAuto/>
                    <w:default w:val="0"/>
                  </w:checkBox>
                </w:ffData>
              </w:fldChar>
            </w:r>
            <w:r w:rsidRPr="00F92E7E">
              <w:rPr>
                <w:rFonts w:ascii="Arial Narrow" w:hAnsi="Arial Narrow" w:cstheme="minorHAnsi"/>
                <w:sz w:val="20"/>
              </w:rPr>
              <w:instrText xml:space="preserve"> FORMCHECKBOX </w:instrText>
            </w:r>
            <w:r w:rsidRPr="00F92E7E">
              <w:rPr>
                <w:rFonts w:ascii="Arial Narrow" w:hAnsi="Arial Narrow" w:cstheme="minorHAnsi"/>
                <w:sz w:val="20"/>
              </w:rPr>
            </w:r>
            <w:r w:rsidRPr="00F92E7E">
              <w:rPr>
                <w:rFonts w:ascii="Arial Narrow" w:hAnsi="Arial Narrow" w:cstheme="minorHAnsi"/>
                <w:sz w:val="20"/>
              </w:rPr>
              <w:fldChar w:fldCharType="separate"/>
            </w:r>
            <w:r w:rsidRPr="00F92E7E">
              <w:rPr>
                <w:rFonts w:ascii="Arial Narrow" w:hAnsi="Arial Narrow" w:cstheme="minorHAnsi"/>
                <w:sz w:val="20"/>
              </w:rPr>
              <w:fldChar w:fldCharType="end"/>
            </w:r>
            <w:r w:rsidRPr="00F92E7E">
              <w:rPr>
                <w:rFonts w:ascii="Arial Narrow" w:hAnsi="Arial Narrow" w:cstheme="minorHAnsi"/>
                <w:sz w:val="20"/>
              </w:rPr>
              <w:t>Optometrists</w:t>
            </w:r>
            <w:r w:rsidR="00F87B86">
              <w:rPr>
                <w:rFonts w:ascii="Arial Narrow" w:hAnsi="Arial Narrow" w:cstheme="minorHAnsi"/>
                <w:sz w:val="20"/>
              </w:rPr>
              <w:t xml:space="preserve"> </w:t>
            </w:r>
            <w:r w:rsidRPr="00F92E7E">
              <w:rPr>
                <w:rFonts w:ascii="Arial Narrow" w:hAnsi="Arial Narrow" w:cstheme="minorHAnsi"/>
                <w:sz w:val="20"/>
              </w:rPr>
              <w:fldChar w:fldCharType="begin" w:fldLock="1">
                <w:ffData>
                  <w:name w:val="Check5"/>
                  <w:enabled/>
                  <w:calcOnExit w:val="0"/>
                  <w:checkBox>
                    <w:sizeAuto/>
                    <w:default w:val="0"/>
                  </w:checkBox>
                </w:ffData>
              </w:fldChar>
            </w:r>
            <w:r w:rsidRPr="00F92E7E">
              <w:rPr>
                <w:rFonts w:ascii="Arial Narrow" w:hAnsi="Arial Narrow" w:cstheme="minorHAnsi"/>
                <w:sz w:val="20"/>
              </w:rPr>
              <w:instrText xml:space="preserve"> FORMCHECKBOX </w:instrText>
            </w:r>
            <w:r w:rsidRPr="00F92E7E">
              <w:rPr>
                <w:rFonts w:ascii="Arial Narrow" w:hAnsi="Arial Narrow" w:cstheme="minorHAnsi"/>
                <w:sz w:val="20"/>
              </w:rPr>
            </w:r>
            <w:r w:rsidRPr="00F92E7E">
              <w:rPr>
                <w:rFonts w:ascii="Arial Narrow" w:hAnsi="Arial Narrow" w:cstheme="minorHAnsi"/>
                <w:sz w:val="20"/>
              </w:rPr>
              <w:fldChar w:fldCharType="separate"/>
            </w:r>
            <w:r w:rsidRPr="00F92E7E">
              <w:rPr>
                <w:rFonts w:ascii="Arial Narrow" w:hAnsi="Arial Narrow" w:cstheme="minorHAnsi"/>
                <w:sz w:val="20"/>
              </w:rPr>
              <w:fldChar w:fldCharType="end"/>
            </w:r>
            <w:r w:rsidRPr="00F92E7E">
              <w:rPr>
                <w:rFonts w:ascii="Arial Narrow" w:hAnsi="Arial Narrow" w:cstheme="minorHAnsi"/>
                <w:sz w:val="20"/>
              </w:rPr>
              <w:t>Midwives</w:t>
            </w:r>
          </w:p>
        </w:tc>
      </w:tr>
      <w:tr w:rsidR="00F92E7E" w:rsidRPr="00F92E7E" w14:paraId="07DF301F" w14:textId="77777777" w:rsidTr="0F1D33A4">
        <w:tc>
          <w:tcPr>
            <w:tcW w:w="1067" w:type="pct"/>
            <w:tcBorders>
              <w:top w:val="single" w:sz="4" w:space="0" w:color="auto"/>
              <w:left w:val="single" w:sz="4" w:space="0" w:color="auto"/>
              <w:bottom w:val="single" w:sz="4" w:space="0" w:color="auto"/>
              <w:right w:val="single" w:sz="4" w:space="0" w:color="auto"/>
            </w:tcBorders>
            <w:hideMark/>
          </w:tcPr>
          <w:p w14:paraId="7A5DEF99" w14:textId="77777777" w:rsidR="00F92E7E" w:rsidRPr="00F92E7E" w:rsidRDefault="00F92E7E" w:rsidP="0910F2D2">
            <w:pPr>
              <w:keepNext/>
              <w:snapToGrid w:val="0"/>
              <w:rPr>
                <w:rFonts w:ascii="Arial Narrow" w:hAnsi="Arial Narrow" w:cstheme="minorBidi"/>
                <w:b/>
                <w:bCs/>
                <w:sz w:val="20"/>
                <w:szCs w:val="20"/>
              </w:rPr>
            </w:pPr>
            <w:r w:rsidRPr="0910F2D2">
              <w:rPr>
                <w:rFonts w:ascii="Arial Narrow" w:hAnsi="Arial Narrow" w:cstheme="minorBidi"/>
                <w:b/>
                <w:bCs/>
                <w:sz w:val="20"/>
                <w:szCs w:val="20"/>
              </w:rPr>
              <w:t>Episodicity:</w:t>
            </w:r>
          </w:p>
        </w:tc>
        <w:tc>
          <w:tcPr>
            <w:tcW w:w="3933" w:type="pct"/>
            <w:tcBorders>
              <w:top w:val="single" w:sz="4" w:space="0" w:color="auto"/>
              <w:left w:val="single" w:sz="4" w:space="0" w:color="auto"/>
              <w:bottom w:val="single" w:sz="4" w:space="0" w:color="auto"/>
              <w:right w:val="single" w:sz="4" w:space="0" w:color="auto"/>
            </w:tcBorders>
            <w:hideMark/>
          </w:tcPr>
          <w:p w14:paraId="00BDAE95" w14:textId="77777777" w:rsidR="00F92E7E" w:rsidRPr="00F92E7E" w:rsidRDefault="00F92E7E" w:rsidP="00F92E7E">
            <w:pPr>
              <w:keepNext/>
              <w:snapToGrid w:val="0"/>
              <w:rPr>
                <w:rFonts w:ascii="Arial Narrow" w:hAnsi="Arial Narrow" w:cstheme="minorHAnsi"/>
                <w:sz w:val="20"/>
              </w:rPr>
            </w:pPr>
            <w:r w:rsidRPr="00F92E7E">
              <w:rPr>
                <w:rFonts w:ascii="Arial Narrow" w:hAnsi="Arial Narrow" w:cstheme="minorHAnsi"/>
                <w:sz w:val="20"/>
              </w:rPr>
              <w:t>Chronic</w:t>
            </w:r>
          </w:p>
        </w:tc>
      </w:tr>
      <w:tr w:rsidR="00F92E7E" w:rsidRPr="00F92E7E" w14:paraId="207C5F48" w14:textId="77777777" w:rsidTr="0F1D33A4">
        <w:tc>
          <w:tcPr>
            <w:tcW w:w="1067" w:type="pct"/>
            <w:tcBorders>
              <w:top w:val="single" w:sz="4" w:space="0" w:color="auto"/>
              <w:left w:val="single" w:sz="4" w:space="0" w:color="auto"/>
              <w:bottom w:val="single" w:sz="4" w:space="0" w:color="auto"/>
              <w:right w:val="single" w:sz="4" w:space="0" w:color="auto"/>
            </w:tcBorders>
            <w:hideMark/>
          </w:tcPr>
          <w:p w14:paraId="1845CC43" w14:textId="77777777" w:rsidR="00F92E7E" w:rsidRPr="00F92E7E" w:rsidRDefault="00F92E7E" w:rsidP="00F92E7E">
            <w:pPr>
              <w:keepNext/>
              <w:snapToGrid w:val="0"/>
              <w:rPr>
                <w:rFonts w:ascii="Arial Narrow" w:hAnsi="Arial Narrow" w:cstheme="minorHAnsi"/>
                <w:b/>
                <w:sz w:val="20"/>
              </w:rPr>
            </w:pPr>
            <w:r w:rsidRPr="00F92E7E">
              <w:rPr>
                <w:rFonts w:ascii="Arial Narrow" w:hAnsi="Arial Narrow" w:cstheme="minorHAnsi"/>
                <w:b/>
                <w:sz w:val="20"/>
              </w:rPr>
              <w:t>Condition:</w:t>
            </w:r>
          </w:p>
        </w:tc>
        <w:tc>
          <w:tcPr>
            <w:tcW w:w="3933" w:type="pct"/>
            <w:tcBorders>
              <w:top w:val="single" w:sz="4" w:space="0" w:color="auto"/>
              <w:left w:val="single" w:sz="4" w:space="0" w:color="auto"/>
              <w:bottom w:val="single" w:sz="4" w:space="0" w:color="auto"/>
              <w:right w:val="single" w:sz="4" w:space="0" w:color="auto"/>
            </w:tcBorders>
            <w:hideMark/>
          </w:tcPr>
          <w:p w14:paraId="48B9F1C1" w14:textId="77777777" w:rsidR="00F92E7E" w:rsidRPr="00F92E7E" w:rsidRDefault="00F92E7E" w:rsidP="0910F2D2">
            <w:pPr>
              <w:keepNext/>
              <w:snapToGrid w:val="0"/>
              <w:rPr>
                <w:rFonts w:ascii="Arial Narrow" w:hAnsi="Arial Narrow" w:cstheme="minorBidi"/>
                <w:sz w:val="20"/>
                <w:szCs w:val="20"/>
              </w:rPr>
            </w:pPr>
            <w:r w:rsidRPr="0910F2D2">
              <w:rPr>
                <w:rFonts w:ascii="Arial Narrow" w:hAnsi="Arial Narrow" w:cstheme="minorBidi"/>
                <w:sz w:val="20"/>
                <w:szCs w:val="20"/>
              </w:rPr>
              <w:t>Polycythemia vera</w:t>
            </w:r>
          </w:p>
        </w:tc>
      </w:tr>
      <w:tr w:rsidR="00F92E7E" w:rsidRPr="00F92E7E" w14:paraId="0FEBCEC7" w14:textId="77777777" w:rsidTr="0F1D33A4">
        <w:tc>
          <w:tcPr>
            <w:tcW w:w="1067" w:type="pct"/>
            <w:tcBorders>
              <w:top w:val="single" w:sz="4" w:space="0" w:color="auto"/>
              <w:left w:val="single" w:sz="4" w:space="0" w:color="auto"/>
              <w:bottom w:val="single" w:sz="4" w:space="0" w:color="auto"/>
              <w:right w:val="single" w:sz="4" w:space="0" w:color="auto"/>
            </w:tcBorders>
            <w:hideMark/>
          </w:tcPr>
          <w:p w14:paraId="5E600700" w14:textId="77777777" w:rsidR="00F92E7E" w:rsidRPr="00F92E7E" w:rsidRDefault="00F92E7E" w:rsidP="00F92E7E">
            <w:pPr>
              <w:keepNext/>
              <w:snapToGrid w:val="0"/>
              <w:rPr>
                <w:rFonts w:ascii="Arial Narrow" w:hAnsi="Arial Narrow" w:cstheme="minorHAnsi"/>
                <w:b/>
                <w:sz w:val="20"/>
              </w:rPr>
            </w:pPr>
            <w:r w:rsidRPr="00F92E7E">
              <w:rPr>
                <w:rFonts w:ascii="Arial Narrow" w:hAnsi="Arial Narrow" w:cstheme="minorHAnsi"/>
                <w:b/>
                <w:sz w:val="20"/>
              </w:rPr>
              <w:t>PBS Indication:</w:t>
            </w:r>
          </w:p>
        </w:tc>
        <w:tc>
          <w:tcPr>
            <w:tcW w:w="3933" w:type="pct"/>
            <w:tcBorders>
              <w:top w:val="single" w:sz="4" w:space="0" w:color="auto"/>
              <w:left w:val="single" w:sz="4" w:space="0" w:color="auto"/>
              <w:bottom w:val="single" w:sz="4" w:space="0" w:color="auto"/>
              <w:right w:val="single" w:sz="4" w:space="0" w:color="auto"/>
            </w:tcBorders>
            <w:hideMark/>
          </w:tcPr>
          <w:p w14:paraId="24F96D88" w14:textId="77777777" w:rsidR="00F92E7E" w:rsidRPr="00F92E7E" w:rsidRDefault="00F92E7E" w:rsidP="0910F2D2">
            <w:pPr>
              <w:keepNext/>
              <w:snapToGrid w:val="0"/>
              <w:rPr>
                <w:rFonts w:ascii="Arial Narrow" w:hAnsi="Arial Narrow" w:cstheme="minorBidi"/>
                <w:sz w:val="20"/>
                <w:szCs w:val="20"/>
              </w:rPr>
            </w:pPr>
            <w:r w:rsidRPr="0910F2D2">
              <w:rPr>
                <w:rFonts w:ascii="Arial Narrow" w:hAnsi="Arial Narrow" w:cstheme="minorBidi"/>
                <w:sz w:val="20"/>
                <w:szCs w:val="20"/>
              </w:rPr>
              <w:t>Chronic polycythemia vera</w:t>
            </w:r>
          </w:p>
        </w:tc>
      </w:tr>
      <w:tr w:rsidR="00F92E7E" w:rsidRPr="00F92E7E" w14:paraId="56C3BA07" w14:textId="77777777" w:rsidTr="0F1D33A4">
        <w:tc>
          <w:tcPr>
            <w:tcW w:w="1067" w:type="pct"/>
            <w:tcBorders>
              <w:top w:val="single" w:sz="4" w:space="0" w:color="auto"/>
              <w:left w:val="single" w:sz="4" w:space="0" w:color="auto"/>
              <w:bottom w:val="single" w:sz="4" w:space="0" w:color="auto"/>
              <w:right w:val="single" w:sz="4" w:space="0" w:color="auto"/>
            </w:tcBorders>
            <w:hideMark/>
          </w:tcPr>
          <w:p w14:paraId="64686FFF" w14:textId="77777777" w:rsidR="00F92E7E" w:rsidRPr="00F92E7E" w:rsidRDefault="00F92E7E" w:rsidP="00F92E7E">
            <w:pPr>
              <w:keepNext/>
              <w:snapToGrid w:val="0"/>
              <w:rPr>
                <w:rFonts w:ascii="Arial Narrow" w:hAnsi="Arial Narrow" w:cstheme="minorHAnsi"/>
                <w:b/>
                <w:sz w:val="20"/>
              </w:rPr>
            </w:pPr>
            <w:r w:rsidRPr="00F92E7E">
              <w:rPr>
                <w:rFonts w:ascii="Arial Narrow" w:hAnsi="Arial Narrow" w:cstheme="minorHAnsi"/>
                <w:b/>
                <w:sz w:val="20"/>
              </w:rPr>
              <w:t xml:space="preserve">Treatment phase: </w:t>
            </w:r>
          </w:p>
        </w:tc>
        <w:tc>
          <w:tcPr>
            <w:tcW w:w="3933" w:type="pct"/>
            <w:tcBorders>
              <w:top w:val="single" w:sz="4" w:space="0" w:color="auto"/>
              <w:left w:val="single" w:sz="4" w:space="0" w:color="auto"/>
              <w:bottom w:val="single" w:sz="4" w:space="0" w:color="auto"/>
              <w:right w:val="single" w:sz="4" w:space="0" w:color="auto"/>
            </w:tcBorders>
            <w:hideMark/>
          </w:tcPr>
          <w:p w14:paraId="159D8353" w14:textId="77777777" w:rsidR="00F92E7E" w:rsidRPr="00F92E7E" w:rsidRDefault="00F92E7E" w:rsidP="00F92E7E">
            <w:pPr>
              <w:keepNext/>
              <w:snapToGrid w:val="0"/>
              <w:rPr>
                <w:rFonts w:ascii="Arial Narrow" w:hAnsi="Arial Narrow" w:cstheme="minorHAnsi"/>
                <w:i/>
                <w:sz w:val="20"/>
              </w:rPr>
            </w:pPr>
            <w:r w:rsidRPr="00F92E7E">
              <w:rPr>
                <w:rFonts w:ascii="Arial Narrow" w:hAnsi="Arial Narrow" w:cstheme="minorHAnsi"/>
                <w:sz w:val="20"/>
              </w:rPr>
              <w:t xml:space="preserve">Initial </w:t>
            </w:r>
            <w:r w:rsidRPr="00F92E7E">
              <w:rPr>
                <w:rFonts w:ascii="Arial Narrow" w:hAnsi="Arial Narrow" w:cstheme="minorHAnsi"/>
                <w:iCs/>
                <w:sz w:val="20"/>
              </w:rPr>
              <w:t>treatment</w:t>
            </w:r>
          </w:p>
        </w:tc>
      </w:tr>
      <w:tr w:rsidR="00F92E7E" w:rsidRPr="00F92E7E" w14:paraId="6A0EE1D2" w14:textId="77777777" w:rsidTr="0F1D33A4">
        <w:tc>
          <w:tcPr>
            <w:tcW w:w="1067" w:type="pct"/>
            <w:tcBorders>
              <w:top w:val="single" w:sz="4" w:space="0" w:color="auto"/>
              <w:left w:val="single" w:sz="4" w:space="0" w:color="auto"/>
              <w:bottom w:val="single" w:sz="4" w:space="0" w:color="auto"/>
              <w:right w:val="single" w:sz="4" w:space="0" w:color="auto"/>
            </w:tcBorders>
          </w:tcPr>
          <w:p w14:paraId="2DC48532" w14:textId="77777777" w:rsidR="00F92E7E" w:rsidRPr="00F92E7E" w:rsidRDefault="00F92E7E" w:rsidP="00F92E7E">
            <w:pPr>
              <w:keepNext/>
              <w:snapToGrid w:val="0"/>
              <w:rPr>
                <w:rFonts w:ascii="Arial Narrow" w:hAnsi="Arial Narrow" w:cstheme="minorHAnsi"/>
                <w:b/>
                <w:sz w:val="20"/>
              </w:rPr>
            </w:pPr>
            <w:r w:rsidRPr="00F92E7E">
              <w:rPr>
                <w:rFonts w:ascii="Arial Narrow" w:hAnsi="Arial Narrow" w:cstheme="minorHAnsi"/>
                <w:b/>
                <w:sz w:val="20"/>
              </w:rPr>
              <w:t>Restriction Level / Method:</w:t>
            </w:r>
          </w:p>
          <w:p w14:paraId="6736A328" w14:textId="77777777" w:rsidR="00F92E7E" w:rsidRPr="00F92E7E" w:rsidRDefault="00F92E7E" w:rsidP="00F92E7E">
            <w:pPr>
              <w:keepNext/>
              <w:snapToGrid w:val="0"/>
              <w:rPr>
                <w:rFonts w:ascii="Arial Narrow" w:hAnsi="Arial Narrow" w:cstheme="minorHAnsi"/>
                <w:i/>
                <w:sz w:val="20"/>
              </w:rPr>
            </w:pPr>
          </w:p>
          <w:p w14:paraId="361E2720" w14:textId="77777777" w:rsidR="00F92E7E" w:rsidRPr="00F92E7E" w:rsidRDefault="00F92E7E" w:rsidP="00F92E7E">
            <w:pPr>
              <w:keepNext/>
              <w:snapToGrid w:val="0"/>
              <w:rPr>
                <w:rFonts w:ascii="Arial Narrow" w:hAnsi="Arial Narrow" w:cstheme="minorHAnsi"/>
                <w:i/>
                <w:sz w:val="20"/>
              </w:rPr>
            </w:pPr>
          </w:p>
        </w:tc>
        <w:tc>
          <w:tcPr>
            <w:tcW w:w="3933" w:type="pct"/>
            <w:tcBorders>
              <w:top w:val="single" w:sz="4" w:space="0" w:color="auto"/>
              <w:left w:val="single" w:sz="4" w:space="0" w:color="auto"/>
              <w:bottom w:val="single" w:sz="4" w:space="0" w:color="auto"/>
              <w:right w:val="single" w:sz="4" w:space="0" w:color="auto"/>
            </w:tcBorders>
            <w:hideMark/>
          </w:tcPr>
          <w:p w14:paraId="3DCFB830" w14:textId="77777777" w:rsidR="00F92E7E" w:rsidRPr="00F92E7E" w:rsidRDefault="00F92E7E" w:rsidP="00F92E7E">
            <w:pPr>
              <w:keepNext/>
              <w:snapToGrid w:val="0"/>
              <w:rPr>
                <w:rFonts w:ascii="Arial Narrow" w:hAnsi="Arial Narrow" w:cstheme="minorHAnsi"/>
                <w:sz w:val="20"/>
              </w:rPr>
            </w:pPr>
            <w:r w:rsidRPr="00F92E7E">
              <w:rPr>
                <w:rFonts w:ascii="Arial Narrow" w:hAnsi="Arial Narrow" w:cstheme="minorHAnsi"/>
                <w:sz w:val="20"/>
              </w:rPr>
              <w:fldChar w:fldCharType="begin" w:fldLock="1">
                <w:ffData>
                  <w:name w:val="Check1"/>
                  <w:enabled/>
                  <w:calcOnExit w:val="0"/>
                  <w:checkBox>
                    <w:sizeAuto/>
                    <w:default w:val="0"/>
                  </w:checkBox>
                </w:ffData>
              </w:fldChar>
            </w:r>
            <w:r w:rsidRPr="00F92E7E">
              <w:rPr>
                <w:rFonts w:ascii="Arial Narrow" w:hAnsi="Arial Narrow" w:cstheme="minorHAnsi"/>
                <w:sz w:val="20"/>
              </w:rPr>
              <w:instrText xml:space="preserve"> FORMCHECKBOX </w:instrText>
            </w:r>
            <w:r w:rsidRPr="00F92E7E">
              <w:rPr>
                <w:rFonts w:ascii="Arial Narrow" w:hAnsi="Arial Narrow" w:cstheme="minorHAnsi"/>
                <w:sz w:val="20"/>
              </w:rPr>
            </w:r>
            <w:r w:rsidRPr="00F92E7E">
              <w:rPr>
                <w:rFonts w:ascii="Arial Narrow" w:hAnsi="Arial Narrow" w:cstheme="minorHAnsi"/>
                <w:sz w:val="20"/>
              </w:rPr>
              <w:fldChar w:fldCharType="separate"/>
            </w:r>
            <w:r w:rsidRPr="00F92E7E">
              <w:rPr>
                <w:rFonts w:ascii="Arial Narrow" w:hAnsi="Arial Narrow" w:cstheme="minorHAnsi"/>
                <w:sz w:val="20"/>
              </w:rPr>
              <w:fldChar w:fldCharType="end"/>
            </w:r>
            <w:r w:rsidRPr="00F92E7E">
              <w:rPr>
                <w:rFonts w:ascii="Arial Narrow" w:hAnsi="Arial Narrow" w:cstheme="minorHAnsi"/>
                <w:sz w:val="20"/>
              </w:rPr>
              <w:t>Restricted benefit</w:t>
            </w:r>
          </w:p>
          <w:p w14:paraId="64D9E0CD" w14:textId="77777777" w:rsidR="00F92E7E" w:rsidRPr="00F92E7E" w:rsidRDefault="00F92E7E" w:rsidP="00F92E7E">
            <w:pPr>
              <w:keepNext/>
              <w:snapToGrid w:val="0"/>
              <w:rPr>
                <w:rFonts w:ascii="Arial Narrow" w:hAnsi="Arial Narrow" w:cstheme="minorHAnsi"/>
                <w:sz w:val="20"/>
              </w:rPr>
            </w:pPr>
            <w:r w:rsidRPr="00F92E7E">
              <w:rPr>
                <w:rFonts w:ascii="Arial Narrow" w:hAnsi="Arial Narrow" w:cstheme="minorHAnsi"/>
                <w:sz w:val="20"/>
              </w:rPr>
              <w:fldChar w:fldCharType="begin" w:fldLock="1">
                <w:ffData>
                  <w:name w:val=""/>
                  <w:enabled/>
                  <w:calcOnExit w:val="0"/>
                  <w:checkBox>
                    <w:sizeAuto/>
                    <w:default w:val="0"/>
                  </w:checkBox>
                </w:ffData>
              </w:fldChar>
            </w:r>
            <w:r w:rsidRPr="00F92E7E">
              <w:rPr>
                <w:rFonts w:ascii="Arial Narrow" w:hAnsi="Arial Narrow" w:cstheme="minorHAnsi"/>
                <w:sz w:val="20"/>
              </w:rPr>
              <w:instrText xml:space="preserve"> FORMCHECKBOX </w:instrText>
            </w:r>
            <w:r w:rsidRPr="00F92E7E">
              <w:rPr>
                <w:rFonts w:ascii="Arial Narrow" w:hAnsi="Arial Narrow" w:cstheme="minorHAnsi"/>
                <w:sz w:val="20"/>
              </w:rPr>
            </w:r>
            <w:r w:rsidRPr="00F92E7E">
              <w:rPr>
                <w:rFonts w:ascii="Arial Narrow" w:hAnsi="Arial Narrow" w:cstheme="minorHAnsi"/>
                <w:sz w:val="20"/>
              </w:rPr>
              <w:fldChar w:fldCharType="separate"/>
            </w:r>
            <w:r w:rsidRPr="00F92E7E">
              <w:rPr>
                <w:rFonts w:ascii="Arial Narrow" w:hAnsi="Arial Narrow" w:cstheme="minorHAnsi"/>
                <w:sz w:val="20"/>
              </w:rPr>
              <w:fldChar w:fldCharType="end"/>
            </w:r>
            <w:r w:rsidRPr="00F92E7E">
              <w:rPr>
                <w:rFonts w:ascii="Arial Narrow" w:hAnsi="Arial Narrow" w:cstheme="minorHAnsi"/>
                <w:sz w:val="20"/>
              </w:rPr>
              <w:t>Authority Required - In Writing</w:t>
            </w:r>
          </w:p>
          <w:p w14:paraId="159210BC" w14:textId="77777777" w:rsidR="00F92E7E" w:rsidRPr="00F92E7E" w:rsidRDefault="00F92E7E" w:rsidP="00F92E7E">
            <w:pPr>
              <w:keepNext/>
              <w:snapToGrid w:val="0"/>
              <w:rPr>
                <w:rFonts w:ascii="Arial Narrow" w:hAnsi="Arial Narrow" w:cstheme="minorHAnsi"/>
                <w:sz w:val="20"/>
              </w:rPr>
            </w:pPr>
            <w:r w:rsidRPr="00F92E7E">
              <w:rPr>
                <w:rFonts w:ascii="Arial Narrow" w:hAnsi="Arial Narrow" w:cstheme="minorHAnsi"/>
                <w:sz w:val="20"/>
              </w:rPr>
              <w:fldChar w:fldCharType="begin" w:fldLock="1">
                <w:ffData>
                  <w:name w:val="Check3"/>
                  <w:enabled/>
                  <w:calcOnExit w:val="0"/>
                  <w:checkBox>
                    <w:sizeAuto/>
                    <w:default w:val="0"/>
                  </w:checkBox>
                </w:ffData>
              </w:fldChar>
            </w:r>
            <w:r w:rsidRPr="00F92E7E">
              <w:rPr>
                <w:rFonts w:ascii="Arial Narrow" w:hAnsi="Arial Narrow" w:cstheme="minorHAnsi"/>
                <w:sz w:val="20"/>
              </w:rPr>
              <w:instrText xml:space="preserve"> FORMCHECKBOX </w:instrText>
            </w:r>
            <w:r w:rsidRPr="00F92E7E">
              <w:rPr>
                <w:rFonts w:ascii="Arial Narrow" w:hAnsi="Arial Narrow" w:cstheme="minorHAnsi"/>
                <w:sz w:val="20"/>
              </w:rPr>
            </w:r>
            <w:r w:rsidRPr="00F92E7E">
              <w:rPr>
                <w:rFonts w:ascii="Arial Narrow" w:hAnsi="Arial Narrow" w:cstheme="minorHAnsi"/>
                <w:sz w:val="20"/>
              </w:rPr>
              <w:fldChar w:fldCharType="separate"/>
            </w:r>
            <w:r w:rsidRPr="00F92E7E">
              <w:rPr>
                <w:rFonts w:ascii="Arial Narrow" w:hAnsi="Arial Narrow" w:cstheme="minorHAnsi"/>
                <w:sz w:val="20"/>
              </w:rPr>
              <w:fldChar w:fldCharType="end"/>
            </w:r>
            <w:r w:rsidRPr="00F92E7E">
              <w:rPr>
                <w:rFonts w:ascii="Arial Narrow" w:hAnsi="Arial Narrow" w:cstheme="minorHAnsi"/>
                <w:sz w:val="20"/>
              </w:rPr>
              <w:t>Authority Required - Telephone</w:t>
            </w:r>
          </w:p>
          <w:p w14:paraId="1F98C43B" w14:textId="77777777" w:rsidR="00F92E7E" w:rsidRPr="00F92E7E" w:rsidRDefault="00F92E7E" w:rsidP="00F92E7E">
            <w:pPr>
              <w:keepNext/>
              <w:snapToGrid w:val="0"/>
              <w:rPr>
                <w:rFonts w:ascii="Arial Narrow" w:hAnsi="Arial Narrow" w:cstheme="minorHAnsi"/>
                <w:sz w:val="20"/>
              </w:rPr>
            </w:pPr>
            <w:r w:rsidRPr="00F92E7E">
              <w:rPr>
                <w:rFonts w:ascii="Arial Narrow" w:hAnsi="Arial Narrow" w:cstheme="minorHAnsi"/>
                <w:sz w:val="20"/>
              </w:rPr>
              <w:fldChar w:fldCharType="begin" w:fldLock="1">
                <w:ffData>
                  <w:name w:val=""/>
                  <w:enabled/>
                  <w:calcOnExit w:val="0"/>
                  <w:checkBox>
                    <w:sizeAuto/>
                    <w:default w:val="0"/>
                  </w:checkBox>
                </w:ffData>
              </w:fldChar>
            </w:r>
            <w:r w:rsidRPr="00F92E7E">
              <w:rPr>
                <w:rFonts w:ascii="Arial Narrow" w:hAnsi="Arial Narrow" w:cstheme="minorHAnsi"/>
                <w:sz w:val="20"/>
              </w:rPr>
              <w:instrText xml:space="preserve"> FORMCHECKBOX </w:instrText>
            </w:r>
            <w:r w:rsidRPr="00F92E7E">
              <w:rPr>
                <w:rFonts w:ascii="Arial Narrow" w:hAnsi="Arial Narrow" w:cstheme="minorHAnsi"/>
                <w:sz w:val="20"/>
              </w:rPr>
            </w:r>
            <w:r w:rsidRPr="00F92E7E">
              <w:rPr>
                <w:rFonts w:ascii="Arial Narrow" w:hAnsi="Arial Narrow" w:cstheme="minorHAnsi"/>
                <w:sz w:val="20"/>
              </w:rPr>
              <w:fldChar w:fldCharType="separate"/>
            </w:r>
            <w:r w:rsidRPr="00F92E7E">
              <w:rPr>
                <w:rFonts w:ascii="Arial Narrow" w:hAnsi="Arial Narrow" w:cstheme="minorHAnsi"/>
                <w:sz w:val="20"/>
              </w:rPr>
              <w:fldChar w:fldCharType="end"/>
            </w:r>
            <w:r w:rsidRPr="00F92E7E">
              <w:rPr>
                <w:rFonts w:ascii="Arial Narrow" w:hAnsi="Arial Narrow" w:cstheme="minorHAnsi"/>
                <w:sz w:val="20"/>
              </w:rPr>
              <w:t>Authority Required - Emergency</w:t>
            </w:r>
          </w:p>
          <w:p w14:paraId="42ACCD4C" w14:textId="77777777" w:rsidR="00F92E7E" w:rsidRPr="00F92E7E" w:rsidRDefault="00F92E7E" w:rsidP="00F92E7E">
            <w:pPr>
              <w:keepNext/>
              <w:snapToGrid w:val="0"/>
              <w:rPr>
                <w:rFonts w:ascii="Arial Narrow" w:hAnsi="Arial Narrow" w:cstheme="minorHAnsi"/>
                <w:sz w:val="20"/>
              </w:rPr>
            </w:pPr>
            <w:r w:rsidRPr="00F92E7E">
              <w:rPr>
                <w:rFonts w:ascii="Arial Narrow" w:hAnsi="Arial Narrow" w:cstheme="minorHAnsi"/>
                <w:sz w:val="20"/>
              </w:rPr>
              <w:fldChar w:fldCharType="begin" w:fldLock="1">
                <w:ffData>
                  <w:name w:val="Check5"/>
                  <w:enabled/>
                  <w:calcOnExit w:val="0"/>
                  <w:checkBox>
                    <w:sizeAuto/>
                    <w:default w:val="0"/>
                  </w:checkBox>
                </w:ffData>
              </w:fldChar>
            </w:r>
            <w:r w:rsidRPr="00F92E7E">
              <w:rPr>
                <w:rFonts w:ascii="Arial Narrow" w:hAnsi="Arial Narrow" w:cstheme="minorHAnsi"/>
                <w:sz w:val="20"/>
              </w:rPr>
              <w:instrText xml:space="preserve"> FORMCHECKBOX </w:instrText>
            </w:r>
            <w:r w:rsidRPr="00F92E7E">
              <w:rPr>
                <w:rFonts w:ascii="Arial Narrow" w:hAnsi="Arial Narrow" w:cstheme="minorHAnsi"/>
                <w:sz w:val="20"/>
              </w:rPr>
            </w:r>
            <w:r w:rsidRPr="00F92E7E">
              <w:rPr>
                <w:rFonts w:ascii="Arial Narrow" w:hAnsi="Arial Narrow" w:cstheme="minorHAnsi"/>
                <w:sz w:val="20"/>
              </w:rPr>
              <w:fldChar w:fldCharType="separate"/>
            </w:r>
            <w:r w:rsidRPr="00F92E7E">
              <w:rPr>
                <w:rFonts w:ascii="Arial Narrow" w:hAnsi="Arial Narrow" w:cstheme="minorHAnsi"/>
                <w:sz w:val="20"/>
              </w:rPr>
              <w:fldChar w:fldCharType="end"/>
            </w:r>
            <w:r w:rsidRPr="00F92E7E">
              <w:rPr>
                <w:rFonts w:ascii="Arial Narrow" w:hAnsi="Arial Narrow" w:cstheme="minorHAnsi"/>
                <w:sz w:val="20"/>
              </w:rPr>
              <w:t>Authority Required - Electronic</w:t>
            </w:r>
          </w:p>
          <w:p w14:paraId="7A4CA97C" w14:textId="77777777" w:rsidR="00F92E7E" w:rsidRPr="00F92E7E" w:rsidRDefault="00F92E7E" w:rsidP="00F92E7E">
            <w:pPr>
              <w:keepNext/>
              <w:snapToGrid w:val="0"/>
              <w:rPr>
                <w:rFonts w:ascii="Arial Narrow" w:hAnsi="Arial Narrow" w:cstheme="minorHAnsi"/>
                <w:sz w:val="20"/>
              </w:rPr>
            </w:pPr>
            <w:r w:rsidRPr="00F92E7E">
              <w:rPr>
                <w:rFonts w:ascii="Arial Narrow" w:hAnsi="Arial Narrow" w:cstheme="minorHAnsi"/>
                <w:sz w:val="20"/>
              </w:rPr>
              <w:fldChar w:fldCharType="begin" w:fldLock="1">
                <w:ffData>
                  <w:name w:val="Check5"/>
                  <w:enabled/>
                  <w:calcOnExit w:val="0"/>
                  <w:checkBox>
                    <w:sizeAuto/>
                    <w:default w:val="1"/>
                  </w:checkBox>
                </w:ffData>
              </w:fldChar>
            </w:r>
            <w:bookmarkStart w:id="16" w:name="Check5"/>
            <w:r w:rsidRPr="00F92E7E">
              <w:rPr>
                <w:rFonts w:ascii="Arial Narrow" w:hAnsi="Arial Narrow" w:cstheme="minorHAnsi"/>
                <w:sz w:val="20"/>
              </w:rPr>
              <w:instrText xml:space="preserve"> FORMCHECKBOX </w:instrText>
            </w:r>
            <w:r w:rsidRPr="00F92E7E">
              <w:rPr>
                <w:rFonts w:ascii="Arial Narrow" w:hAnsi="Arial Narrow" w:cstheme="minorHAnsi"/>
                <w:sz w:val="20"/>
              </w:rPr>
            </w:r>
            <w:r w:rsidRPr="00F92E7E">
              <w:rPr>
                <w:rFonts w:ascii="Arial Narrow" w:hAnsi="Arial Narrow" w:cstheme="minorHAnsi"/>
                <w:sz w:val="20"/>
              </w:rPr>
              <w:fldChar w:fldCharType="separate"/>
            </w:r>
            <w:r w:rsidRPr="00F92E7E">
              <w:rPr>
                <w:rFonts w:ascii="Arial Narrow" w:hAnsi="Arial Narrow" w:cstheme="minorHAnsi"/>
                <w:sz w:val="20"/>
              </w:rPr>
              <w:fldChar w:fldCharType="end"/>
            </w:r>
            <w:bookmarkEnd w:id="16"/>
            <w:r w:rsidRPr="00F92E7E">
              <w:rPr>
                <w:rFonts w:ascii="Arial Narrow" w:hAnsi="Arial Narrow" w:cstheme="minorHAnsi"/>
                <w:sz w:val="20"/>
              </w:rPr>
              <w:t>Streamlined</w:t>
            </w:r>
          </w:p>
        </w:tc>
      </w:tr>
      <w:tr w:rsidR="00F92E7E" w:rsidRPr="00F92E7E" w14:paraId="19D266A4" w14:textId="77777777" w:rsidTr="0F1D33A4">
        <w:trPr>
          <w:trHeight w:val="288"/>
        </w:trPr>
        <w:tc>
          <w:tcPr>
            <w:tcW w:w="1067" w:type="pct"/>
            <w:tcBorders>
              <w:top w:val="single" w:sz="4" w:space="0" w:color="auto"/>
              <w:left w:val="single" w:sz="4" w:space="0" w:color="auto"/>
              <w:bottom w:val="single" w:sz="4" w:space="0" w:color="auto"/>
              <w:right w:val="single" w:sz="4" w:space="0" w:color="auto"/>
            </w:tcBorders>
          </w:tcPr>
          <w:p w14:paraId="57FA2528" w14:textId="77777777" w:rsidR="00F92E7E" w:rsidRPr="00F92E7E" w:rsidRDefault="00F92E7E" w:rsidP="00F92E7E">
            <w:pPr>
              <w:keepNext/>
              <w:snapToGrid w:val="0"/>
              <w:rPr>
                <w:rFonts w:ascii="Arial Narrow" w:hAnsi="Arial Narrow" w:cstheme="minorHAnsi"/>
                <w:b/>
                <w:sz w:val="20"/>
              </w:rPr>
            </w:pPr>
            <w:r w:rsidRPr="00F92E7E">
              <w:rPr>
                <w:rFonts w:ascii="Arial Narrow" w:hAnsi="Arial Narrow" w:cstheme="minorHAnsi"/>
                <w:b/>
                <w:sz w:val="20"/>
              </w:rPr>
              <w:t>Population criteria:</w:t>
            </w:r>
          </w:p>
        </w:tc>
        <w:tc>
          <w:tcPr>
            <w:tcW w:w="3933" w:type="pct"/>
            <w:tcBorders>
              <w:top w:val="single" w:sz="4" w:space="0" w:color="auto"/>
              <w:left w:val="single" w:sz="4" w:space="0" w:color="auto"/>
              <w:bottom w:val="single" w:sz="4" w:space="0" w:color="auto"/>
              <w:right w:val="single" w:sz="4" w:space="0" w:color="auto"/>
            </w:tcBorders>
          </w:tcPr>
          <w:p w14:paraId="327050A4" w14:textId="77777777" w:rsidR="00F92E7E" w:rsidRPr="00F92E7E" w:rsidRDefault="00F92E7E" w:rsidP="00F92E7E">
            <w:pPr>
              <w:keepNext/>
              <w:snapToGrid w:val="0"/>
              <w:rPr>
                <w:rFonts w:ascii="Arial Narrow" w:hAnsi="Arial Narrow" w:cstheme="minorHAnsi"/>
                <w:iCs/>
                <w:sz w:val="20"/>
              </w:rPr>
            </w:pPr>
            <w:r w:rsidRPr="00F92E7E">
              <w:rPr>
                <w:rFonts w:ascii="Arial Narrow" w:hAnsi="Arial Narrow" w:cstheme="minorHAnsi"/>
                <w:iCs/>
                <w:sz w:val="20"/>
              </w:rPr>
              <w:t>Patient must be 18 years of age or over</w:t>
            </w:r>
          </w:p>
        </w:tc>
      </w:tr>
      <w:tr w:rsidR="00F92E7E" w:rsidRPr="00F92E7E" w14:paraId="7B3B08E3" w14:textId="77777777" w:rsidTr="0F1D33A4">
        <w:trPr>
          <w:trHeight w:val="1272"/>
        </w:trPr>
        <w:tc>
          <w:tcPr>
            <w:tcW w:w="1067" w:type="pct"/>
            <w:tcBorders>
              <w:top w:val="single" w:sz="4" w:space="0" w:color="auto"/>
              <w:left w:val="single" w:sz="4" w:space="0" w:color="auto"/>
              <w:bottom w:val="single" w:sz="4" w:space="0" w:color="auto"/>
              <w:right w:val="single" w:sz="4" w:space="0" w:color="auto"/>
            </w:tcBorders>
            <w:hideMark/>
          </w:tcPr>
          <w:p w14:paraId="37B86ADC" w14:textId="77777777" w:rsidR="00F92E7E" w:rsidRPr="00F92E7E" w:rsidRDefault="00F92E7E" w:rsidP="00F92E7E">
            <w:pPr>
              <w:keepNext/>
              <w:snapToGrid w:val="0"/>
              <w:rPr>
                <w:rFonts w:ascii="Arial Narrow" w:hAnsi="Arial Narrow" w:cstheme="minorHAnsi"/>
                <w:b/>
                <w:sz w:val="20"/>
              </w:rPr>
            </w:pPr>
            <w:r w:rsidRPr="00F92E7E">
              <w:rPr>
                <w:rFonts w:ascii="Arial Narrow" w:hAnsi="Arial Narrow" w:cstheme="minorHAnsi"/>
                <w:b/>
                <w:sz w:val="20"/>
              </w:rPr>
              <w:t>Clinical criteria:</w:t>
            </w:r>
          </w:p>
        </w:tc>
        <w:tc>
          <w:tcPr>
            <w:tcW w:w="3933" w:type="pct"/>
            <w:tcBorders>
              <w:top w:val="single" w:sz="4" w:space="0" w:color="auto"/>
              <w:left w:val="single" w:sz="4" w:space="0" w:color="auto"/>
              <w:bottom w:val="single" w:sz="4" w:space="0" w:color="auto"/>
              <w:right w:val="single" w:sz="4" w:space="0" w:color="auto"/>
            </w:tcBorders>
            <w:hideMark/>
          </w:tcPr>
          <w:p w14:paraId="38E84620" w14:textId="77777777" w:rsidR="00F92E7E" w:rsidRPr="00F92E7E" w:rsidRDefault="00F92E7E" w:rsidP="00F92E7E">
            <w:pPr>
              <w:keepNext/>
              <w:snapToGrid w:val="0"/>
              <w:rPr>
                <w:rFonts w:ascii="Arial Narrow" w:hAnsi="Arial Narrow" w:cstheme="minorHAnsi"/>
                <w:iCs/>
                <w:sz w:val="20"/>
              </w:rPr>
            </w:pPr>
            <w:r w:rsidRPr="00F92E7E">
              <w:rPr>
                <w:rFonts w:ascii="Arial Narrow" w:hAnsi="Arial Narrow" w:cstheme="minorHAnsi"/>
                <w:iCs/>
                <w:sz w:val="20"/>
              </w:rPr>
              <w:t>Patient must be resistant to hydroxycarbamide (hydroxyurea); or</w:t>
            </w:r>
          </w:p>
          <w:p w14:paraId="41D7090D" w14:textId="77777777" w:rsidR="00F92E7E" w:rsidRPr="00F92E7E" w:rsidRDefault="00F92E7E" w:rsidP="0F1D33A4">
            <w:pPr>
              <w:keepNext/>
              <w:snapToGrid w:val="0"/>
              <w:rPr>
                <w:rFonts w:ascii="Arial Narrow" w:hAnsi="Arial Narrow" w:cstheme="minorBidi"/>
                <w:sz w:val="20"/>
                <w:szCs w:val="20"/>
              </w:rPr>
            </w:pPr>
            <w:r w:rsidRPr="0F1D33A4">
              <w:rPr>
                <w:rFonts w:ascii="Arial Narrow" w:hAnsi="Arial Narrow" w:cstheme="minorBidi"/>
                <w:sz w:val="20"/>
                <w:szCs w:val="20"/>
              </w:rPr>
              <w:t>Patient must have an intolerance to hydroxycarbamide (hydroxyurea) of a severity necessitating permanent treatment withdrawal; or</w:t>
            </w:r>
          </w:p>
          <w:p w14:paraId="7182FFE0" w14:textId="77777777" w:rsidR="00F92E7E" w:rsidRPr="00F92E7E" w:rsidRDefault="00F92E7E" w:rsidP="00F92E7E">
            <w:pPr>
              <w:keepNext/>
              <w:snapToGrid w:val="0"/>
              <w:rPr>
                <w:rFonts w:ascii="Arial Narrow" w:hAnsi="Arial Narrow" w:cstheme="minorHAnsi"/>
                <w:iCs/>
                <w:sz w:val="20"/>
              </w:rPr>
            </w:pPr>
            <w:r w:rsidRPr="00F92E7E">
              <w:rPr>
                <w:rFonts w:ascii="Arial Narrow" w:hAnsi="Arial Narrow" w:cstheme="minorHAnsi"/>
                <w:iCs/>
                <w:sz w:val="20"/>
              </w:rPr>
              <w:t>Patient must have a contraindication to hydroxycarbamide (hydroxyurea) as defined in the TGA-approved Product Information;</w:t>
            </w:r>
            <w:r w:rsidRPr="00F92E7E">
              <w:rPr>
                <w:rFonts w:ascii="Arial Narrow" w:hAnsi="Arial Narrow" w:cstheme="minorHAnsi"/>
                <w:iCs/>
                <w:sz w:val="20"/>
              </w:rPr>
              <w:tab/>
            </w:r>
            <w:r w:rsidRPr="00F92E7E">
              <w:rPr>
                <w:rFonts w:ascii="Arial Narrow" w:hAnsi="Arial Narrow" w:cstheme="minorHAnsi"/>
                <w:iCs/>
                <w:sz w:val="20"/>
              </w:rPr>
              <w:br/>
              <w:t>AND</w:t>
            </w:r>
          </w:p>
          <w:p w14:paraId="499F3181" w14:textId="77777777" w:rsidR="00F92E7E" w:rsidRPr="00F92E7E" w:rsidRDefault="00F92E7E" w:rsidP="00F92E7E">
            <w:pPr>
              <w:keepNext/>
              <w:snapToGrid w:val="0"/>
              <w:rPr>
                <w:rFonts w:ascii="Arial Narrow" w:hAnsi="Arial Narrow" w:cstheme="minorHAnsi"/>
                <w:iCs/>
                <w:sz w:val="20"/>
              </w:rPr>
            </w:pPr>
            <w:r w:rsidRPr="00F92E7E">
              <w:rPr>
                <w:rFonts w:ascii="Arial Narrow" w:hAnsi="Arial Narrow" w:cstheme="minorHAnsi"/>
                <w:iCs/>
                <w:sz w:val="20"/>
              </w:rPr>
              <w:t>Patient must not have previously received PBS-subsidised treatment with this drug for this condition.</w:t>
            </w:r>
          </w:p>
        </w:tc>
      </w:tr>
      <w:tr w:rsidR="00F92E7E" w:rsidRPr="00F92E7E" w14:paraId="6887B2A4" w14:textId="77777777" w:rsidTr="0F1D33A4">
        <w:tc>
          <w:tcPr>
            <w:tcW w:w="1067" w:type="pct"/>
            <w:tcBorders>
              <w:top w:val="single" w:sz="4" w:space="0" w:color="auto"/>
              <w:left w:val="single" w:sz="4" w:space="0" w:color="auto"/>
              <w:bottom w:val="single" w:sz="4" w:space="0" w:color="auto"/>
              <w:right w:val="single" w:sz="4" w:space="0" w:color="auto"/>
            </w:tcBorders>
            <w:hideMark/>
          </w:tcPr>
          <w:p w14:paraId="22D0E34E" w14:textId="77777777" w:rsidR="00F92E7E" w:rsidRPr="00F92E7E" w:rsidRDefault="00F92E7E" w:rsidP="00F92E7E">
            <w:pPr>
              <w:keepNext/>
              <w:snapToGrid w:val="0"/>
              <w:rPr>
                <w:rFonts w:ascii="Arial Narrow" w:hAnsi="Arial Narrow" w:cstheme="minorHAnsi"/>
                <w:b/>
                <w:sz w:val="20"/>
              </w:rPr>
            </w:pPr>
            <w:r w:rsidRPr="00F92E7E">
              <w:rPr>
                <w:rFonts w:ascii="Arial Narrow" w:hAnsi="Arial Narrow" w:cstheme="minorHAnsi"/>
                <w:b/>
                <w:sz w:val="20"/>
              </w:rPr>
              <w:t xml:space="preserve">Prescriber Instructions: </w:t>
            </w:r>
          </w:p>
        </w:tc>
        <w:tc>
          <w:tcPr>
            <w:tcW w:w="3933" w:type="pct"/>
            <w:tcBorders>
              <w:top w:val="single" w:sz="4" w:space="0" w:color="auto"/>
              <w:left w:val="single" w:sz="4" w:space="0" w:color="auto"/>
              <w:bottom w:val="single" w:sz="4" w:space="0" w:color="auto"/>
              <w:right w:val="single" w:sz="4" w:space="0" w:color="auto"/>
            </w:tcBorders>
            <w:hideMark/>
          </w:tcPr>
          <w:p w14:paraId="42ACDE1C" w14:textId="77777777" w:rsidR="00F92E7E" w:rsidRPr="00F92E7E" w:rsidRDefault="00F92E7E" w:rsidP="00F92E7E">
            <w:pPr>
              <w:keepNext/>
              <w:snapToGrid w:val="0"/>
              <w:rPr>
                <w:rFonts w:ascii="Arial Narrow" w:hAnsi="Arial Narrow" w:cstheme="minorHAnsi"/>
                <w:sz w:val="20"/>
              </w:rPr>
            </w:pPr>
            <w:r w:rsidRPr="00F92E7E">
              <w:rPr>
                <w:rFonts w:ascii="Arial Narrow" w:hAnsi="Arial Narrow" w:cstheme="minorHAnsi"/>
                <w:sz w:val="20"/>
              </w:rPr>
              <w:t>The authority application must be made in writing and must include:</w:t>
            </w:r>
          </w:p>
          <w:p w14:paraId="7CD1A98A" w14:textId="761F5A0D" w:rsidR="00F92E7E" w:rsidRPr="00F92E7E" w:rsidRDefault="00F92E7E" w:rsidP="00F92E7E">
            <w:pPr>
              <w:keepNext/>
              <w:snapToGrid w:val="0"/>
              <w:rPr>
                <w:rFonts w:ascii="Arial Narrow" w:hAnsi="Arial Narrow" w:cstheme="minorHAnsi"/>
                <w:sz w:val="20"/>
              </w:rPr>
            </w:pPr>
            <w:r w:rsidRPr="00F92E7E">
              <w:rPr>
                <w:rFonts w:ascii="Arial Narrow" w:hAnsi="Arial Narrow" w:cstheme="minorHAnsi"/>
                <w:sz w:val="20"/>
              </w:rPr>
              <w:t>(1)</w:t>
            </w:r>
            <w:r w:rsidR="00F87B86">
              <w:rPr>
                <w:rFonts w:ascii="Arial Narrow" w:hAnsi="Arial Narrow" w:cstheme="minorHAnsi"/>
                <w:sz w:val="20"/>
              </w:rPr>
              <w:t xml:space="preserve"> </w:t>
            </w:r>
            <w:r w:rsidRPr="00F92E7E">
              <w:rPr>
                <w:rFonts w:ascii="Arial Narrow" w:hAnsi="Arial Narrow" w:cstheme="minorHAnsi"/>
                <w:sz w:val="20"/>
              </w:rPr>
              <w:t xml:space="preserve">A completed authority prescription form; and </w:t>
            </w:r>
          </w:p>
          <w:p w14:paraId="12621D61" w14:textId="77777777" w:rsidR="00F92E7E" w:rsidRPr="00F92E7E" w:rsidRDefault="00F92E7E" w:rsidP="0910F2D2">
            <w:pPr>
              <w:keepNext/>
              <w:snapToGrid w:val="0"/>
              <w:rPr>
                <w:rFonts w:ascii="Arial Narrow" w:hAnsi="Arial Narrow" w:cstheme="minorBidi"/>
                <w:sz w:val="20"/>
                <w:szCs w:val="20"/>
              </w:rPr>
            </w:pPr>
            <w:r w:rsidRPr="0910F2D2">
              <w:rPr>
                <w:rFonts w:ascii="Arial Narrow" w:hAnsi="Arial Narrow" w:cstheme="minorBidi"/>
                <w:sz w:val="20"/>
                <w:szCs w:val="20"/>
              </w:rPr>
              <w:t>(2) A completed Polycythemia Vera Authority Application, which includes confirmation that the patient is resistant to, or intolerant of, hydroxycarbamide (hydroxyurea).</w:t>
            </w:r>
          </w:p>
          <w:p w14:paraId="590DCAA8" w14:textId="77777777" w:rsidR="00F92E7E" w:rsidRPr="00F92E7E" w:rsidRDefault="00F92E7E" w:rsidP="00F92E7E">
            <w:pPr>
              <w:keepNext/>
              <w:snapToGrid w:val="0"/>
              <w:rPr>
                <w:rFonts w:ascii="Arial Narrow" w:hAnsi="Arial Narrow" w:cstheme="minorHAnsi"/>
                <w:sz w:val="20"/>
              </w:rPr>
            </w:pPr>
            <w:r w:rsidRPr="00F92E7E">
              <w:rPr>
                <w:rFonts w:ascii="Arial Narrow" w:hAnsi="Arial Narrow" w:cstheme="minorHAnsi"/>
                <w:sz w:val="20"/>
              </w:rPr>
              <w:t xml:space="preserve"> </w:t>
            </w:r>
          </w:p>
          <w:p w14:paraId="0124869F" w14:textId="77777777" w:rsidR="00F92E7E" w:rsidRPr="00F92E7E" w:rsidRDefault="00F92E7E" w:rsidP="00F92E7E">
            <w:pPr>
              <w:keepNext/>
              <w:snapToGrid w:val="0"/>
              <w:rPr>
                <w:rFonts w:ascii="Arial Narrow" w:hAnsi="Arial Narrow" w:cstheme="minorHAnsi"/>
                <w:sz w:val="20"/>
              </w:rPr>
            </w:pPr>
            <w:r w:rsidRPr="00F92E7E">
              <w:rPr>
                <w:rFonts w:ascii="Arial Narrow" w:hAnsi="Arial Narrow" w:cstheme="minorHAnsi"/>
                <w:sz w:val="20"/>
              </w:rPr>
              <w:t xml:space="preserve">Hydroxycarbamide (hydroxyurea) resistance is defined as a minimum of 12 consecutive weeks treatment at a dose of at least 1.5 grams/day or at the maximum tolerated that still results in one of the following: </w:t>
            </w:r>
          </w:p>
          <w:p w14:paraId="714D3157" w14:textId="4E75DCC6" w:rsidR="00F92E7E" w:rsidRPr="00F92E7E" w:rsidRDefault="00F92E7E" w:rsidP="0F1D33A4">
            <w:pPr>
              <w:keepNext/>
              <w:snapToGrid w:val="0"/>
              <w:rPr>
                <w:rFonts w:ascii="Arial Narrow" w:hAnsi="Arial Narrow" w:cstheme="minorBidi"/>
                <w:sz w:val="20"/>
                <w:szCs w:val="20"/>
              </w:rPr>
            </w:pPr>
            <w:r w:rsidRPr="0F1D33A4">
              <w:rPr>
                <w:rFonts w:ascii="Arial Narrow" w:hAnsi="Arial Narrow" w:cstheme="minorBidi"/>
                <w:sz w:val="20"/>
                <w:szCs w:val="20"/>
              </w:rPr>
              <w:t>(i) the need to reduce haematocrit levels to below 45% through phlebotomy; or</w:t>
            </w:r>
          </w:p>
          <w:p w14:paraId="396ABD8F" w14:textId="77777777" w:rsidR="00F92E7E" w:rsidRPr="00F92E7E" w:rsidRDefault="00F92E7E" w:rsidP="0F1D33A4">
            <w:pPr>
              <w:keepNext/>
              <w:snapToGrid w:val="0"/>
              <w:rPr>
                <w:rFonts w:ascii="Arial Narrow" w:hAnsi="Arial Narrow" w:cstheme="minorBidi"/>
                <w:sz w:val="20"/>
                <w:szCs w:val="20"/>
              </w:rPr>
            </w:pPr>
            <w:r w:rsidRPr="0F1D33A4">
              <w:rPr>
                <w:rFonts w:ascii="Arial Narrow" w:hAnsi="Arial Narrow" w:cstheme="minorBidi"/>
                <w:sz w:val="20"/>
                <w:szCs w:val="20"/>
              </w:rPr>
              <w:t>(ii) a platelet count greater than 400 x 10</w:t>
            </w:r>
            <w:r w:rsidRPr="0F1D33A4">
              <w:rPr>
                <w:rFonts w:ascii="Arial Narrow" w:hAnsi="Arial Narrow" w:cstheme="minorBidi"/>
                <w:sz w:val="20"/>
                <w:szCs w:val="20"/>
                <w:vertAlign w:val="superscript"/>
              </w:rPr>
              <w:t>9</w:t>
            </w:r>
            <w:r w:rsidRPr="0F1D33A4">
              <w:rPr>
                <w:rFonts w:ascii="Arial Narrow" w:hAnsi="Arial Narrow" w:cstheme="minorBidi"/>
                <w:sz w:val="20"/>
                <w:szCs w:val="20"/>
              </w:rPr>
              <w:t>/L and a white blood cell count greater than 10 x 10</w:t>
            </w:r>
            <w:r w:rsidRPr="0F1D33A4">
              <w:rPr>
                <w:rFonts w:ascii="Arial Narrow" w:hAnsi="Arial Narrow" w:cstheme="minorBidi"/>
                <w:sz w:val="20"/>
                <w:szCs w:val="20"/>
                <w:vertAlign w:val="superscript"/>
              </w:rPr>
              <w:t>9</w:t>
            </w:r>
            <w:r w:rsidRPr="0F1D33A4">
              <w:rPr>
                <w:rFonts w:ascii="Arial Narrow" w:hAnsi="Arial Narrow" w:cstheme="minorBidi"/>
                <w:sz w:val="20"/>
                <w:szCs w:val="20"/>
              </w:rPr>
              <w:t xml:space="preserve">/L </w:t>
            </w:r>
          </w:p>
          <w:p w14:paraId="4EF6EBFE" w14:textId="77777777" w:rsidR="00F92E7E" w:rsidRPr="00F92E7E" w:rsidRDefault="00F92E7E" w:rsidP="00F92E7E">
            <w:pPr>
              <w:keepNext/>
              <w:snapToGrid w:val="0"/>
              <w:rPr>
                <w:rFonts w:ascii="Arial Narrow" w:hAnsi="Arial Narrow" w:cstheme="minorHAnsi"/>
                <w:sz w:val="20"/>
              </w:rPr>
            </w:pPr>
          </w:p>
          <w:p w14:paraId="2C984479" w14:textId="5CDA0E7E" w:rsidR="00F92E7E" w:rsidRPr="00335534" w:rsidRDefault="00F92E7E" w:rsidP="0F1D33A4">
            <w:pPr>
              <w:keepNext/>
              <w:snapToGrid w:val="0"/>
              <w:rPr>
                <w:rFonts w:ascii="Arial Narrow" w:hAnsi="Arial Narrow" w:cstheme="minorBidi"/>
                <w:sz w:val="20"/>
                <w:szCs w:val="20"/>
              </w:rPr>
            </w:pPr>
            <w:r w:rsidRPr="0F1D33A4">
              <w:rPr>
                <w:rFonts w:ascii="Arial Narrow" w:hAnsi="Arial Narrow" w:cstheme="minorBidi"/>
                <w:sz w:val="20"/>
                <w:szCs w:val="20"/>
              </w:rPr>
              <w:lastRenderedPageBreak/>
              <w:t>If intolerance to hydroxycarbamide (hydroxyurea) treatment develops during the relevant period of use which is of a severity necessitating permanent treatment withdrawal, the application must provide details of the nature and severity of this intolerance.</w:t>
            </w:r>
          </w:p>
        </w:tc>
      </w:tr>
      <w:tr w:rsidR="00F92E7E" w:rsidRPr="00F92E7E" w14:paraId="0BB934E9" w14:textId="77777777" w:rsidTr="0F1D33A4">
        <w:tc>
          <w:tcPr>
            <w:tcW w:w="1067" w:type="pct"/>
            <w:tcBorders>
              <w:top w:val="single" w:sz="4" w:space="0" w:color="auto"/>
              <w:left w:val="single" w:sz="4" w:space="0" w:color="auto"/>
              <w:bottom w:val="single" w:sz="4" w:space="0" w:color="auto"/>
              <w:right w:val="single" w:sz="4" w:space="0" w:color="auto"/>
            </w:tcBorders>
            <w:hideMark/>
          </w:tcPr>
          <w:p w14:paraId="38DD31DE" w14:textId="77777777" w:rsidR="00F92E7E" w:rsidRPr="00F92E7E" w:rsidRDefault="00F92E7E" w:rsidP="00F92E7E">
            <w:pPr>
              <w:keepNext/>
              <w:snapToGrid w:val="0"/>
              <w:rPr>
                <w:rFonts w:ascii="Arial Narrow" w:hAnsi="Arial Narrow" w:cstheme="minorHAnsi"/>
                <w:b/>
                <w:sz w:val="20"/>
              </w:rPr>
            </w:pPr>
            <w:r w:rsidRPr="00F92E7E">
              <w:rPr>
                <w:rFonts w:ascii="Arial Narrow" w:hAnsi="Arial Narrow" w:cstheme="minorHAnsi"/>
                <w:b/>
                <w:sz w:val="20"/>
              </w:rPr>
              <w:lastRenderedPageBreak/>
              <w:t xml:space="preserve">Note: </w:t>
            </w:r>
          </w:p>
        </w:tc>
        <w:tc>
          <w:tcPr>
            <w:tcW w:w="3933" w:type="pct"/>
            <w:tcBorders>
              <w:top w:val="single" w:sz="4" w:space="0" w:color="auto"/>
              <w:left w:val="single" w:sz="4" w:space="0" w:color="auto"/>
              <w:bottom w:val="single" w:sz="4" w:space="0" w:color="auto"/>
              <w:right w:val="single" w:sz="4" w:space="0" w:color="auto"/>
            </w:tcBorders>
          </w:tcPr>
          <w:p w14:paraId="18CEE7E5" w14:textId="77777777" w:rsidR="00F92E7E" w:rsidRPr="00F92E7E" w:rsidRDefault="00F92E7E" w:rsidP="00F92E7E">
            <w:pPr>
              <w:keepNext/>
              <w:snapToGrid w:val="0"/>
              <w:spacing w:after="120"/>
              <w:contextualSpacing/>
              <w:rPr>
                <w:rFonts w:ascii="Arial Narrow" w:hAnsi="Arial Narrow" w:cstheme="minorHAnsi"/>
                <w:iCs/>
                <w:sz w:val="20"/>
                <w:u w:val="single"/>
              </w:rPr>
            </w:pPr>
            <w:r w:rsidRPr="00F92E7E">
              <w:rPr>
                <w:rFonts w:ascii="Arial Narrow" w:hAnsi="Arial Narrow" w:cstheme="minorHAnsi"/>
                <w:iCs/>
                <w:sz w:val="20"/>
                <w:u w:val="single"/>
              </w:rPr>
              <w:t>Note</w:t>
            </w:r>
          </w:p>
          <w:p w14:paraId="54A2F24A" w14:textId="77777777" w:rsidR="00F92E7E" w:rsidRPr="00F92E7E" w:rsidRDefault="00F92E7E" w:rsidP="00335534">
            <w:pPr>
              <w:keepNext/>
              <w:snapToGrid w:val="0"/>
              <w:spacing w:after="120"/>
              <w:contextualSpacing/>
              <w:rPr>
                <w:rFonts w:ascii="Arial Narrow" w:hAnsi="Arial Narrow" w:cstheme="minorHAnsi"/>
                <w:iCs/>
                <w:sz w:val="20"/>
              </w:rPr>
            </w:pPr>
            <w:r w:rsidRPr="00F92E7E">
              <w:rPr>
                <w:rFonts w:ascii="Arial Narrow" w:hAnsi="Arial Narrow" w:cstheme="minorHAnsi"/>
                <w:iCs/>
                <w:sz w:val="20"/>
              </w:rPr>
              <w:t>Special Pricing Arrangements apply.</w:t>
            </w:r>
          </w:p>
          <w:p w14:paraId="0A35E045" w14:textId="77777777" w:rsidR="00F92E7E" w:rsidRPr="00F92E7E" w:rsidRDefault="00F92E7E" w:rsidP="00F92E7E">
            <w:pPr>
              <w:keepNext/>
              <w:snapToGrid w:val="0"/>
              <w:spacing w:after="120"/>
              <w:contextualSpacing/>
              <w:rPr>
                <w:rFonts w:ascii="Arial Narrow" w:hAnsi="Arial Narrow" w:cstheme="minorHAnsi"/>
                <w:iCs/>
                <w:sz w:val="20"/>
                <w:u w:val="single"/>
              </w:rPr>
            </w:pPr>
            <w:r w:rsidRPr="00F92E7E">
              <w:rPr>
                <w:rFonts w:ascii="Arial Narrow" w:hAnsi="Arial Narrow" w:cstheme="minorHAnsi"/>
                <w:iCs/>
                <w:sz w:val="20"/>
                <w:u w:val="single"/>
              </w:rPr>
              <w:t>Note</w:t>
            </w:r>
          </w:p>
          <w:p w14:paraId="4FE9734F" w14:textId="77777777" w:rsidR="00F92E7E" w:rsidRPr="00F92E7E" w:rsidRDefault="00F92E7E" w:rsidP="00335534">
            <w:pPr>
              <w:keepNext/>
              <w:snapToGrid w:val="0"/>
              <w:spacing w:after="120"/>
              <w:contextualSpacing/>
              <w:rPr>
                <w:rFonts w:ascii="Arial Narrow" w:hAnsi="Arial Narrow" w:cstheme="minorHAnsi"/>
                <w:iCs/>
                <w:sz w:val="20"/>
              </w:rPr>
            </w:pPr>
            <w:r w:rsidRPr="00F92E7E">
              <w:rPr>
                <w:rFonts w:ascii="Arial Narrow" w:hAnsi="Arial Narrow" w:cstheme="minorHAnsi"/>
                <w:iCs/>
                <w:sz w:val="20"/>
              </w:rPr>
              <w:t>No increase in the maximum quantity or number of units may be authorised.</w:t>
            </w:r>
          </w:p>
          <w:p w14:paraId="49F97909" w14:textId="77777777" w:rsidR="00F92E7E" w:rsidRPr="00F92E7E" w:rsidRDefault="00F92E7E" w:rsidP="00F92E7E">
            <w:pPr>
              <w:keepNext/>
              <w:snapToGrid w:val="0"/>
              <w:spacing w:after="120"/>
              <w:contextualSpacing/>
              <w:rPr>
                <w:rFonts w:ascii="Arial Narrow" w:hAnsi="Arial Narrow" w:cstheme="minorHAnsi"/>
                <w:iCs/>
                <w:sz w:val="20"/>
                <w:u w:val="single"/>
              </w:rPr>
            </w:pPr>
            <w:r w:rsidRPr="00F92E7E">
              <w:rPr>
                <w:rFonts w:ascii="Arial Narrow" w:hAnsi="Arial Narrow" w:cstheme="minorHAnsi"/>
                <w:iCs/>
                <w:sz w:val="20"/>
                <w:u w:val="single"/>
              </w:rPr>
              <w:t>Note</w:t>
            </w:r>
          </w:p>
          <w:p w14:paraId="02A53839" w14:textId="77777777" w:rsidR="00F92E7E" w:rsidRPr="00F92E7E" w:rsidRDefault="00F92E7E" w:rsidP="000F125A">
            <w:pPr>
              <w:keepNext/>
              <w:snapToGrid w:val="0"/>
              <w:spacing w:after="120"/>
              <w:contextualSpacing/>
              <w:rPr>
                <w:rFonts w:ascii="Arial Narrow" w:hAnsi="Arial Narrow" w:cstheme="minorHAnsi"/>
                <w:iCs/>
                <w:sz w:val="20"/>
              </w:rPr>
            </w:pPr>
            <w:r w:rsidRPr="00F92E7E">
              <w:rPr>
                <w:rFonts w:ascii="Arial Narrow" w:hAnsi="Arial Narrow" w:cstheme="minorHAnsi"/>
                <w:iCs/>
                <w:sz w:val="20"/>
              </w:rPr>
              <w:t xml:space="preserve">No increase in the maximum number of repeats may be authorised. </w:t>
            </w:r>
          </w:p>
          <w:p w14:paraId="176A900B" w14:textId="77777777" w:rsidR="00F92E7E" w:rsidRPr="00F92E7E" w:rsidRDefault="00F92E7E" w:rsidP="00F92E7E">
            <w:pPr>
              <w:keepNext/>
              <w:snapToGrid w:val="0"/>
              <w:spacing w:after="120"/>
              <w:contextualSpacing/>
              <w:rPr>
                <w:rFonts w:ascii="Arial Narrow" w:hAnsi="Arial Narrow" w:cstheme="minorHAnsi"/>
                <w:iCs/>
                <w:sz w:val="20"/>
                <w:u w:val="single"/>
              </w:rPr>
            </w:pPr>
            <w:r w:rsidRPr="00F92E7E">
              <w:rPr>
                <w:rFonts w:ascii="Arial Narrow" w:hAnsi="Arial Narrow" w:cstheme="minorHAnsi"/>
                <w:iCs/>
                <w:sz w:val="20"/>
                <w:u w:val="single"/>
              </w:rPr>
              <w:t>Note</w:t>
            </w:r>
          </w:p>
          <w:p w14:paraId="6E24A55A" w14:textId="77777777" w:rsidR="00F92E7E" w:rsidRPr="00F92E7E" w:rsidRDefault="00F92E7E" w:rsidP="00F92E7E">
            <w:pPr>
              <w:keepNext/>
              <w:snapToGrid w:val="0"/>
              <w:spacing w:after="120"/>
              <w:contextualSpacing/>
              <w:rPr>
                <w:rFonts w:ascii="Arial Narrow" w:hAnsi="Arial Narrow" w:cstheme="minorHAnsi"/>
                <w:iCs/>
                <w:sz w:val="20"/>
              </w:rPr>
            </w:pPr>
            <w:r w:rsidRPr="00F92E7E">
              <w:rPr>
                <w:rFonts w:ascii="Arial Narrow" w:hAnsi="Arial Narrow" w:cstheme="minorHAnsi"/>
                <w:iCs/>
                <w:sz w:val="20"/>
              </w:rPr>
              <w:t xml:space="preserve">Any queries concerning the arrangements to prescribe may be directed to the Department of Human Services on 1800 700 270 (hours of operation 8 a.m. to 5 p.m. EST Monday to Friday). </w:t>
            </w:r>
          </w:p>
          <w:p w14:paraId="0EE856C0" w14:textId="77777777" w:rsidR="00F92E7E" w:rsidRPr="00F92E7E" w:rsidRDefault="00F92E7E" w:rsidP="00F92E7E">
            <w:pPr>
              <w:keepNext/>
              <w:snapToGrid w:val="0"/>
              <w:spacing w:after="120"/>
              <w:contextualSpacing/>
              <w:rPr>
                <w:rFonts w:ascii="Arial Narrow" w:hAnsi="Arial Narrow" w:cstheme="minorHAnsi"/>
                <w:iCs/>
                <w:sz w:val="20"/>
              </w:rPr>
            </w:pPr>
            <w:r w:rsidRPr="00F92E7E">
              <w:rPr>
                <w:rFonts w:ascii="Arial Narrow" w:hAnsi="Arial Narrow" w:cstheme="minorHAnsi"/>
                <w:iCs/>
                <w:sz w:val="20"/>
              </w:rPr>
              <w:t xml:space="preserve">Prescribing information (including Authority Application forms and other relevant documentation as applicable) is available on the Department of Human Services website at </w:t>
            </w:r>
            <w:r w:rsidRPr="00F92E7E">
              <w:rPr>
                <w:rFonts w:ascii="Arial Narrow" w:hAnsi="Arial Narrow" w:cstheme="minorHAnsi"/>
                <w:iCs/>
                <w:sz w:val="20"/>
                <w:u w:val="single"/>
              </w:rPr>
              <w:t>www.humanservices.gov.au</w:t>
            </w:r>
          </w:p>
          <w:p w14:paraId="0254AA58" w14:textId="77777777" w:rsidR="00F92E7E" w:rsidRPr="00F92E7E" w:rsidRDefault="00F92E7E" w:rsidP="0F1D33A4">
            <w:pPr>
              <w:keepNext/>
              <w:snapToGrid w:val="0"/>
              <w:spacing w:after="120"/>
              <w:contextualSpacing/>
              <w:rPr>
                <w:rFonts w:ascii="Arial Narrow" w:hAnsi="Arial Narrow" w:cstheme="minorBidi"/>
                <w:sz w:val="20"/>
                <w:szCs w:val="20"/>
              </w:rPr>
            </w:pPr>
            <w:r w:rsidRPr="0F1D33A4">
              <w:rPr>
                <w:rFonts w:ascii="Arial Narrow" w:hAnsi="Arial Narrow" w:cstheme="minorBidi"/>
                <w:sz w:val="20"/>
                <w:szCs w:val="20"/>
              </w:rPr>
              <w:t xml:space="preserve">Applications for authority to prescribe should be forwarded to: </w:t>
            </w:r>
          </w:p>
          <w:p w14:paraId="051793FD" w14:textId="77777777" w:rsidR="00F92E7E" w:rsidRPr="00F92E7E" w:rsidRDefault="00F92E7E" w:rsidP="00F92E7E">
            <w:pPr>
              <w:keepNext/>
              <w:snapToGrid w:val="0"/>
              <w:spacing w:after="120"/>
              <w:contextualSpacing/>
              <w:rPr>
                <w:rFonts w:ascii="Arial Narrow" w:hAnsi="Arial Narrow" w:cstheme="minorHAnsi"/>
                <w:iCs/>
                <w:sz w:val="20"/>
              </w:rPr>
            </w:pPr>
            <w:r w:rsidRPr="00F92E7E">
              <w:rPr>
                <w:rFonts w:ascii="Arial Narrow" w:hAnsi="Arial Narrow" w:cstheme="minorHAnsi"/>
                <w:iCs/>
                <w:sz w:val="20"/>
              </w:rPr>
              <w:t>Department of Human Services</w:t>
            </w:r>
          </w:p>
          <w:p w14:paraId="74951638" w14:textId="77777777" w:rsidR="00F92E7E" w:rsidRPr="00F92E7E" w:rsidRDefault="00F92E7E" w:rsidP="00F92E7E">
            <w:pPr>
              <w:keepNext/>
              <w:snapToGrid w:val="0"/>
              <w:spacing w:after="120"/>
              <w:contextualSpacing/>
              <w:rPr>
                <w:rFonts w:ascii="Arial Narrow" w:hAnsi="Arial Narrow" w:cstheme="minorHAnsi"/>
                <w:iCs/>
                <w:sz w:val="20"/>
              </w:rPr>
            </w:pPr>
            <w:r w:rsidRPr="00F92E7E">
              <w:rPr>
                <w:rFonts w:ascii="Arial Narrow" w:hAnsi="Arial Narrow" w:cstheme="minorHAnsi"/>
                <w:iCs/>
                <w:sz w:val="20"/>
              </w:rPr>
              <w:t xml:space="preserve">Complex Drugs </w:t>
            </w:r>
          </w:p>
          <w:p w14:paraId="168253DB" w14:textId="77777777" w:rsidR="00F92E7E" w:rsidRPr="00F92E7E" w:rsidRDefault="00F92E7E" w:rsidP="00F92E7E">
            <w:pPr>
              <w:keepNext/>
              <w:snapToGrid w:val="0"/>
              <w:spacing w:after="120"/>
              <w:contextualSpacing/>
              <w:rPr>
                <w:rFonts w:ascii="Arial Narrow" w:hAnsi="Arial Narrow" w:cstheme="minorHAnsi"/>
                <w:iCs/>
                <w:sz w:val="20"/>
              </w:rPr>
            </w:pPr>
            <w:r w:rsidRPr="00F92E7E">
              <w:rPr>
                <w:rFonts w:ascii="Arial Narrow" w:hAnsi="Arial Narrow" w:cstheme="minorHAnsi"/>
                <w:iCs/>
                <w:sz w:val="20"/>
              </w:rPr>
              <w:t xml:space="preserve">Reply Paid 9826 </w:t>
            </w:r>
          </w:p>
          <w:p w14:paraId="20D7A3F2" w14:textId="77777777" w:rsidR="00F92E7E" w:rsidRPr="00F92E7E" w:rsidRDefault="00F92E7E" w:rsidP="00F92E7E">
            <w:pPr>
              <w:keepNext/>
              <w:snapToGrid w:val="0"/>
              <w:spacing w:after="120"/>
              <w:contextualSpacing/>
              <w:rPr>
                <w:rFonts w:ascii="Arial Narrow" w:hAnsi="Arial Narrow" w:cstheme="minorHAnsi"/>
                <w:sz w:val="20"/>
              </w:rPr>
            </w:pPr>
            <w:r w:rsidRPr="00F92E7E">
              <w:rPr>
                <w:rFonts w:ascii="Arial Narrow" w:hAnsi="Arial Narrow" w:cstheme="minorHAnsi"/>
                <w:iCs/>
                <w:sz w:val="20"/>
              </w:rPr>
              <w:t>HOBART TAS 7001</w:t>
            </w:r>
          </w:p>
        </w:tc>
      </w:tr>
    </w:tbl>
    <w:p w14:paraId="5B2F98BF" w14:textId="77777777" w:rsidR="00F92E7E" w:rsidRPr="00F92E7E" w:rsidRDefault="00F92E7E" w:rsidP="00F92E7E"/>
    <w:tbl>
      <w:tblPr>
        <w:tblW w:w="5000" w:type="pct"/>
        <w:tblLook w:val="04A0" w:firstRow="1" w:lastRow="0" w:firstColumn="1" w:lastColumn="0" w:noHBand="0" w:noVBand="1"/>
      </w:tblPr>
      <w:tblGrid>
        <w:gridCol w:w="1942"/>
        <w:gridCol w:w="7075"/>
      </w:tblGrid>
      <w:tr w:rsidR="00F92E7E" w:rsidRPr="00F92E7E" w14:paraId="53569B71" w14:textId="77777777" w:rsidTr="0F1D33A4">
        <w:tc>
          <w:tcPr>
            <w:tcW w:w="1077" w:type="pct"/>
            <w:tcBorders>
              <w:top w:val="single" w:sz="4" w:space="0" w:color="auto"/>
              <w:left w:val="single" w:sz="4" w:space="0" w:color="auto"/>
              <w:bottom w:val="single" w:sz="4" w:space="0" w:color="auto"/>
              <w:right w:val="single" w:sz="4" w:space="0" w:color="auto"/>
            </w:tcBorders>
            <w:hideMark/>
          </w:tcPr>
          <w:p w14:paraId="4C03C9E0" w14:textId="77777777" w:rsidR="00F92E7E" w:rsidRPr="00F92E7E" w:rsidRDefault="00F92E7E" w:rsidP="00F92E7E">
            <w:pPr>
              <w:keepNext/>
              <w:snapToGrid w:val="0"/>
              <w:rPr>
                <w:rFonts w:ascii="Arial Narrow" w:hAnsi="Arial Narrow"/>
                <w:b/>
                <w:sz w:val="20"/>
              </w:rPr>
            </w:pPr>
            <w:r w:rsidRPr="00F92E7E">
              <w:rPr>
                <w:rFonts w:ascii="Arial Narrow" w:hAnsi="Arial Narrow"/>
                <w:b/>
                <w:sz w:val="20"/>
              </w:rPr>
              <w:t>Category / Program:</w:t>
            </w:r>
          </w:p>
        </w:tc>
        <w:tc>
          <w:tcPr>
            <w:tcW w:w="3923" w:type="pct"/>
            <w:tcBorders>
              <w:top w:val="single" w:sz="4" w:space="0" w:color="auto"/>
              <w:left w:val="single" w:sz="4" w:space="0" w:color="auto"/>
              <w:bottom w:val="single" w:sz="4" w:space="0" w:color="auto"/>
              <w:right w:val="single" w:sz="4" w:space="0" w:color="auto"/>
            </w:tcBorders>
            <w:hideMark/>
          </w:tcPr>
          <w:p w14:paraId="48648532" w14:textId="77777777" w:rsidR="00F92E7E" w:rsidRPr="00F92E7E" w:rsidRDefault="00F92E7E" w:rsidP="00F92E7E">
            <w:pPr>
              <w:keepNext/>
              <w:snapToGrid w:val="0"/>
              <w:rPr>
                <w:rFonts w:ascii="Arial Narrow" w:hAnsi="Arial Narrow"/>
                <w:sz w:val="20"/>
              </w:rPr>
            </w:pPr>
            <w:r w:rsidRPr="00F92E7E">
              <w:rPr>
                <w:rFonts w:ascii="Arial Narrow" w:hAnsi="Arial Narrow"/>
                <w:sz w:val="20"/>
              </w:rPr>
              <w:t>GENERAL - General Schedule (Code GE)</w:t>
            </w:r>
          </w:p>
        </w:tc>
      </w:tr>
      <w:tr w:rsidR="00F92E7E" w:rsidRPr="00F92E7E" w14:paraId="2DC59BEC" w14:textId="77777777" w:rsidTr="0F1D33A4">
        <w:tc>
          <w:tcPr>
            <w:tcW w:w="1077" w:type="pct"/>
            <w:tcBorders>
              <w:top w:val="single" w:sz="4" w:space="0" w:color="auto"/>
              <w:left w:val="single" w:sz="4" w:space="0" w:color="auto"/>
              <w:bottom w:val="single" w:sz="4" w:space="0" w:color="auto"/>
              <w:right w:val="single" w:sz="4" w:space="0" w:color="auto"/>
            </w:tcBorders>
            <w:hideMark/>
          </w:tcPr>
          <w:p w14:paraId="3C961472" w14:textId="77777777" w:rsidR="00F92E7E" w:rsidRPr="00F92E7E" w:rsidRDefault="00F92E7E" w:rsidP="00F92E7E">
            <w:pPr>
              <w:keepNext/>
              <w:snapToGrid w:val="0"/>
              <w:rPr>
                <w:rFonts w:ascii="Arial Narrow" w:hAnsi="Arial Narrow"/>
                <w:b/>
                <w:sz w:val="20"/>
              </w:rPr>
            </w:pPr>
            <w:r w:rsidRPr="00F92E7E">
              <w:rPr>
                <w:rFonts w:ascii="Arial Narrow" w:hAnsi="Arial Narrow"/>
                <w:b/>
                <w:sz w:val="20"/>
              </w:rPr>
              <w:t>Prescriber type:</w:t>
            </w:r>
          </w:p>
        </w:tc>
        <w:tc>
          <w:tcPr>
            <w:tcW w:w="3923" w:type="pct"/>
            <w:tcBorders>
              <w:top w:val="single" w:sz="4" w:space="0" w:color="auto"/>
              <w:left w:val="single" w:sz="4" w:space="0" w:color="auto"/>
              <w:bottom w:val="single" w:sz="4" w:space="0" w:color="auto"/>
              <w:right w:val="single" w:sz="4" w:space="0" w:color="auto"/>
            </w:tcBorders>
            <w:hideMark/>
          </w:tcPr>
          <w:p w14:paraId="649B1D72" w14:textId="2EA8CBBB" w:rsidR="00F92E7E" w:rsidRPr="00F92E7E" w:rsidRDefault="00F92E7E" w:rsidP="0F1D33A4">
            <w:pPr>
              <w:keepNext/>
              <w:snapToGrid w:val="0"/>
              <w:rPr>
                <w:rFonts w:ascii="Arial Narrow" w:hAnsi="Arial Narrow"/>
                <w:sz w:val="20"/>
                <w:szCs w:val="20"/>
              </w:rPr>
            </w:pPr>
            <w:r w:rsidRPr="0910F2D2">
              <w:rPr>
                <w:rFonts w:ascii="Arial Narrow" w:hAnsi="Arial Narrow"/>
                <w:sz w:val="20"/>
                <w:szCs w:val="20"/>
              </w:rPr>
              <w:fldChar w:fldCharType="begin" w:fldLock="1">
                <w:ffData>
                  <w:name w:val="Check1"/>
                  <w:enabled/>
                  <w:calcOnExit w:val="0"/>
                  <w:checkBox>
                    <w:sizeAuto/>
                    <w:default w:val="0"/>
                  </w:checkBox>
                </w:ffData>
              </w:fldChar>
            </w:r>
            <w:r w:rsidRPr="0910F2D2">
              <w:rPr>
                <w:rFonts w:ascii="Arial Narrow" w:hAnsi="Arial Narrow"/>
                <w:sz w:val="20"/>
                <w:szCs w:val="20"/>
              </w:rPr>
              <w:instrText xml:space="preserve"> FORMCHECKBOX </w:instrText>
            </w:r>
            <w:r w:rsidRPr="0910F2D2">
              <w:rPr>
                <w:rFonts w:ascii="Arial Narrow" w:hAnsi="Arial Narrow"/>
                <w:sz w:val="20"/>
                <w:szCs w:val="20"/>
              </w:rPr>
            </w:r>
            <w:r w:rsidRPr="0910F2D2">
              <w:rPr>
                <w:rFonts w:ascii="Arial Narrow" w:hAnsi="Arial Narrow"/>
                <w:sz w:val="20"/>
                <w:szCs w:val="20"/>
              </w:rPr>
              <w:fldChar w:fldCharType="separate"/>
            </w:r>
            <w:r w:rsidRPr="0910F2D2">
              <w:rPr>
                <w:rFonts w:ascii="Arial Narrow" w:hAnsi="Arial Narrow"/>
                <w:sz w:val="20"/>
                <w:szCs w:val="20"/>
              </w:rPr>
              <w:fldChar w:fldCharType="end"/>
            </w:r>
            <w:r w:rsidRPr="0F1D33A4">
              <w:rPr>
                <w:rFonts w:ascii="Arial Narrow" w:hAnsi="Arial Narrow"/>
                <w:sz w:val="20"/>
                <w:szCs w:val="20"/>
              </w:rPr>
              <w:t xml:space="preserve">Dental </w:t>
            </w:r>
            <w:r w:rsidRPr="0910F2D2">
              <w:rPr>
                <w:rFonts w:ascii="Arial Narrow" w:hAnsi="Arial Narrow"/>
                <w:sz w:val="20"/>
                <w:szCs w:val="20"/>
              </w:rPr>
              <w:fldChar w:fldCharType="begin" w:fldLock="1">
                <w:ffData>
                  <w:name w:val=""/>
                  <w:enabled/>
                  <w:calcOnExit w:val="0"/>
                  <w:checkBox>
                    <w:sizeAuto/>
                    <w:default w:val="1"/>
                  </w:checkBox>
                </w:ffData>
              </w:fldChar>
            </w:r>
            <w:r w:rsidRPr="0910F2D2">
              <w:rPr>
                <w:rFonts w:ascii="Arial Narrow" w:hAnsi="Arial Narrow"/>
                <w:sz w:val="20"/>
                <w:szCs w:val="20"/>
              </w:rPr>
              <w:instrText xml:space="preserve"> FORMCHECKBOX </w:instrText>
            </w:r>
            <w:r w:rsidRPr="0910F2D2">
              <w:rPr>
                <w:rFonts w:ascii="Arial Narrow" w:hAnsi="Arial Narrow"/>
                <w:sz w:val="20"/>
                <w:szCs w:val="20"/>
              </w:rPr>
            </w:r>
            <w:r w:rsidRPr="0910F2D2">
              <w:rPr>
                <w:rFonts w:ascii="Arial Narrow" w:hAnsi="Arial Narrow"/>
                <w:sz w:val="20"/>
                <w:szCs w:val="20"/>
              </w:rPr>
              <w:fldChar w:fldCharType="separate"/>
            </w:r>
            <w:r w:rsidRPr="0910F2D2">
              <w:rPr>
                <w:rFonts w:ascii="Arial Narrow" w:hAnsi="Arial Narrow"/>
                <w:sz w:val="20"/>
                <w:szCs w:val="20"/>
              </w:rPr>
              <w:fldChar w:fldCharType="end"/>
            </w:r>
            <w:r w:rsidRPr="0F1D33A4">
              <w:rPr>
                <w:rFonts w:ascii="Arial Narrow" w:hAnsi="Arial Narrow"/>
                <w:sz w:val="20"/>
                <w:szCs w:val="20"/>
              </w:rPr>
              <w:t xml:space="preserve">Medical Practitioners </w:t>
            </w:r>
            <w:r w:rsidRPr="0910F2D2">
              <w:rPr>
                <w:rFonts w:ascii="Arial Narrow" w:hAnsi="Arial Narrow"/>
                <w:sz w:val="20"/>
                <w:szCs w:val="20"/>
              </w:rPr>
              <w:fldChar w:fldCharType="begin" w:fldLock="1">
                <w:ffData>
                  <w:name w:val="Check3"/>
                  <w:enabled/>
                  <w:calcOnExit w:val="0"/>
                  <w:checkBox>
                    <w:sizeAuto/>
                    <w:default w:val="0"/>
                  </w:checkBox>
                </w:ffData>
              </w:fldChar>
            </w:r>
            <w:r w:rsidRPr="0910F2D2">
              <w:rPr>
                <w:rFonts w:ascii="Arial Narrow" w:hAnsi="Arial Narrow"/>
                <w:sz w:val="20"/>
                <w:szCs w:val="20"/>
              </w:rPr>
              <w:instrText xml:space="preserve"> FORMCHECKBOX </w:instrText>
            </w:r>
            <w:r w:rsidRPr="0910F2D2">
              <w:rPr>
                <w:rFonts w:ascii="Arial Narrow" w:hAnsi="Arial Narrow"/>
                <w:sz w:val="20"/>
                <w:szCs w:val="20"/>
              </w:rPr>
            </w:r>
            <w:r w:rsidRPr="0910F2D2">
              <w:rPr>
                <w:rFonts w:ascii="Arial Narrow" w:hAnsi="Arial Narrow"/>
                <w:sz w:val="20"/>
                <w:szCs w:val="20"/>
              </w:rPr>
              <w:fldChar w:fldCharType="separate"/>
            </w:r>
            <w:r w:rsidRPr="0910F2D2">
              <w:rPr>
                <w:rFonts w:ascii="Arial Narrow" w:hAnsi="Arial Narrow"/>
                <w:sz w:val="20"/>
                <w:szCs w:val="20"/>
              </w:rPr>
              <w:fldChar w:fldCharType="end"/>
            </w:r>
            <w:r w:rsidRPr="0F1D33A4">
              <w:rPr>
                <w:rFonts w:ascii="Arial Narrow" w:hAnsi="Arial Narrow"/>
                <w:sz w:val="20"/>
                <w:szCs w:val="20"/>
              </w:rPr>
              <w:t xml:space="preserve">Nurse practitioners </w:t>
            </w:r>
            <w:r w:rsidRPr="0910F2D2">
              <w:rPr>
                <w:rFonts w:ascii="Arial Narrow" w:hAnsi="Arial Narrow"/>
                <w:sz w:val="20"/>
                <w:szCs w:val="20"/>
              </w:rPr>
              <w:fldChar w:fldCharType="begin" w:fldLock="1">
                <w:ffData>
                  <w:name w:val=""/>
                  <w:enabled/>
                  <w:calcOnExit w:val="0"/>
                  <w:checkBox>
                    <w:sizeAuto/>
                    <w:default w:val="0"/>
                  </w:checkBox>
                </w:ffData>
              </w:fldChar>
            </w:r>
            <w:r w:rsidRPr="0910F2D2">
              <w:rPr>
                <w:rFonts w:ascii="Arial Narrow" w:hAnsi="Arial Narrow"/>
                <w:sz w:val="20"/>
                <w:szCs w:val="20"/>
              </w:rPr>
              <w:instrText xml:space="preserve"> FORMCHECKBOX </w:instrText>
            </w:r>
            <w:r w:rsidRPr="0910F2D2">
              <w:rPr>
                <w:rFonts w:ascii="Arial Narrow" w:hAnsi="Arial Narrow"/>
                <w:sz w:val="20"/>
                <w:szCs w:val="20"/>
              </w:rPr>
            </w:r>
            <w:r w:rsidRPr="0910F2D2">
              <w:rPr>
                <w:rFonts w:ascii="Arial Narrow" w:hAnsi="Arial Narrow"/>
                <w:sz w:val="20"/>
                <w:szCs w:val="20"/>
              </w:rPr>
              <w:fldChar w:fldCharType="separate"/>
            </w:r>
            <w:r w:rsidRPr="0910F2D2">
              <w:rPr>
                <w:rFonts w:ascii="Arial Narrow" w:hAnsi="Arial Narrow"/>
                <w:sz w:val="20"/>
                <w:szCs w:val="20"/>
              </w:rPr>
              <w:fldChar w:fldCharType="end"/>
            </w:r>
            <w:r w:rsidRPr="0F1D33A4">
              <w:rPr>
                <w:rFonts w:ascii="Arial Narrow" w:hAnsi="Arial Narrow"/>
                <w:sz w:val="20"/>
                <w:szCs w:val="20"/>
              </w:rPr>
              <w:t>Optometrists</w:t>
            </w:r>
            <w:r w:rsidR="00F87B86">
              <w:rPr>
                <w:rFonts w:ascii="Arial Narrow" w:hAnsi="Arial Narrow"/>
                <w:sz w:val="20"/>
                <w:szCs w:val="20"/>
              </w:rPr>
              <w:t xml:space="preserve"> </w:t>
            </w:r>
            <w:r w:rsidRPr="0910F2D2">
              <w:rPr>
                <w:rFonts w:ascii="Arial Narrow" w:hAnsi="Arial Narrow"/>
                <w:sz w:val="20"/>
                <w:szCs w:val="20"/>
              </w:rPr>
              <w:fldChar w:fldCharType="begin" w:fldLock="1">
                <w:ffData>
                  <w:name w:val="Check5"/>
                  <w:enabled/>
                  <w:calcOnExit w:val="0"/>
                  <w:checkBox>
                    <w:sizeAuto/>
                    <w:default w:val="0"/>
                  </w:checkBox>
                </w:ffData>
              </w:fldChar>
            </w:r>
            <w:r w:rsidRPr="0910F2D2">
              <w:rPr>
                <w:rFonts w:ascii="Arial Narrow" w:hAnsi="Arial Narrow"/>
                <w:sz w:val="20"/>
                <w:szCs w:val="20"/>
              </w:rPr>
              <w:instrText xml:space="preserve"> FORMCHECKBOX </w:instrText>
            </w:r>
            <w:r w:rsidRPr="0910F2D2">
              <w:rPr>
                <w:rFonts w:ascii="Arial Narrow" w:hAnsi="Arial Narrow"/>
                <w:sz w:val="20"/>
                <w:szCs w:val="20"/>
              </w:rPr>
            </w:r>
            <w:r w:rsidRPr="0910F2D2">
              <w:rPr>
                <w:rFonts w:ascii="Arial Narrow" w:hAnsi="Arial Narrow"/>
                <w:sz w:val="20"/>
                <w:szCs w:val="20"/>
              </w:rPr>
              <w:fldChar w:fldCharType="separate"/>
            </w:r>
            <w:r w:rsidRPr="0910F2D2">
              <w:rPr>
                <w:rFonts w:ascii="Arial Narrow" w:hAnsi="Arial Narrow"/>
                <w:sz w:val="20"/>
                <w:szCs w:val="20"/>
              </w:rPr>
              <w:fldChar w:fldCharType="end"/>
            </w:r>
            <w:r w:rsidRPr="0F1D33A4">
              <w:rPr>
                <w:rFonts w:ascii="Arial Narrow" w:hAnsi="Arial Narrow"/>
                <w:sz w:val="20"/>
                <w:szCs w:val="20"/>
              </w:rPr>
              <w:t>Midwives</w:t>
            </w:r>
          </w:p>
        </w:tc>
      </w:tr>
      <w:tr w:rsidR="00F92E7E" w:rsidRPr="00F92E7E" w14:paraId="4C737D63" w14:textId="77777777" w:rsidTr="0F1D33A4">
        <w:tc>
          <w:tcPr>
            <w:tcW w:w="1077" w:type="pct"/>
            <w:tcBorders>
              <w:top w:val="single" w:sz="4" w:space="0" w:color="auto"/>
              <w:left w:val="single" w:sz="4" w:space="0" w:color="auto"/>
              <w:bottom w:val="single" w:sz="4" w:space="0" w:color="auto"/>
              <w:right w:val="single" w:sz="4" w:space="0" w:color="auto"/>
            </w:tcBorders>
            <w:hideMark/>
          </w:tcPr>
          <w:p w14:paraId="10FB69BB" w14:textId="77777777" w:rsidR="00F92E7E" w:rsidRPr="00F92E7E" w:rsidRDefault="00F92E7E" w:rsidP="0910F2D2">
            <w:pPr>
              <w:keepNext/>
              <w:snapToGrid w:val="0"/>
              <w:rPr>
                <w:rFonts w:ascii="Arial Narrow" w:hAnsi="Arial Narrow"/>
                <w:b/>
                <w:bCs/>
                <w:sz w:val="20"/>
                <w:szCs w:val="20"/>
              </w:rPr>
            </w:pPr>
            <w:r w:rsidRPr="0910F2D2">
              <w:rPr>
                <w:rFonts w:ascii="Arial Narrow" w:hAnsi="Arial Narrow"/>
                <w:b/>
                <w:bCs/>
                <w:sz w:val="20"/>
                <w:szCs w:val="20"/>
              </w:rPr>
              <w:t>Episodicity:</w:t>
            </w:r>
          </w:p>
        </w:tc>
        <w:tc>
          <w:tcPr>
            <w:tcW w:w="3923" w:type="pct"/>
            <w:tcBorders>
              <w:top w:val="single" w:sz="4" w:space="0" w:color="auto"/>
              <w:left w:val="single" w:sz="4" w:space="0" w:color="auto"/>
              <w:bottom w:val="single" w:sz="4" w:space="0" w:color="auto"/>
              <w:right w:val="single" w:sz="4" w:space="0" w:color="auto"/>
            </w:tcBorders>
            <w:hideMark/>
          </w:tcPr>
          <w:p w14:paraId="1813D8DE" w14:textId="77777777" w:rsidR="00F92E7E" w:rsidRPr="00F92E7E" w:rsidRDefault="00F92E7E" w:rsidP="00F92E7E">
            <w:pPr>
              <w:keepNext/>
              <w:snapToGrid w:val="0"/>
              <w:rPr>
                <w:rFonts w:ascii="Arial Narrow" w:hAnsi="Arial Narrow"/>
                <w:sz w:val="20"/>
              </w:rPr>
            </w:pPr>
            <w:r w:rsidRPr="00F92E7E">
              <w:rPr>
                <w:rFonts w:ascii="Arial Narrow" w:hAnsi="Arial Narrow"/>
                <w:sz w:val="20"/>
              </w:rPr>
              <w:t>Chronic</w:t>
            </w:r>
          </w:p>
        </w:tc>
      </w:tr>
      <w:tr w:rsidR="00F92E7E" w:rsidRPr="00F92E7E" w14:paraId="362AE01E" w14:textId="77777777" w:rsidTr="0F1D33A4">
        <w:tc>
          <w:tcPr>
            <w:tcW w:w="1077" w:type="pct"/>
            <w:tcBorders>
              <w:top w:val="single" w:sz="4" w:space="0" w:color="auto"/>
              <w:left w:val="single" w:sz="4" w:space="0" w:color="auto"/>
              <w:bottom w:val="single" w:sz="4" w:space="0" w:color="auto"/>
              <w:right w:val="single" w:sz="4" w:space="0" w:color="auto"/>
            </w:tcBorders>
            <w:hideMark/>
          </w:tcPr>
          <w:p w14:paraId="059E1669" w14:textId="77777777" w:rsidR="00F92E7E" w:rsidRPr="00F92E7E" w:rsidRDefault="00F92E7E" w:rsidP="00F92E7E">
            <w:pPr>
              <w:keepNext/>
              <w:snapToGrid w:val="0"/>
              <w:rPr>
                <w:rFonts w:ascii="Arial Narrow" w:hAnsi="Arial Narrow"/>
                <w:b/>
                <w:sz w:val="20"/>
              </w:rPr>
            </w:pPr>
            <w:r w:rsidRPr="00F92E7E">
              <w:rPr>
                <w:rFonts w:ascii="Arial Narrow" w:hAnsi="Arial Narrow"/>
                <w:b/>
                <w:sz w:val="20"/>
              </w:rPr>
              <w:t>Condition:</w:t>
            </w:r>
          </w:p>
        </w:tc>
        <w:tc>
          <w:tcPr>
            <w:tcW w:w="3923" w:type="pct"/>
            <w:tcBorders>
              <w:top w:val="single" w:sz="4" w:space="0" w:color="auto"/>
              <w:left w:val="single" w:sz="4" w:space="0" w:color="auto"/>
              <w:bottom w:val="single" w:sz="4" w:space="0" w:color="auto"/>
              <w:right w:val="single" w:sz="4" w:space="0" w:color="auto"/>
            </w:tcBorders>
            <w:hideMark/>
          </w:tcPr>
          <w:p w14:paraId="1CCE6CA6" w14:textId="77777777" w:rsidR="00F92E7E" w:rsidRPr="00F92E7E" w:rsidRDefault="00F92E7E" w:rsidP="0910F2D2">
            <w:pPr>
              <w:keepNext/>
              <w:snapToGrid w:val="0"/>
              <w:rPr>
                <w:rFonts w:ascii="Arial Narrow" w:hAnsi="Arial Narrow"/>
                <w:sz w:val="20"/>
                <w:szCs w:val="20"/>
              </w:rPr>
            </w:pPr>
            <w:r w:rsidRPr="0910F2D2">
              <w:rPr>
                <w:rFonts w:ascii="Arial Narrow" w:hAnsi="Arial Narrow"/>
                <w:sz w:val="20"/>
                <w:szCs w:val="20"/>
              </w:rPr>
              <w:t>Polycythemia vera</w:t>
            </w:r>
          </w:p>
        </w:tc>
      </w:tr>
      <w:tr w:rsidR="00F92E7E" w:rsidRPr="00F92E7E" w14:paraId="482BD6B6" w14:textId="77777777" w:rsidTr="0F1D33A4">
        <w:tc>
          <w:tcPr>
            <w:tcW w:w="1077" w:type="pct"/>
            <w:tcBorders>
              <w:top w:val="single" w:sz="4" w:space="0" w:color="auto"/>
              <w:left w:val="single" w:sz="4" w:space="0" w:color="auto"/>
              <w:bottom w:val="single" w:sz="4" w:space="0" w:color="auto"/>
              <w:right w:val="single" w:sz="4" w:space="0" w:color="auto"/>
            </w:tcBorders>
            <w:hideMark/>
          </w:tcPr>
          <w:p w14:paraId="25E4A123" w14:textId="77777777" w:rsidR="00F92E7E" w:rsidRPr="00F92E7E" w:rsidRDefault="00F92E7E" w:rsidP="00F92E7E">
            <w:pPr>
              <w:keepNext/>
              <w:snapToGrid w:val="0"/>
              <w:rPr>
                <w:rFonts w:ascii="Arial Narrow" w:hAnsi="Arial Narrow"/>
                <w:b/>
                <w:sz w:val="20"/>
              </w:rPr>
            </w:pPr>
            <w:r w:rsidRPr="00F92E7E">
              <w:rPr>
                <w:rFonts w:ascii="Arial Narrow" w:hAnsi="Arial Narrow"/>
                <w:b/>
                <w:sz w:val="20"/>
              </w:rPr>
              <w:t>PBS Indication:</w:t>
            </w:r>
          </w:p>
        </w:tc>
        <w:tc>
          <w:tcPr>
            <w:tcW w:w="3923" w:type="pct"/>
            <w:tcBorders>
              <w:top w:val="single" w:sz="4" w:space="0" w:color="auto"/>
              <w:left w:val="single" w:sz="4" w:space="0" w:color="auto"/>
              <w:bottom w:val="single" w:sz="4" w:space="0" w:color="auto"/>
              <w:right w:val="single" w:sz="4" w:space="0" w:color="auto"/>
            </w:tcBorders>
            <w:hideMark/>
          </w:tcPr>
          <w:p w14:paraId="4F068512" w14:textId="77777777" w:rsidR="00F92E7E" w:rsidRPr="00F92E7E" w:rsidRDefault="00F92E7E" w:rsidP="0910F2D2">
            <w:pPr>
              <w:keepNext/>
              <w:snapToGrid w:val="0"/>
              <w:rPr>
                <w:rFonts w:ascii="Arial Narrow" w:hAnsi="Arial Narrow"/>
                <w:sz w:val="20"/>
                <w:szCs w:val="20"/>
              </w:rPr>
            </w:pPr>
            <w:r w:rsidRPr="0910F2D2">
              <w:rPr>
                <w:rFonts w:ascii="Arial Narrow" w:hAnsi="Arial Narrow"/>
                <w:sz w:val="20"/>
                <w:szCs w:val="20"/>
              </w:rPr>
              <w:t>Chronic polycythemia vera</w:t>
            </w:r>
          </w:p>
        </w:tc>
      </w:tr>
      <w:tr w:rsidR="00F92E7E" w:rsidRPr="00F92E7E" w14:paraId="61677472" w14:textId="77777777" w:rsidTr="0F1D33A4">
        <w:tc>
          <w:tcPr>
            <w:tcW w:w="1077" w:type="pct"/>
            <w:tcBorders>
              <w:top w:val="single" w:sz="4" w:space="0" w:color="auto"/>
              <w:left w:val="single" w:sz="4" w:space="0" w:color="auto"/>
              <w:bottom w:val="single" w:sz="4" w:space="0" w:color="auto"/>
              <w:right w:val="single" w:sz="4" w:space="0" w:color="auto"/>
            </w:tcBorders>
            <w:hideMark/>
          </w:tcPr>
          <w:p w14:paraId="54D8CF6B" w14:textId="77777777" w:rsidR="00F92E7E" w:rsidRPr="00F92E7E" w:rsidRDefault="00F92E7E" w:rsidP="00F92E7E">
            <w:pPr>
              <w:keepNext/>
              <w:snapToGrid w:val="0"/>
              <w:rPr>
                <w:rFonts w:ascii="Arial Narrow" w:hAnsi="Arial Narrow"/>
                <w:b/>
                <w:sz w:val="20"/>
              </w:rPr>
            </w:pPr>
            <w:r w:rsidRPr="00F92E7E">
              <w:rPr>
                <w:rFonts w:ascii="Arial Narrow" w:hAnsi="Arial Narrow"/>
                <w:b/>
                <w:sz w:val="20"/>
              </w:rPr>
              <w:t xml:space="preserve">Treatment phase: </w:t>
            </w:r>
          </w:p>
        </w:tc>
        <w:tc>
          <w:tcPr>
            <w:tcW w:w="3923" w:type="pct"/>
            <w:tcBorders>
              <w:top w:val="single" w:sz="4" w:space="0" w:color="auto"/>
              <w:left w:val="single" w:sz="4" w:space="0" w:color="auto"/>
              <w:bottom w:val="single" w:sz="4" w:space="0" w:color="auto"/>
              <w:right w:val="single" w:sz="4" w:space="0" w:color="auto"/>
            </w:tcBorders>
            <w:hideMark/>
          </w:tcPr>
          <w:p w14:paraId="1C9A2AC4" w14:textId="77777777" w:rsidR="00F92E7E" w:rsidRPr="00F92E7E" w:rsidRDefault="00F92E7E" w:rsidP="00F92E7E">
            <w:pPr>
              <w:keepNext/>
              <w:snapToGrid w:val="0"/>
              <w:rPr>
                <w:rFonts w:ascii="Arial Narrow" w:hAnsi="Arial Narrow"/>
                <w:sz w:val="20"/>
              </w:rPr>
            </w:pPr>
            <w:r w:rsidRPr="00F92E7E">
              <w:rPr>
                <w:rFonts w:ascii="Arial Narrow" w:hAnsi="Arial Narrow"/>
                <w:sz w:val="20"/>
              </w:rPr>
              <w:t>Continuing treatment</w:t>
            </w:r>
          </w:p>
        </w:tc>
      </w:tr>
      <w:tr w:rsidR="00F92E7E" w:rsidRPr="00F92E7E" w14:paraId="0903498D" w14:textId="77777777" w:rsidTr="0F1D33A4">
        <w:tc>
          <w:tcPr>
            <w:tcW w:w="1077" w:type="pct"/>
            <w:tcBorders>
              <w:top w:val="single" w:sz="4" w:space="0" w:color="auto"/>
              <w:left w:val="single" w:sz="4" w:space="0" w:color="auto"/>
              <w:bottom w:val="single" w:sz="4" w:space="0" w:color="auto"/>
              <w:right w:val="single" w:sz="4" w:space="0" w:color="auto"/>
            </w:tcBorders>
          </w:tcPr>
          <w:p w14:paraId="58EB320C" w14:textId="77777777" w:rsidR="00F92E7E" w:rsidRPr="00F92E7E" w:rsidRDefault="00F92E7E" w:rsidP="00F92E7E">
            <w:pPr>
              <w:keepNext/>
              <w:snapToGrid w:val="0"/>
              <w:rPr>
                <w:rFonts w:ascii="Arial Narrow" w:hAnsi="Arial Narrow"/>
                <w:b/>
                <w:sz w:val="20"/>
              </w:rPr>
            </w:pPr>
            <w:r w:rsidRPr="00F92E7E">
              <w:rPr>
                <w:rFonts w:ascii="Arial Narrow" w:hAnsi="Arial Narrow"/>
                <w:b/>
                <w:sz w:val="20"/>
              </w:rPr>
              <w:t>Restriction Level / Method:</w:t>
            </w:r>
          </w:p>
          <w:p w14:paraId="51EBE122" w14:textId="77777777" w:rsidR="00F92E7E" w:rsidRPr="00F92E7E" w:rsidRDefault="00F92E7E" w:rsidP="00F92E7E">
            <w:pPr>
              <w:keepNext/>
              <w:snapToGrid w:val="0"/>
              <w:rPr>
                <w:rFonts w:ascii="Arial Narrow" w:hAnsi="Arial Narrow"/>
                <w:i/>
                <w:sz w:val="20"/>
              </w:rPr>
            </w:pPr>
          </w:p>
          <w:p w14:paraId="6128A8F8" w14:textId="77777777" w:rsidR="00F92E7E" w:rsidRPr="00F92E7E" w:rsidRDefault="00F92E7E" w:rsidP="00F92E7E">
            <w:pPr>
              <w:keepNext/>
              <w:snapToGrid w:val="0"/>
              <w:rPr>
                <w:rFonts w:ascii="Arial Narrow" w:hAnsi="Arial Narrow"/>
                <w:i/>
                <w:sz w:val="20"/>
              </w:rPr>
            </w:pPr>
          </w:p>
        </w:tc>
        <w:tc>
          <w:tcPr>
            <w:tcW w:w="3923" w:type="pct"/>
            <w:tcBorders>
              <w:top w:val="single" w:sz="4" w:space="0" w:color="auto"/>
              <w:left w:val="single" w:sz="4" w:space="0" w:color="auto"/>
              <w:bottom w:val="single" w:sz="4" w:space="0" w:color="auto"/>
              <w:right w:val="single" w:sz="4" w:space="0" w:color="auto"/>
            </w:tcBorders>
            <w:hideMark/>
          </w:tcPr>
          <w:p w14:paraId="6FE72734" w14:textId="77777777" w:rsidR="00F92E7E" w:rsidRPr="00F92E7E" w:rsidRDefault="00F92E7E" w:rsidP="00F92E7E">
            <w:pPr>
              <w:keepNext/>
              <w:snapToGrid w:val="0"/>
              <w:rPr>
                <w:rFonts w:ascii="Arial Narrow" w:hAnsi="Arial Narrow"/>
                <w:sz w:val="20"/>
              </w:rPr>
            </w:pPr>
            <w:r w:rsidRPr="00F92E7E">
              <w:rPr>
                <w:rFonts w:ascii="Arial Narrow" w:hAnsi="Arial Narrow"/>
                <w:sz w:val="20"/>
              </w:rPr>
              <w:fldChar w:fldCharType="begin" w:fldLock="1">
                <w:ffData>
                  <w:name w:val="Check1"/>
                  <w:enabled/>
                  <w:calcOnExit w:val="0"/>
                  <w:checkBox>
                    <w:sizeAuto/>
                    <w:default w:val="0"/>
                  </w:checkBox>
                </w:ffData>
              </w:fldChar>
            </w:r>
            <w:r w:rsidRPr="00F92E7E">
              <w:rPr>
                <w:rFonts w:ascii="Arial Narrow" w:hAnsi="Arial Narrow"/>
                <w:sz w:val="20"/>
              </w:rPr>
              <w:instrText xml:space="preserve"> FORMCHECKBOX </w:instrText>
            </w:r>
            <w:r w:rsidRPr="00F92E7E">
              <w:rPr>
                <w:rFonts w:ascii="Arial Narrow" w:hAnsi="Arial Narrow"/>
                <w:sz w:val="20"/>
              </w:rPr>
            </w:r>
            <w:r w:rsidRPr="00F92E7E">
              <w:rPr>
                <w:rFonts w:ascii="Arial Narrow" w:hAnsi="Arial Narrow"/>
                <w:sz w:val="20"/>
              </w:rPr>
              <w:fldChar w:fldCharType="separate"/>
            </w:r>
            <w:r w:rsidRPr="00F92E7E">
              <w:rPr>
                <w:rFonts w:ascii="Arial Narrow" w:hAnsi="Arial Narrow"/>
                <w:sz w:val="20"/>
              </w:rPr>
              <w:fldChar w:fldCharType="end"/>
            </w:r>
            <w:r w:rsidRPr="00F92E7E">
              <w:rPr>
                <w:rFonts w:ascii="Arial Narrow" w:hAnsi="Arial Narrow"/>
                <w:sz w:val="20"/>
              </w:rPr>
              <w:t>Restricted benefit</w:t>
            </w:r>
          </w:p>
          <w:p w14:paraId="11D7F26D" w14:textId="77777777" w:rsidR="00F92E7E" w:rsidRPr="00F92E7E" w:rsidRDefault="00F92E7E" w:rsidP="00F92E7E">
            <w:pPr>
              <w:keepNext/>
              <w:snapToGrid w:val="0"/>
              <w:rPr>
                <w:rFonts w:ascii="Arial Narrow" w:hAnsi="Arial Narrow"/>
                <w:sz w:val="20"/>
              </w:rPr>
            </w:pPr>
            <w:r w:rsidRPr="00F92E7E">
              <w:rPr>
                <w:rFonts w:ascii="Arial Narrow" w:hAnsi="Arial Narrow"/>
                <w:sz w:val="20"/>
              </w:rPr>
              <w:fldChar w:fldCharType="begin" w:fldLock="1">
                <w:ffData>
                  <w:name w:val=""/>
                  <w:enabled/>
                  <w:calcOnExit w:val="0"/>
                  <w:checkBox>
                    <w:sizeAuto/>
                    <w:default w:val="0"/>
                  </w:checkBox>
                </w:ffData>
              </w:fldChar>
            </w:r>
            <w:r w:rsidRPr="00F92E7E">
              <w:rPr>
                <w:rFonts w:ascii="Arial Narrow" w:hAnsi="Arial Narrow"/>
                <w:sz w:val="20"/>
              </w:rPr>
              <w:instrText xml:space="preserve"> FORMCHECKBOX </w:instrText>
            </w:r>
            <w:r w:rsidRPr="00F92E7E">
              <w:rPr>
                <w:rFonts w:ascii="Arial Narrow" w:hAnsi="Arial Narrow"/>
                <w:sz w:val="20"/>
              </w:rPr>
            </w:r>
            <w:r w:rsidRPr="00F92E7E">
              <w:rPr>
                <w:rFonts w:ascii="Arial Narrow" w:hAnsi="Arial Narrow"/>
                <w:sz w:val="20"/>
              </w:rPr>
              <w:fldChar w:fldCharType="separate"/>
            </w:r>
            <w:r w:rsidRPr="00F92E7E">
              <w:rPr>
                <w:rFonts w:ascii="Arial Narrow" w:hAnsi="Arial Narrow"/>
                <w:sz w:val="20"/>
              </w:rPr>
              <w:fldChar w:fldCharType="end"/>
            </w:r>
            <w:r w:rsidRPr="00F92E7E">
              <w:rPr>
                <w:rFonts w:ascii="Arial Narrow" w:hAnsi="Arial Narrow"/>
                <w:sz w:val="20"/>
              </w:rPr>
              <w:t>Authority Required - In Writing</w:t>
            </w:r>
          </w:p>
          <w:p w14:paraId="247BEEE1" w14:textId="77777777" w:rsidR="00F92E7E" w:rsidRPr="00F92E7E" w:rsidRDefault="00F92E7E" w:rsidP="00F92E7E">
            <w:pPr>
              <w:keepNext/>
              <w:snapToGrid w:val="0"/>
              <w:rPr>
                <w:rFonts w:ascii="Arial Narrow" w:hAnsi="Arial Narrow"/>
                <w:sz w:val="20"/>
              </w:rPr>
            </w:pPr>
            <w:r w:rsidRPr="00F92E7E">
              <w:rPr>
                <w:rFonts w:ascii="Arial Narrow" w:hAnsi="Arial Narrow"/>
                <w:sz w:val="20"/>
              </w:rPr>
              <w:fldChar w:fldCharType="begin" w:fldLock="1">
                <w:ffData>
                  <w:name w:val="Check3"/>
                  <w:enabled/>
                  <w:calcOnExit w:val="0"/>
                  <w:checkBox>
                    <w:sizeAuto/>
                    <w:default w:val="0"/>
                  </w:checkBox>
                </w:ffData>
              </w:fldChar>
            </w:r>
            <w:r w:rsidRPr="00F92E7E">
              <w:rPr>
                <w:rFonts w:ascii="Arial Narrow" w:hAnsi="Arial Narrow"/>
                <w:sz w:val="20"/>
              </w:rPr>
              <w:instrText xml:space="preserve"> FORMCHECKBOX </w:instrText>
            </w:r>
            <w:r w:rsidRPr="00F92E7E">
              <w:rPr>
                <w:rFonts w:ascii="Arial Narrow" w:hAnsi="Arial Narrow"/>
                <w:sz w:val="20"/>
              </w:rPr>
            </w:r>
            <w:r w:rsidRPr="00F92E7E">
              <w:rPr>
                <w:rFonts w:ascii="Arial Narrow" w:hAnsi="Arial Narrow"/>
                <w:sz w:val="20"/>
              </w:rPr>
              <w:fldChar w:fldCharType="separate"/>
            </w:r>
            <w:r w:rsidRPr="00F92E7E">
              <w:rPr>
                <w:rFonts w:ascii="Arial Narrow" w:hAnsi="Arial Narrow"/>
                <w:sz w:val="20"/>
              </w:rPr>
              <w:fldChar w:fldCharType="end"/>
            </w:r>
            <w:r w:rsidRPr="00F92E7E">
              <w:rPr>
                <w:rFonts w:ascii="Arial Narrow" w:hAnsi="Arial Narrow"/>
                <w:sz w:val="20"/>
              </w:rPr>
              <w:t>Authority Required - Telephone</w:t>
            </w:r>
          </w:p>
          <w:p w14:paraId="4187F8D1" w14:textId="77777777" w:rsidR="00F92E7E" w:rsidRPr="00F92E7E" w:rsidRDefault="00F92E7E" w:rsidP="00F92E7E">
            <w:pPr>
              <w:keepNext/>
              <w:snapToGrid w:val="0"/>
              <w:rPr>
                <w:rFonts w:ascii="Arial Narrow" w:hAnsi="Arial Narrow"/>
                <w:sz w:val="20"/>
              </w:rPr>
            </w:pPr>
            <w:r w:rsidRPr="00F92E7E">
              <w:rPr>
                <w:rFonts w:ascii="Arial Narrow" w:hAnsi="Arial Narrow"/>
                <w:sz w:val="20"/>
              </w:rPr>
              <w:fldChar w:fldCharType="begin" w:fldLock="1">
                <w:ffData>
                  <w:name w:val=""/>
                  <w:enabled/>
                  <w:calcOnExit w:val="0"/>
                  <w:checkBox>
                    <w:sizeAuto/>
                    <w:default w:val="0"/>
                  </w:checkBox>
                </w:ffData>
              </w:fldChar>
            </w:r>
            <w:r w:rsidRPr="00F92E7E">
              <w:rPr>
                <w:rFonts w:ascii="Arial Narrow" w:hAnsi="Arial Narrow"/>
                <w:sz w:val="20"/>
              </w:rPr>
              <w:instrText xml:space="preserve"> FORMCHECKBOX </w:instrText>
            </w:r>
            <w:r w:rsidRPr="00F92E7E">
              <w:rPr>
                <w:rFonts w:ascii="Arial Narrow" w:hAnsi="Arial Narrow"/>
                <w:sz w:val="20"/>
              </w:rPr>
            </w:r>
            <w:r w:rsidRPr="00F92E7E">
              <w:rPr>
                <w:rFonts w:ascii="Arial Narrow" w:hAnsi="Arial Narrow"/>
                <w:sz w:val="20"/>
              </w:rPr>
              <w:fldChar w:fldCharType="separate"/>
            </w:r>
            <w:r w:rsidRPr="00F92E7E">
              <w:rPr>
                <w:rFonts w:ascii="Arial Narrow" w:hAnsi="Arial Narrow"/>
                <w:sz w:val="20"/>
              </w:rPr>
              <w:fldChar w:fldCharType="end"/>
            </w:r>
            <w:r w:rsidRPr="00F92E7E">
              <w:rPr>
                <w:rFonts w:ascii="Arial Narrow" w:hAnsi="Arial Narrow"/>
                <w:sz w:val="20"/>
              </w:rPr>
              <w:t>Authority Required - Emergency</w:t>
            </w:r>
          </w:p>
          <w:p w14:paraId="186143EB" w14:textId="77777777" w:rsidR="00F92E7E" w:rsidRPr="00F92E7E" w:rsidRDefault="00F92E7E" w:rsidP="00F92E7E">
            <w:pPr>
              <w:keepNext/>
              <w:snapToGrid w:val="0"/>
              <w:rPr>
                <w:rFonts w:ascii="Arial Narrow" w:hAnsi="Arial Narrow"/>
                <w:sz w:val="20"/>
              </w:rPr>
            </w:pPr>
            <w:r w:rsidRPr="00F92E7E">
              <w:rPr>
                <w:rFonts w:ascii="Arial Narrow" w:hAnsi="Arial Narrow"/>
                <w:sz w:val="20"/>
              </w:rPr>
              <w:fldChar w:fldCharType="begin" w:fldLock="1">
                <w:ffData>
                  <w:name w:val="Check5"/>
                  <w:enabled/>
                  <w:calcOnExit w:val="0"/>
                  <w:checkBox>
                    <w:sizeAuto/>
                    <w:default w:val="0"/>
                  </w:checkBox>
                </w:ffData>
              </w:fldChar>
            </w:r>
            <w:r w:rsidRPr="00F92E7E">
              <w:rPr>
                <w:rFonts w:ascii="Arial Narrow" w:hAnsi="Arial Narrow"/>
                <w:sz w:val="20"/>
              </w:rPr>
              <w:instrText xml:space="preserve"> FORMCHECKBOX </w:instrText>
            </w:r>
            <w:r w:rsidRPr="00F92E7E">
              <w:rPr>
                <w:rFonts w:ascii="Arial Narrow" w:hAnsi="Arial Narrow"/>
                <w:sz w:val="20"/>
              </w:rPr>
            </w:r>
            <w:r w:rsidRPr="00F92E7E">
              <w:rPr>
                <w:rFonts w:ascii="Arial Narrow" w:hAnsi="Arial Narrow"/>
                <w:sz w:val="20"/>
              </w:rPr>
              <w:fldChar w:fldCharType="separate"/>
            </w:r>
            <w:r w:rsidRPr="00F92E7E">
              <w:rPr>
                <w:rFonts w:ascii="Arial Narrow" w:hAnsi="Arial Narrow"/>
                <w:sz w:val="20"/>
              </w:rPr>
              <w:fldChar w:fldCharType="end"/>
            </w:r>
            <w:r w:rsidRPr="00F92E7E">
              <w:rPr>
                <w:rFonts w:ascii="Arial Narrow" w:hAnsi="Arial Narrow"/>
                <w:sz w:val="20"/>
              </w:rPr>
              <w:t>Authority Required - Electronic</w:t>
            </w:r>
          </w:p>
          <w:p w14:paraId="6677479D" w14:textId="77777777" w:rsidR="00F92E7E" w:rsidRPr="00F92E7E" w:rsidRDefault="00F92E7E" w:rsidP="00F92E7E">
            <w:pPr>
              <w:keepNext/>
              <w:snapToGrid w:val="0"/>
              <w:rPr>
                <w:rFonts w:ascii="Arial Narrow" w:hAnsi="Arial Narrow"/>
                <w:sz w:val="20"/>
              </w:rPr>
            </w:pPr>
            <w:r w:rsidRPr="00F92E7E">
              <w:rPr>
                <w:rFonts w:ascii="Arial Narrow" w:hAnsi="Arial Narrow"/>
                <w:sz w:val="20"/>
              </w:rPr>
              <w:fldChar w:fldCharType="begin" w:fldLock="1">
                <w:ffData>
                  <w:name w:val=""/>
                  <w:enabled/>
                  <w:calcOnExit w:val="0"/>
                  <w:checkBox>
                    <w:sizeAuto/>
                    <w:default w:val="1"/>
                  </w:checkBox>
                </w:ffData>
              </w:fldChar>
            </w:r>
            <w:r w:rsidRPr="00F92E7E">
              <w:rPr>
                <w:rFonts w:ascii="Arial Narrow" w:hAnsi="Arial Narrow"/>
                <w:sz w:val="20"/>
              </w:rPr>
              <w:instrText xml:space="preserve"> FORMCHECKBOX </w:instrText>
            </w:r>
            <w:r w:rsidRPr="00F92E7E">
              <w:rPr>
                <w:rFonts w:ascii="Arial Narrow" w:hAnsi="Arial Narrow"/>
                <w:sz w:val="20"/>
              </w:rPr>
            </w:r>
            <w:r w:rsidRPr="00F92E7E">
              <w:rPr>
                <w:rFonts w:ascii="Arial Narrow" w:hAnsi="Arial Narrow"/>
                <w:sz w:val="20"/>
              </w:rPr>
              <w:fldChar w:fldCharType="separate"/>
            </w:r>
            <w:r w:rsidRPr="00F92E7E">
              <w:rPr>
                <w:rFonts w:ascii="Arial Narrow" w:hAnsi="Arial Narrow"/>
                <w:sz w:val="20"/>
              </w:rPr>
              <w:fldChar w:fldCharType="end"/>
            </w:r>
            <w:r w:rsidRPr="00F92E7E">
              <w:rPr>
                <w:rFonts w:ascii="Arial Narrow" w:hAnsi="Arial Narrow"/>
                <w:sz w:val="20"/>
              </w:rPr>
              <w:t>Streamlined</w:t>
            </w:r>
          </w:p>
        </w:tc>
      </w:tr>
      <w:tr w:rsidR="00F92E7E" w:rsidRPr="00F92E7E" w14:paraId="41302745" w14:textId="77777777" w:rsidTr="0F1D33A4">
        <w:tc>
          <w:tcPr>
            <w:tcW w:w="1077" w:type="pct"/>
            <w:tcBorders>
              <w:top w:val="single" w:sz="4" w:space="0" w:color="auto"/>
              <w:left w:val="single" w:sz="4" w:space="0" w:color="auto"/>
              <w:bottom w:val="single" w:sz="4" w:space="0" w:color="auto"/>
              <w:right w:val="single" w:sz="4" w:space="0" w:color="auto"/>
            </w:tcBorders>
          </w:tcPr>
          <w:p w14:paraId="5E294ED5" w14:textId="77777777" w:rsidR="00F92E7E" w:rsidRPr="00F92E7E" w:rsidRDefault="00F92E7E" w:rsidP="00F92E7E">
            <w:pPr>
              <w:snapToGrid w:val="0"/>
              <w:rPr>
                <w:rFonts w:ascii="Arial Narrow" w:hAnsi="Arial Narrow"/>
                <w:b/>
                <w:sz w:val="20"/>
              </w:rPr>
            </w:pPr>
            <w:r w:rsidRPr="00F92E7E">
              <w:rPr>
                <w:rFonts w:ascii="Arial Narrow" w:hAnsi="Arial Narrow"/>
                <w:b/>
                <w:sz w:val="20"/>
              </w:rPr>
              <w:t>Population criteria:</w:t>
            </w:r>
          </w:p>
        </w:tc>
        <w:tc>
          <w:tcPr>
            <w:tcW w:w="3923" w:type="pct"/>
            <w:tcBorders>
              <w:top w:val="single" w:sz="4" w:space="0" w:color="auto"/>
              <w:left w:val="single" w:sz="4" w:space="0" w:color="auto"/>
              <w:bottom w:val="single" w:sz="4" w:space="0" w:color="auto"/>
              <w:right w:val="single" w:sz="4" w:space="0" w:color="auto"/>
            </w:tcBorders>
          </w:tcPr>
          <w:p w14:paraId="71C22C73" w14:textId="77777777" w:rsidR="00F92E7E" w:rsidRPr="00F92E7E" w:rsidRDefault="00F92E7E" w:rsidP="000F125A">
            <w:pPr>
              <w:snapToGrid w:val="0"/>
              <w:rPr>
                <w:rFonts w:ascii="Arial Narrow" w:hAnsi="Arial Narrow"/>
                <w:sz w:val="20"/>
              </w:rPr>
            </w:pPr>
            <w:r w:rsidRPr="00F92E7E">
              <w:rPr>
                <w:rFonts w:ascii="Arial Narrow" w:hAnsi="Arial Narrow" w:cstheme="minorHAnsi"/>
                <w:iCs/>
                <w:sz w:val="20"/>
              </w:rPr>
              <w:t>Patient must be 18 years of age or over</w:t>
            </w:r>
          </w:p>
        </w:tc>
      </w:tr>
      <w:tr w:rsidR="00F92E7E" w:rsidRPr="00F92E7E" w14:paraId="6D05BE44" w14:textId="77777777" w:rsidTr="0F1D33A4">
        <w:tc>
          <w:tcPr>
            <w:tcW w:w="1077" w:type="pct"/>
            <w:tcBorders>
              <w:top w:val="single" w:sz="4" w:space="0" w:color="auto"/>
              <w:left w:val="single" w:sz="4" w:space="0" w:color="auto"/>
              <w:bottom w:val="single" w:sz="4" w:space="0" w:color="auto"/>
              <w:right w:val="single" w:sz="4" w:space="0" w:color="auto"/>
            </w:tcBorders>
            <w:hideMark/>
          </w:tcPr>
          <w:p w14:paraId="6F5F66B1" w14:textId="77777777" w:rsidR="00F92E7E" w:rsidRPr="00F92E7E" w:rsidRDefault="00F92E7E" w:rsidP="00F92E7E">
            <w:pPr>
              <w:snapToGrid w:val="0"/>
              <w:rPr>
                <w:rFonts w:ascii="Arial Narrow" w:hAnsi="Arial Narrow"/>
                <w:b/>
                <w:sz w:val="20"/>
              </w:rPr>
            </w:pPr>
            <w:r w:rsidRPr="00F92E7E">
              <w:rPr>
                <w:rFonts w:ascii="Arial Narrow" w:hAnsi="Arial Narrow"/>
                <w:b/>
                <w:sz w:val="20"/>
              </w:rPr>
              <w:t>Clinical criteria:</w:t>
            </w:r>
          </w:p>
        </w:tc>
        <w:tc>
          <w:tcPr>
            <w:tcW w:w="3923" w:type="pct"/>
            <w:tcBorders>
              <w:top w:val="single" w:sz="4" w:space="0" w:color="auto"/>
              <w:left w:val="single" w:sz="4" w:space="0" w:color="auto"/>
              <w:bottom w:val="single" w:sz="4" w:space="0" w:color="auto"/>
              <w:right w:val="single" w:sz="4" w:space="0" w:color="auto"/>
            </w:tcBorders>
            <w:hideMark/>
          </w:tcPr>
          <w:p w14:paraId="39F39255" w14:textId="77777777" w:rsidR="00F92E7E" w:rsidRPr="00F92E7E" w:rsidRDefault="00F92E7E" w:rsidP="000F125A">
            <w:pPr>
              <w:snapToGrid w:val="0"/>
              <w:rPr>
                <w:rFonts w:ascii="Arial Narrow" w:hAnsi="Arial Narrow"/>
                <w:sz w:val="20"/>
              </w:rPr>
            </w:pPr>
            <w:r w:rsidRPr="00F92E7E">
              <w:rPr>
                <w:rFonts w:ascii="Arial Narrow" w:hAnsi="Arial Narrow"/>
                <w:sz w:val="20"/>
              </w:rPr>
              <w:t xml:space="preserve">Patient must have previously received PBS-subsidised treatment with this drug for this condition. </w:t>
            </w:r>
          </w:p>
          <w:p w14:paraId="50418E6F" w14:textId="77777777" w:rsidR="00F92E7E" w:rsidRPr="00F92E7E" w:rsidRDefault="00F92E7E" w:rsidP="00F92E7E">
            <w:pPr>
              <w:snapToGrid w:val="0"/>
              <w:rPr>
                <w:rFonts w:ascii="Arial Narrow" w:hAnsi="Arial Narrow"/>
                <w:sz w:val="20"/>
              </w:rPr>
            </w:pPr>
            <w:r w:rsidRPr="00F92E7E">
              <w:rPr>
                <w:rFonts w:ascii="Arial Narrow" w:hAnsi="Arial Narrow"/>
                <w:sz w:val="20"/>
              </w:rPr>
              <w:t xml:space="preserve">AND </w:t>
            </w:r>
          </w:p>
          <w:p w14:paraId="7E022411" w14:textId="77777777" w:rsidR="00F92E7E" w:rsidRPr="00F92E7E" w:rsidRDefault="00F92E7E" w:rsidP="0F1D33A4">
            <w:pPr>
              <w:snapToGrid w:val="0"/>
              <w:rPr>
                <w:rFonts w:ascii="Arial Narrow" w:hAnsi="Arial Narrow"/>
                <w:sz w:val="20"/>
                <w:szCs w:val="20"/>
              </w:rPr>
            </w:pPr>
            <w:r w:rsidRPr="0F1D33A4">
              <w:rPr>
                <w:rFonts w:ascii="Arial Narrow" w:hAnsi="Arial Narrow"/>
                <w:sz w:val="20"/>
                <w:szCs w:val="20"/>
              </w:rPr>
              <w:t>Patient must have demonstrated a response to treatment within 12 months defined as:</w:t>
            </w:r>
          </w:p>
          <w:p w14:paraId="332EA806" w14:textId="4C1A1E78" w:rsidR="00F92E7E" w:rsidRPr="00F92E7E" w:rsidRDefault="00F92E7E" w:rsidP="009E06E3">
            <w:pPr>
              <w:numPr>
                <w:ilvl w:val="0"/>
                <w:numId w:val="7"/>
              </w:numPr>
              <w:snapToGrid w:val="0"/>
              <w:contextualSpacing/>
              <w:jc w:val="left"/>
              <w:rPr>
                <w:rFonts w:ascii="Arial Narrow" w:hAnsi="Arial Narrow"/>
                <w:iCs/>
                <w:snapToGrid w:val="0"/>
                <w:sz w:val="20"/>
              </w:rPr>
            </w:pPr>
            <w:r w:rsidRPr="00F92E7E">
              <w:rPr>
                <w:rFonts w:ascii="Arial Narrow" w:hAnsi="Arial Narrow"/>
                <w:iCs/>
                <w:snapToGrid w:val="0"/>
                <w:sz w:val="20"/>
              </w:rPr>
              <w:t>Maintained a haematocrit level of less than 45% without relying on phlebotomy and which was measured at least 12 weeks after the most recent phlebotomy procedure (if performed) to reduce red blood cell levels; or</w:t>
            </w:r>
          </w:p>
          <w:p w14:paraId="1FF0ADCC" w14:textId="77777777" w:rsidR="00F92E7E" w:rsidRPr="00F92E7E" w:rsidRDefault="00F92E7E" w:rsidP="009E06E3">
            <w:pPr>
              <w:numPr>
                <w:ilvl w:val="0"/>
                <w:numId w:val="7"/>
              </w:numPr>
              <w:snapToGrid w:val="0"/>
              <w:contextualSpacing/>
              <w:jc w:val="left"/>
              <w:rPr>
                <w:rFonts w:ascii="Arial Narrow" w:hAnsi="Arial Narrow"/>
                <w:snapToGrid w:val="0"/>
                <w:sz w:val="20"/>
                <w:szCs w:val="20"/>
              </w:rPr>
            </w:pPr>
            <w:r w:rsidRPr="0F1D33A4">
              <w:rPr>
                <w:rFonts w:ascii="Arial Narrow" w:hAnsi="Arial Narrow"/>
                <w:snapToGrid w:val="0"/>
                <w:sz w:val="20"/>
                <w:szCs w:val="20"/>
              </w:rPr>
              <w:t>Patient must have demonstrated, or maintained a normal platelet count of less than or equal to 400 x 10</w:t>
            </w:r>
            <w:r w:rsidRPr="0F1D33A4">
              <w:rPr>
                <w:rFonts w:ascii="Arial Narrow" w:hAnsi="Arial Narrow"/>
                <w:snapToGrid w:val="0"/>
                <w:sz w:val="20"/>
                <w:szCs w:val="20"/>
                <w:vertAlign w:val="superscript"/>
              </w:rPr>
              <w:t>9</w:t>
            </w:r>
            <w:r w:rsidRPr="0F1D33A4">
              <w:rPr>
                <w:rFonts w:ascii="Arial Narrow" w:hAnsi="Arial Narrow"/>
                <w:snapToGrid w:val="0"/>
                <w:sz w:val="20"/>
                <w:szCs w:val="20"/>
              </w:rPr>
              <w:t xml:space="preserve">/L; or </w:t>
            </w:r>
          </w:p>
          <w:p w14:paraId="6F4826C0" w14:textId="77777777" w:rsidR="00F92E7E" w:rsidRPr="00F92E7E" w:rsidRDefault="00F92E7E" w:rsidP="009E06E3">
            <w:pPr>
              <w:numPr>
                <w:ilvl w:val="0"/>
                <w:numId w:val="7"/>
              </w:numPr>
              <w:snapToGrid w:val="0"/>
              <w:contextualSpacing/>
              <w:jc w:val="left"/>
              <w:rPr>
                <w:rFonts w:ascii="Arial Narrow" w:hAnsi="Arial Narrow"/>
                <w:iCs/>
                <w:snapToGrid w:val="0"/>
                <w:sz w:val="20"/>
              </w:rPr>
            </w:pPr>
            <w:r w:rsidRPr="00F92E7E">
              <w:rPr>
                <w:rFonts w:ascii="Arial Narrow" w:hAnsi="Arial Narrow"/>
                <w:iCs/>
                <w:snapToGrid w:val="0"/>
                <w:sz w:val="20"/>
              </w:rPr>
              <w:t>Patient must have an absence of palpable splenomegaly</w:t>
            </w:r>
          </w:p>
          <w:p w14:paraId="3E038411" w14:textId="77777777" w:rsidR="00F92E7E" w:rsidRPr="00F92E7E" w:rsidRDefault="00F92E7E" w:rsidP="00F92E7E">
            <w:pPr>
              <w:snapToGrid w:val="0"/>
              <w:rPr>
                <w:rFonts w:ascii="Arial Narrow" w:hAnsi="Arial Narrow"/>
                <w:iCs/>
                <w:sz w:val="20"/>
              </w:rPr>
            </w:pPr>
          </w:p>
          <w:p w14:paraId="27EE64CE" w14:textId="77777777" w:rsidR="00F92E7E" w:rsidRPr="00F92E7E" w:rsidRDefault="00F92E7E" w:rsidP="0F1D33A4">
            <w:pPr>
              <w:snapToGrid w:val="0"/>
              <w:rPr>
                <w:rFonts w:ascii="Arial Narrow" w:hAnsi="Arial Narrow"/>
                <w:sz w:val="20"/>
                <w:szCs w:val="20"/>
              </w:rPr>
            </w:pPr>
            <w:r w:rsidRPr="0F1D33A4">
              <w:rPr>
                <w:rFonts w:ascii="Arial Narrow" w:hAnsi="Arial Narrow"/>
                <w:sz w:val="20"/>
                <w:szCs w:val="20"/>
              </w:rPr>
              <w:t>Patient must maintain a response to continue receiving treatment with ruxolitinib.</w:t>
            </w:r>
          </w:p>
          <w:p w14:paraId="7F9E0A80" w14:textId="77777777" w:rsidR="00F92E7E" w:rsidRPr="00F92E7E" w:rsidRDefault="00F92E7E" w:rsidP="00F92E7E">
            <w:pPr>
              <w:snapToGrid w:val="0"/>
              <w:rPr>
                <w:rFonts w:ascii="Arial Narrow" w:hAnsi="Arial Narrow"/>
                <w:sz w:val="20"/>
              </w:rPr>
            </w:pPr>
          </w:p>
        </w:tc>
      </w:tr>
      <w:tr w:rsidR="00F92E7E" w:rsidRPr="00F92E7E" w14:paraId="1703383C" w14:textId="77777777" w:rsidTr="0F1D33A4">
        <w:tc>
          <w:tcPr>
            <w:tcW w:w="1077" w:type="pct"/>
            <w:tcBorders>
              <w:top w:val="single" w:sz="4" w:space="0" w:color="auto"/>
              <w:left w:val="single" w:sz="4" w:space="0" w:color="auto"/>
              <w:bottom w:val="single" w:sz="4" w:space="0" w:color="auto"/>
              <w:right w:val="single" w:sz="4" w:space="0" w:color="auto"/>
            </w:tcBorders>
            <w:hideMark/>
          </w:tcPr>
          <w:p w14:paraId="10613AF4" w14:textId="77777777" w:rsidR="00F92E7E" w:rsidRPr="00F92E7E" w:rsidRDefault="00F92E7E" w:rsidP="00F92E7E">
            <w:pPr>
              <w:snapToGrid w:val="0"/>
              <w:rPr>
                <w:rFonts w:ascii="Arial Narrow" w:hAnsi="Arial Narrow"/>
                <w:b/>
                <w:sz w:val="20"/>
              </w:rPr>
            </w:pPr>
            <w:r w:rsidRPr="00F92E7E">
              <w:rPr>
                <w:rFonts w:ascii="Arial Narrow" w:hAnsi="Arial Narrow"/>
                <w:b/>
                <w:sz w:val="20"/>
              </w:rPr>
              <w:t xml:space="preserve">Prescriber Instructions: </w:t>
            </w:r>
          </w:p>
        </w:tc>
        <w:tc>
          <w:tcPr>
            <w:tcW w:w="3923" w:type="pct"/>
            <w:tcBorders>
              <w:top w:val="single" w:sz="4" w:space="0" w:color="auto"/>
              <w:left w:val="single" w:sz="4" w:space="0" w:color="auto"/>
              <w:bottom w:val="single" w:sz="4" w:space="0" w:color="auto"/>
              <w:right w:val="single" w:sz="4" w:space="0" w:color="auto"/>
            </w:tcBorders>
            <w:hideMark/>
          </w:tcPr>
          <w:p w14:paraId="7D1F6D0B" w14:textId="77777777" w:rsidR="00F92E7E" w:rsidRPr="00F92E7E" w:rsidRDefault="00F92E7E" w:rsidP="00F92E7E">
            <w:pPr>
              <w:snapToGrid w:val="0"/>
              <w:rPr>
                <w:rFonts w:ascii="Arial Narrow" w:hAnsi="Arial Narrow"/>
                <w:sz w:val="20"/>
              </w:rPr>
            </w:pPr>
            <w:r w:rsidRPr="00F92E7E">
              <w:rPr>
                <w:rFonts w:ascii="Arial Narrow" w:hAnsi="Arial Narrow"/>
                <w:sz w:val="20"/>
              </w:rPr>
              <w:t xml:space="preserve">The authority </w:t>
            </w:r>
            <w:r w:rsidRPr="00F92E7E">
              <w:rPr>
                <w:rFonts w:ascii="Arial Narrow" w:hAnsi="Arial Narrow"/>
                <w:iCs/>
                <w:sz w:val="20"/>
              </w:rPr>
              <w:t>application</w:t>
            </w:r>
            <w:r w:rsidRPr="00F92E7E">
              <w:rPr>
                <w:rFonts w:ascii="Arial Narrow" w:hAnsi="Arial Narrow"/>
                <w:sz w:val="20"/>
              </w:rPr>
              <w:t xml:space="preserve"> must be made in writing and </w:t>
            </w:r>
            <w:r w:rsidRPr="00F92E7E">
              <w:rPr>
                <w:rFonts w:ascii="Arial Narrow" w:hAnsi="Arial Narrow"/>
                <w:iCs/>
                <w:sz w:val="20"/>
              </w:rPr>
              <w:t>must</w:t>
            </w:r>
            <w:r w:rsidRPr="00F92E7E">
              <w:rPr>
                <w:rFonts w:ascii="Arial Narrow" w:hAnsi="Arial Narrow"/>
                <w:i/>
                <w:sz w:val="20"/>
              </w:rPr>
              <w:t xml:space="preserve"> </w:t>
            </w:r>
            <w:r w:rsidRPr="00F92E7E">
              <w:rPr>
                <w:rFonts w:ascii="Arial Narrow" w:hAnsi="Arial Narrow"/>
                <w:sz w:val="20"/>
              </w:rPr>
              <w:t>include:</w:t>
            </w:r>
          </w:p>
          <w:p w14:paraId="39A726FF" w14:textId="3B92F0FF" w:rsidR="00F92E7E" w:rsidRPr="00F92E7E" w:rsidRDefault="00F92E7E" w:rsidP="00F92E7E">
            <w:pPr>
              <w:snapToGrid w:val="0"/>
              <w:rPr>
                <w:rFonts w:ascii="Arial Narrow" w:hAnsi="Arial Narrow"/>
                <w:sz w:val="20"/>
              </w:rPr>
            </w:pPr>
            <w:r w:rsidRPr="00F92E7E">
              <w:rPr>
                <w:rFonts w:ascii="Arial Narrow" w:hAnsi="Arial Narrow"/>
                <w:sz w:val="20"/>
              </w:rPr>
              <w:t>(1)</w:t>
            </w:r>
            <w:r w:rsidR="00F87B86">
              <w:rPr>
                <w:rFonts w:ascii="Arial Narrow" w:hAnsi="Arial Narrow"/>
                <w:sz w:val="20"/>
              </w:rPr>
              <w:t xml:space="preserve"> </w:t>
            </w:r>
            <w:r w:rsidRPr="00F92E7E">
              <w:rPr>
                <w:rFonts w:ascii="Arial Narrow" w:hAnsi="Arial Narrow"/>
                <w:sz w:val="20"/>
              </w:rPr>
              <w:t xml:space="preserve">A completed authority prescription form; and </w:t>
            </w:r>
          </w:p>
          <w:p w14:paraId="5C8FE2F8" w14:textId="77777777" w:rsidR="00F92E7E" w:rsidRPr="00F92E7E" w:rsidRDefault="00F92E7E" w:rsidP="0910F2D2">
            <w:pPr>
              <w:snapToGrid w:val="0"/>
              <w:rPr>
                <w:rFonts w:ascii="Arial Narrow" w:hAnsi="Arial Narrow"/>
                <w:sz w:val="20"/>
                <w:szCs w:val="20"/>
              </w:rPr>
            </w:pPr>
            <w:r w:rsidRPr="0910F2D2">
              <w:rPr>
                <w:rFonts w:ascii="Arial Narrow" w:hAnsi="Arial Narrow"/>
                <w:sz w:val="20"/>
                <w:szCs w:val="20"/>
              </w:rPr>
              <w:t>(2) A completed Polycythemia vera Authority Application, which includes the relevant pathology reports</w:t>
            </w:r>
          </w:p>
        </w:tc>
      </w:tr>
      <w:tr w:rsidR="00F92E7E" w:rsidRPr="00F92E7E" w14:paraId="1AA364CA" w14:textId="77777777" w:rsidTr="0F1D33A4">
        <w:tc>
          <w:tcPr>
            <w:tcW w:w="1077" w:type="pct"/>
            <w:tcBorders>
              <w:top w:val="single" w:sz="4" w:space="0" w:color="auto"/>
              <w:left w:val="single" w:sz="4" w:space="0" w:color="auto"/>
              <w:bottom w:val="single" w:sz="4" w:space="0" w:color="auto"/>
              <w:right w:val="single" w:sz="4" w:space="0" w:color="auto"/>
            </w:tcBorders>
          </w:tcPr>
          <w:p w14:paraId="71911E1A" w14:textId="77777777" w:rsidR="00F92E7E" w:rsidRPr="00F92E7E" w:rsidRDefault="00F92E7E" w:rsidP="00F92E7E">
            <w:pPr>
              <w:snapToGrid w:val="0"/>
              <w:rPr>
                <w:rFonts w:ascii="Arial Narrow" w:hAnsi="Arial Narrow"/>
                <w:b/>
                <w:i/>
                <w:sz w:val="20"/>
              </w:rPr>
            </w:pPr>
            <w:r w:rsidRPr="00F92E7E">
              <w:rPr>
                <w:rFonts w:ascii="Arial Narrow" w:hAnsi="Arial Narrow"/>
                <w:b/>
                <w:i/>
                <w:sz w:val="20"/>
              </w:rPr>
              <w:t>Administrative Advice:</w:t>
            </w:r>
          </w:p>
        </w:tc>
        <w:tc>
          <w:tcPr>
            <w:tcW w:w="3923" w:type="pct"/>
            <w:tcBorders>
              <w:top w:val="single" w:sz="4" w:space="0" w:color="auto"/>
              <w:left w:val="single" w:sz="4" w:space="0" w:color="auto"/>
              <w:bottom w:val="single" w:sz="4" w:space="0" w:color="auto"/>
              <w:right w:val="single" w:sz="4" w:space="0" w:color="auto"/>
            </w:tcBorders>
          </w:tcPr>
          <w:p w14:paraId="673CB026" w14:textId="77777777" w:rsidR="00F92E7E" w:rsidRPr="00F92E7E" w:rsidRDefault="00F92E7E" w:rsidP="00F92E7E">
            <w:pPr>
              <w:snapToGrid w:val="0"/>
              <w:contextualSpacing/>
              <w:rPr>
                <w:rFonts w:ascii="Arial Narrow" w:hAnsi="Arial Narrow"/>
                <w:iCs/>
                <w:sz w:val="20"/>
                <w:u w:val="single"/>
              </w:rPr>
            </w:pPr>
            <w:r w:rsidRPr="00F92E7E">
              <w:rPr>
                <w:rFonts w:ascii="Arial Narrow" w:hAnsi="Arial Narrow"/>
                <w:iCs/>
                <w:sz w:val="20"/>
                <w:u w:val="single"/>
              </w:rPr>
              <w:t>Note</w:t>
            </w:r>
          </w:p>
          <w:p w14:paraId="1E3E8071" w14:textId="77777777" w:rsidR="00F92E7E" w:rsidRPr="00F92E7E" w:rsidRDefault="00F92E7E" w:rsidP="000F125A">
            <w:pPr>
              <w:snapToGrid w:val="0"/>
              <w:spacing w:after="120"/>
              <w:contextualSpacing/>
              <w:rPr>
                <w:rFonts w:ascii="Arial Narrow" w:hAnsi="Arial Narrow"/>
                <w:iCs/>
                <w:sz w:val="20"/>
              </w:rPr>
            </w:pPr>
            <w:r w:rsidRPr="00F92E7E">
              <w:rPr>
                <w:rFonts w:ascii="Arial Narrow" w:hAnsi="Arial Narrow"/>
                <w:iCs/>
                <w:sz w:val="20"/>
              </w:rPr>
              <w:t>Special Pricing Arrangements apply.</w:t>
            </w:r>
          </w:p>
          <w:p w14:paraId="5ED23256" w14:textId="77777777" w:rsidR="00F92E7E" w:rsidRPr="00F92E7E" w:rsidRDefault="00F92E7E" w:rsidP="00F92E7E">
            <w:pPr>
              <w:snapToGrid w:val="0"/>
              <w:contextualSpacing/>
              <w:rPr>
                <w:rFonts w:ascii="Arial Narrow" w:hAnsi="Arial Narrow"/>
                <w:iCs/>
                <w:sz w:val="20"/>
                <w:u w:val="single"/>
              </w:rPr>
            </w:pPr>
            <w:r w:rsidRPr="00F92E7E">
              <w:rPr>
                <w:rFonts w:ascii="Arial Narrow" w:hAnsi="Arial Narrow"/>
                <w:iCs/>
                <w:sz w:val="20"/>
                <w:u w:val="single"/>
              </w:rPr>
              <w:t>Note</w:t>
            </w:r>
          </w:p>
          <w:p w14:paraId="40E1EB6D" w14:textId="77777777" w:rsidR="00F92E7E" w:rsidRPr="00F92E7E" w:rsidRDefault="00F92E7E" w:rsidP="000F125A">
            <w:pPr>
              <w:snapToGrid w:val="0"/>
              <w:spacing w:after="120"/>
              <w:contextualSpacing/>
              <w:rPr>
                <w:rFonts w:ascii="Arial Narrow" w:hAnsi="Arial Narrow"/>
                <w:iCs/>
                <w:sz w:val="20"/>
              </w:rPr>
            </w:pPr>
            <w:r w:rsidRPr="00F92E7E">
              <w:rPr>
                <w:rFonts w:ascii="Arial Narrow" w:hAnsi="Arial Narrow"/>
                <w:iCs/>
                <w:sz w:val="20"/>
              </w:rPr>
              <w:lastRenderedPageBreak/>
              <w:t>No increase in the maximum quantity or number of units may be authorised.</w:t>
            </w:r>
          </w:p>
          <w:p w14:paraId="36119ACD" w14:textId="77777777" w:rsidR="00F92E7E" w:rsidRPr="00F92E7E" w:rsidRDefault="00F92E7E" w:rsidP="00F92E7E">
            <w:pPr>
              <w:snapToGrid w:val="0"/>
              <w:contextualSpacing/>
              <w:rPr>
                <w:rFonts w:ascii="Arial Narrow" w:hAnsi="Arial Narrow"/>
                <w:iCs/>
                <w:sz w:val="20"/>
                <w:u w:val="single"/>
              </w:rPr>
            </w:pPr>
            <w:r w:rsidRPr="00F92E7E">
              <w:rPr>
                <w:rFonts w:ascii="Arial Narrow" w:hAnsi="Arial Narrow"/>
                <w:iCs/>
                <w:sz w:val="20"/>
                <w:u w:val="single"/>
              </w:rPr>
              <w:t>Note</w:t>
            </w:r>
          </w:p>
          <w:p w14:paraId="5C6C7B05" w14:textId="77777777" w:rsidR="00F92E7E" w:rsidRPr="00F92E7E" w:rsidRDefault="00F92E7E" w:rsidP="000F125A">
            <w:pPr>
              <w:snapToGrid w:val="0"/>
              <w:spacing w:after="120"/>
              <w:contextualSpacing/>
              <w:rPr>
                <w:rFonts w:ascii="Arial Narrow" w:hAnsi="Arial Narrow"/>
                <w:iCs/>
                <w:sz w:val="20"/>
              </w:rPr>
            </w:pPr>
            <w:r w:rsidRPr="00F92E7E">
              <w:rPr>
                <w:rFonts w:ascii="Arial Narrow" w:hAnsi="Arial Narrow"/>
                <w:iCs/>
                <w:sz w:val="20"/>
              </w:rPr>
              <w:t>No increase in the maximum number of repeats may be authorised.</w:t>
            </w:r>
          </w:p>
          <w:p w14:paraId="48B852C5" w14:textId="77777777" w:rsidR="00F92E7E" w:rsidRPr="00F92E7E" w:rsidRDefault="00F92E7E" w:rsidP="00F92E7E">
            <w:pPr>
              <w:snapToGrid w:val="0"/>
              <w:contextualSpacing/>
              <w:rPr>
                <w:rFonts w:ascii="Arial Narrow" w:hAnsi="Arial Narrow"/>
                <w:sz w:val="20"/>
                <w:u w:val="single"/>
              </w:rPr>
            </w:pPr>
            <w:r w:rsidRPr="00F92E7E">
              <w:rPr>
                <w:rFonts w:ascii="Arial Narrow" w:hAnsi="Arial Narrow"/>
                <w:sz w:val="20"/>
                <w:u w:val="single"/>
              </w:rPr>
              <w:t>Note</w:t>
            </w:r>
          </w:p>
          <w:p w14:paraId="624C353E" w14:textId="77777777" w:rsidR="00F92E7E" w:rsidRPr="00F92E7E" w:rsidRDefault="00F92E7E" w:rsidP="00F92E7E">
            <w:pPr>
              <w:snapToGrid w:val="0"/>
              <w:contextualSpacing/>
              <w:rPr>
                <w:rFonts w:ascii="Arial Narrow" w:hAnsi="Arial Narrow"/>
                <w:sz w:val="20"/>
              </w:rPr>
            </w:pPr>
            <w:r w:rsidRPr="00F92E7E">
              <w:rPr>
                <w:rFonts w:ascii="Arial Narrow" w:hAnsi="Arial Narrow"/>
                <w:sz w:val="20"/>
              </w:rPr>
              <w:t xml:space="preserve">Any queries concerning the arrangements to prescribe may be directed to the Department of Human Services on 1800 700 270 (hours of operation 8 a.m. to 5 p.m. EST Monday to Friday). </w:t>
            </w:r>
          </w:p>
          <w:p w14:paraId="20A37806" w14:textId="77777777" w:rsidR="00F92E7E" w:rsidRPr="00F92E7E" w:rsidRDefault="00F92E7E" w:rsidP="00F92E7E">
            <w:pPr>
              <w:snapToGrid w:val="0"/>
              <w:contextualSpacing/>
              <w:rPr>
                <w:rFonts w:ascii="Arial Narrow" w:hAnsi="Arial Narrow"/>
                <w:sz w:val="20"/>
              </w:rPr>
            </w:pPr>
            <w:r w:rsidRPr="00F92E7E">
              <w:rPr>
                <w:rFonts w:ascii="Arial Narrow" w:hAnsi="Arial Narrow"/>
                <w:sz w:val="20"/>
              </w:rPr>
              <w:t xml:space="preserve">Prescribing information (including Authority Application forms and other relevant documentation as applicable) is available on the Department of Human Services website at </w:t>
            </w:r>
            <w:r w:rsidRPr="00F92E7E">
              <w:rPr>
                <w:rFonts w:ascii="Arial Narrow" w:hAnsi="Arial Narrow"/>
                <w:sz w:val="20"/>
                <w:u w:val="single"/>
              </w:rPr>
              <w:t>www.humanservices.gov.au</w:t>
            </w:r>
          </w:p>
          <w:p w14:paraId="3A403241" w14:textId="77777777" w:rsidR="00F92E7E" w:rsidRPr="00F92E7E" w:rsidRDefault="00F92E7E" w:rsidP="0F1D33A4">
            <w:pPr>
              <w:snapToGrid w:val="0"/>
              <w:contextualSpacing/>
              <w:rPr>
                <w:rFonts w:ascii="Arial Narrow" w:hAnsi="Arial Narrow"/>
                <w:sz w:val="20"/>
                <w:szCs w:val="20"/>
              </w:rPr>
            </w:pPr>
            <w:r w:rsidRPr="0F1D33A4">
              <w:rPr>
                <w:rFonts w:ascii="Arial Narrow" w:hAnsi="Arial Narrow"/>
                <w:sz w:val="20"/>
                <w:szCs w:val="20"/>
              </w:rPr>
              <w:t xml:space="preserve">Applications for authority to prescribe should be forwarded to: </w:t>
            </w:r>
          </w:p>
          <w:p w14:paraId="4BD4CAAB" w14:textId="77777777" w:rsidR="00F92E7E" w:rsidRPr="00F92E7E" w:rsidRDefault="00F92E7E" w:rsidP="00F92E7E">
            <w:pPr>
              <w:snapToGrid w:val="0"/>
              <w:contextualSpacing/>
              <w:rPr>
                <w:rFonts w:ascii="Arial Narrow" w:hAnsi="Arial Narrow"/>
                <w:sz w:val="20"/>
              </w:rPr>
            </w:pPr>
            <w:r w:rsidRPr="00F92E7E">
              <w:rPr>
                <w:rFonts w:ascii="Arial Narrow" w:hAnsi="Arial Narrow"/>
                <w:sz w:val="20"/>
              </w:rPr>
              <w:t>Department of Human Services</w:t>
            </w:r>
          </w:p>
          <w:p w14:paraId="3D6FE0E8" w14:textId="77777777" w:rsidR="00F92E7E" w:rsidRPr="00F92E7E" w:rsidRDefault="00F92E7E" w:rsidP="00F92E7E">
            <w:pPr>
              <w:snapToGrid w:val="0"/>
              <w:contextualSpacing/>
              <w:rPr>
                <w:rFonts w:ascii="Arial Narrow" w:hAnsi="Arial Narrow"/>
                <w:sz w:val="20"/>
              </w:rPr>
            </w:pPr>
            <w:r w:rsidRPr="00F92E7E">
              <w:rPr>
                <w:rFonts w:ascii="Arial Narrow" w:hAnsi="Arial Narrow"/>
                <w:sz w:val="20"/>
              </w:rPr>
              <w:t xml:space="preserve">Complex Drugs </w:t>
            </w:r>
          </w:p>
          <w:p w14:paraId="0813F582" w14:textId="77777777" w:rsidR="00F92E7E" w:rsidRPr="00F92E7E" w:rsidRDefault="00F92E7E" w:rsidP="00F92E7E">
            <w:pPr>
              <w:snapToGrid w:val="0"/>
              <w:contextualSpacing/>
              <w:rPr>
                <w:rFonts w:ascii="Arial Narrow" w:hAnsi="Arial Narrow"/>
                <w:sz w:val="20"/>
              </w:rPr>
            </w:pPr>
            <w:r w:rsidRPr="00F92E7E">
              <w:rPr>
                <w:rFonts w:ascii="Arial Narrow" w:hAnsi="Arial Narrow"/>
                <w:sz w:val="20"/>
              </w:rPr>
              <w:t xml:space="preserve">Reply Paid 9826 </w:t>
            </w:r>
          </w:p>
          <w:p w14:paraId="00BE2BCF" w14:textId="77777777" w:rsidR="00F92E7E" w:rsidRPr="00F92E7E" w:rsidRDefault="00F92E7E" w:rsidP="00F92E7E">
            <w:pPr>
              <w:snapToGrid w:val="0"/>
              <w:rPr>
                <w:rFonts w:ascii="Arial Narrow" w:eastAsia="Calibri" w:hAnsi="Arial Narrow"/>
                <w:strike/>
                <w:sz w:val="20"/>
              </w:rPr>
            </w:pPr>
            <w:r w:rsidRPr="00F92E7E">
              <w:rPr>
                <w:rFonts w:ascii="Arial Narrow" w:hAnsi="Arial Narrow"/>
                <w:sz w:val="20"/>
              </w:rPr>
              <w:t>HOBART TAS 7001 [concept ID 7753; Complex Authority Required flag]</w:t>
            </w:r>
          </w:p>
        </w:tc>
      </w:tr>
    </w:tbl>
    <w:p w14:paraId="095E62E4" w14:textId="77777777" w:rsidR="00F92E7E" w:rsidRPr="00F92E7E" w:rsidRDefault="00F92E7E" w:rsidP="00F92E7E"/>
    <w:p w14:paraId="1A58299D" w14:textId="297AD66D" w:rsidR="00F92E7E" w:rsidRPr="006124A7" w:rsidRDefault="00F92E7E" w:rsidP="00F92E7E">
      <w:pPr>
        <w:pStyle w:val="3-BodyText"/>
      </w:pPr>
      <w:r w:rsidRPr="0F1D33A4">
        <w:t xml:space="preserve">The resubmission requested initial and continuing treatment as Authority Required (STREAMLINED) listings. </w:t>
      </w:r>
      <w:r w:rsidR="00452FFD" w:rsidRPr="0F1D33A4">
        <w:t>The requested authority level is different to that of the ruxolitinib listing for MF which is Authority Required (Written) for initial treatment and an Authority Required (Tel</w:t>
      </w:r>
      <w:r w:rsidR="001412E3" w:rsidRPr="0F1D33A4">
        <w:t>e</w:t>
      </w:r>
      <w:r w:rsidR="00452FFD" w:rsidRPr="0F1D33A4">
        <w:t>phone/</w:t>
      </w:r>
      <w:r w:rsidR="0067337F" w:rsidRPr="0F1D33A4">
        <w:t>Electronic</w:t>
      </w:r>
      <w:r w:rsidR="00452FFD" w:rsidRPr="0F1D33A4">
        <w:t>) listing for continuing therapy</w:t>
      </w:r>
      <w:r w:rsidR="00851BAB" w:rsidRPr="0F1D33A4">
        <w:t xml:space="preserve">. </w:t>
      </w:r>
    </w:p>
    <w:p w14:paraId="6BE8BC24" w14:textId="1472B55F" w:rsidR="00F25FED" w:rsidRPr="006124A7" w:rsidRDefault="00F92E7E" w:rsidP="0910F2D2">
      <w:pPr>
        <w:pStyle w:val="3-BodyText"/>
      </w:pPr>
      <w:bookmarkStart w:id="17" w:name="_Ref194308825"/>
      <w:r w:rsidRPr="0F1D33A4">
        <w:t>A Special Pricing Arrangement (SPA) was proposed (</w:t>
      </w:r>
      <w:r w:rsidR="001858A5" w:rsidRPr="0F1D33A4">
        <w:t>dispensed price for maximum quantity [</w:t>
      </w:r>
      <w:r w:rsidR="00EA504C" w:rsidRPr="0F1D33A4">
        <w:t>DPMQ</w:t>
      </w:r>
      <w:r w:rsidR="001858A5" w:rsidRPr="0F1D33A4">
        <w:t>]</w:t>
      </w:r>
      <w:r w:rsidR="00EA504C" w:rsidRPr="0F1D33A4">
        <w:t xml:space="preserve"> </w:t>
      </w:r>
      <w:r w:rsidRPr="0F1D33A4">
        <w:t>$4,912.60 published price; $</w:t>
      </w:r>
      <w:r w:rsidR="00A268DC" w:rsidRPr="00C0236C">
        <w:rPr>
          <w:color w:val="000000"/>
          <w:w w:val="15"/>
          <w:shd w:val="solid" w:color="000000" w:fill="000000"/>
          <w:fitText w:val="-20" w:id="-694973694"/>
          <w14:textFill>
            <w14:solidFill>
              <w14:srgbClr w14:val="000000">
                <w14:alpha w14:val="100000"/>
              </w14:srgbClr>
            </w14:solidFill>
          </w14:textFill>
        </w:rPr>
        <w:t>|</w:t>
      </w:r>
      <w:r w:rsidR="00F87B86" w:rsidRPr="00C0236C">
        <w:rPr>
          <w:color w:val="000000"/>
          <w:w w:val="15"/>
          <w:shd w:val="solid" w:color="000000" w:fill="000000"/>
          <w:fitText w:val="-20" w:id="-694973694"/>
          <w14:textFill>
            <w14:solidFill>
              <w14:srgbClr w14:val="000000">
                <w14:alpha w14:val="100000"/>
              </w14:srgbClr>
            </w14:solidFill>
          </w14:textFill>
        </w:rPr>
        <w:t xml:space="preserve"> </w:t>
      </w:r>
      <w:r w:rsidR="00A268DC" w:rsidRPr="00C0236C">
        <w:rPr>
          <w:color w:val="000000"/>
          <w:spacing w:val="-61"/>
          <w:w w:val="15"/>
          <w:shd w:val="solid" w:color="000000" w:fill="000000"/>
          <w:fitText w:val="-20" w:id="-694973694"/>
          <w14:textFill>
            <w14:solidFill>
              <w14:srgbClr w14:val="000000">
                <w14:alpha w14:val="100000"/>
              </w14:srgbClr>
            </w14:solidFill>
          </w14:textFill>
        </w:rPr>
        <w:t>|</w:t>
      </w:r>
      <w:r w:rsidRPr="0F1D33A4">
        <w:t xml:space="preserve"> effective price). The same pricing was requested across all strengths. The proposed effective price represents a</w:t>
      </w:r>
      <w:r w:rsidR="000B78F5">
        <w:t xml:space="preserve"> </w:t>
      </w:r>
      <w:r w:rsidR="000B78F5" w:rsidRPr="00C0236C">
        <w:rPr>
          <w:color w:val="000000"/>
          <w:w w:val="15"/>
          <w:shd w:val="solid" w:color="000000" w:fill="000000"/>
          <w:fitText w:val="-20" w:id="-694973952"/>
          <w14:textFill>
            <w14:solidFill>
              <w14:srgbClr w14:val="000000">
                <w14:alpha w14:val="100000"/>
              </w14:srgbClr>
            </w14:solidFill>
          </w14:textFill>
        </w:rPr>
        <w:t>|</w:t>
      </w:r>
      <w:r w:rsidR="00F87B86" w:rsidRPr="00C0236C">
        <w:rPr>
          <w:color w:val="000000"/>
          <w:w w:val="15"/>
          <w:shd w:val="solid" w:color="000000" w:fill="000000"/>
          <w:fitText w:val="-20" w:id="-694973952"/>
          <w14:textFill>
            <w14:solidFill>
              <w14:srgbClr w14:val="000000">
                <w14:alpha w14:val="100000"/>
              </w14:srgbClr>
            </w14:solidFill>
          </w14:textFill>
        </w:rPr>
        <w:t xml:space="preserve"> </w:t>
      </w:r>
      <w:r w:rsidR="000B78F5" w:rsidRPr="00C0236C">
        <w:rPr>
          <w:color w:val="000000"/>
          <w:spacing w:val="-61"/>
          <w:w w:val="15"/>
          <w:shd w:val="solid" w:color="000000" w:fill="000000"/>
          <w:fitText w:val="-20" w:id="-694973952"/>
          <w14:textFill>
            <w14:solidFill>
              <w14:srgbClr w14:val="000000">
                <w14:alpha w14:val="100000"/>
              </w14:srgbClr>
            </w14:solidFill>
          </w14:textFill>
        </w:rPr>
        <w:t>|</w:t>
      </w:r>
      <w:r w:rsidRPr="0F1D33A4">
        <w:t xml:space="preserve">% reduction of the price proposed in the previous submission (which requested </w:t>
      </w:r>
      <w:r w:rsidR="00264707" w:rsidRPr="0F1D33A4">
        <w:t xml:space="preserve">a DMPQ </w:t>
      </w:r>
      <w:r w:rsidRPr="0F1D33A4">
        <w:t>$5,152.12 published price, $</w:t>
      </w:r>
      <w:r w:rsidR="00A268DC" w:rsidRPr="00C0236C">
        <w:rPr>
          <w:color w:val="000000"/>
          <w:w w:val="15"/>
          <w:shd w:val="solid" w:color="000000" w:fill="000000"/>
          <w:fitText w:val="-20" w:id="-694973693"/>
          <w14:textFill>
            <w14:solidFill>
              <w14:srgbClr w14:val="000000">
                <w14:alpha w14:val="100000"/>
              </w14:srgbClr>
            </w14:solidFill>
          </w14:textFill>
        </w:rPr>
        <w:t>|</w:t>
      </w:r>
      <w:r w:rsidR="00F87B86" w:rsidRPr="00C0236C">
        <w:rPr>
          <w:color w:val="000000"/>
          <w:w w:val="15"/>
          <w:shd w:val="solid" w:color="000000" w:fill="000000"/>
          <w:fitText w:val="-20" w:id="-694973693"/>
          <w14:textFill>
            <w14:solidFill>
              <w14:srgbClr w14:val="000000">
                <w14:alpha w14:val="100000"/>
              </w14:srgbClr>
            </w14:solidFill>
          </w14:textFill>
        </w:rPr>
        <w:t xml:space="preserve"> </w:t>
      </w:r>
      <w:r w:rsidR="00A268DC" w:rsidRPr="00C0236C">
        <w:rPr>
          <w:color w:val="000000"/>
          <w:spacing w:val="-61"/>
          <w:w w:val="15"/>
          <w:shd w:val="solid" w:color="000000" w:fill="000000"/>
          <w:fitText w:val="-20" w:id="-694973693"/>
          <w14:textFill>
            <w14:solidFill>
              <w14:srgbClr w14:val="000000">
                <w14:alpha w14:val="100000"/>
              </w14:srgbClr>
            </w14:solidFill>
          </w14:textFill>
        </w:rPr>
        <w:t>|</w:t>
      </w:r>
      <w:r w:rsidRPr="0F1D33A4">
        <w:t xml:space="preserve"> effective). </w:t>
      </w:r>
      <w:r w:rsidR="00C47DFC" w:rsidRPr="0F1D33A4">
        <w:t xml:space="preserve">The </w:t>
      </w:r>
      <w:r w:rsidR="00880C06" w:rsidRPr="0F1D33A4">
        <w:t xml:space="preserve">proposed </w:t>
      </w:r>
      <w:r w:rsidR="00C47DFC" w:rsidRPr="0F1D33A4">
        <w:t>effective</w:t>
      </w:r>
      <w:r w:rsidR="00103EBF" w:rsidRPr="0F1D33A4">
        <w:t xml:space="preserve"> ex-manufacturer </w:t>
      </w:r>
      <w:r w:rsidR="00187A91" w:rsidRPr="0F1D33A4">
        <w:t>price</w:t>
      </w:r>
      <w:r w:rsidR="003315D3" w:rsidRPr="0F1D33A4">
        <w:t xml:space="preserve"> </w:t>
      </w:r>
      <w:r w:rsidR="00103EBF" w:rsidRPr="0F1D33A4">
        <w:t>(</w:t>
      </w:r>
      <w:r w:rsidR="00C47DFC" w:rsidRPr="0F1D33A4">
        <w:t>EMP</w:t>
      </w:r>
      <w:r w:rsidR="00103EBF" w:rsidRPr="0F1D33A4">
        <w:t>)</w:t>
      </w:r>
      <w:r w:rsidR="00C47DFC" w:rsidRPr="0F1D33A4">
        <w:t xml:space="preserve"> for PV is </w:t>
      </w:r>
      <w:r w:rsidR="00637D84" w:rsidRPr="00BE3878">
        <w:t>$</w:t>
      </w:r>
      <w:r w:rsidR="00A268DC" w:rsidRPr="00C0236C">
        <w:rPr>
          <w:color w:val="000000"/>
          <w:w w:val="15"/>
          <w:shd w:val="solid" w:color="000000" w:fill="000000"/>
          <w:fitText w:val="-20" w:id="-694973692"/>
          <w14:textFill>
            <w14:solidFill>
              <w14:srgbClr w14:val="000000">
                <w14:alpha w14:val="100000"/>
              </w14:srgbClr>
            </w14:solidFill>
          </w14:textFill>
        </w:rPr>
        <w:t>|</w:t>
      </w:r>
      <w:r w:rsidR="00F87B86" w:rsidRPr="00C0236C">
        <w:rPr>
          <w:color w:val="000000"/>
          <w:w w:val="15"/>
          <w:shd w:val="solid" w:color="000000" w:fill="000000"/>
          <w:fitText w:val="-20" w:id="-694973692"/>
          <w14:textFill>
            <w14:solidFill>
              <w14:srgbClr w14:val="000000">
                <w14:alpha w14:val="100000"/>
              </w14:srgbClr>
            </w14:solidFill>
          </w14:textFill>
        </w:rPr>
        <w:t xml:space="preserve"> </w:t>
      </w:r>
      <w:r w:rsidR="00A268DC" w:rsidRPr="00C0236C">
        <w:rPr>
          <w:color w:val="000000"/>
          <w:spacing w:val="-61"/>
          <w:w w:val="15"/>
          <w:shd w:val="solid" w:color="000000" w:fill="000000"/>
          <w:fitText w:val="-20" w:id="-694973692"/>
          <w14:textFill>
            <w14:solidFill>
              <w14:srgbClr w14:val="000000">
                <w14:alpha w14:val="100000"/>
              </w14:srgbClr>
            </w14:solidFill>
          </w14:textFill>
        </w:rPr>
        <w:t>|</w:t>
      </w:r>
      <w:r w:rsidR="00A7199F" w:rsidRPr="0F1D33A4">
        <w:t xml:space="preserve"> across all strengths</w:t>
      </w:r>
      <w:r w:rsidR="008555AE" w:rsidRPr="0F1D33A4">
        <w:t xml:space="preserve">. The </w:t>
      </w:r>
      <w:r w:rsidR="00787E81" w:rsidRPr="0F1D33A4">
        <w:t>EMPs</w:t>
      </w:r>
      <w:r w:rsidR="00870B55" w:rsidRPr="0F1D33A4">
        <w:t xml:space="preserve"> for</w:t>
      </w:r>
      <w:r w:rsidR="0043198B" w:rsidRPr="0F1D33A4">
        <w:t xml:space="preserve"> the </w:t>
      </w:r>
      <w:r w:rsidR="00004F25" w:rsidRPr="0F1D33A4">
        <w:t xml:space="preserve">current </w:t>
      </w:r>
      <w:r w:rsidRPr="0F1D33A4">
        <w:t xml:space="preserve">MF </w:t>
      </w:r>
      <w:r w:rsidR="00004F25" w:rsidRPr="0F1D33A4">
        <w:t>listing</w:t>
      </w:r>
      <w:r w:rsidR="0027001D" w:rsidRPr="0F1D33A4">
        <w:t>s are</w:t>
      </w:r>
      <w:r w:rsidR="00B00D3D" w:rsidRPr="0F1D33A4">
        <w:t xml:space="preserve"> </w:t>
      </w:r>
      <w:r w:rsidR="00C93054" w:rsidRPr="0F1D33A4">
        <w:t>$</w:t>
      </w:r>
      <w:r w:rsidR="009309CC" w:rsidRPr="00C0236C">
        <w:rPr>
          <w:color w:val="000000"/>
          <w:w w:val="15"/>
          <w:shd w:val="solid" w:color="000000" w:fill="000000"/>
          <w:fitText w:val="-20" w:id="-683986176"/>
          <w14:textFill>
            <w14:solidFill>
              <w14:srgbClr w14:val="000000">
                <w14:alpha w14:val="100000"/>
              </w14:srgbClr>
            </w14:solidFill>
          </w14:textFill>
        </w:rPr>
        <w:t xml:space="preserve">|  </w:t>
      </w:r>
      <w:r w:rsidR="009309CC" w:rsidRPr="00C0236C">
        <w:rPr>
          <w:color w:val="000000"/>
          <w:spacing w:val="-69"/>
          <w:w w:val="15"/>
          <w:shd w:val="solid" w:color="000000" w:fill="000000"/>
          <w:fitText w:val="-20" w:id="-683986176"/>
          <w14:textFill>
            <w14:solidFill>
              <w14:srgbClr w14:val="000000">
                <w14:alpha w14:val="100000"/>
              </w14:srgbClr>
            </w14:solidFill>
          </w14:textFill>
        </w:rPr>
        <w:t>|</w:t>
      </w:r>
      <w:r w:rsidR="00C93054" w:rsidRPr="0F1D33A4">
        <w:t xml:space="preserve"> for the 5 mg </w:t>
      </w:r>
      <w:r w:rsidR="00D3629A" w:rsidRPr="0F1D33A4">
        <w:t>strength</w:t>
      </w:r>
      <w:r w:rsidR="00D05884" w:rsidRPr="0F1D33A4">
        <w:t xml:space="preserve"> and </w:t>
      </w:r>
      <w:r w:rsidR="00917AA9" w:rsidRPr="0F1D33A4">
        <w:t>$</w:t>
      </w:r>
      <w:r w:rsidR="009309CC" w:rsidRPr="00C0236C">
        <w:rPr>
          <w:color w:val="000000"/>
          <w:w w:val="15"/>
          <w:shd w:val="solid" w:color="000000" w:fill="000000"/>
          <w:fitText w:val="-20" w:id="-683986175"/>
          <w14:textFill>
            <w14:solidFill>
              <w14:srgbClr w14:val="000000">
                <w14:alpha w14:val="100000"/>
              </w14:srgbClr>
            </w14:solidFill>
          </w14:textFill>
        </w:rPr>
        <w:t xml:space="preserve">|  </w:t>
      </w:r>
      <w:r w:rsidR="009309CC" w:rsidRPr="00C0236C">
        <w:rPr>
          <w:color w:val="000000"/>
          <w:spacing w:val="-69"/>
          <w:w w:val="15"/>
          <w:shd w:val="solid" w:color="000000" w:fill="000000"/>
          <w:fitText w:val="-20" w:id="-683986175"/>
          <w14:textFill>
            <w14:solidFill>
              <w14:srgbClr w14:val="000000">
                <w14:alpha w14:val="100000"/>
              </w14:srgbClr>
            </w14:solidFill>
          </w14:textFill>
        </w:rPr>
        <w:t>|</w:t>
      </w:r>
      <w:r w:rsidR="00917AA9" w:rsidRPr="0F1D33A4">
        <w:t xml:space="preserve"> for the 10 mg, 15 mg and 20 mg </w:t>
      </w:r>
      <w:r w:rsidR="00D3629A" w:rsidRPr="0F1D33A4">
        <w:t>strengths</w:t>
      </w:r>
      <w:r w:rsidR="007A1882" w:rsidRPr="0F1D33A4">
        <w:t>. The EMPs for</w:t>
      </w:r>
      <w:r w:rsidR="00F87B86">
        <w:t xml:space="preserve"> </w:t>
      </w:r>
      <w:r w:rsidR="00C871EA" w:rsidRPr="0F1D33A4">
        <w:t xml:space="preserve">the </w:t>
      </w:r>
      <w:r w:rsidR="000360B3" w:rsidRPr="0F1D33A4">
        <w:t xml:space="preserve">current acute and chronic GVHD listings are </w:t>
      </w:r>
      <w:r w:rsidR="00532817" w:rsidRPr="0F1D33A4">
        <w:t>$</w:t>
      </w:r>
      <w:r w:rsidR="009309CC" w:rsidRPr="00C0236C">
        <w:rPr>
          <w:color w:val="000000"/>
          <w:w w:val="15"/>
          <w:shd w:val="solid" w:color="000000" w:fill="000000"/>
          <w:fitText w:val="-20" w:id="-683986174"/>
          <w14:textFill>
            <w14:solidFill>
              <w14:srgbClr w14:val="000000">
                <w14:alpha w14:val="100000"/>
              </w14:srgbClr>
            </w14:solidFill>
          </w14:textFill>
        </w:rPr>
        <w:t xml:space="preserve">|  </w:t>
      </w:r>
      <w:r w:rsidR="009309CC" w:rsidRPr="00C0236C">
        <w:rPr>
          <w:color w:val="000000"/>
          <w:spacing w:val="-69"/>
          <w:w w:val="15"/>
          <w:shd w:val="solid" w:color="000000" w:fill="000000"/>
          <w:fitText w:val="-20" w:id="-683986174"/>
          <w14:textFill>
            <w14:solidFill>
              <w14:srgbClr w14:val="000000">
                <w14:alpha w14:val="100000"/>
              </w14:srgbClr>
            </w14:solidFill>
          </w14:textFill>
        </w:rPr>
        <w:t>|</w:t>
      </w:r>
      <w:r w:rsidR="00A614FC" w:rsidRPr="0F1D33A4">
        <w:t xml:space="preserve"> and $</w:t>
      </w:r>
      <w:r w:rsidR="009309CC" w:rsidRPr="00C0236C">
        <w:rPr>
          <w:color w:val="000000"/>
          <w:w w:val="15"/>
          <w:shd w:val="solid" w:color="000000" w:fill="000000"/>
          <w:fitText w:val="-20" w:id="-683986173"/>
          <w14:textFill>
            <w14:solidFill>
              <w14:srgbClr w14:val="000000">
                <w14:alpha w14:val="100000"/>
              </w14:srgbClr>
            </w14:solidFill>
          </w14:textFill>
        </w:rPr>
        <w:t xml:space="preserve">|  </w:t>
      </w:r>
      <w:r w:rsidR="009309CC" w:rsidRPr="00C0236C">
        <w:rPr>
          <w:color w:val="000000"/>
          <w:spacing w:val="-69"/>
          <w:w w:val="15"/>
          <w:shd w:val="solid" w:color="000000" w:fill="000000"/>
          <w:fitText w:val="-20" w:id="-683986173"/>
          <w14:textFill>
            <w14:solidFill>
              <w14:srgbClr w14:val="000000">
                <w14:alpha w14:val="100000"/>
              </w14:srgbClr>
            </w14:solidFill>
          </w14:textFill>
        </w:rPr>
        <w:t>|</w:t>
      </w:r>
      <w:r w:rsidR="00A614FC" w:rsidRPr="0F1D33A4">
        <w:t xml:space="preserve"> respectively for the </w:t>
      </w:r>
      <w:r w:rsidR="00D3629A" w:rsidRPr="0F1D33A4">
        <w:t xml:space="preserve">5 mg </w:t>
      </w:r>
      <w:r w:rsidR="00A614FC" w:rsidRPr="0F1D33A4">
        <w:t xml:space="preserve">strength </w:t>
      </w:r>
      <w:r w:rsidR="00D3629A" w:rsidRPr="0F1D33A4">
        <w:t xml:space="preserve">and </w:t>
      </w:r>
      <w:r w:rsidR="006B5996" w:rsidRPr="0F1D33A4">
        <w:t>$</w:t>
      </w:r>
      <w:r w:rsidR="009309CC" w:rsidRPr="00C0236C">
        <w:rPr>
          <w:color w:val="000000"/>
          <w:w w:val="15"/>
          <w:shd w:val="solid" w:color="000000" w:fill="000000"/>
          <w:fitText w:val="-20" w:id="-683986172"/>
          <w14:textFill>
            <w14:solidFill>
              <w14:srgbClr w14:val="000000">
                <w14:alpha w14:val="100000"/>
              </w14:srgbClr>
            </w14:solidFill>
          </w14:textFill>
        </w:rPr>
        <w:t xml:space="preserve">|  </w:t>
      </w:r>
      <w:r w:rsidR="009309CC" w:rsidRPr="00C0236C">
        <w:rPr>
          <w:color w:val="000000"/>
          <w:spacing w:val="-69"/>
          <w:w w:val="15"/>
          <w:shd w:val="solid" w:color="000000" w:fill="000000"/>
          <w:fitText w:val="-20" w:id="-683986172"/>
          <w14:textFill>
            <w14:solidFill>
              <w14:srgbClr w14:val="000000">
                <w14:alpha w14:val="100000"/>
              </w14:srgbClr>
            </w14:solidFill>
          </w14:textFill>
        </w:rPr>
        <w:t>|</w:t>
      </w:r>
      <w:r w:rsidR="007E5390" w:rsidRPr="0F1D33A4">
        <w:t xml:space="preserve"> </w:t>
      </w:r>
      <w:r w:rsidR="00941494" w:rsidRPr="0F1D33A4">
        <w:t>and $</w:t>
      </w:r>
      <w:r w:rsidR="009309CC" w:rsidRPr="00C0236C">
        <w:rPr>
          <w:color w:val="000000"/>
          <w:w w:val="15"/>
          <w:shd w:val="solid" w:color="000000" w:fill="000000"/>
          <w:fitText w:val="-20" w:id="-683986171"/>
          <w14:textFill>
            <w14:solidFill>
              <w14:srgbClr w14:val="000000">
                <w14:alpha w14:val="100000"/>
              </w14:srgbClr>
            </w14:solidFill>
          </w14:textFill>
        </w:rPr>
        <w:t xml:space="preserve">|  </w:t>
      </w:r>
      <w:r w:rsidR="009309CC" w:rsidRPr="00C0236C">
        <w:rPr>
          <w:color w:val="000000"/>
          <w:spacing w:val="-69"/>
          <w:w w:val="15"/>
          <w:shd w:val="solid" w:color="000000" w:fill="000000"/>
          <w:fitText w:val="-20" w:id="-683986171"/>
          <w14:textFill>
            <w14:solidFill>
              <w14:srgbClr w14:val="000000">
                <w14:alpha w14:val="100000"/>
              </w14:srgbClr>
            </w14:solidFill>
          </w14:textFill>
        </w:rPr>
        <w:t>|</w:t>
      </w:r>
      <w:r w:rsidR="00941494" w:rsidRPr="0F1D33A4">
        <w:t xml:space="preserve"> </w:t>
      </w:r>
      <w:r w:rsidR="008F1C68" w:rsidRPr="0F1D33A4">
        <w:t xml:space="preserve">respectively </w:t>
      </w:r>
      <w:r w:rsidR="00941494" w:rsidRPr="0F1D33A4">
        <w:t xml:space="preserve">for the </w:t>
      </w:r>
      <w:r w:rsidR="00D3629A" w:rsidRPr="0F1D33A4">
        <w:t xml:space="preserve">10 mg </w:t>
      </w:r>
      <w:r w:rsidR="008F1C68" w:rsidRPr="0F1D33A4">
        <w:t>strength</w:t>
      </w:r>
      <w:r w:rsidR="00214A14" w:rsidRPr="0F1D33A4">
        <w:t>.</w:t>
      </w:r>
      <w:r w:rsidR="00C70752">
        <w:t xml:space="preserve"> The pre-PBAC response </w:t>
      </w:r>
      <w:r w:rsidR="008146A2">
        <w:t>offered a reduced EMP of $</w:t>
      </w:r>
      <w:r w:rsidR="00A268DC" w:rsidRPr="00C0236C">
        <w:rPr>
          <w:color w:val="000000"/>
          <w:w w:val="15"/>
          <w:shd w:val="solid" w:color="000000" w:fill="000000"/>
          <w:fitText w:val="-20" w:id="-694973691"/>
          <w14:textFill>
            <w14:solidFill>
              <w14:srgbClr w14:val="000000">
                <w14:alpha w14:val="100000"/>
              </w14:srgbClr>
            </w14:solidFill>
          </w14:textFill>
        </w:rPr>
        <w:t>|</w:t>
      </w:r>
      <w:r w:rsidR="00F87B86" w:rsidRPr="00C0236C">
        <w:rPr>
          <w:color w:val="000000"/>
          <w:w w:val="15"/>
          <w:shd w:val="solid" w:color="000000" w:fill="000000"/>
          <w:fitText w:val="-20" w:id="-694973691"/>
          <w14:textFill>
            <w14:solidFill>
              <w14:srgbClr w14:val="000000">
                <w14:alpha w14:val="100000"/>
              </w14:srgbClr>
            </w14:solidFill>
          </w14:textFill>
        </w:rPr>
        <w:t xml:space="preserve"> </w:t>
      </w:r>
      <w:r w:rsidR="00A268DC" w:rsidRPr="00C0236C">
        <w:rPr>
          <w:color w:val="000000"/>
          <w:spacing w:val="-61"/>
          <w:w w:val="15"/>
          <w:shd w:val="solid" w:color="000000" w:fill="000000"/>
          <w:fitText w:val="-20" w:id="-694973691"/>
          <w14:textFill>
            <w14:solidFill>
              <w14:srgbClr w14:val="000000">
                <w14:alpha w14:val="100000"/>
              </w14:srgbClr>
            </w14:solidFill>
          </w14:textFill>
        </w:rPr>
        <w:t>|</w:t>
      </w:r>
      <w:r w:rsidR="002F1FA1">
        <w:t xml:space="preserve"> for PV across all strengths.</w:t>
      </w:r>
      <w:bookmarkEnd w:id="17"/>
      <w:r w:rsidR="00F87B86">
        <w:t xml:space="preserve"> </w:t>
      </w:r>
    </w:p>
    <w:p w14:paraId="37B6FFEB" w14:textId="76711969" w:rsidR="00F92E7E" w:rsidRPr="006124A7" w:rsidRDefault="00F92E7E" w:rsidP="00F92E7E">
      <w:pPr>
        <w:pStyle w:val="3-BodyText"/>
      </w:pPr>
      <w:r w:rsidRPr="0F1D33A4">
        <w:t>Most patients receiving ruxolitinib would be expected to require a moderate rate of month-to-month dose adjustments over the long term. Hence, patients would likely need more than one tablet strength dispensed (most likely a second script for the 5 mg strength) in order to manage these adjustments. The most common reasons for dose adjustment are anaemia, thrombocytopenia, and pruritus (as observed in the RESPONSE trial).</w:t>
      </w:r>
    </w:p>
    <w:p w14:paraId="0284A65A" w14:textId="6B604CCB" w:rsidR="00F92E7E" w:rsidRPr="006124A7" w:rsidRDefault="00F92E7E" w:rsidP="00F92E7E">
      <w:pPr>
        <w:pStyle w:val="3-BodyText"/>
      </w:pPr>
      <w:r w:rsidRPr="0F1D33A4">
        <w:t>The resubmission proposed a continuation at 12 months (instead of the previously used 6 months) based on the MAJIC trial, where patients who achieved a complete response (CR) or partial response (PR)</w:t>
      </w:r>
      <w:r w:rsidRPr="0F1D33A4">
        <w:rPr>
          <w:vertAlign w:val="superscript"/>
        </w:rPr>
        <w:footnoteReference w:id="2"/>
      </w:r>
      <w:r w:rsidRPr="0F1D33A4">
        <w:t xml:space="preserve"> with ruxolitinib within the first 12 months continued the treatment as long as at least a </w:t>
      </w:r>
      <w:r w:rsidR="002176FE" w:rsidRPr="0F1D33A4">
        <w:t>PR</w:t>
      </w:r>
      <w:r w:rsidRPr="0F1D33A4">
        <w:t xml:space="preserve"> was maintained. </w:t>
      </w:r>
      <w:r w:rsidR="00C6003D" w:rsidRPr="0F1D33A4">
        <w:t>Evidence from the MAJIC trial showed that 90 patients (97%) in the ruxolitinib arm achieved an overall response by the 12-month analysis (</w:t>
      </w:r>
      <w:r w:rsidR="00C6003D">
        <w:fldChar w:fldCharType="begin" w:fldLock="1"/>
      </w:r>
      <w:r w:rsidR="00C6003D">
        <w:instrText xml:space="preserve"> REF _Ref184741655 \h  \* MERGEFORMAT </w:instrText>
      </w:r>
      <w:r w:rsidR="00C6003D">
        <w:fldChar w:fldCharType="separate"/>
      </w:r>
      <w:r w:rsidR="00C244E7" w:rsidRPr="00C244E7">
        <w:t>Table 5</w:t>
      </w:r>
      <w:r w:rsidR="00C6003D">
        <w:fldChar w:fldCharType="end"/>
      </w:r>
      <w:r w:rsidR="00C6003D" w:rsidRPr="0F1D33A4">
        <w:t xml:space="preserve">). </w:t>
      </w:r>
      <w:r w:rsidR="0052253F" w:rsidRPr="0F1D33A4">
        <w:t>The resubmission</w:t>
      </w:r>
      <w:r w:rsidRPr="0F1D33A4">
        <w:t xml:space="preserve"> also argued that the full ELN (European LeukemiaNet) response criteria were too restrictive for clinical </w:t>
      </w:r>
      <w:r w:rsidRPr="0F1D33A4">
        <w:lastRenderedPageBreak/>
        <w:t xml:space="preserve">practice, as they were designed for clinical trials. Therefore, the proposed response criteria include meeting at least one of the following: haematocrit (HCT) &lt; 45% without </w:t>
      </w:r>
      <w:r w:rsidR="007E6797" w:rsidRPr="0F1D33A4">
        <w:t>venesection</w:t>
      </w:r>
      <w:r w:rsidRPr="0F1D33A4">
        <w:t xml:space="preserve"> for 3 months; platelet count ≤ 400 x 10^9/L; or absence of palpable splenomegaly.</w:t>
      </w:r>
      <w:r w:rsidR="00F2207F" w:rsidRPr="0F1D33A4">
        <w:t xml:space="preserve"> </w:t>
      </w:r>
    </w:p>
    <w:p w14:paraId="35EE8537" w14:textId="6C9DA584" w:rsidR="00F92E7E" w:rsidRPr="006124A7" w:rsidRDefault="00F92E7E" w:rsidP="00F92E7E">
      <w:pPr>
        <w:pStyle w:val="3-BodyText"/>
      </w:pPr>
      <w:r w:rsidRPr="0F1D33A4">
        <w:t xml:space="preserve">The proposed response criteria for treatment continuation include the wording ‘absence of palpable splenomegaly’ which was proposed as an alternative for ‘normal spleen size on imaging’ given that imaging for splenomegaly is not routinely performed in clinical practice. </w:t>
      </w:r>
      <w:r w:rsidR="00AC679A" w:rsidRPr="0F1D33A4">
        <w:t>White blood cell (</w:t>
      </w:r>
      <w:r w:rsidRPr="0F1D33A4">
        <w:t>WBC</w:t>
      </w:r>
      <w:r w:rsidR="00AC679A" w:rsidRPr="0F1D33A4">
        <w:t>)</w:t>
      </w:r>
      <w:r w:rsidRPr="0F1D33A4">
        <w:t xml:space="preserve"> counts were also excluded from the response criteria. These changes are consistent with feedback from PBAC on the previous submission (para</w:t>
      </w:r>
      <w:r w:rsidR="000B7678">
        <w:t>graph</w:t>
      </w:r>
      <w:r w:rsidRPr="0F1D33A4">
        <w:t xml:space="preserve"> 7.2, ruxolitinib,</w:t>
      </w:r>
      <w:r w:rsidR="00BB767F" w:rsidRPr="00BB767F">
        <w:t xml:space="preserve"> public summary document</w:t>
      </w:r>
      <w:r w:rsidRPr="0F1D33A4">
        <w:t xml:space="preserve"> </w:t>
      </w:r>
      <w:r w:rsidR="00BB767F">
        <w:t>(</w:t>
      </w:r>
      <w:r w:rsidRPr="0F1D33A4">
        <w:t>PSD</w:t>
      </w:r>
      <w:r w:rsidR="00BB767F">
        <w:t>)</w:t>
      </w:r>
      <w:r w:rsidRPr="0F1D33A4">
        <w:t>, November 2019 PBAC meeting).</w:t>
      </w:r>
    </w:p>
    <w:p w14:paraId="1A796381" w14:textId="77777777" w:rsidR="00F92E7E" w:rsidRPr="006124A7" w:rsidRDefault="00F92E7E" w:rsidP="00F92E7E">
      <w:pPr>
        <w:pStyle w:val="3-BodyText"/>
      </w:pPr>
      <w:bookmarkStart w:id="18" w:name="_Ref185083884"/>
      <w:r w:rsidRPr="0F1D33A4">
        <w:t>Based on the proposed continuation criteria, PV patients would need up to 12 months treatment under the initial treatment restriction. As it is currently worded, a patient would only be able to access a single script offering six months treatment in the initial treatment phase (given the criterion “Patient must not have previously received PBS-subsidised treatment with this drug for this condition”).</w:t>
      </w:r>
      <w:bookmarkEnd w:id="18"/>
    </w:p>
    <w:p w14:paraId="7E23FDD0" w14:textId="564FCC69" w:rsidR="00F92E7E" w:rsidRDefault="00F92E7E" w:rsidP="00F92E7E">
      <w:pPr>
        <w:pStyle w:val="3-BodyText"/>
      </w:pPr>
      <w:r w:rsidRPr="0F1D33A4">
        <w:t xml:space="preserve">No grandfathering restriction was requested (compared with the previous submission which requested a grandfather restriction for the first year of listing). </w:t>
      </w:r>
      <w:r w:rsidR="00230E4E" w:rsidRPr="0F1D33A4">
        <w:t>The submission</w:t>
      </w:r>
      <w:r w:rsidR="00025E04" w:rsidRPr="0F1D33A4">
        <w:t xml:space="preserve"> anticipated that there would be approximately </w:t>
      </w:r>
      <w:r w:rsidR="00C81EB5">
        <w:t>&lt;500</w:t>
      </w:r>
      <w:r w:rsidR="00C81EB5" w:rsidRPr="0F1D33A4">
        <w:t xml:space="preserve"> </w:t>
      </w:r>
      <w:r w:rsidR="00230E4E" w:rsidRPr="0F1D33A4">
        <w:t xml:space="preserve">adult PV patients who would be expected </w:t>
      </w:r>
      <w:r w:rsidR="0050537D" w:rsidRPr="0F1D33A4">
        <w:t>to receive ruxolitinib prior to listing on the</w:t>
      </w:r>
      <w:r w:rsidR="00D42947" w:rsidRPr="0F1D33A4">
        <w:t xml:space="preserve"> </w:t>
      </w:r>
      <w:r w:rsidR="0050537D" w:rsidRPr="0F1D33A4">
        <w:t>PBS.</w:t>
      </w:r>
      <w:r w:rsidR="00F87B86">
        <w:t xml:space="preserve"> </w:t>
      </w:r>
    </w:p>
    <w:p w14:paraId="139561AA" w14:textId="7B27ECFC" w:rsidR="004932E5" w:rsidRPr="004932E5" w:rsidRDefault="004932E5" w:rsidP="004932E5">
      <w:pPr>
        <w:pStyle w:val="3-BodyText"/>
        <w:numPr>
          <w:ilvl w:val="0"/>
          <w:numId w:val="0"/>
        </w:numPr>
        <w:ind w:firstLine="720"/>
        <w:rPr>
          <w:i/>
          <w:iCs/>
        </w:rPr>
      </w:pPr>
      <w:r w:rsidRPr="004932E5">
        <w:rPr>
          <w:i/>
          <w:iCs/>
        </w:rPr>
        <w:t>For more detail on PBAC’s view, see section 7 PBAC outcome.</w:t>
      </w:r>
    </w:p>
    <w:p w14:paraId="5B055D43" w14:textId="3C1FBAFE" w:rsidR="00EE0963" w:rsidRPr="006124A7" w:rsidDel="00195452" w:rsidRDefault="00EE0963" w:rsidP="00EE0963">
      <w:pPr>
        <w:pStyle w:val="2-SectionHeading"/>
      </w:pPr>
      <w:bookmarkStart w:id="19" w:name="_Toc188348783"/>
      <w:bookmarkStart w:id="20" w:name="_Toc184797839"/>
      <w:r w:rsidRPr="006124A7" w:rsidDel="00195452">
        <w:t>Population and disease</w:t>
      </w:r>
      <w:bookmarkEnd w:id="19"/>
    </w:p>
    <w:bookmarkEnd w:id="20"/>
    <w:p w14:paraId="44D078EC" w14:textId="77777777" w:rsidR="00767E8A" w:rsidRPr="006124A7" w:rsidRDefault="00767E8A" w:rsidP="00767E8A">
      <w:pPr>
        <w:pStyle w:val="3-BodyText"/>
      </w:pPr>
      <w:r w:rsidRPr="0F1D33A4">
        <w:t>PV is myeloproliferative neoplasm (MPN) characterised by proliferation of one or more of the lineages in the bone marrow, mainly the erythroid lineage (causing erythrocytosis), but also that of granulocytes (leukocytosis) and megakaryocytes (thrombocytosis). Cell proliferation is accompanied by overproduction of inflammatory cytokines which results in a chronic inflammatory state. Splenomegaly can result from sequestration of excess cells in the spleen.</w:t>
      </w:r>
    </w:p>
    <w:p w14:paraId="1EA66E97" w14:textId="1A4B7B97" w:rsidR="00767E8A" w:rsidRPr="006124A7" w:rsidRDefault="00767E8A" w:rsidP="00767E8A">
      <w:pPr>
        <w:pStyle w:val="3-BodyText"/>
      </w:pPr>
      <w:r w:rsidRPr="0F1D33A4">
        <w:t xml:space="preserve">The main features of PV – erythrocytosis and thrombosis risk – are managed with regular </w:t>
      </w:r>
      <w:r w:rsidR="00C92060" w:rsidRPr="0F1D33A4">
        <w:t>venesection</w:t>
      </w:r>
      <w:r w:rsidR="00C92060" w:rsidRPr="0F1D33A4" w:rsidDel="00C92060">
        <w:t xml:space="preserve"> </w:t>
      </w:r>
      <w:r w:rsidRPr="0F1D33A4">
        <w:t>and low dose aspirin. A subset of PV patients defined as high risk</w:t>
      </w:r>
      <w:r w:rsidRPr="0F1D33A4">
        <w:rPr>
          <w:rStyle w:val="FootnoteReference"/>
        </w:rPr>
        <w:footnoteReference w:id="3"/>
      </w:r>
      <w:r w:rsidRPr="0F1D33A4">
        <w:t xml:space="preserve"> will require cytoreductive therapy to manage their symptoms. PV in high risk patients is accompanied by debilitating symptoms and increased risk of thrombosis and cardiovascular events. Other key features are pruritus and constitutional symptoms (pain, migraine and fatigue). PV patients also experience anaemia and haemorrhages. </w:t>
      </w:r>
    </w:p>
    <w:p w14:paraId="71ED5D5C" w14:textId="137A33AD" w:rsidR="00767E8A" w:rsidRPr="006124A7" w:rsidRDefault="00767E8A" w:rsidP="00767E8A">
      <w:pPr>
        <w:pStyle w:val="3-BodyText"/>
      </w:pPr>
      <w:r w:rsidRPr="0F1D33A4">
        <w:t xml:space="preserve">PV may eventually terminate in bone marrow failure due to MF, or transformation to acute myeloid leukaemia (AML). The twenty-year rate of transformation to MF is approximately 16% and to AML is 4%. For a haematological malignancy, PV is a relatively long-lived disease with a median survival in low-risk patients reported as </w:t>
      </w:r>
      <w:r w:rsidRPr="0F1D33A4">
        <w:lastRenderedPageBreak/>
        <w:t>27.8 years. However, survival in high-risk patients has been reported as median 10.9 years (Tefferi et al</w:t>
      </w:r>
      <w:r w:rsidR="00201627" w:rsidRPr="0F1D33A4">
        <w:t>.</w:t>
      </w:r>
      <w:r w:rsidRPr="0F1D33A4">
        <w:t xml:space="preserve">, 2013). </w:t>
      </w:r>
    </w:p>
    <w:p w14:paraId="014CBAD8" w14:textId="79425851" w:rsidR="00767E8A" w:rsidRPr="006124A7" w:rsidRDefault="00767E8A" w:rsidP="00767E8A">
      <w:pPr>
        <w:pStyle w:val="3-BodyText"/>
      </w:pPr>
      <w:r w:rsidRPr="0F1D33A4">
        <w:t xml:space="preserve">The most commonly used cytoreductive agents are HC/HU and peginterferon α-2a. About 10–15% of patients with PV who are treated with HC/HU develop an intolerance to the drug. The resubmission did not provide a figure for the proportion of patients who are likely to have failed peginterferon α-2a. Patients who have failed both these agents have a high symptom burden but limited treatment options. </w:t>
      </w:r>
    </w:p>
    <w:p w14:paraId="1CABE0D2" w14:textId="4C3510EC" w:rsidR="00767E8A" w:rsidRDefault="00767E8A" w:rsidP="00767E8A">
      <w:pPr>
        <w:pStyle w:val="3-BodyText"/>
      </w:pPr>
      <w:r w:rsidRPr="0F1D33A4">
        <w:t>For the previous submission, PBAC considered that the place in therapy for ruxolitinib should be for patients who have failed treatment with other available therapies (namely HC/HU or peginterferon α-2a) and/or for those with extreme pruritus or symptoms of splenomegaly (</w:t>
      </w:r>
      <w:r w:rsidR="00FF513F" w:rsidRPr="0F1D33A4">
        <w:t>p</w:t>
      </w:r>
      <w:r w:rsidRPr="0F1D33A4">
        <w:t xml:space="preserve">ara 7.3, </w:t>
      </w:r>
      <w:r w:rsidR="00445DCC" w:rsidRPr="0F1D33A4">
        <w:t>ruxolitinib, PSD,</w:t>
      </w:r>
      <w:r w:rsidRPr="0F1D33A4">
        <w:t xml:space="preserve"> Nov</w:t>
      </w:r>
      <w:r w:rsidR="00445DCC" w:rsidRPr="0F1D33A4">
        <w:t>ember</w:t>
      </w:r>
      <w:r w:rsidRPr="0F1D33A4">
        <w:t xml:space="preserve"> 2019 </w:t>
      </w:r>
      <w:r w:rsidR="00445DCC" w:rsidRPr="0F1D33A4">
        <w:t>PBAC meeting</w:t>
      </w:r>
      <w:r w:rsidRPr="0F1D33A4">
        <w:t>).</w:t>
      </w:r>
      <w:r w:rsidR="00736C4C" w:rsidRPr="0F1D33A4">
        <w:t xml:space="preserve"> </w:t>
      </w:r>
      <w:r w:rsidRPr="0F1D33A4">
        <w:t>Current National Comprehensive Cancer Network (NCCN) recommendations (the most commonly used guidelines in Australia for treatment of MPNs</w:t>
      </w:r>
      <w:r w:rsidR="00AA2582" w:rsidRPr="0F1D33A4">
        <w:t>)</w:t>
      </w:r>
      <w:r w:rsidRPr="0F1D33A4">
        <w:t xml:space="preserve"> describe both HC/HU and peginterferon α-2a as equally preferred regimens without distinguishing between them (whereas ruxolitinib is considered “useful in certain circumstances” only). </w:t>
      </w:r>
    </w:p>
    <w:p w14:paraId="2F1E957B" w14:textId="529FD02E" w:rsidR="00D52085" w:rsidRDefault="00D52085" w:rsidP="00D52085">
      <w:pPr>
        <w:pStyle w:val="3-BodyText"/>
      </w:pPr>
      <w:r w:rsidRPr="006124A7">
        <w:t>Ruxolitinib is an oral protein kinase inhibitor of Janus Associated Kinases (JAK), JAK1 and JAK2. In normal bone marrow, JAK signalling mediates cytokines and growth factors that are important for haematopoiesis and immune function. Ruxolitinib binds to the kinase domain of JAK1 and JAK2, thus inhibiting signalling and in turn myeloid cell proliferation (Harrison et al., 2012).</w:t>
      </w:r>
    </w:p>
    <w:p w14:paraId="00FBAF40" w14:textId="48A58D5C" w:rsidR="004932E5" w:rsidRPr="004932E5" w:rsidRDefault="004932E5" w:rsidP="004932E5">
      <w:pPr>
        <w:pStyle w:val="3-BodyText"/>
        <w:numPr>
          <w:ilvl w:val="0"/>
          <w:numId w:val="0"/>
        </w:numPr>
        <w:ind w:left="720"/>
        <w:rPr>
          <w:i/>
          <w:iCs/>
        </w:rPr>
      </w:pPr>
      <w:r w:rsidRPr="004932E5">
        <w:rPr>
          <w:i/>
          <w:iCs/>
        </w:rPr>
        <w:t>For more detail on PBAC’s view, see section 7 PBAC outcome.</w:t>
      </w:r>
    </w:p>
    <w:p w14:paraId="30CBB5EB" w14:textId="1386CFFE" w:rsidR="007A5AF0" w:rsidRPr="006124A7" w:rsidRDefault="007A5AF0" w:rsidP="007A5AF0">
      <w:pPr>
        <w:pStyle w:val="2-SectionHeading"/>
      </w:pPr>
      <w:bookmarkStart w:id="21" w:name="_Toc184797840"/>
      <w:bookmarkStart w:id="22" w:name="_Toc188348784"/>
      <w:r w:rsidRPr="006124A7">
        <w:t>Comparator</w:t>
      </w:r>
      <w:bookmarkEnd w:id="21"/>
      <w:bookmarkEnd w:id="22"/>
    </w:p>
    <w:p w14:paraId="05565285" w14:textId="42109A05" w:rsidR="00F56132" w:rsidRPr="006124A7" w:rsidRDefault="00F56132" w:rsidP="00F56132">
      <w:pPr>
        <w:pStyle w:val="3-BodyText"/>
      </w:pPr>
      <w:r w:rsidRPr="0F1D33A4">
        <w:rPr>
          <w:snapToGrid w:val="0"/>
        </w:rPr>
        <w:t>The resubmission nominated BAT as the comparator. This was accepted by PBAC for the previous submission and remain</w:t>
      </w:r>
      <w:r w:rsidR="00FF26CA" w:rsidRPr="0F1D33A4">
        <w:rPr>
          <w:snapToGrid w:val="0"/>
        </w:rPr>
        <w:t>ed</w:t>
      </w:r>
      <w:r w:rsidRPr="0F1D33A4">
        <w:rPr>
          <w:snapToGrid w:val="0"/>
        </w:rPr>
        <w:t xml:space="preserve"> unchanged.</w:t>
      </w:r>
    </w:p>
    <w:p w14:paraId="5BA87D66" w14:textId="336F4BF4" w:rsidR="00F56132" w:rsidRPr="006124A7" w:rsidRDefault="00F56132" w:rsidP="00F56132">
      <w:pPr>
        <w:pStyle w:val="3-BodyText"/>
      </w:pPr>
      <w:r w:rsidRPr="0F1D33A4">
        <w:rPr>
          <w:snapToGrid w:val="0"/>
        </w:rPr>
        <w:t>For the previous submission, PBAC noted that peginterferon α-2a use as a proportion of BAT was likely to be considerably lower than HC/HU, i.e. less than 50% (</w:t>
      </w:r>
      <w:r w:rsidR="00C21FF3" w:rsidRPr="0F1D33A4">
        <w:rPr>
          <w:snapToGrid w:val="0"/>
        </w:rPr>
        <w:t>p</w:t>
      </w:r>
      <w:r w:rsidRPr="0F1D33A4">
        <w:rPr>
          <w:snapToGrid w:val="0"/>
        </w:rPr>
        <w:t xml:space="preserve">ara 7.4, </w:t>
      </w:r>
      <w:r w:rsidR="00A56F09" w:rsidRPr="0F1D33A4">
        <w:rPr>
          <w:snapToGrid w:val="0"/>
        </w:rPr>
        <w:t xml:space="preserve">ruxolitinib, PSD, </w:t>
      </w:r>
      <w:r w:rsidRPr="0F1D33A4">
        <w:rPr>
          <w:snapToGrid w:val="0"/>
        </w:rPr>
        <w:t>Nov</w:t>
      </w:r>
      <w:r w:rsidR="00A56F09" w:rsidRPr="0F1D33A4">
        <w:rPr>
          <w:snapToGrid w:val="0"/>
        </w:rPr>
        <w:t>ember</w:t>
      </w:r>
      <w:r w:rsidRPr="0F1D33A4">
        <w:rPr>
          <w:snapToGrid w:val="0"/>
        </w:rPr>
        <w:t xml:space="preserve"> 2019 </w:t>
      </w:r>
      <w:r w:rsidR="00A56F09" w:rsidRPr="0F1D33A4">
        <w:rPr>
          <w:snapToGrid w:val="0"/>
        </w:rPr>
        <w:t>PBAC meeting</w:t>
      </w:r>
      <w:r w:rsidRPr="0F1D33A4">
        <w:rPr>
          <w:snapToGrid w:val="0"/>
        </w:rPr>
        <w:t>). However, changes in peginterferon α-2a use have occurred since 2019.</w:t>
      </w:r>
    </w:p>
    <w:p w14:paraId="69DF9E06" w14:textId="77777777" w:rsidR="00F56132" w:rsidRPr="006124A7" w:rsidRDefault="00F56132" w:rsidP="00F56132">
      <w:pPr>
        <w:pStyle w:val="3-BodyText"/>
        <w:rPr>
          <w:snapToGrid w:val="0"/>
        </w:rPr>
      </w:pPr>
      <w:bookmarkStart w:id="23" w:name="_Ref187662972"/>
      <w:r w:rsidRPr="006124A7">
        <w:rPr>
          <w:snapToGrid w:val="0"/>
        </w:rPr>
        <w:t>Based on engagement with consultant haematologists during the evaluation, it was understood that peginterferon α-2a use may have increased, driven by two factors:</w:t>
      </w:r>
      <w:bookmarkEnd w:id="23"/>
      <w:r w:rsidRPr="006124A7">
        <w:rPr>
          <w:snapToGrid w:val="0"/>
        </w:rPr>
        <w:t xml:space="preserve"> </w:t>
      </w:r>
    </w:p>
    <w:p w14:paraId="147E6696" w14:textId="77777777" w:rsidR="00385BCB" w:rsidRDefault="00F56132" w:rsidP="00722AE0">
      <w:pPr>
        <w:numPr>
          <w:ilvl w:val="0"/>
          <w:numId w:val="10"/>
        </w:numPr>
        <w:spacing w:before="60" w:after="60"/>
        <w:ind w:left="993"/>
        <w:rPr>
          <w:rFonts w:asciiTheme="minorHAnsi" w:eastAsiaTheme="minorEastAsia" w:hAnsiTheme="minorHAnsi" w:cstheme="minorBidi"/>
        </w:rPr>
      </w:pPr>
      <w:r w:rsidRPr="00385BCB">
        <w:rPr>
          <w:rFonts w:asciiTheme="minorHAnsi" w:eastAsiaTheme="minorEastAsia" w:hAnsiTheme="minorHAnsi" w:cstheme="minorBidi"/>
        </w:rPr>
        <w:t>The change in PBS listing of peginterferon α-2a to an unrestricted benefit in August 2018 making it more accessible for this indication</w:t>
      </w:r>
    </w:p>
    <w:p w14:paraId="180C8E38" w14:textId="592FA94A" w:rsidR="00F56132" w:rsidRPr="00385BCB" w:rsidRDefault="00F56132" w:rsidP="00722AE0">
      <w:pPr>
        <w:numPr>
          <w:ilvl w:val="0"/>
          <w:numId w:val="10"/>
        </w:numPr>
        <w:spacing w:before="60" w:after="60"/>
        <w:ind w:left="993"/>
        <w:rPr>
          <w:rFonts w:asciiTheme="minorHAnsi" w:eastAsiaTheme="minorEastAsia" w:hAnsiTheme="minorHAnsi" w:cstheme="minorBidi"/>
        </w:rPr>
      </w:pPr>
      <w:r w:rsidRPr="00385BCB">
        <w:rPr>
          <w:rFonts w:asciiTheme="minorHAnsi" w:eastAsiaTheme="minorEastAsia" w:hAnsiTheme="minorHAnsi" w:cstheme="minorBidi"/>
        </w:rPr>
        <w:lastRenderedPageBreak/>
        <w:t>Publication of clinical studies suggesting that peginterferon α-2a may confer a survival benefit and reduction in risk of transformation to MF (Abu-Zeinah et al, 2021; Kiladjian et al</w:t>
      </w:r>
      <w:r w:rsidR="00201627" w:rsidRPr="00385BCB">
        <w:rPr>
          <w:rFonts w:asciiTheme="minorHAnsi" w:eastAsiaTheme="minorEastAsia" w:hAnsiTheme="minorHAnsi" w:cstheme="minorBidi"/>
        </w:rPr>
        <w:t>.</w:t>
      </w:r>
      <w:r w:rsidRPr="00385BCB">
        <w:rPr>
          <w:rFonts w:asciiTheme="minorHAnsi" w:eastAsiaTheme="minorEastAsia" w:hAnsiTheme="minorHAnsi" w:cstheme="minorBidi"/>
        </w:rPr>
        <w:t>, 2022; Gisslinger et al</w:t>
      </w:r>
      <w:r w:rsidR="00201627" w:rsidRPr="00385BCB">
        <w:rPr>
          <w:rFonts w:asciiTheme="minorHAnsi" w:eastAsiaTheme="minorEastAsia" w:hAnsiTheme="minorHAnsi" w:cstheme="minorBidi"/>
        </w:rPr>
        <w:t>.</w:t>
      </w:r>
      <w:r w:rsidRPr="00385BCB">
        <w:rPr>
          <w:rFonts w:asciiTheme="minorHAnsi" w:eastAsiaTheme="minorEastAsia" w:hAnsiTheme="minorHAnsi" w:cstheme="minorBidi"/>
        </w:rPr>
        <w:t>, 2023)</w:t>
      </w:r>
      <w:r w:rsidRPr="0F1D33A4">
        <w:rPr>
          <w:rFonts w:asciiTheme="minorHAnsi" w:eastAsiaTheme="minorEastAsia" w:hAnsiTheme="minorHAnsi" w:cstheme="minorBidi"/>
          <w:vertAlign w:val="superscript"/>
        </w:rPr>
        <w:footnoteReference w:id="4"/>
      </w:r>
      <w:r w:rsidRPr="00385BCB">
        <w:rPr>
          <w:rFonts w:asciiTheme="minorHAnsi" w:eastAsiaTheme="minorEastAsia" w:hAnsiTheme="minorHAnsi" w:cstheme="minorBidi"/>
        </w:rPr>
        <w:t xml:space="preserve">. </w:t>
      </w:r>
    </w:p>
    <w:p w14:paraId="34B8B025" w14:textId="77777777" w:rsidR="00F56132" w:rsidRPr="004932E5" w:rsidRDefault="00F56132" w:rsidP="00F56132">
      <w:pPr>
        <w:pStyle w:val="3-BodyText"/>
      </w:pPr>
      <w:r w:rsidRPr="0F1D33A4">
        <w:rPr>
          <w:snapToGrid w:val="0"/>
        </w:rPr>
        <w:t xml:space="preserve">The resubmission noted the sponsor’s PV Advisory Board (comprising three Australian consultant haematologists) advised that peginterferon α-2a use in clinical practice is lower than HC/HU, at approximately 20% – 30% of patients diagnosed with PV (who require cytoreductive therapy). The resubmission’s economic model used an assumption of 47% peginterferon α-2a as a proportion of BAT based on treatment distribution in the BAT arm of the MAJIC trial. </w:t>
      </w:r>
    </w:p>
    <w:p w14:paraId="5E91E1EF" w14:textId="2FFE8D24" w:rsidR="004932E5" w:rsidRPr="004932E5" w:rsidRDefault="004932E5" w:rsidP="004932E5">
      <w:pPr>
        <w:pStyle w:val="3-BodyText"/>
        <w:numPr>
          <w:ilvl w:val="0"/>
          <w:numId w:val="0"/>
        </w:numPr>
        <w:ind w:left="720"/>
        <w:rPr>
          <w:i/>
          <w:iCs/>
        </w:rPr>
      </w:pPr>
      <w:r w:rsidRPr="004932E5">
        <w:rPr>
          <w:i/>
          <w:iCs/>
        </w:rPr>
        <w:t>For more detail on PBAC’s view, see section 7 PBAC outcome.</w:t>
      </w:r>
    </w:p>
    <w:p w14:paraId="736C737F" w14:textId="3AEFEF76" w:rsidR="00B93578" w:rsidRPr="006124A7" w:rsidRDefault="00B93578" w:rsidP="00B93578">
      <w:pPr>
        <w:pStyle w:val="2-SectionHeading"/>
      </w:pPr>
      <w:bookmarkStart w:id="24" w:name="_Toc184797841"/>
      <w:bookmarkStart w:id="25" w:name="_Toc188348785"/>
      <w:r w:rsidRPr="006124A7">
        <w:t>Consideration of the evidence</w:t>
      </w:r>
      <w:bookmarkEnd w:id="24"/>
      <w:bookmarkEnd w:id="25"/>
    </w:p>
    <w:p w14:paraId="3703250D" w14:textId="77777777" w:rsidR="00B13D5D" w:rsidRPr="006E1229" w:rsidRDefault="00B13D5D" w:rsidP="00B13D5D">
      <w:pPr>
        <w:pStyle w:val="4-SubsectionHeading"/>
        <w:rPr>
          <w:lang w:eastAsia="en-AU"/>
        </w:rPr>
      </w:pPr>
      <w:bookmarkStart w:id="26" w:name="_Hlk76375935"/>
      <w:bookmarkStart w:id="27" w:name="_Toc184797842"/>
      <w:bookmarkStart w:id="28" w:name="_Toc188348786"/>
      <w:r w:rsidRPr="006E1229">
        <w:t>Sponsor</w:t>
      </w:r>
      <w:r w:rsidRPr="006E1229">
        <w:rPr>
          <w:lang w:eastAsia="en-AU"/>
        </w:rPr>
        <w:t xml:space="preserve"> hearing</w:t>
      </w:r>
    </w:p>
    <w:p w14:paraId="6072F0A2" w14:textId="1945B08F" w:rsidR="00B13D5D" w:rsidRPr="00655885" w:rsidRDefault="00B13D5D" w:rsidP="009E06E3">
      <w:pPr>
        <w:widowControl w:val="0"/>
        <w:numPr>
          <w:ilvl w:val="1"/>
          <w:numId w:val="5"/>
        </w:numPr>
        <w:spacing w:after="120"/>
        <w:rPr>
          <w:rFonts w:asciiTheme="minorHAnsi" w:hAnsiTheme="minorHAnsi"/>
          <w:bCs/>
          <w:snapToGrid w:val="0"/>
        </w:rPr>
      </w:pPr>
      <w:bookmarkStart w:id="29" w:name="_Ref194228865"/>
      <w:bookmarkStart w:id="30" w:name="_Hlk76382586"/>
      <w:r w:rsidRPr="00836F75">
        <w:rPr>
          <w:rFonts w:asciiTheme="minorHAnsi" w:hAnsiTheme="minorHAnsi"/>
          <w:bCs/>
          <w:snapToGrid w:val="0"/>
        </w:rPr>
        <w:t>The sponsor requested a hearing for this item.</w:t>
      </w:r>
      <w:r w:rsidR="00F87B86">
        <w:rPr>
          <w:rFonts w:asciiTheme="minorHAnsi" w:hAnsiTheme="minorHAnsi"/>
          <w:bCs/>
          <w:snapToGrid w:val="0"/>
        </w:rPr>
        <w:t xml:space="preserve"> </w:t>
      </w:r>
      <w:r w:rsidRPr="00836F75">
        <w:rPr>
          <w:rFonts w:asciiTheme="minorHAnsi" w:hAnsiTheme="minorHAnsi"/>
          <w:bCs/>
          <w:snapToGrid w:val="0"/>
        </w:rPr>
        <w:t>The clinician discussed the natural history of the disease</w:t>
      </w:r>
      <w:r w:rsidR="001578FF">
        <w:rPr>
          <w:rFonts w:asciiTheme="minorHAnsi" w:hAnsiTheme="minorHAnsi"/>
          <w:bCs/>
          <w:snapToGrid w:val="0"/>
        </w:rPr>
        <w:t xml:space="preserve"> </w:t>
      </w:r>
      <w:r w:rsidR="00D35E47">
        <w:rPr>
          <w:rFonts w:asciiTheme="minorHAnsi" w:hAnsiTheme="minorHAnsi"/>
          <w:bCs/>
          <w:snapToGrid w:val="0"/>
        </w:rPr>
        <w:t xml:space="preserve">and the </w:t>
      </w:r>
      <w:r w:rsidR="009316EC">
        <w:rPr>
          <w:rFonts w:asciiTheme="minorHAnsi" w:hAnsiTheme="minorHAnsi"/>
          <w:bCs/>
          <w:snapToGrid w:val="0"/>
        </w:rPr>
        <w:t>benefit</w:t>
      </w:r>
      <w:r w:rsidR="007F7224">
        <w:rPr>
          <w:rFonts w:asciiTheme="minorHAnsi" w:hAnsiTheme="minorHAnsi"/>
          <w:bCs/>
          <w:snapToGrid w:val="0"/>
        </w:rPr>
        <w:t>s</w:t>
      </w:r>
      <w:r w:rsidR="009316EC">
        <w:rPr>
          <w:rFonts w:asciiTheme="minorHAnsi" w:hAnsiTheme="minorHAnsi"/>
          <w:bCs/>
          <w:snapToGrid w:val="0"/>
        </w:rPr>
        <w:t xml:space="preserve"> of ruxolitinib shown in the trial</w:t>
      </w:r>
      <w:r>
        <w:rPr>
          <w:rFonts w:asciiTheme="minorHAnsi" w:hAnsiTheme="minorHAnsi"/>
          <w:bCs/>
          <w:snapToGrid w:val="0"/>
        </w:rPr>
        <w:t>.</w:t>
      </w:r>
      <w:r w:rsidR="00EA0438">
        <w:rPr>
          <w:rFonts w:asciiTheme="minorHAnsi" w:hAnsiTheme="minorHAnsi"/>
          <w:bCs/>
          <w:snapToGrid w:val="0"/>
        </w:rPr>
        <w:t xml:space="preserve"> </w:t>
      </w:r>
      <w:r w:rsidR="004E0FCF">
        <w:rPr>
          <w:rFonts w:asciiTheme="minorHAnsi" w:hAnsiTheme="minorHAnsi"/>
          <w:bCs/>
          <w:snapToGrid w:val="0"/>
        </w:rPr>
        <w:t xml:space="preserve">The </w:t>
      </w:r>
      <w:r w:rsidR="00801745">
        <w:rPr>
          <w:rFonts w:asciiTheme="minorHAnsi" w:hAnsiTheme="minorHAnsi"/>
          <w:bCs/>
          <w:snapToGrid w:val="0"/>
        </w:rPr>
        <w:t xml:space="preserve">clinician </w:t>
      </w:r>
      <w:r w:rsidR="00EF36DD">
        <w:rPr>
          <w:rFonts w:asciiTheme="minorHAnsi" w:hAnsiTheme="minorHAnsi"/>
          <w:bCs/>
          <w:snapToGrid w:val="0"/>
        </w:rPr>
        <w:t>noted</w:t>
      </w:r>
      <w:r w:rsidR="00051B56">
        <w:rPr>
          <w:rFonts w:asciiTheme="minorHAnsi" w:hAnsiTheme="minorHAnsi"/>
          <w:bCs/>
          <w:snapToGrid w:val="0"/>
        </w:rPr>
        <w:t xml:space="preserve"> that a higher proportion of patients treated with ruxolitinib in the MAJIC </w:t>
      </w:r>
      <w:r w:rsidR="00EF36DD">
        <w:rPr>
          <w:rFonts w:asciiTheme="minorHAnsi" w:hAnsiTheme="minorHAnsi"/>
          <w:bCs/>
          <w:snapToGrid w:val="0"/>
        </w:rPr>
        <w:t xml:space="preserve">trial achieved a </w:t>
      </w:r>
      <w:r w:rsidR="005D5B66">
        <w:rPr>
          <w:rFonts w:asciiTheme="minorHAnsi" w:hAnsiTheme="minorHAnsi"/>
          <w:bCs/>
          <w:snapToGrid w:val="0"/>
        </w:rPr>
        <w:t xml:space="preserve">molecular response (defined as a </w:t>
      </w:r>
      <w:r w:rsidR="003F55F8">
        <w:rPr>
          <w:rFonts w:asciiTheme="minorHAnsi" w:hAnsiTheme="minorHAnsi"/>
          <w:bCs/>
          <w:snapToGrid w:val="0"/>
        </w:rPr>
        <w:t xml:space="preserve">&gt;50% reduction in </w:t>
      </w:r>
      <w:r w:rsidR="00C556EC">
        <w:t>JAK2V61F variant allele fraction</w:t>
      </w:r>
      <w:r w:rsidR="003F55F8">
        <w:rPr>
          <w:rFonts w:asciiTheme="minorHAnsi" w:hAnsiTheme="minorHAnsi"/>
          <w:bCs/>
          <w:snapToGrid w:val="0"/>
        </w:rPr>
        <w:t>)</w:t>
      </w:r>
      <w:r w:rsidR="004426E5">
        <w:rPr>
          <w:rFonts w:asciiTheme="minorHAnsi" w:hAnsiTheme="minorHAnsi"/>
          <w:bCs/>
          <w:snapToGrid w:val="0"/>
        </w:rPr>
        <w:t xml:space="preserve"> and </w:t>
      </w:r>
      <w:r w:rsidR="00A03D80">
        <w:rPr>
          <w:rFonts w:asciiTheme="minorHAnsi" w:hAnsiTheme="minorHAnsi"/>
          <w:bCs/>
          <w:snapToGrid w:val="0"/>
        </w:rPr>
        <w:t xml:space="preserve">stated that risk reduction is </w:t>
      </w:r>
      <w:r w:rsidR="006031EA">
        <w:rPr>
          <w:rFonts w:asciiTheme="minorHAnsi" w:hAnsiTheme="minorHAnsi"/>
          <w:bCs/>
          <w:snapToGrid w:val="0"/>
        </w:rPr>
        <w:t xml:space="preserve">likely </w:t>
      </w:r>
      <w:r w:rsidR="00A03D80">
        <w:rPr>
          <w:rFonts w:asciiTheme="minorHAnsi" w:hAnsiTheme="minorHAnsi"/>
          <w:bCs/>
          <w:snapToGrid w:val="0"/>
        </w:rPr>
        <w:t>greater in those who achieve a molecular response</w:t>
      </w:r>
      <w:r w:rsidR="003F55F8">
        <w:rPr>
          <w:rFonts w:asciiTheme="minorHAnsi" w:hAnsiTheme="minorHAnsi"/>
          <w:bCs/>
          <w:snapToGrid w:val="0"/>
        </w:rPr>
        <w:t>.</w:t>
      </w:r>
      <w:r w:rsidR="00C975D1">
        <w:rPr>
          <w:rStyle w:val="FootnoteReference"/>
          <w:rFonts w:asciiTheme="minorHAnsi" w:hAnsiTheme="minorHAnsi"/>
          <w:bCs/>
          <w:snapToGrid w:val="0"/>
        </w:rPr>
        <w:footnoteReference w:id="5"/>
      </w:r>
      <w:r w:rsidR="007F37E3">
        <w:rPr>
          <w:rFonts w:asciiTheme="minorHAnsi" w:hAnsiTheme="minorHAnsi"/>
          <w:bCs/>
          <w:snapToGrid w:val="0"/>
        </w:rPr>
        <w:t xml:space="preserve"> </w:t>
      </w:r>
      <w:r w:rsidR="000258F2" w:rsidRPr="008B2386">
        <w:rPr>
          <w:rFonts w:asciiTheme="minorHAnsi" w:hAnsiTheme="minorHAnsi"/>
          <w:bCs/>
          <w:snapToGrid w:val="0"/>
        </w:rPr>
        <w:t xml:space="preserve">The clinician </w:t>
      </w:r>
      <w:r w:rsidR="000549A3" w:rsidRPr="008B2386">
        <w:rPr>
          <w:rFonts w:asciiTheme="minorHAnsi" w:hAnsiTheme="minorHAnsi"/>
          <w:bCs/>
          <w:snapToGrid w:val="0"/>
        </w:rPr>
        <w:t>stated</w:t>
      </w:r>
      <w:r w:rsidR="00743FA9" w:rsidRPr="008B2386">
        <w:rPr>
          <w:rFonts w:asciiTheme="minorHAnsi" w:hAnsiTheme="minorHAnsi"/>
          <w:bCs/>
          <w:snapToGrid w:val="0"/>
        </w:rPr>
        <w:t xml:space="preserve"> that </w:t>
      </w:r>
      <w:r w:rsidR="00743FA9" w:rsidRPr="008B2386">
        <w:rPr>
          <w:snapToGrid w:val="0"/>
        </w:rPr>
        <w:t xml:space="preserve">peginterferon α-2a was </w:t>
      </w:r>
      <w:r w:rsidR="000549A3" w:rsidRPr="008B2386">
        <w:rPr>
          <w:snapToGrid w:val="0"/>
        </w:rPr>
        <w:t xml:space="preserve">more likely to be used than </w:t>
      </w:r>
      <w:r w:rsidR="00DA6A7A">
        <w:rPr>
          <w:snapToGrid w:val="0"/>
        </w:rPr>
        <w:t>HC/HU</w:t>
      </w:r>
      <w:r w:rsidR="000549A3" w:rsidRPr="008B2386">
        <w:rPr>
          <w:snapToGrid w:val="0"/>
        </w:rPr>
        <w:t xml:space="preserve"> in younger patients </w:t>
      </w:r>
      <w:r w:rsidR="00D94123" w:rsidRPr="008B2386">
        <w:rPr>
          <w:snapToGrid w:val="0"/>
        </w:rPr>
        <w:t xml:space="preserve">and raised the possibility of ruxolitinib being used second-line </w:t>
      </w:r>
      <w:r w:rsidR="003D3F24" w:rsidRPr="008B2386">
        <w:rPr>
          <w:snapToGrid w:val="0"/>
        </w:rPr>
        <w:t>for such patients.</w:t>
      </w:r>
      <w:bookmarkEnd w:id="29"/>
      <w:r w:rsidR="008B2386">
        <w:rPr>
          <w:snapToGrid w:val="0"/>
        </w:rPr>
        <w:t xml:space="preserve"> </w:t>
      </w:r>
      <w:bookmarkEnd w:id="30"/>
    </w:p>
    <w:p w14:paraId="348669B8" w14:textId="77777777" w:rsidR="00B13D5D" w:rsidRPr="006E1229" w:rsidRDefault="00B13D5D" w:rsidP="00B13D5D">
      <w:pPr>
        <w:pStyle w:val="4-SubsectionHeading"/>
        <w:rPr>
          <w:lang w:eastAsia="en-AU"/>
        </w:rPr>
      </w:pPr>
      <w:r w:rsidRPr="006E1229">
        <w:t>Consumer</w:t>
      </w:r>
      <w:r w:rsidRPr="006E1229">
        <w:rPr>
          <w:lang w:eastAsia="en-AU"/>
        </w:rPr>
        <w:t xml:space="preserve"> comments</w:t>
      </w:r>
    </w:p>
    <w:p w14:paraId="2BC94542" w14:textId="3B2F2760" w:rsidR="005D6DEF" w:rsidRPr="005D6DEF" w:rsidRDefault="00B13D5D" w:rsidP="009E06E3">
      <w:pPr>
        <w:widowControl w:val="0"/>
        <w:numPr>
          <w:ilvl w:val="1"/>
          <w:numId w:val="5"/>
        </w:numPr>
        <w:spacing w:after="120"/>
        <w:rPr>
          <w:rFonts w:asciiTheme="minorHAnsi" w:hAnsiTheme="minorHAnsi"/>
          <w:bCs/>
          <w:snapToGrid w:val="0"/>
        </w:rPr>
      </w:pPr>
      <w:bookmarkStart w:id="31" w:name="_Hlk76382618"/>
      <w:r w:rsidRPr="00836F75">
        <w:rPr>
          <w:rFonts w:asciiTheme="minorHAnsi" w:hAnsiTheme="minorHAnsi"/>
          <w:bCs/>
          <w:snapToGrid w:val="0"/>
        </w:rPr>
        <w:t>The PBAC noted and welcomed the input from individuals (</w:t>
      </w:r>
      <w:r w:rsidR="00CA4DD6">
        <w:rPr>
          <w:rFonts w:asciiTheme="minorHAnsi" w:hAnsiTheme="minorHAnsi"/>
          <w:bCs/>
          <w:snapToGrid w:val="0"/>
        </w:rPr>
        <w:t>11</w:t>
      </w:r>
      <w:r w:rsidRPr="00836F75">
        <w:rPr>
          <w:rFonts w:asciiTheme="minorHAnsi" w:hAnsiTheme="minorHAnsi"/>
          <w:bCs/>
          <w:snapToGrid w:val="0"/>
        </w:rPr>
        <w:t>), health care professionals (1) and organisations (</w:t>
      </w:r>
      <w:r w:rsidR="00CA4DD6">
        <w:rPr>
          <w:rFonts w:asciiTheme="minorHAnsi" w:hAnsiTheme="minorHAnsi"/>
          <w:bCs/>
          <w:snapToGrid w:val="0"/>
        </w:rPr>
        <w:t>3</w:t>
      </w:r>
      <w:r w:rsidRPr="00836F75">
        <w:rPr>
          <w:rFonts w:asciiTheme="minorHAnsi" w:hAnsiTheme="minorHAnsi"/>
          <w:bCs/>
          <w:snapToGrid w:val="0"/>
        </w:rPr>
        <w:t>) via the Consumer Comments facility on the PBS website.</w:t>
      </w:r>
      <w:r w:rsidR="00F87B86">
        <w:rPr>
          <w:rFonts w:asciiTheme="minorHAnsi" w:hAnsiTheme="minorHAnsi"/>
          <w:bCs/>
          <w:snapToGrid w:val="0"/>
        </w:rPr>
        <w:t xml:space="preserve"> </w:t>
      </w:r>
      <w:r w:rsidR="00B11217">
        <w:rPr>
          <w:rFonts w:asciiTheme="minorHAnsi" w:hAnsiTheme="minorHAnsi"/>
          <w:bCs/>
          <w:snapToGrid w:val="0"/>
        </w:rPr>
        <w:t xml:space="preserve">The </w:t>
      </w:r>
      <w:r w:rsidR="008F47E2">
        <w:rPr>
          <w:rFonts w:asciiTheme="minorHAnsi" w:hAnsiTheme="minorHAnsi"/>
          <w:bCs/>
          <w:snapToGrid w:val="0"/>
        </w:rPr>
        <w:t xml:space="preserve">PBAC noted the comments from individuals who would like to access the medicine to treat their own health condition </w:t>
      </w:r>
      <w:r w:rsidR="00FB18E7">
        <w:rPr>
          <w:rFonts w:asciiTheme="minorHAnsi" w:hAnsiTheme="minorHAnsi"/>
          <w:bCs/>
          <w:snapToGrid w:val="0"/>
        </w:rPr>
        <w:t>described</w:t>
      </w:r>
      <w:r w:rsidR="003067C1">
        <w:rPr>
          <w:rFonts w:asciiTheme="minorHAnsi" w:hAnsiTheme="minorHAnsi"/>
          <w:bCs/>
          <w:snapToGrid w:val="0"/>
        </w:rPr>
        <w:t xml:space="preserve"> the </w:t>
      </w:r>
      <w:r w:rsidR="0082546D">
        <w:rPr>
          <w:rFonts w:asciiTheme="minorHAnsi" w:hAnsiTheme="minorHAnsi"/>
          <w:bCs/>
          <w:snapToGrid w:val="0"/>
        </w:rPr>
        <w:t xml:space="preserve">impact of PV on their </w:t>
      </w:r>
      <w:r w:rsidR="00A55E1D">
        <w:rPr>
          <w:rFonts w:asciiTheme="minorHAnsi" w:hAnsiTheme="minorHAnsi"/>
          <w:bCs/>
          <w:snapToGrid w:val="0"/>
        </w:rPr>
        <w:t>quality of life (QoL)</w:t>
      </w:r>
      <w:r w:rsidR="00A86046">
        <w:rPr>
          <w:rFonts w:asciiTheme="minorHAnsi" w:hAnsiTheme="minorHAnsi"/>
          <w:bCs/>
          <w:snapToGrid w:val="0"/>
        </w:rPr>
        <w:t xml:space="preserve"> and the </w:t>
      </w:r>
      <w:r w:rsidR="00FC5655">
        <w:rPr>
          <w:rFonts w:asciiTheme="minorHAnsi" w:hAnsiTheme="minorHAnsi"/>
          <w:bCs/>
          <w:snapToGrid w:val="0"/>
        </w:rPr>
        <w:t xml:space="preserve">contribution of side-effects from currently available </w:t>
      </w:r>
      <w:r w:rsidR="00FC5655">
        <w:rPr>
          <w:rFonts w:asciiTheme="minorHAnsi" w:hAnsiTheme="minorHAnsi"/>
          <w:bCs/>
          <w:snapToGrid w:val="0"/>
        </w:rPr>
        <w:lastRenderedPageBreak/>
        <w:t xml:space="preserve">treatments </w:t>
      </w:r>
      <w:r w:rsidR="004B6883">
        <w:rPr>
          <w:rFonts w:asciiTheme="minorHAnsi" w:hAnsiTheme="minorHAnsi"/>
          <w:bCs/>
          <w:snapToGrid w:val="0"/>
        </w:rPr>
        <w:t xml:space="preserve">on reducing QoL. </w:t>
      </w:r>
      <w:r w:rsidR="005D599B">
        <w:rPr>
          <w:rFonts w:asciiTheme="minorHAnsi" w:hAnsiTheme="minorHAnsi"/>
          <w:bCs/>
          <w:snapToGrid w:val="0"/>
        </w:rPr>
        <w:t xml:space="preserve">The </w:t>
      </w:r>
      <w:r w:rsidR="008E56B8">
        <w:rPr>
          <w:rFonts w:asciiTheme="minorHAnsi" w:hAnsiTheme="minorHAnsi"/>
          <w:bCs/>
          <w:snapToGrid w:val="0"/>
        </w:rPr>
        <w:t xml:space="preserve">comments </w:t>
      </w:r>
      <w:r w:rsidR="000557C7">
        <w:rPr>
          <w:rFonts w:asciiTheme="minorHAnsi" w:hAnsiTheme="minorHAnsi"/>
          <w:bCs/>
          <w:snapToGrid w:val="0"/>
        </w:rPr>
        <w:t>also noted</w:t>
      </w:r>
      <w:r w:rsidR="00042099">
        <w:rPr>
          <w:rFonts w:asciiTheme="minorHAnsi" w:hAnsiTheme="minorHAnsi"/>
          <w:bCs/>
          <w:snapToGrid w:val="0"/>
        </w:rPr>
        <w:t xml:space="preserve"> the time and cost burden on patients needing to travel from rural areas for ven</w:t>
      </w:r>
      <w:r w:rsidR="003C0C3F">
        <w:rPr>
          <w:rFonts w:asciiTheme="minorHAnsi" w:hAnsiTheme="minorHAnsi"/>
          <w:bCs/>
          <w:snapToGrid w:val="0"/>
        </w:rPr>
        <w:t xml:space="preserve">esections and to see specialists. </w:t>
      </w:r>
      <w:r w:rsidR="008C5E44">
        <w:rPr>
          <w:rFonts w:asciiTheme="minorHAnsi" w:hAnsiTheme="minorHAnsi"/>
          <w:bCs/>
          <w:snapToGrid w:val="0"/>
        </w:rPr>
        <w:t xml:space="preserve">The comments </w:t>
      </w:r>
      <w:r w:rsidR="000557C7">
        <w:rPr>
          <w:rFonts w:asciiTheme="minorHAnsi" w:hAnsiTheme="minorHAnsi"/>
          <w:bCs/>
          <w:snapToGrid w:val="0"/>
        </w:rPr>
        <w:t>from individuals</w:t>
      </w:r>
      <w:r w:rsidR="00527886">
        <w:rPr>
          <w:rFonts w:asciiTheme="minorHAnsi" w:hAnsiTheme="minorHAnsi"/>
          <w:bCs/>
          <w:snapToGrid w:val="0"/>
        </w:rPr>
        <w:t xml:space="preserve"> noted </w:t>
      </w:r>
      <w:r w:rsidR="006F1BA6">
        <w:rPr>
          <w:rFonts w:asciiTheme="minorHAnsi" w:hAnsiTheme="minorHAnsi"/>
          <w:bCs/>
          <w:snapToGrid w:val="0"/>
        </w:rPr>
        <w:t xml:space="preserve">potential </w:t>
      </w:r>
      <w:r w:rsidR="00527886">
        <w:rPr>
          <w:rFonts w:asciiTheme="minorHAnsi" w:hAnsiTheme="minorHAnsi"/>
          <w:bCs/>
          <w:snapToGrid w:val="0"/>
        </w:rPr>
        <w:t xml:space="preserve">supply concerns with </w:t>
      </w:r>
      <w:r w:rsidR="00527886">
        <w:rPr>
          <w:snapToGrid w:val="0"/>
        </w:rPr>
        <w:t xml:space="preserve">peginterferon </w:t>
      </w:r>
      <w:r w:rsidR="00527886" w:rsidRPr="008B2386">
        <w:rPr>
          <w:snapToGrid w:val="0"/>
        </w:rPr>
        <w:t>α-2a</w:t>
      </w:r>
      <w:r w:rsidR="001E1FB1">
        <w:rPr>
          <w:snapToGrid w:val="0"/>
        </w:rPr>
        <w:t xml:space="preserve"> </w:t>
      </w:r>
      <w:r w:rsidR="009275F1">
        <w:rPr>
          <w:snapToGrid w:val="0"/>
        </w:rPr>
        <w:t xml:space="preserve">and highlighted the need for </w:t>
      </w:r>
      <w:r w:rsidR="006F1BA6">
        <w:rPr>
          <w:snapToGrid w:val="0"/>
        </w:rPr>
        <w:t xml:space="preserve">alternative treatment options. </w:t>
      </w:r>
      <w:r w:rsidR="002028C8">
        <w:rPr>
          <w:snapToGrid w:val="0"/>
        </w:rPr>
        <w:t xml:space="preserve">The input from individuals with the condition and their families described the </w:t>
      </w:r>
      <w:r w:rsidR="00F03FCC">
        <w:rPr>
          <w:snapToGrid w:val="0"/>
        </w:rPr>
        <w:t xml:space="preserve">advantages of ruxolitinib being in tablet form </w:t>
      </w:r>
      <w:r w:rsidR="008836E9">
        <w:rPr>
          <w:snapToGrid w:val="0"/>
        </w:rPr>
        <w:t xml:space="preserve">as opposed to </w:t>
      </w:r>
      <w:r w:rsidR="00965A51">
        <w:rPr>
          <w:snapToGrid w:val="0"/>
        </w:rPr>
        <w:t xml:space="preserve">peginterferon </w:t>
      </w:r>
      <w:r w:rsidR="00965A51" w:rsidRPr="008B2386">
        <w:rPr>
          <w:snapToGrid w:val="0"/>
        </w:rPr>
        <w:t>α-2a</w:t>
      </w:r>
      <w:r w:rsidR="00965A51">
        <w:rPr>
          <w:snapToGrid w:val="0"/>
        </w:rPr>
        <w:t xml:space="preserve"> which is an injection that needs to be </w:t>
      </w:r>
      <w:r w:rsidR="006A2735">
        <w:rPr>
          <w:snapToGrid w:val="0"/>
        </w:rPr>
        <w:t xml:space="preserve">kept cold. </w:t>
      </w:r>
      <w:r w:rsidR="008A63F5">
        <w:rPr>
          <w:snapToGrid w:val="0"/>
        </w:rPr>
        <w:t xml:space="preserve">Input from a health care professional </w:t>
      </w:r>
      <w:r w:rsidR="00E52D3C">
        <w:rPr>
          <w:snapToGrid w:val="0"/>
        </w:rPr>
        <w:t>who ha</w:t>
      </w:r>
      <w:r w:rsidR="00EA5A2C">
        <w:rPr>
          <w:snapToGrid w:val="0"/>
        </w:rPr>
        <w:t>d</w:t>
      </w:r>
      <w:r w:rsidR="00E52D3C">
        <w:rPr>
          <w:snapToGrid w:val="0"/>
        </w:rPr>
        <w:t xml:space="preserve"> experience in treating patients with ruxolitinib f</w:t>
      </w:r>
      <w:r w:rsidR="008F22F2">
        <w:rPr>
          <w:snapToGrid w:val="0"/>
        </w:rPr>
        <w:t>or PV described benefits in terms of reduced complication rates (such as clots)</w:t>
      </w:r>
      <w:r w:rsidR="00A14578">
        <w:rPr>
          <w:snapToGrid w:val="0"/>
        </w:rPr>
        <w:t xml:space="preserve"> and improvements in symptom burden</w:t>
      </w:r>
      <w:r w:rsidR="00362704">
        <w:rPr>
          <w:snapToGrid w:val="0"/>
        </w:rPr>
        <w:t>.</w:t>
      </w:r>
      <w:r w:rsidR="00F87B86">
        <w:rPr>
          <w:snapToGrid w:val="0"/>
        </w:rPr>
        <w:t xml:space="preserve"> </w:t>
      </w:r>
    </w:p>
    <w:p w14:paraId="03B39CA3" w14:textId="3EC878A6" w:rsidR="009A3711" w:rsidRDefault="006A2735" w:rsidP="009E06E3">
      <w:pPr>
        <w:widowControl w:val="0"/>
        <w:numPr>
          <w:ilvl w:val="1"/>
          <w:numId w:val="5"/>
        </w:numPr>
        <w:spacing w:after="120"/>
        <w:rPr>
          <w:rFonts w:asciiTheme="minorHAnsi" w:hAnsiTheme="minorHAnsi"/>
          <w:bCs/>
          <w:snapToGrid w:val="0"/>
        </w:rPr>
      </w:pPr>
      <w:r>
        <w:rPr>
          <w:rFonts w:asciiTheme="minorHAnsi" w:hAnsiTheme="minorHAnsi"/>
          <w:bCs/>
          <w:snapToGrid w:val="0"/>
        </w:rPr>
        <w:t xml:space="preserve">Input from the </w:t>
      </w:r>
      <w:r w:rsidR="00514F26">
        <w:rPr>
          <w:rFonts w:asciiTheme="minorHAnsi" w:hAnsiTheme="minorHAnsi"/>
          <w:bCs/>
          <w:snapToGrid w:val="0"/>
        </w:rPr>
        <w:t>Leuk</w:t>
      </w:r>
      <w:r w:rsidR="00FB4F3D">
        <w:rPr>
          <w:rFonts w:asciiTheme="minorHAnsi" w:hAnsiTheme="minorHAnsi"/>
          <w:bCs/>
          <w:snapToGrid w:val="0"/>
        </w:rPr>
        <w:t>a</w:t>
      </w:r>
      <w:r w:rsidR="00514F26">
        <w:rPr>
          <w:rFonts w:asciiTheme="minorHAnsi" w:hAnsiTheme="minorHAnsi"/>
          <w:bCs/>
          <w:snapToGrid w:val="0"/>
        </w:rPr>
        <w:t>emia Foundation</w:t>
      </w:r>
      <w:r w:rsidR="00120DCD">
        <w:rPr>
          <w:rFonts w:asciiTheme="minorHAnsi" w:hAnsiTheme="minorHAnsi"/>
          <w:bCs/>
          <w:snapToGrid w:val="0"/>
        </w:rPr>
        <w:t xml:space="preserve"> </w:t>
      </w:r>
      <w:r w:rsidR="00756263">
        <w:rPr>
          <w:rFonts w:asciiTheme="minorHAnsi" w:hAnsiTheme="minorHAnsi"/>
          <w:bCs/>
          <w:snapToGrid w:val="0"/>
        </w:rPr>
        <w:t xml:space="preserve">stated that current BAT </w:t>
      </w:r>
      <w:r w:rsidR="00CD1C02">
        <w:rPr>
          <w:rFonts w:asciiTheme="minorHAnsi" w:hAnsiTheme="minorHAnsi"/>
          <w:bCs/>
          <w:snapToGrid w:val="0"/>
        </w:rPr>
        <w:t>is largely focused on prevention of thrombosis with more options needed that treat the underlying cause of the disease</w:t>
      </w:r>
      <w:r w:rsidR="00AC4356">
        <w:rPr>
          <w:rFonts w:asciiTheme="minorHAnsi" w:hAnsiTheme="minorHAnsi"/>
          <w:bCs/>
          <w:snapToGrid w:val="0"/>
        </w:rPr>
        <w:t xml:space="preserve">. </w:t>
      </w:r>
      <w:r w:rsidR="0049648A">
        <w:rPr>
          <w:rFonts w:asciiTheme="minorHAnsi" w:hAnsiTheme="minorHAnsi"/>
          <w:bCs/>
          <w:snapToGrid w:val="0"/>
        </w:rPr>
        <w:t xml:space="preserve">The Leukaemia Foundation input noted that ruxolitinib has shown efficacy in </w:t>
      </w:r>
      <w:r w:rsidR="009D67B5">
        <w:rPr>
          <w:rFonts w:asciiTheme="minorHAnsi" w:hAnsiTheme="minorHAnsi"/>
          <w:bCs/>
          <w:snapToGrid w:val="0"/>
        </w:rPr>
        <w:t xml:space="preserve">reducing spleen volume, controlling haematocrit and improving symptoms of disease by directly targeting JAK1 and JAK2 signalling pathways. </w:t>
      </w:r>
    </w:p>
    <w:p w14:paraId="6E20379A" w14:textId="5F63ED8C" w:rsidR="00A26389" w:rsidRDefault="003F69A1" w:rsidP="009E06E3">
      <w:pPr>
        <w:widowControl w:val="0"/>
        <w:numPr>
          <w:ilvl w:val="1"/>
          <w:numId w:val="5"/>
        </w:numPr>
        <w:spacing w:after="120"/>
        <w:rPr>
          <w:rFonts w:asciiTheme="minorHAnsi" w:hAnsiTheme="minorHAnsi"/>
          <w:bCs/>
          <w:snapToGrid w:val="0"/>
        </w:rPr>
      </w:pPr>
      <w:r>
        <w:rPr>
          <w:rFonts w:asciiTheme="minorHAnsi" w:hAnsiTheme="minorHAnsi"/>
          <w:bCs/>
          <w:snapToGrid w:val="0"/>
        </w:rPr>
        <w:t>Input</w:t>
      </w:r>
      <w:r w:rsidR="00A26389" w:rsidRPr="00AE1B7B">
        <w:rPr>
          <w:rFonts w:asciiTheme="minorHAnsi" w:hAnsiTheme="minorHAnsi"/>
          <w:bCs/>
          <w:snapToGrid w:val="0"/>
        </w:rPr>
        <w:t xml:space="preserve"> from MPN Alliance Australia </w:t>
      </w:r>
      <w:r>
        <w:rPr>
          <w:rFonts w:asciiTheme="minorHAnsi" w:hAnsiTheme="minorHAnsi"/>
          <w:bCs/>
          <w:snapToGrid w:val="0"/>
        </w:rPr>
        <w:t xml:space="preserve">described </w:t>
      </w:r>
      <w:r w:rsidR="006337CC">
        <w:rPr>
          <w:rFonts w:asciiTheme="minorHAnsi" w:hAnsiTheme="minorHAnsi"/>
          <w:bCs/>
          <w:snapToGrid w:val="0"/>
        </w:rPr>
        <w:t>the impact of PV on patient</w:t>
      </w:r>
      <w:r w:rsidR="00E22C74">
        <w:rPr>
          <w:rFonts w:asciiTheme="minorHAnsi" w:hAnsiTheme="minorHAnsi"/>
          <w:bCs/>
          <w:snapToGrid w:val="0"/>
        </w:rPr>
        <w:t>’</w:t>
      </w:r>
      <w:r w:rsidR="006337CC">
        <w:rPr>
          <w:rFonts w:asciiTheme="minorHAnsi" w:hAnsiTheme="minorHAnsi"/>
          <w:bCs/>
          <w:snapToGrid w:val="0"/>
        </w:rPr>
        <w:t>s</w:t>
      </w:r>
      <w:r w:rsidR="00E22C74">
        <w:rPr>
          <w:rFonts w:asciiTheme="minorHAnsi" w:hAnsiTheme="minorHAnsi"/>
          <w:bCs/>
          <w:snapToGrid w:val="0"/>
        </w:rPr>
        <w:t xml:space="preserve"> QoL,</w:t>
      </w:r>
      <w:r w:rsidR="006337CC">
        <w:rPr>
          <w:rFonts w:asciiTheme="minorHAnsi" w:hAnsiTheme="minorHAnsi"/>
          <w:bCs/>
          <w:snapToGrid w:val="0"/>
        </w:rPr>
        <w:t xml:space="preserve"> including the fear that </w:t>
      </w:r>
      <w:r w:rsidR="005E6FD0">
        <w:rPr>
          <w:rFonts w:asciiTheme="minorHAnsi" w:hAnsiTheme="minorHAnsi"/>
          <w:bCs/>
          <w:snapToGrid w:val="0"/>
        </w:rPr>
        <w:t xml:space="preserve">their disease will progress to MF or AML. </w:t>
      </w:r>
      <w:r w:rsidR="00EF2727">
        <w:rPr>
          <w:rFonts w:asciiTheme="minorHAnsi" w:hAnsiTheme="minorHAnsi"/>
          <w:bCs/>
          <w:snapToGrid w:val="0"/>
        </w:rPr>
        <w:t xml:space="preserve">The </w:t>
      </w:r>
      <w:r w:rsidR="008735A6">
        <w:rPr>
          <w:rFonts w:asciiTheme="minorHAnsi" w:hAnsiTheme="minorHAnsi"/>
          <w:bCs/>
          <w:snapToGrid w:val="0"/>
        </w:rPr>
        <w:t>input described patients experiences with current treatment options</w:t>
      </w:r>
      <w:r w:rsidR="00E22C74">
        <w:rPr>
          <w:rFonts w:asciiTheme="minorHAnsi" w:hAnsiTheme="minorHAnsi"/>
          <w:bCs/>
          <w:snapToGrid w:val="0"/>
        </w:rPr>
        <w:t xml:space="preserve"> and</w:t>
      </w:r>
      <w:r w:rsidR="00DE5D65">
        <w:rPr>
          <w:rFonts w:asciiTheme="minorHAnsi" w:hAnsiTheme="minorHAnsi"/>
          <w:bCs/>
          <w:snapToGrid w:val="0"/>
        </w:rPr>
        <w:t xml:space="preserve"> </w:t>
      </w:r>
      <w:r w:rsidR="008735A6">
        <w:rPr>
          <w:rFonts w:asciiTheme="minorHAnsi" w:hAnsiTheme="minorHAnsi"/>
          <w:bCs/>
          <w:snapToGrid w:val="0"/>
        </w:rPr>
        <w:t>highlighted supply concerns with</w:t>
      </w:r>
      <w:r w:rsidR="004D334E">
        <w:rPr>
          <w:rFonts w:asciiTheme="minorHAnsi" w:hAnsiTheme="minorHAnsi"/>
          <w:bCs/>
          <w:snapToGrid w:val="0"/>
        </w:rPr>
        <w:t xml:space="preserve"> </w:t>
      </w:r>
      <w:r w:rsidR="004D334E">
        <w:rPr>
          <w:snapToGrid w:val="0"/>
        </w:rPr>
        <w:t xml:space="preserve">peginterferon </w:t>
      </w:r>
      <w:r w:rsidR="004D334E" w:rsidRPr="008B2386">
        <w:rPr>
          <w:snapToGrid w:val="0"/>
        </w:rPr>
        <w:t>α-2a</w:t>
      </w:r>
      <w:r w:rsidR="004D334E">
        <w:rPr>
          <w:snapToGrid w:val="0"/>
        </w:rPr>
        <w:t>.</w:t>
      </w:r>
      <w:r w:rsidR="00B827F8">
        <w:rPr>
          <w:snapToGrid w:val="0"/>
        </w:rPr>
        <w:t xml:space="preserve"> </w:t>
      </w:r>
      <w:r w:rsidR="00A26389" w:rsidRPr="00AE1B7B">
        <w:rPr>
          <w:rFonts w:asciiTheme="minorHAnsi" w:hAnsiTheme="minorHAnsi"/>
          <w:bCs/>
          <w:snapToGrid w:val="0"/>
        </w:rPr>
        <w:t xml:space="preserve">The </w:t>
      </w:r>
      <w:r w:rsidR="00845506">
        <w:rPr>
          <w:rFonts w:asciiTheme="minorHAnsi" w:hAnsiTheme="minorHAnsi"/>
          <w:bCs/>
          <w:snapToGrid w:val="0"/>
        </w:rPr>
        <w:t>input</w:t>
      </w:r>
      <w:r w:rsidR="00974F03">
        <w:rPr>
          <w:rFonts w:asciiTheme="minorHAnsi" w:hAnsiTheme="minorHAnsi"/>
          <w:bCs/>
          <w:snapToGrid w:val="0"/>
        </w:rPr>
        <w:t xml:space="preserve"> noted</w:t>
      </w:r>
      <w:r w:rsidR="00734A78">
        <w:rPr>
          <w:rFonts w:asciiTheme="minorHAnsi" w:hAnsiTheme="minorHAnsi"/>
          <w:bCs/>
          <w:snapToGrid w:val="0"/>
        </w:rPr>
        <w:t xml:space="preserve"> that </w:t>
      </w:r>
      <w:r w:rsidR="00A26389" w:rsidRPr="00AE1B7B">
        <w:rPr>
          <w:rFonts w:asciiTheme="minorHAnsi" w:hAnsiTheme="minorHAnsi"/>
          <w:bCs/>
          <w:snapToGrid w:val="0"/>
        </w:rPr>
        <w:t xml:space="preserve">ruxolitinib </w:t>
      </w:r>
      <w:r w:rsidR="00657152">
        <w:rPr>
          <w:rFonts w:asciiTheme="minorHAnsi" w:hAnsiTheme="minorHAnsi"/>
          <w:bCs/>
          <w:snapToGrid w:val="0"/>
        </w:rPr>
        <w:t>would provide</w:t>
      </w:r>
      <w:r w:rsidR="00A26389" w:rsidRPr="00AE1B7B">
        <w:rPr>
          <w:rFonts w:asciiTheme="minorHAnsi" w:hAnsiTheme="minorHAnsi"/>
          <w:bCs/>
          <w:snapToGrid w:val="0"/>
        </w:rPr>
        <w:t xml:space="preserve"> a</w:t>
      </w:r>
      <w:r w:rsidR="00381F03">
        <w:rPr>
          <w:rFonts w:asciiTheme="minorHAnsi" w:hAnsiTheme="minorHAnsi"/>
          <w:bCs/>
          <w:snapToGrid w:val="0"/>
        </w:rPr>
        <w:t xml:space="preserve">n </w:t>
      </w:r>
      <w:r w:rsidR="00CD166D">
        <w:rPr>
          <w:rFonts w:asciiTheme="minorHAnsi" w:hAnsiTheme="minorHAnsi"/>
          <w:bCs/>
          <w:snapToGrid w:val="0"/>
        </w:rPr>
        <w:t xml:space="preserve">important </w:t>
      </w:r>
      <w:r w:rsidR="00381F03">
        <w:rPr>
          <w:rFonts w:asciiTheme="minorHAnsi" w:hAnsiTheme="minorHAnsi"/>
          <w:bCs/>
          <w:snapToGrid w:val="0"/>
        </w:rPr>
        <w:t xml:space="preserve">treatment option for the </w:t>
      </w:r>
      <w:r w:rsidR="00A26389" w:rsidRPr="00AE1B7B">
        <w:rPr>
          <w:rFonts w:asciiTheme="minorHAnsi" w:hAnsiTheme="minorHAnsi"/>
          <w:bCs/>
          <w:snapToGrid w:val="0"/>
        </w:rPr>
        <w:t>relatively small percentage of PV patients who can no longer have first line cytoreduction therapy due to intolerance</w:t>
      </w:r>
      <w:r w:rsidR="00444A29">
        <w:rPr>
          <w:rFonts w:asciiTheme="minorHAnsi" w:hAnsiTheme="minorHAnsi"/>
          <w:bCs/>
          <w:snapToGrid w:val="0"/>
        </w:rPr>
        <w:t xml:space="preserve"> or</w:t>
      </w:r>
      <w:r w:rsidR="00F87B86">
        <w:rPr>
          <w:rFonts w:asciiTheme="minorHAnsi" w:hAnsiTheme="minorHAnsi"/>
          <w:bCs/>
          <w:snapToGrid w:val="0"/>
        </w:rPr>
        <w:t xml:space="preserve"> </w:t>
      </w:r>
      <w:r w:rsidR="00A26389" w:rsidRPr="00AE1B7B">
        <w:rPr>
          <w:rFonts w:asciiTheme="minorHAnsi" w:hAnsiTheme="minorHAnsi"/>
          <w:bCs/>
          <w:snapToGrid w:val="0"/>
        </w:rPr>
        <w:t xml:space="preserve">failing efficacy. </w:t>
      </w:r>
    </w:p>
    <w:p w14:paraId="4C5D9424" w14:textId="2E9FC307" w:rsidR="004932E5" w:rsidRPr="002706A5" w:rsidRDefault="00334606" w:rsidP="009E06E3">
      <w:pPr>
        <w:widowControl w:val="0"/>
        <w:numPr>
          <w:ilvl w:val="1"/>
          <w:numId w:val="5"/>
        </w:numPr>
        <w:spacing w:after="120"/>
        <w:rPr>
          <w:rFonts w:asciiTheme="minorHAnsi" w:hAnsiTheme="minorHAnsi"/>
          <w:bCs/>
          <w:snapToGrid w:val="0"/>
        </w:rPr>
      </w:pPr>
      <w:r>
        <w:rPr>
          <w:rFonts w:asciiTheme="minorHAnsi" w:hAnsiTheme="minorHAnsi"/>
          <w:bCs/>
          <w:snapToGrid w:val="0"/>
        </w:rPr>
        <w:t>Input from the</w:t>
      </w:r>
      <w:r w:rsidR="00514F26" w:rsidRPr="00AE1B7B">
        <w:rPr>
          <w:rFonts w:asciiTheme="minorHAnsi" w:hAnsiTheme="minorHAnsi"/>
          <w:bCs/>
          <w:snapToGrid w:val="0"/>
        </w:rPr>
        <w:t xml:space="preserve"> </w:t>
      </w:r>
      <w:r w:rsidR="00D17C28" w:rsidRPr="00AE1B7B">
        <w:rPr>
          <w:rFonts w:asciiTheme="minorHAnsi" w:hAnsiTheme="minorHAnsi"/>
          <w:bCs/>
          <w:snapToGrid w:val="0"/>
        </w:rPr>
        <w:t xml:space="preserve">Australasian Leukaemia &amp; Lymphoma Group </w:t>
      </w:r>
      <w:r w:rsidR="00A27FCF">
        <w:rPr>
          <w:rFonts w:asciiTheme="minorHAnsi" w:hAnsiTheme="minorHAnsi"/>
          <w:bCs/>
          <w:snapToGrid w:val="0"/>
        </w:rPr>
        <w:t xml:space="preserve">(ALLG) </w:t>
      </w:r>
      <w:r w:rsidR="00B231F8">
        <w:rPr>
          <w:rFonts w:asciiTheme="minorHAnsi" w:hAnsiTheme="minorHAnsi"/>
          <w:bCs/>
          <w:snapToGrid w:val="0"/>
        </w:rPr>
        <w:t xml:space="preserve">described how patients with PV are at higher </w:t>
      </w:r>
      <w:r w:rsidR="00765B06">
        <w:rPr>
          <w:rFonts w:asciiTheme="minorHAnsi" w:hAnsiTheme="minorHAnsi"/>
          <w:bCs/>
          <w:snapToGrid w:val="0"/>
        </w:rPr>
        <w:t xml:space="preserve">risk </w:t>
      </w:r>
      <w:r w:rsidR="009B13F4">
        <w:rPr>
          <w:rFonts w:asciiTheme="minorHAnsi" w:hAnsiTheme="minorHAnsi"/>
          <w:bCs/>
          <w:snapToGrid w:val="0"/>
        </w:rPr>
        <w:t>of cardiovascular-related complications</w:t>
      </w:r>
      <w:r w:rsidR="001661EC">
        <w:rPr>
          <w:rFonts w:asciiTheme="minorHAnsi" w:hAnsiTheme="minorHAnsi"/>
          <w:bCs/>
          <w:snapToGrid w:val="0"/>
        </w:rPr>
        <w:t xml:space="preserve">, disease transformation and early mortality. </w:t>
      </w:r>
      <w:r w:rsidR="00EC1488">
        <w:rPr>
          <w:rFonts w:asciiTheme="minorHAnsi" w:hAnsiTheme="minorHAnsi"/>
          <w:bCs/>
          <w:snapToGrid w:val="0"/>
        </w:rPr>
        <w:t xml:space="preserve">The input described </w:t>
      </w:r>
      <w:r w:rsidR="000958F4">
        <w:rPr>
          <w:rFonts w:asciiTheme="minorHAnsi" w:hAnsiTheme="minorHAnsi"/>
          <w:bCs/>
          <w:snapToGrid w:val="0"/>
        </w:rPr>
        <w:t xml:space="preserve">how </w:t>
      </w:r>
      <w:r w:rsidR="00EC1488">
        <w:rPr>
          <w:rFonts w:asciiTheme="minorHAnsi" w:hAnsiTheme="minorHAnsi"/>
          <w:bCs/>
          <w:snapToGrid w:val="0"/>
        </w:rPr>
        <w:t>the burden of frequent hospital visits</w:t>
      </w:r>
      <w:r w:rsidR="000958F4">
        <w:rPr>
          <w:rFonts w:asciiTheme="minorHAnsi" w:hAnsiTheme="minorHAnsi"/>
          <w:bCs/>
          <w:snapToGrid w:val="0"/>
        </w:rPr>
        <w:t xml:space="preserve">, along with symptoms and </w:t>
      </w:r>
      <w:r w:rsidR="00187A2D">
        <w:rPr>
          <w:rFonts w:asciiTheme="minorHAnsi" w:hAnsiTheme="minorHAnsi"/>
          <w:bCs/>
          <w:snapToGrid w:val="0"/>
        </w:rPr>
        <w:t xml:space="preserve">complications significantly impact on patients </w:t>
      </w:r>
      <w:r w:rsidR="003939B9">
        <w:rPr>
          <w:rFonts w:asciiTheme="minorHAnsi" w:hAnsiTheme="minorHAnsi"/>
          <w:bCs/>
          <w:snapToGrid w:val="0"/>
        </w:rPr>
        <w:t>QoL</w:t>
      </w:r>
      <w:r w:rsidR="00187A2D">
        <w:rPr>
          <w:rFonts w:asciiTheme="minorHAnsi" w:hAnsiTheme="minorHAnsi"/>
          <w:bCs/>
          <w:snapToGrid w:val="0"/>
        </w:rPr>
        <w:t xml:space="preserve">. The input outlined the </w:t>
      </w:r>
      <w:r w:rsidR="003D0275">
        <w:rPr>
          <w:rFonts w:asciiTheme="minorHAnsi" w:hAnsiTheme="minorHAnsi"/>
          <w:bCs/>
          <w:snapToGrid w:val="0"/>
        </w:rPr>
        <w:t>issues associated with the treatment options currently available</w:t>
      </w:r>
      <w:r w:rsidR="00A94B0C">
        <w:rPr>
          <w:rFonts w:asciiTheme="minorHAnsi" w:hAnsiTheme="minorHAnsi"/>
          <w:bCs/>
          <w:snapToGrid w:val="0"/>
        </w:rPr>
        <w:t xml:space="preserve"> and highlighted the need for alternative therapies. </w:t>
      </w:r>
      <w:r w:rsidR="00F7342A">
        <w:rPr>
          <w:rFonts w:asciiTheme="minorHAnsi" w:hAnsiTheme="minorHAnsi"/>
          <w:bCs/>
          <w:snapToGrid w:val="0"/>
        </w:rPr>
        <w:t xml:space="preserve">The input described </w:t>
      </w:r>
      <w:r w:rsidR="00DC75C6">
        <w:rPr>
          <w:rFonts w:asciiTheme="minorHAnsi" w:hAnsiTheme="minorHAnsi"/>
          <w:bCs/>
          <w:snapToGrid w:val="0"/>
        </w:rPr>
        <w:t xml:space="preserve">ruxolitinib </w:t>
      </w:r>
      <w:r w:rsidR="00C12C3C">
        <w:rPr>
          <w:rFonts w:asciiTheme="minorHAnsi" w:hAnsiTheme="minorHAnsi"/>
          <w:bCs/>
          <w:snapToGrid w:val="0"/>
        </w:rPr>
        <w:t xml:space="preserve">as a </w:t>
      </w:r>
      <w:r w:rsidR="005E6D31">
        <w:rPr>
          <w:rFonts w:asciiTheme="minorHAnsi" w:hAnsiTheme="minorHAnsi"/>
          <w:bCs/>
          <w:snapToGrid w:val="0"/>
        </w:rPr>
        <w:t>suitable second-line treatment</w:t>
      </w:r>
      <w:r w:rsidR="00B05043">
        <w:rPr>
          <w:rFonts w:asciiTheme="minorHAnsi" w:hAnsiTheme="minorHAnsi"/>
          <w:bCs/>
          <w:snapToGrid w:val="0"/>
        </w:rPr>
        <w:t xml:space="preserve"> </w:t>
      </w:r>
      <w:r w:rsidR="00815A01">
        <w:rPr>
          <w:rFonts w:asciiTheme="minorHAnsi" w:hAnsiTheme="minorHAnsi"/>
          <w:bCs/>
          <w:snapToGrid w:val="0"/>
        </w:rPr>
        <w:t xml:space="preserve">and acknowledged that use would likely be restricted to </w:t>
      </w:r>
      <w:r w:rsidR="00CF7A38">
        <w:rPr>
          <w:rFonts w:asciiTheme="minorHAnsi" w:hAnsiTheme="minorHAnsi"/>
          <w:bCs/>
          <w:snapToGrid w:val="0"/>
        </w:rPr>
        <w:t>patients who are resistant or intolerant to HC/HU.</w:t>
      </w:r>
      <w:r w:rsidR="008B38DC">
        <w:rPr>
          <w:rFonts w:asciiTheme="minorHAnsi" w:hAnsiTheme="minorHAnsi"/>
          <w:bCs/>
          <w:snapToGrid w:val="0"/>
        </w:rPr>
        <w:t xml:space="preserve"> </w:t>
      </w:r>
      <w:r w:rsidR="005E6D31">
        <w:rPr>
          <w:rFonts w:asciiTheme="minorHAnsi" w:hAnsiTheme="minorHAnsi"/>
          <w:bCs/>
          <w:snapToGrid w:val="0"/>
        </w:rPr>
        <w:t xml:space="preserve">The </w:t>
      </w:r>
      <w:r w:rsidR="00A27FCF">
        <w:rPr>
          <w:rFonts w:asciiTheme="minorHAnsi" w:hAnsiTheme="minorHAnsi"/>
          <w:bCs/>
          <w:snapToGrid w:val="0"/>
        </w:rPr>
        <w:t xml:space="preserve">ALLG advocated </w:t>
      </w:r>
      <w:r w:rsidR="000749DA">
        <w:rPr>
          <w:rFonts w:asciiTheme="minorHAnsi" w:hAnsiTheme="minorHAnsi"/>
          <w:bCs/>
          <w:snapToGrid w:val="0"/>
        </w:rPr>
        <w:t>for a pragmatic continuation criteria</w:t>
      </w:r>
      <w:r w:rsidR="000749DA">
        <w:rPr>
          <w:rStyle w:val="FootnoteReference"/>
          <w:rFonts w:asciiTheme="minorHAnsi" w:hAnsiTheme="minorHAnsi"/>
          <w:bCs/>
          <w:snapToGrid w:val="0"/>
        </w:rPr>
        <w:footnoteReference w:id="6"/>
      </w:r>
      <w:r w:rsidR="000749DA">
        <w:rPr>
          <w:rFonts w:asciiTheme="minorHAnsi" w:hAnsiTheme="minorHAnsi"/>
          <w:bCs/>
          <w:snapToGrid w:val="0"/>
        </w:rPr>
        <w:t xml:space="preserve"> to ensure patients can continue to receive ruxolitinib whilst clinical benefit persists. </w:t>
      </w:r>
      <w:r w:rsidR="004425EE">
        <w:rPr>
          <w:rFonts w:asciiTheme="minorHAnsi" w:hAnsiTheme="minorHAnsi"/>
          <w:bCs/>
          <w:snapToGrid w:val="0"/>
        </w:rPr>
        <w:t xml:space="preserve">The ALLG argued that sequential use of ruxolitinib in both the PV and MF settings should be permitted. </w:t>
      </w:r>
      <w:bookmarkEnd w:id="26"/>
      <w:bookmarkEnd w:id="31"/>
    </w:p>
    <w:p w14:paraId="4B288EB1" w14:textId="41FAC4D2" w:rsidR="002F67DE" w:rsidRDefault="002F67DE" w:rsidP="007F1168">
      <w:pPr>
        <w:pStyle w:val="4-SubsectionHeading"/>
      </w:pPr>
      <w:r w:rsidRPr="0098262F">
        <w:t>Clinical trials</w:t>
      </w:r>
      <w:bookmarkEnd w:id="27"/>
      <w:bookmarkEnd w:id="28"/>
    </w:p>
    <w:p w14:paraId="74D0D9DF" w14:textId="5E3084A0" w:rsidR="00701A02" w:rsidRPr="006124A7" w:rsidRDefault="256704AB" w:rsidP="001F5AFC">
      <w:pPr>
        <w:pStyle w:val="3-BodyText"/>
      </w:pPr>
      <w:bookmarkStart w:id="32" w:name="_Ref187410966"/>
      <w:r w:rsidRPr="0910F2D2">
        <w:t xml:space="preserve">The resubmission was based on one head-to-head randomised trial comparing ruxolitinib to BAT: MAJIC (n=190), and two supplementary randomised trials comparing ruxolitinib to BAT: RESPONSE (n=222) and RESPONSE-2 (n=149). </w:t>
      </w:r>
    </w:p>
    <w:p w14:paraId="46B9DE55" w14:textId="789073BC" w:rsidR="001F5AFC" w:rsidRPr="006124A7" w:rsidRDefault="00701A02" w:rsidP="001F5AFC">
      <w:pPr>
        <w:pStyle w:val="3-BodyText"/>
      </w:pPr>
      <w:bookmarkStart w:id="33" w:name="_Ref194237094"/>
      <w:r w:rsidRPr="0F1D33A4">
        <w:t>The resubmission maintain</w:t>
      </w:r>
      <w:r w:rsidR="007C76E1" w:rsidRPr="0F1D33A4">
        <w:t>ed</w:t>
      </w:r>
      <w:r w:rsidRPr="0F1D33A4">
        <w:t xml:space="preserve"> the use of MAJIC as the primary evidence and present</w:t>
      </w:r>
      <w:r w:rsidR="003276D1" w:rsidRPr="0F1D33A4">
        <w:t>ed the</w:t>
      </w:r>
      <w:r w:rsidRPr="0F1D33A4">
        <w:t xml:space="preserve"> RESPONSE</w:t>
      </w:r>
      <w:r w:rsidR="002B7B67" w:rsidRPr="0F1D33A4">
        <w:t xml:space="preserve"> trials</w:t>
      </w:r>
      <w:r w:rsidRPr="0F1D33A4">
        <w:t xml:space="preserve"> as supporting evidence </w:t>
      </w:r>
      <w:r w:rsidR="00066F76" w:rsidRPr="0F1D33A4">
        <w:t xml:space="preserve">to demonstrate superior response, DoR, </w:t>
      </w:r>
      <w:r w:rsidR="00066F76" w:rsidRPr="0F1D33A4">
        <w:lastRenderedPageBreak/>
        <w:t xml:space="preserve">QoL and to reinforce the safety claim. </w:t>
      </w:r>
      <w:r w:rsidR="001F5AFC" w:rsidRPr="0F1D33A4">
        <w:t xml:space="preserve">These trials </w:t>
      </w:r>
      <w:r w:rsidR="000C4CFA" w:rsidRPr="0F1D33A4">
        <w:t>were</w:t>
      </w:r>
      <w:r w:rsidR="001F5AFC" w:rsidRPr="0F1D33A4">
        <w:t xml:space="preserve"> reviewed by the PBAC at the November 2019 meeting. </w:t>
      </w:r>
      <w:r w:rsidR="0043598C" w:rsidRPr="0F1D33A4">
        <w:t xml:space="preserve">At the November 2019 meeting </w:t>
      </w:r>
      <w:r w:rsidR="006262BE" w:rsidRPr="0F1D33A4">
        <w:t xml:space="preserve">the </w:t>
      </w:r>
      <w:r w:rsidR="00080C79" w:rsidRPr="0F1D33A4">
        <w:t xml:space="preserve">MAJIC </w:t>
      </w:r>
      <w:r w:rsidR="0043598C" w:rsidRPr="0F1D33A4">
        <w:t>trial data was only available as conference abstracts from poster and PowerPoint presentations</w:t>
      </w:r>
      <w:r w:rsidR="00080C79" w:rsidRPr="0F1D33A4">
        <w:t xml:space="preserve"> </w:t>
      </w:r>
      <w:r w:rsidR="00710B51" w:rsidRPr="0F1D33A4">
        <w:t>(para 7.5, ruxolitinib, PSD, November 2019 PBAC meeting)</w:t>
      </w:r>
      <w:r w:rsidR="0043598C" w:rsidRPr="0F1D33A4">
        <w:t xml:space="preserve">. </w:t>
      </w:r>
      <w:r w:rsidR="006A719D" w:rsidRPr="0F1D33A4">
        <w:t>Since the previous PBAC consideration a full peer-review publication from Harrison et al.</w:t>
      </w:r>
      <w:r w:rsidR="00201627" w:rsidRPr="0F1D33A4">
        <w:t>,</w:t>
      </w:r>
      <w:r w:rsidR="006A719D" w:rsidRPr="0F1D33A4">
        <w:t xml:space="preserve"> 2023 and the clinical study report </w:t>
      </w:r>
      <w:r w:rsidR="00616B37" w:rsidRPr="0F1D33A4">
        <w:t>(</w:t>
      </w:r>
      <w:r w:rsidR="006A719D" w:rsidRPr="0F1D33A4">
        <w:t>CSR</w:t>
      </w:r>
      <w:r w:rsidR="00616B37" w:rsidRPr="0F1D33A4">
        <w:t>)</w:t>
      </w:r>
      <w:r w:rsidR="006A719D" w:rsidRPr="0F1D33A4">
        <w:t xml:space="preserve"> from the MAJIC trial </w:t>
      </w:r>
      <w:r w:rsidR="00011712" w:rsidRPr="0F1D33A4">
        <w:t xml:space="preserve">were </w:t>
      </w:r>
      <w:r w:rsidR="006A719D" w:rsidRPr="0F1D33A4">
        <w:t>available, allowing for a more thorough assessment</w:t>
      </w:r>
      <w:r w:rsidR="003672B2" w:rsidRPr="0F1D33A4">
        <w:t>.</w:t>
      </w:r>
      <w:r w:rsidR="004B02FE" w:rsidRPr="0F1D33A4">
        <w:t xml:space="preserve"> </w:t>
      </w:r>
      <w:r w:rsidR="001F5AFC" w:rsidRPr="0F1D33A4">
        <w:t>The resubmission present</w:t>
      </w:r>
      <w:r w:rsidR="00EA3C37" w:rsidRPr="0F1D33A4">
        <w:t>ed</w:t>
      </w:r>
      <w:r w:rsidR="001F5AFC" w:rsidRPr="0F1D33A4">
        <w:t xml:space="preserve"> updated data from all three trials with a longer follow up period of 5 years each (compared to 2.6 years for MAJIC, 32 Weeks for RESPONSE and 28 weeks for RESPONSE-2 trials presented in the previous submission).</w:t>
      </w:r>
      <w:bookmarkEnd w:id="32"/>
      <w:bookmarkEnd w:id="33"/>
    </w:p>
    <w:p w14:paraId="4C34CE2E" w14:textId="4CD71B7F" w:rsidR="002B6F8F" w:rsidRPr="006124A7" w:rsidRDefault="001F5AFC" w:rsidP="0046244A">
      <w:pPr>
        <w:pStyle w:val="3-BodyText"/>
        <w:spacing w:after="120"/>
      </w:pPr>
      <w:r w:rsidRPr="006124A7">
        <w:t xml:space="preserve">Details of the trials presented in the resubmission are provided in </w:t>
      </w:r>
      <w:r w:rsidRPr="006124A7">
        <w:fldChar w:fldCharType="begin" w:fldLock="1"/>
      </w:r>
      <w:r w:rsidRPr="006124A7">
        <w:instrText xml:space="preserve"> REF _Ref104803956 \h </w:instrText>
      </w:r>
      <w:r w:rsidR="006124A7" w:rsidRPr="006124A7">
        <w:instrText xml:space="preserve"> \* MERGEFORMAT </w:instrText>
      </w:r>
      <w:r w:rsidRPr="006124A7">
        <w:fldChar w:fldCharType="separate"/>
      </w:r>
      <w:r w:rsidR="00C244E7" w:rsidRPr="006124A7">
        <w:t xml:space="preserve">Table </w:t>
      </w:r>
      <w:r w:rsidR="00C244E7">
        <w:rPr>
          <w:noProof/>
        </w:rPr>
        <w:t>3</w:t>
      </w:r>
      <w:r w:rsidRPr="006124A7">
        <w:fldChar w:fldCharType="end"/>
      </w:r>
      <w:r w:rsidRPr="006124A7">
        <w:t xml:space="preserve">. </w:t>
      </w:r>
    </w:p>
    <w:p w14:paraId="52F60DE2" w14:textId="4C05A96D" w:rsidR="001F5AFC" w:rsidRPr="006124A7" w:rsidRDefault="001F5AFC" w:rsidP="001F5AFC">
      <w:pPr>
        <w:pStyle w:val="TableFigureHeading"/>
        <w:rPr>
          <w:rStyle w:val="CommentReference"/>
          <w:b/>
          <w:szCs w:val="24"/>
        </w:rPr>
      </w:pPr>
      <w:bookmarkStart w:id="34" w:name="_Ref104803956"/>
      <w:r w:rsidRPr="006124A7">
        <w:t xml:space="preserve">Table </w:t>
      </w:r>
      <w:r w:rsidR="001F427F">
        <w:fldChar w:fldCharType="begin" w:fldLock="1"/>
      </w:r>
      <w:r w:rsidR="001F427F">
        <w:instrText xml:space="preserve"> SEQ Table \* ARABIC </w:instrText>
      </w:r>
      <w:r w:rsidR="001F427F">
        <w:fldChar w:fldCharType="separate"/>
      </w:r>
      <w:r w:rsidR="001F427F">
        <w:rPr>
          <w:noProof/>
        </w:rPr>
        <w:t>3</w:t>
      </w:r>
      <w:r w:rsidR="001F427F">
        <w:rPr>
          <w:noProof/>
        </w:rPr>
        <w:fldChar w:fldCharType="end"/>
      </w:r>
      <w:bookmarkEnd w:id="34"/>
      <w:r w:rsidRPr="006124A7">
        <w:t>:</w:t>
      </w:r>
      <w:r w:rsidRPr="006124A7">
        <w:rPr>
          <w:rStyle w:val="CommentReference"/>
          <w:b/>
          <w:szCs w:val="24"/>
        </w:rPr>
        <w:t xml:space="preserve"> 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resubmission"/>
        <w:tblDescription w:val="New trials and reports being reviewed by PBAC in this resubmission:&#10;University of Birmingham randomised study - CSR, 28 March 2023&#10;Harrison et al - Journal of Clinical Oncology, 2023&#10;RESPONSE Trial - Protocol - 16 February 2016&#10;Kiladjian et al - The Lancet Haematology 2020&#10;RESPONSE Trial - 256 week CSR - 23 August 2018&#10;RESPONSE-2 - Protocol - 24 March 2016&#10;Passamonti et al - The Lancet Haematology 2022&#10;Response-2 - 260 week CSR - 7 April 2020"/>
      </w:tblPr>
      <w:tblGrid>
        <w:gridCol w:w="1436"/>
        <w:gridCol w:w="5363"/>
        <w:gridCol w:w="2218"/>
      </w:tblGrid>
      <w:tr w:rsidR="001F5AFC" w:rsidRPr="006124A7" w14:paraId="4059A1AC" w14:textId="77777777" w:rsidTr="0F1D33A4">
        <w:trPr>
          <w:tblHeader/>
        </w:trPr>
        <w:tc>
          <w:tcPr>
            <w:tcW w:w="796" w:type="pct"/>
          </w:tcPr>
          <w:p w14:paraId="447F803A" w14:textId="77777777" w:rsidR="001F5AFC" w:rsidRPr="006124A7" w:rsidRDefault="001F5AFC">
            <w:pPr>
              <w:pStyle w:val="In-tableHeading"/>
            </w:pPr>
            <w:r w:rsidRPr="006124A7">
              <w:t>Trial ID</w:t>
            </w:r>
          </w:p>
        </w:tc>
        <w:tc>
          <w:tcPr>
            <w:tcW w:w="2974" w:type="pct"/>
          </w:tcPr>
          <w:p w14:paraId="6A6704D6" w14:textId="77777777" w:rsidR="001F5AFC" w:rsidRPr="006124A7" w:rsidRDefault="001F5AFC">
            <w:pPr>
              <w:pStyle w:val="In-tableHeading"/>
            </w:pPr>
            <w:r w:rsidRPr="006124A7">
              <w:t>Protocol title/ Publication title</w:t>
            </w:r>
          </w:p>
        </w:tc>
        <w:tc>
          <w:tcPr>
            <w:tcW w:w="1230" w:type="pct"/>
          </w:tcPr>
          <w:p w14:paraId="0D3188CC" w14:textId="77777777" w:rsidR="001F5AFC" w:rsidRPr="006124A7" w:rsidRDefault="001F5AFC">
            <w:pPr>
              <w:pStyle w:val="In-tableHeading"/>
            </w:pPr>
            <w:r w:rsidRPr="006124A7">
              <w:t>Publication citation</w:t>
            </w:r>
          </w:p>
        </w:tc>
      </w:tr>
      <w:tr w:rsidR="001F5AFC" w:rsidRPr="006124A7" w14:paraId="2E3C9C7D" w14:textId="77777777" w:rsidTr="0F1D33A4">
        <w:tc>
          <w:tcPr>
            <w:tcW w:w="796" w:type="pct"/>
            <w:tcBorders>
              <w:bottom w:val="nil"/>
            </w:tcBorders>
          </w:tcPr>
          <w:p w14:paraId="499C19BA" w14:textId="77777777" w:rsidR="001F5AFC" w:rsidRPr="006124A7" w:rsidRDefault="001F5AFC">
            <w:pPr>
              <w:pStyle w:val="TableText0"/>
              <w:widowControl w:val="0"/>
            </w:pPr>
            <w:r w:rsidRPr="006124A7">
              <w:t>MAJIC</w:t>
            </w:r>
          </w:p>
        </w:tc>
        <w:tc>
          <w:tcPr>
            <w:tcW w:w="2974" w:type="pct"/>
            <w:tcBorders>
              <w:bottom w:val="nil"/>
            </w:tcBorders>
          </w:tcPr>
          <w:p w14:paraId="0493D109" w14:textId="77777777" w:rsidR="001F5AFC" w:rsidRPr="006124A7" w:rsidRDefault="001F5AFC">
            <w:pPr>
              <w:pStyle w:val="PBACTableText"/>
              <w:widowControl w:val="0"/>
            </w:pPr>
            <w:r w:rsidRPr="0F1D33A4">
              <w:t xml:space="preserve">A Randomised study of best available therapy versus JAK Inhibition in patients with high risk Polycythaemia Vera or Essential Thrombocythaemia who are resistant or intolerant to HydroxyCarbamide. University of Birmingham. </w:t>
            </w:r>
          </w:p>
        </w:tc>
        <w:tc>
          <w:tcPr>
            <w:tcW w:w="1230" w:type="pct"/>
            <w:tcBorders>
              <w:bottom w:val="nil"/>
            </w:tcBorders>
          </w:tcPr>
          <w:p w14:paraId="35C6FF4A" w14:textId="77777777" w:rsidR="001F5AFC" w:rsidRPr="006124A7" w:rsidRDefault="001F5AFC">
            <w:pPr>
              <w:pStyle w:val="TableText0"/>
              <w:widowControl w:val="0"/>
            </w:pPr>
            <w:r w:rsidRPr="006124A7">
              <w:t>CSR; 28 March 2023</w:t>
            </w:r>
          </w:p>
        </w:tc>
      </w:tr>
      <w:tr w:rsidR="001F5AFC" w:rsidRPr="006124A7" w14:paraId="725AC5E7" w14:textId="77777777" w:rsidTr="0F1D33A4">
        <w:tc>
          <w:tcPr>
            <w:tcW w:w="796" w:type="pct"/>
            <w:tcBorders>
              <w:top w:val="nil"/>
              <w:bottom w:val="nil"/>
            </w:tcBorders>
          </w:tcPr>
          <w:p w14:paraId="664C42BF" w14:textId="77777777" w:rsidR="001F5AFC" w:rsidRPr="006124A7" w:rsidRDefault="001F5AFC">
            <w:pPr>
              <w:pStyle w:val="TableText0"/>
              <w:widowControl w:val="0"/>
            </w:pPr>
          </w:p>
        </w:tc>
        <w:tc>
          <w:tcPr>
            <w:tcW w:w="2974" w:type="pct"/>
            <w:tcBorders>
              <w:top w:val="nil"/>
              <w:bottom w:val="nil"/>
            </w:tcBorders>
          </w:tcPr>
          <w:p w14:paraId="16A98357" w14:textId="77777777" w:rsidR="001F5AFC" w:rsidRPr="006124A7" w:rsidRDefault="001F5AFC" w:rsidP="0910F2D2">
            <w:pPr>
              <w:pStyle w:val="TableText0"/>
              <w:widowControl w:val="0"/>
              <w:rPr>
                <w:rFonts w:cs="Calibri"/>
              </w:rPr>
            </w:pPr>
            <w:r w:rsidRPr="0910F2D2">
              <w:t xml:space="preserve">Harrison et al. </w:t>
            </w:r>
            <w:r w:rsidRPr="0910F2D2">
              <w:rPr>
                <w:rFonts w:cs="Calibri"/>
              </w:rPr>
              <w:t>Ruxolitinib Versus Best Available Therapy for Polycythemia Vera Intolerant or Resistant to Hydroxycarbamide in a Randomized Trial.</w:t>
            </w:r>
          </w:p>
        </w:tc>
        <w:tc>
          <w:tcPr>
            <w:tcW w:w="1230" w:type="pct"/>
            <w:tcBorders>
              <w:top w:val="nil"/>
              <w:bottom w:val="nil"/>
            </w:tcBorders>
          </w:tcPr>
          <w:p w14:paraId="00204DF1" w14:textId="77777777" w:rsidR="001F5AFC" w:rsidRPr="006124A7" w:rsidRDefault="001F5AFC">
            <w:pPr>
              <w:pStyle w:val="TableText0"/>
              <w:widowControl w:val="0"/>
            </w:pPr>
            <w:r w:rsidRPr="006124A7">
              <w:rPr>
                <w:rFonts w:cs="Calibri"/>
              </w:rPr>
              <w:t>Journal of Clinical Oncology, 2023; 41(19), 3534</w:t>
            </w:r>
            <w:r w:rsidRPr="006124A7">
              <w:rPr>
                <w:rFonts w:ascii="Cambria Math" w:hAnsi="Cambria Math" w:cs="Cambria Math"/>
              </w:rPr>
              <w:t>‐</w:t>
            </w:r>
            <w:r w:rsidRPr="006124A7">
              <w:rPr>
                <w:rFonts w:cs="Calibri"/>
              </w:rPr>
              <w:t>3544.</w:t>
            </w:r>
          </w:p>
        </w:tc>
      </w:tr>
      <w:tr w:rsidR="001F5AFC" w:rsidRPr="006124A7" w14:paraId="26A39F05" w14:textId="77777777" w:rsidTr="0F1D33A4">
        <w:tc>
          <w:tcPr>
            <w:tcW w:w="796" w:type="pct"/>
            <w:tcBorders>
              <w:top w:val="nil"/>
              <w:bottom w:val="nil"/>
            </w:tcBorders>
          </w:tcPr>
          <w:p w14:paraId="1F672755" w14:textId="77777777" w:rsidR="001F5AFC" w:rsidRPr="006124A7" w:rsidRDefault="001F5AFC">
            <w:pPr>
              <w:pStyle w:val="TableText0"/>
              <w:widowControl w:val="0"/>
            </w:pPr>
          </w:p>
        </w:tc>
        <w:tc>
          <w:tcPr>
            <w:tcW w:w="2974" w:type="pct"/>
            <w:tcBorders>
              <w:top w:val="nil"/>
              <w:bottom w:val="nil"/>
            </w:tcBorders>
            <w:shd w:val="clear" w:color="auto" w:fill="B8CCE4" w:themeFill="accent1" w:themeFillTint="66"/>
          </w:tcPr>
          <w:p w14:paraId="535CA5D8" w14:textId="77777777" w:rsidR="001F5AFC" w:rsidRPr="006124A7" w:rsidRDefault="001F5AFC">
            <w:pPr>
              <w:pStyle w:val="TableText0"/>
              <w:widowControl w:val="0"/>
            </w:pPr>
            <w:r w:rsidRPr="0910F2D2">
              <w:t>Harrison et al. Ruxolitinib compared with best available therapy for polycythaemia vera patients resistant or intolerant to hydroxycarbamide in MAJIC-an investigator-led trial.</w:t>
            </w:r>
          </w:p>
        </w:tc>
        <w:tc>
          <w:tcPr>
            <w:tcW w:w="1230" w:type="pct"/>
            <w:tcBorders>
              <w:top w:val="nil"/>
              <w:bottom w:val="nil"/>
            </w:tcBorders>
            <w:shd w:val="clear" w:color="auto" w:fill="B8CCE4" w:themeFill="accent1" w:themeFillTint="66"/>
          </w:tcPr>
          <w:p w14:paraId="245331A0" w14:textId="77777777" w:rsidR="001F5AFC" w:rsidRPr="006124A7" w:rsidRDefault="001F5AFC">
            <w:pPr>
              <w:pStyle w:val="TableText0"/>
              <w:widowControl w:val="0"/>
              <w:rPr>
                <w:rFonts w:cs="Calibri"/>
              </w:rPr>
            </w:pPr>
            <w:r w:rsidRPr="006124A7">
              <w:t>Poster at 23rd Congress of the European Hematology Association, Stockholm, June 14-17, 2018</w:t>
            </w:r>
          </w:p>
        </w:tc>
      </w:tr>
      <w:tr w:rsidR="001F5AFC" w:rsidRPr="006124A7" w14:paraId="17BB19A1" w14:textId="77777777" w:rsidTr="0F1D33A4">
        <w:tc>
          <w:tcPr>
            <w:tcW w:w="796" w:type="pct"/>
            <w:tcBorders>
              <w:top w:val="nil"/>
              <w:bottom w:val="nil"/>
            </w:tcBorders>
          </w:tcPr>
          <w:p w14:paraId="6E1838C3" w14:textId="77777777" w:rsidR="001F5AFC" w:rsidRPr="006124A7" w:rsidRDefault="001F5AFC">
            <w:pPr>
              <w:pStyle w:val="TableText0"/>
              <w:widowControl w:val="0"/>
            </w:pPr>
          </w:p>
        </w:tc>
        <w:tc>
          <w:tcPr>
            <w:tcW w:w="2974" w:type="pct"/>
            <w:tcBorders>
              <w:top w:val="nil"/>
              <w:bottom w:val="nil"/>
            </w:tcBorders>
            <w:shd w:val="clear" w:color="auto" w:fill="B8CCE4" w:themeFill="accent1" w:themeFillTint="66"/>
          </w:tcPr>
          <w:p w14:paraId="324688A7" w14:textId="77777777" w:rsidR="001F5AFC" w:rsidRPr="006124A7" w:rsidRDefault="001F5AFC">
            <w:pPr>
              <w:pStyle w:val="TableText0"/>
              <w:widowControl w:val="0"/>
            </w:pPr>
            <w:r w:rsidRPr="006124A7">
              <w:t>Curto-Garcia, et al. Molecular analysis in MAJIC PV correlation with clinical end points.</w:t>
            </w:r>
          </w:p>
        </w:tc>
        <w:tc>
          <w:tcPr>
            <w:tcW w:w="1230" w:type="pct"/>
            <w:tcBorders>
              <w:top w:val="nil"/>
              <w:bottom w:val="nil"/>
            </w:tcBorders>
            <w:shd w:val="clear" w:color="auto" w:fill="B8CCE4" w:themeFill="accent1" w:themeFillTint="66"/>
          </w:tcPr>
          <w:p w14:paraId="56F5333A" w14:textId="77777777" w:rsidR="001F5AFC" w:rsidRPr="006124A7" w:rsidRDefault="001F5AFC">
            <w:pPr>
              <w:pStyle w:val="TableText0"/>
              <w:widowControl w:val="0"/>
              <w:rPr>
                <w:rFonts w:cs="Calibri"/>
              </w:rPr>
            </w:pPr>
            <w:r w:rsidRPr="006124A7">
              <w:t>Oral presentation at the 24th European Hematology Association Congress, Amsterdam, Netherlands, June 13-16, 2019</w:t>
            </w:r>
          </w:p>
        </w:tc>
      </w:tr>
      <w:tr w:rsidR="001F5AFC" w:rsidRPr="006124A7" w14:paraId="789953ED" w14:textId="77777777" w:rsidTr="0F1D33A4">
        <w:tc>
          <w:tcPr>
            <w:tcW w:w="796" w:type="pct"/>
            <w:tcBorders>
              <w:bottom w:val="nil"/>
            </w:tcBorders>
          </w:tcPr>
          <w:p w14:paraId="7FD2FBFE" w14:textId="77777777" w:rsidR="001F5AFC" w:rsidRPr="006124A7" w:rsidRDefault="001F5AFC">
            <w:pPr>
              <w:pStyle w:val="TableText0"/>
              <w:widowControl w:val="0"/>
            </w:pPr>
          </w:p>
        </w:tc>
        <w:tc>
          <w:tcPr>
            <w:tcW w:w="2974" w:type="pct"/>
            <w:tcBorders>
              <w:bottom w:val="nil"/>
            </w:tcBorders>
          </w:tcPr>
          <w:p w14:paraId="5C1A3C8D" w14:textId="77777777" w:rsidR="001F5AFC" w:rsidRPr="006124A7" w:rsidRDefault="001F5AFC">
            <w:pPr>
              <w:pStyle w:val="TableText0"/>
              <w:widowControl w:val="0"/>
            </w:pPr>
            <w:r w:rsidRPr="0F1D33A4">
              <w:t>Randomized, open label, multicenter phase III study of efficacy and safety in polycythemia vera subjects who are resistant to or intolerant of hydroxyurea: JAK inhibitor INC424 tablets versus best available care (The RESPONSE Trial) - Protocol</w:t>
            </w:r>
          </w:p>
        </w:tc>
        <w:tc>
          <w:tcPr>
            <w:tcW w:w="1230" w:type="pct"/>
            <w:tcBorders>
              <w:bottom w:val="nil"/>
            </w:tcBorders>
          </w:tcPr>
          <w:p w14:paraId="7591E208" w14:textId="77777777" w:rsidR="001F5AFC" w:rsidRPr="006124A7" w:rsidRDefault="001F5AFC">
            <w:pPr>
              <w:pStyle w:val="TableText0"/>
              <w:widowControl w:val="0"/>
            </w:pPr>
            <w:r w:rsidRPr="006124A7">
              <w:t>16 February 2016</w:t>
            </w:r>
          </w:p>
        </w:tc>
      </w:tr>
      <w:tr w:rsidR="001F5AFC" w:rsidRPr="006124A7" w14:paraId="69DE6F18" w14:textId="77777777" w:rsidTr="0F1D33A4">
        <w:tc>
          <w:tcPr>
            <w:tcW w:w="796" w:type="pct"/>
            <w:tcBorders>
              <w:top w:val="nil"/>
              <w:bottom w:val="nil"/>
            </w:tcBorders>
          </w:tcPr>
          <w:p w14:paraId="2D35913A" w14:textId="77777777" w:rsidR="001F5AFC" w:rsidRPr="006124A7" w:rsidRDefault="001F5AFC">
            <w:pPr>
              <w:pStyle w:val="TableText0"/>
              <w:widowControl w:val="0"/>
            </w:pPr>
            <w:r w:rsidRPr="006124A7">
              <w:t>RESPONSE</w:t>
            </w:r>
          </w:p>
        </w:tc>
        <w:tc>
          <w:tcPr>
            <w:tcW w:w="2974" w:type="pct"/>
            <w:tcBorders>
              <w:top w:val="nil"/>
              <w:bottom w:val="nil"/>
            </w:tcBorders>
          </w:tcPr>
          <w:p w14:paraId="7B1127B9" w14:textId="77777777" w:rsidR="001F5AFC" w:rsidRPr="006124A7" w:rsidRDefault="001F5AFC" w:rsidP="0F1D33A4">
            <w:pPr>
              <w:pStyle w:val="PBACTableText"/>
              <w:widowControl w:val="0"/>
              <w:rPr>
                <w:rFonts w:eastAsiaTheme="minorEastAsia" w:cs="Calibri"/>
              </w:rPr>
            </w:pPr>
            <w:r w:rsidRPr="0F1D33A4">
              <w:rPr>
                <w:rFonts w:eastAsiaTheme="minorEastAsia" w:cs="Calibri"/>
              </w:rPr>
              <w:t>Kiladjian, et al. Long-term efficacy and safety of ruxolitinib versus best available therapy in polycythaemia vera (RESPONSE): 5-year follow up of a phase 3 study.</w:t>
            </w:r>
          </w:p>
        </w:tc>
        <w:tc>
          <w:tcPr>
            <w:tcW w:w="1230" w:type="pct"/>
            <w:tcBorders>
              <w:top w:val="nil"/>
              <w:bottom w:val="nil"/>
            </w:tcBorders>
          </w:tcPr>
          <w:p w14:paraId="5C2DD340" w14:textId="77777777" w:rsidR="001F5AFC" w:rsidRPr="006124A7" w:rsidRDefault="001F5AFC">
            <w:pPr>
              <w:pStyle w:val="TableText0"/>
              <w:widowControl w:val="0"/>
            </w:pPr>
            <w:r w:rsidRPr="006124A7">
              <w:rPr>
                <w:rFonts w:eastAsiaTheme="minorHAnsi" w:cs="Calibri"/>
              </w:rPr>
              <w:t>The Lancet Haematology, 2020; 7(3), e226</w:t>
            </w:r>
            <w:r w:rsidRPr="006124A7">
              <w:rPr>
                <w:rFonts w:ascii="Cambria Math" w:eastAsiaTheme="minorHAnsi" w:hAnsi="Cambria Math" w:cs="Cambria Math"/>
              </w:rPr>
              <w:t>‐</w:t>
            </w:r>
            <w:r w:rsidRPr="006124A7">
              <w:rPr>
                <w:rFonts w:eastAsiaTheme="minorHAnsi" w:cs="Calibri"/>
              </w:rPr>
              <w:t>e237</w:t>
            </w:r>
          </w:p>
          <w:p w14:paraId="650E1F94" w14:textId="77777777" w:rsidR="001F5AFC" w:rsidRPr="006124A7" w:rsidRDefault="001F5AFC">
            <w:pPr>
              <w:pStyle w:val="TableText0"/>
              <w:widowControl w:val="0"/>
            </w:pPr>
          </w:p>
        </w:tc>
      </w:tr>
      <w:tr w:rsidR="001F5AFC" w:rsidRPr="006124A7" w14:paraId="43AD48F1" w14:textId="77777777" w:rsidTr="0F1D33A4">
        <w:tc>
          <w:tcPr>
            <w:tcW w:w="796" w:type="pct"/>
            <w:tcBorders>
              <w:top w:val="nil"/>
              <w:bottom w:val="nil"/>
            </w:tcBorders>
          </w:tcPr>
          <w:p w14:paraId="1558CF00" w14:textId="77777777" w:rsidR="001F5AFC" w:rsidRPr="006124A7" w:rsidRDefault="001F5AFC">
            <w:pPr>
              <w:pStyle w:val="TableText0"/>
              <w:widowControl w:val="0"/>
            </w:pPr>
          </w:p>
        </w:tc>
        <w:tc>
          <w:tcPr>
            <w:tcW w:w="2974" w:type="pct"/>
            <w:tcBorders>
              <w:top w:val="nil"/>
              <w:bottom w:val="nil"/>
            </w:tcBorders>
            <w:shd w:val="clear" w:color="auto" w:fill="auto"/>
          </w:tcPr>
          <w:p w14:paraId="0B0A0054" w14:textId="77777777" w:rsidR="001F5AFC" w:rsidRPr="006124A7" w:rsidRDefault="001F5AFC">
            <w:pPr>
              <w:pStyle w:val="TableText0"/>
              <w:widowControl w:val="0"/>
            </w:pPr>
            <w:r w:rsidRPr="0F1D33A4">
              <w:t>Randomized, open label, multicenter phase III study of efficacy and safety in polycythemia vera subjects who are resistant to or intolerant of hydroxyurea: JAK inhibitor INC424 tablets versus best available care (The RESPONSE Trial) – 256 week CSR</w:t>
            </w:r>
          </w:p>
        </w:tc>
        <w:tc>
          <w:tcPr>
            <w:tcW w:w="1230" w:type="pct"/>
            <w:tcBorders>
              <w:top w:val="nil"/>
              <w:bottom w:val="nil"/>
            </w:tcBorders>
            <w:shd w:val="clear" w:color="auto" w:fill="auto"/>
          </w:tcPr>
          <w:p w14:paraId="19BB5B61" w14:textId="77777777" w:rsidR="001F5AFC" w:rsidRPr="006124A7" w:rsidRDefault="001F5AFC">
            <w:pPr>
              <w:pStyle w:val="TableText0"/>
              <w:widowControl w:val="0"/>
            </w:pPr>
            <w:r w:rsidRPr="006124A7">
              <w:t>23 August 2018</w:t>
            </w:r>
          </w:p>
        </w:tc>
      </w:tr>
      <w:tr w:rsidR="001F5AFC" w:rsidRPr="006124A7" w14:paraId="1F669F73" w14:textId="77777777" w:rsidTr="0F1D33A4">
        <w:tc>
          <w:tcPr>
            <w:tcW w:w="796" w:type="pct"/>
            <w:tcBorders>
              <w:top w:val="nil"/>
              <w:bottom w:val="nil"/>
            </w:tcBorders>
          </w:tcPr>
          <w:p w14:paraId="69D421EF" w14:textId="77777777" w:rsidR="001F5AFC" w:rsidRPr="006124A7" w:rsidRDefault="001F5AFC">
            <w:pPr>
              <w:pStyle w:val="TableText0"/>
              <w:widowControl w:val="0"/>
            </w:pPr>
          </w:p>
        </w:tc>
        <w:tc>
          <w:tcPr>
            <w:tcW w:w="2974" w:type="pct"/>
            <w:tcBorders>
              <w:top w:val="nil"/>
              <w:bottom w:val="nil"/>
            </w:tcBorders>
            <w:shd w:val="clear" w:color="auto" w:fill="B8CCE4" w:themeFill="accent1" w:themeFillTint="66"/>
          </w:tcPr>
          <w:p w14:paraId="0A26CC9B" w14:textId="7E069347" w:rsidR="001F5AFC" w:rsidRPr="006124A7" w:rsidRDefault="001F5AFC">
            <w:pPr>
              <w:pStyle w:val="TableText0"/>
              <w:widowControl w:val="0"/>
            </w:pPr>
            <w:r w:rsidRPr="0F1D33A4">
              <w:t>Vannucchi et al.</w:t>
            </w:r>
            <w:r w:rsidR="00F87B86">
              <w:t xml:space="preserve"> </w:t>
            </w:r>
            <w:r w:rsidRPr="0F1D33A4">
              <w:t>Ruxolitinib versus Standard Therapy for the Treatment of Polycythaemia Vera.</w:t>
            </w:r>
          </w:p>
        </w:tc>
        <w:tc>
          <w:tcPr>
            <w:tcW w:w="1230" w:type="pct"/>
            <w:tcBorders>
              <w:top w:val="nil"/>
              <w:bottom w:val="nil"/>
            </w:tcBorders>
            <w:shd w:val="clear" w:color="auto" w:fill="B8CCE4" w:themeFill="accent1" w:themeFillTint="66"/>
          </w:tcPr>
          <w:p w14:paraId="0D8416AD" w14:textId="77777777" w:rsidR="001F5AFC" w:rsidRPr="006124A7" w:rsidRDefault="001F5AFC">
            <w:pPr>
              <w:pStyle w:val="TableText0"/>
              <w:widowControl w:val="0"/>
            </w:pPr>
            <w:r w:rsidRPr="006124A7">
              <w:t xml:space="preserve">NEJM 2015; 372(5): 426-435. </w:t>
            </w:r>
          </w:p>
        </w:tc>
      </w:tr>
      <w:tr w:rsidR="001F5AFC" w:rsidRPr="006124A7" w14:paraId="2C1B9412" w14:textId="77777777" w:rsidTr="0F1D33A4">
        <w:tc>
          <w:tcPr>
            <w:tcW w:w="796" w:type="pct"/>
            <w:tcBorders>
              <w:top w:val="nil"/>
              <w:bottom w:val="nil"/>
            </w:tcBorders>
          </w:tcPr>
          <w:p w14:paraId="3EFFC5E2" w14:textId="77777777" w:rsidR="001F5AFC" w:rsidRPr="006124A7" w:rsidRDefault="001F5AFC">
            <w:pPr>
              <w:pStyle w:val="TableText0"/>
              <w:widowControl w:val="0"/>
            </w:pPr>
          </w:p>
        </w:tc>
        <w:tc>
          <w:tcPr>
            <w:tcW w:w="2974" w:type="pct"/>
            <w:tcBorders>
              <w:top w:val="nil"/>
              <w:bottom w:val="nil"/>
            </w:tcBorders>
            <w:shd w:val="clear" w:color="auto" w:fill="B8CCE4" w:themeFill="accent1" w:themeFillTint="66"/>
          </w:tcPr>
          <w:p w14:paraId="75575766" w14:textId="77777777" w:rsidR="001F5AFC" w:rsidRPr="006124A7" w:rsidRDefault="001F5AFC">
            <w:pPr>
              <w:pStyle w:val="TableText0"/>
              <w:widowControl w:val="0"/>
            </w:pPr>
            <w:r w:rsidRPr="0F1D33A4">
              <w:t>Verstovsek et al. Ruxolitinib versus best available therapy in patients with polycythaemia vera: 80-week follow-up from the RESPONSE trial.</w:t>
            </w:r>
          </w:p>
        </w:tc>
        <w:tc>
          <w:tcPr>
            <w:tcW w:w="1230" w:type="pct"/>
            <w:tcBorders>
              <w:top w:val="nil"/>
              <w:bottom w:val="nil"/>
            </w:tcBorders>
            <w:shd w:val="clear" w:color="auto" w:fill="B8CCE4" w:themeFill="accent1" w:themeFillTint="66"/>
          </w:tcPr>
          <w:p w14:paraId="32C0DE44" w14:textId="77777777" w:rsidR="001F5AFC" w:rsidRPr="006124A7" w:rsidRDefault="001F5AFC">
            <w:pPr>
              <w:pStyle w:val="TableText0"/>
              <w:widowControl w:val="0"/>
            </w:pPr>
            <w:r w:rsidRPr="0F1D33A4">
              <w:t>Haematologica 2016; 101(7): 821-829.</w:t>
            </w:r>
          </w:p>
        </w:tc>
      </w:tr>
      <w:tr w:rsidR="001F5AFC" w:rsidRPr="006124A7" w14:paraId="4F17ACF6" w14:textId="77777777" w:rsidTr="0F1D33A4">
        <w:tc>
          <w:tcPr>
            <w:tcW w:w="796" w:type="pct"/>
            <w:tcBorders>
              <w:top w:val="nil"/>
              <w:bottom w:val="nil"/>
            </w:tcBorders>
          </w:tcPr>
          <w:p w14:paraId="390C4750" w14:textId="77777777" w:rsidR="001F5AFC" w:rsidRPr="006124A7" w:rsidRDefault="001F5AFC">
            <w:pPr>
              <w:pStyle w:val="TableText0"/>
              <w:widowControl w:val="0"/>
            </w:pPr>
          </w:p>
        </w:tc>
        <w:tc>
          <w:tcPr>
            <w:tcW w:w="2974" w:type="pct"/>
            <w:tcBorders>
              <w:top w:val="nil"/>
              <w:bottom w:val="nil"/>
            </w:tcBorders>
            <w:shd w:val="clear" w:color="auto" w:fill="B8CCE4" w:themeFill="accent1" w:themeFillTint="66"/>
          </w:tcPr>
          <w:p w14:paraId="27189A8F" w14:textId="77777777" w:rsidR="001F5AFC" w:rsidRPr="006124A7" w:rsidRDefault="001F5AFC">
            <w:pPr>
              <w:pStyle w:val="TableText0"/>
              <w:widowControl w:val="0"/>
            </w:pPr>
            <w:r w:rsidRPr="0910F2D2">
              <w:t xml:space="preserve">Harrison et al. Comprehensive haematological control with ruxolitinib in patients with polycythaemia vera resistant to or intolerant of hydroxycarbamide. </w:t>
            </w:r>
          </w:p>
        </w:tc>
        <w:tc>
          <w:tcPr>
            <w:tcW w:w="1230" w:type="pct"/>
            <w:tcBorders>
              <w:top w:val="nil"/>
              <w:bottom w:val="nil"/>
            </w:tcBorders>
            <w:shd w:val="clear" w:color="auto" w:fill="B8CCE4" w:themeFill="accent1" w:themeFillTint="66"/>
          </w:tcPr>
          <w:p w14:paraId="75EE3943" w14:textId="77777777" w:rsidR="001F5AFC" w:rsidRPr="006124A7" w:rsidRDefault="001F5AFC">
            <w:pPr>
              <w:pStyle w:val="TableText0"/>
              <w:widowControl w:val="0"/>
            </w:pPr>
            <w:r w:rsidRPr="006124A7">
              <w:t xml:space="preserve">British Journal of Haematology 2018; 182(2): </w:t>
            </w:r>
            <w:r w:rsidRPr="006124A7">
              <w:rPr>
                <w:rFonts w:eastAsiaTheme="minorHAnsi" w:cs="Calibri"/>
              </w:rPr>
              <w:t>279</w:t>
            </w:r>
            <w:r w:rsidRPr="006124A7">
              <w:rPr>
                <w:rFonts w:ascii="Cambria Math" w:eastAsiaTheme="minorHAnsi" w:hAnsi="Cambria Math" w:cs="Cambria Math"/>
              </w:rPr>
              <w:t>‐</w:t>
            </w:r>
            <w:r w:rsidRPr="006124A7">
              <w:rPr>
                <w:rFonts w:eastAsiaTheme="minorHAnsi" w:cs="Calibri"/>
              </w:rPr>
              <w:t>284</w:t>
            </w:r>
          </w:p>
        </w:tc>
      </w:tr>
      <w:tr w:rsidR="001F5AFC" w:rsidRPr="006124A7" w14:paraId="172448DF" w14:textId="77777777" w:rsidTr="0F1D33A4">
        <w:tc>
          <w:tcPr>
            <w:tcW w:w="796" w:type="pct"/>
            <w:tcBorders>
              <w:bottom w:val="nil"/>
            </w:tcBorders>
          </w:tcPr>
          <w:p w14:paraId="5A532950" w14:textId="77777777" w:rsidR="001F5AFC" w:rsidRPr="006124A7" w:rsidRDefault="001F5AFC">
            <w:pPr>
              <w:pStyle w:val="TableText0"/>
              <w:widowControl w:val="0"/>
            </w:pPr>
          </w:p>
        </w:tc>
        <w:tc>
          <w:tcPr>
            <w:tcW w:w="2974" w:type="pct"/>
            <w:tcBorders>
              <w:bottom w:val="nil"/>
            </w:tcBorders>
          </w:tcPr>
          <w:p w14:paraId="4364DAFF" w14:textId="77777777" w:rsidR="001F5AFC" w:rsidRPr="006124A7" w:rsidRDefault="001F5AFC">
            <w:pPr>
              <w:pStyle w:val="TableText0"/>
              <w:widowControl w:val="0"/>
            </w:pPr>
            <w:r w:rsidRPr="0F1D33A4">
              <w:t>Randomised, Open Label, Multicenter Phase IIIb Study Evaluating the Efficacy and Safety of Ruxolitinib Versus Best Available Therapy in Patients With Polycythaemia Vera Who Are Hydroxyurea Resistant or Intolerant (RESPONSE-2) - Protocol</w:t>
            </w:r>
          </w:p>
        </w:tc>
        <w:tc>
          <w:tcPr>
            <w:tcW w:w="1230" w:type="pct"/>
            <w:tcBorders>
              <w:bottom w:val="nil"/>
            </w:tcBorders>
          </w:tcPr>
          <w:p w14:paraId="0F3248EC" w14:textId="77777777" w:rsidR="001F5AFC" w:rsidRPr="006124A7" w:rsidRDefault="001F5AFC">
            <w:pPr>
              <w:pStyle w:val="TableText0"/>
              <w:widowControl w:val="0"/>
            </w:pPr>
            <w:r w:rsidRPr="006124A7">
              <w:t>24 March 2016</w:t>
            </w:r>
          </w:p>
        </w:tc>
      </w:tr>
      <w:tr w:rsidR="001F5AFC" w:rsidRPr="006124A7" w14:paraId="52FB91E7" w14:textId="77777777" w:rsidTr="0F1D33A4">
        <w:tc>
          <w:tcPr>
            <w:tcW w:w="796" w:type="pct"/>
            <w:tcBorders>
              <w:top w:val="nil"/>
              <w:bottom w:val="nil"/>
            </w:tcBorders>
          </w:tcPr>
          <w:p w14:paraId="660C6342" w14:textId="77777777" w:rsidR="001F5AFC" w:rsidRPr="006124A7" w:rsidRDefault="001F5AFC">
            <w:pPr>
              <w:pStyle w:val="TableText0"/>
              <w:widowControl w:val="0"/>
            </w:pPr>
          </w:p>
        </w:tc>
        <w:tc>
          <w:tcPr>
            <w:tcW w:w="2974" w:type="pct"/>
            <w:tcBorders>
              <w:top w:val="nil"/>
              <w:bottom w:val="nil"/>
            </w:tcBorders>
          </w:tcPr>
          <w:p w14:paraId="0448C96D" w14:textId="77777777" w:rsidR="001F5AFC" w:rsidRPr="006124A7" w:rsidRDefault="001F5AFC">
            <w:pPr>
              <w:pStyle w:val="TableText0"/>
              <w:widowControl w:val="0"/>
            </w:pPr>
            <w:r w:rsidRPr="0F1D33A4">
              <w:rPr>
                <w:rFonts w:eastAsiaTheme="minorEastAsia" w:cs="Calibri"/>
              </w:rPr>
              <w:t>Passamonti et al. Ruxolitinib versus best available therapy in inadequately controlled polycythaemia vera without splenomegaly (RESPONSE-2): 5-year follow up of a randomised, phase 3b study.</w:t>
            </w:r>
          </w:p>
        </w:tc>
        <w:tc>
          <w:tcPr>
            <w:tcW w:w="1230" w:type="pct"/>
            <w:tcBorders>
              <w:top w:val="nil"/>
              <w:bottom w:val="nil"/>
            </w:tcBorders>
          </w:tcPr>
          <w:p w14:paraId="77640408" w14:textId="77777777" w:rsidR="001F5AFC" w:rsidRPr="006124A7" w:rsidRDefault="001F5AFC">
            <w:pPr>
              <w:pStyle w:val="TableText0"/>
              <w:widowControl w:val="0"/>
            </w:pPr>
            <w:r w:rsidRPr="006124A7">
              <w:rPr>
                <w:rFonts w:eastAsiaTheme="minorHAnsi" w:cs="Calibri"/>
              </w:rPr>
              <w:t>The Lancet Haematology, 2022; 9(7), e480</w:t>
            </w:r>
            <w:r w:rsidRPr="006124A7">
              <w:rPr>
                <w:rFonts w:ascii="Cambria Math" w:eastAsiaTheme="minorHAnsi" w:hAnsi="Cambria Math" w:cs="Cambria Math"/>
              </w:rPr>
              <w:t>‐</w:t>
            </w:r>
            <w:r w:rsidRPr="006124A7">
              <w:rPr>
                <w:rFonts w:eastAsiaTheme="minorHAnsi" w:cs="Calibri"/>
              </w:rPr>
              <w:t>e492.</w:t>
            </w:r>
          </w:p>
        </w:tc>
      </w:tr>
      <w:tr w:rsidR="001F5AFC" w:rsidRPr="006124A7" w14:paraId="5DB5EB21" w14:textId="77777777" w:rsidTr="0F1D33A4">
        <w:tc>
          <w:tcPr>
            <w:tcW w:w="796" w:type="pct"/>
            <w:tcBorders>
              <w:top w:val="nil"/>
              <w:bottom w:val="nil"/>
            </w:tcBorders>
          </w:tcPr>
          <w:p w14:paraId="18193372" w14:textId="77777777" w:rsidR="001F5AFC" w:rsidRPr="006124A7" w:rsidRDefault="001F5AFC">
            <w:pPr>
              <w:pStyle w:val="TableText0"/>
              <w:widowControl w:val="0"/>
            </w:pPr>
          </w:p>
        </w:tc>
        <w:tc>
          <w:tcPr>
            <w:tcW w:w="2974" w:type="pct"/>
            <w:tcBorders>
              <w:top w:val="nil"/>
              <w:bottom w:val="nil"/>
            </w:tcBorders>
            <w:shd w:val="clear" w:color="auto" w:fill="auto"/>
          </w:tcPr>
          <w:p w14:paraId="19D75ECE" w14:textId="77777777" w:rsidR="001F5AFC" w:rsidRPr="006124A7" w:rsidRDefault="001F5AFC">
            <w:pPr>
              <w:pStyle w:val="TableText0"/>
              <w:widowControl w:val="0"/>
            </w:pPr>
            <w:r w:rsidRPr="0F1D33A4">
              <w:t>Randomised, Open Label, Multicenter Phase IIIb Study Evaluating the Efficacy and Safety of Ruxolitinib Versus Best Available Therapy in Patients With Polycythaemia Vera Who Are Hydroxyurea Resistant or Intolerant (RESPONSE-2) – 260 week CSR</w:t>
            </w:r>
          </w:p>
        </w:tc>
        <w:tc>
          <w:tcPr>
            <w:tcW w:w="1230" w:type="pct"/>
            <w:tcBorders>
              <w:top w:val="nil"/>
              <w:bottom w:val="nil"/>
            </w:tcBorders>
            <w:shd w:val="clear" w:color="auto" w:fill="auto"/>
          </w:tcPr>
          <w:p w14:paraId="765CB5C3" w14:textId="77777777" w:rsidR="001F5AFC" w:rsidRPr="006124A7" w:rsidRDefault="001F5AFC">
            <w:pPr>
              <w:pStyle w:val="TableText0"/>
              <w:widowControl w:val="0"/>
            </w:pPr>
            <w:r w:rsidRPr="006124A7">
              <w:t>7 April 2020</w:t>
            </w:r>
          </w:p>
        </w:tc>
      </w:tr>
      <w:tr w:rsidR="001F5AFC" w:rsidRPr="006124A7" w14:paraId="01587441" w14:textId="77777777" w:rsidTr="0F1D33A4">
        <w:tc>
          <w:tcPr>
            <w:tcW w:w="796" w:type="pct"/>
            <w:tcBorders>
              <w:top w:val="nil"/>
              <w:bottom w:val="nil"/>
            </w:tcBorders>
          </w:tcPr>
          <w:p w14:paraId="270A4368" w14:textId="77777777" w:rsidR="001F5AFC" w:rsidRPr="006124A7" w:rsidRDefault="001F5AFC">
            <w:pPr>
              <w:pStyle w:val="TableText0"/>
              <w:widowControl w:val="0"/>
            </w:pPr>
            <w:r w:rsidRPr="006124A7">
              <w:t>RESPONSE-2</w:t>
            </w:r>
          </w:p>
        </w:tc>
        <w:tc>
          <w:tcPr>
            <w:tcW w:w="2974" w:type="pct"/>
            <w:tcBorders>
              <w:top w:val="nil"/>
              <w:bottom w:val="nil"/>
            </w:tcBorders>
            <w:shd w:val="clear" w:color="auto" w:fill="B8CCE4" w:themeFill="accent1" w:themeFillTint="66"/>
          </w:tcPr>
          <w:p w14:paraId="4FC8AE45" w14:textId="77777777" w:rsidR="001F5AFC" w:rsidRPr="006124A7" w:rsidRDefault="001F5AFC">
            <w:pPr>
              <w:pStyle w:val="TableText0"/>
              <w:widowControl w:val="0"/>
            </w:pPr>
            <w:r w:rsidRPr="0F1D33A4">
              <w:t>Passamonti et al. Ruxolitinib for the treatment of inadequately controlled polycythaemia vera without splenomegaly (RESPONSE-2): a randomised, open-label, phase 3b study.</w:t>
            </w:r>
          </w:p>
        </w:tc>
        <w:tc>
          <w:tcPr>
            <w:tcW w:w="1230" w:type="pct"/>
            <w:tcBorders>
              <w:top w:val="nil"/>
              <w:bottom w:val="nil"/>
            </w:tcBorders>
            <w:shd w:val="clear" w:color="auto" w:fill="B8CCE4" w:themeFill="accent1" w:themeFillTint="66"/>
          </w:tcPr>
          <w:p w14:paraId="60D25D76" w14:textId="77777777" w:rsidR="001F5AFC" w:rsidRPr="006124A7" w:rsidRDefault="001F5AFC">
            <w:pPr>
              <w:pStyle w:val="TableText0"/>
              <w:widowControl w:val="0"/>
            </w:pPr>
            <w:r w:rsidRPr="006124A7">
              <w:t>Lancet Oncology 2017; 18(1): 88-99</w:t>
            </w:r>
          </w:p>
        </w:tc>
      </w:tr>
      <w:tr w:rsidR="001F5AFC" w:rsidRPr="006124A7" w14:paraId="3CCA77CA" w14:textId="77777777" w:rsidTr="0F1D33A4">
        <w:tc>
          <w:tcPr>
            <w:tcW w:w="796" w:type="pct"/>
            <w:tcBorders>
              <w:top w:val="nil"/>
              <w:bottom w:val="single" w:sz="4" w:space="0" w:color="auto"/>
            </w:tcBorders>
          </w:tcPr>
          <w:p w14:paraId="397082CF" w14:textId="77777777" w:rsidR="001F5AFC" w:rsidRPr="006124A7" w:rsidRDefault="001F5AFC">
            <w:pPr>
              <w:pStyle w:val="TableText0"/>
              <w:widowControl w:val="0"/>
            </w:pPr>
          </w:p>
        </w:tc>
        <w:tc>
          <w:tcPr>
            <w:tcW w:w="2974" w:type="pct"/>
            <w:tcBorders>
              <w:top w:val="nil"/>
              <w:bottom w:val="single" w:sz="4" w:space="0" w:color="auto"/>
            </w:tcBorders>
            <w:shd w:val="clear" w:color="auto" w:fill="B8CCE4" w:themeFill="accent1" w:themeFillTint="66"/>
          </w:tcPr>
          <w:p w14:paraId="2C570496" w14:textId="77777777" w:rsidR="001F5AFC" w:rsidRPr="006124A7" w:rsidRDefault="001F5AFC">
            <w:pPr>
              <w:pStyle w:val="TableText0"/>
              <w:widowControl w:val="0"/>
            </w:pPr>
            <w:r w:rsidRPr="0F1D33A4">
              <w:t>Griesshammer et al. Ruxolitinib for the treatment of inadequately controlled polycythaemia vera without splenomegaly: 80-week follow-up from the RESPONSE-2 trial.</w:t>
            </w:r>
          </w:p>
        </w:tc>
        <w:tc>
          <w:tcPr>
            <w:tcW w:w="1230" w:type="pct"/>
            <w:tcBorders>
              <w:top w:val="nil"/>
              <w:bottom w:val="single" w:sz="4" w:space="0" w:color="auto"/>
            </w:tcBorders>
            <w:shd w:val="clear" w:color="auto" w:fill="B8CCE4" w:themeFill="accent1" w:themeFillTint="66"/>
          </w:tcPr>
          <w:p w14:paraId="2157B514" w14:textId="77777777" w:rsidR="001F5AFC" w:rsidRPr="006124A7" w:rsidRDefault="001F5AFC">
            <w:pPr>
              <w:pStyle w:val="TableText0"/>
              <w:widowControl w:val="0"/>
            </w:pPr>
            <w:r w:rsidRPr="006124A7">
              <w:t>Annals of Hematology 2018; 97(9): 1591-1600</w:t>
            </w:r>
          </w:p>
        </w:tc>
      </w:tr>
    </w:tbl>
    <w:p w14:paraId="3E624AB6" w14:textId="77777777" w:rsidR="001F5AFC" w:rsidRPr="006124A7" w:rsidRDefault="001F5AFC" w:rsidP="001F5AFC">
      <w:pPr>
        <w:pStyle w:val="TableFigureFooter"/>
      </w:pPr>
      <w:r w:rsidRPr="006124A7">
        <w:t>Source: Table 2.4, pp59-60 of the resubmission.</w:t>
      </w:r>
    </w:p>
    <w:p w14:paraId="5BD90926" w14:textId="77777777" w:rsidR="001F5AFC" w:rsidRPr="006124A7" w:rsidRDefault="001F5AFC" w:rsidP="001F5AFC">
      <w:pPr>
        <w:pStyle w:val="TableFigureFooter"/>
      </w:pPr>
      <w:r w:rsidRPr="006124A7">
        <w:t>Abbreviations: CSR, clinical study report; JAK2, Janus associated kinase; PV, polycythaemia vera</w:t>
      </w:r>
    </w:p>
    <w:p w14:paraId="42DBACBE" w14:textId="59862A5B" w:rsidR="001F5AFC" w:rsidRPr="006124A7" w:rsidRDefault="001F5AFC" w:rsidP="002B6F8F">
      <w:pPr>
        <w:pStyle w:val="TableFigureFooter"/>
      </w:pPr>
      <w:r w:rsidRPr="0F1D33A4">
        <w:rPr>
          <w:rStyle w:val="CommentReference"/>
          <w:b w:val="0"/>
          <w:sz w:val="18"/>
          <w:szCs w:val="18"/>
          <w:shd w:val="clear" w:color="auto" w:fill="B8CCE4" w:themeFill="accent1" w:themeFillTint="66"/>
        </w:rPr>
        <w:t>Blue shading</w:t>
      </w:r>
      <w:r w:rsidRPr="0F1D33A4">
        <w:rPr>
          <w:rStyle w:val="CommentReference"/>
          <w:b w:val="0"/>
          <w:sz w:val="18"/>
          <w:szCs w:val="18"/>
        </w:rPr>
        <w:t xml:space="preserve"> indicates information previously seen by the PBAC.</w:t>
      </w:r>
    </w:p>
    <w:p w14:paraId="007EC0DB" w14:textId="28BB90AB" w:rsidR="001F5AFC" w:rsidRPr="006124A7" w:rsidRDefault="001F5AFC" w:rsidP="001F5AFC">
      <w:pPr>
        <w:pStyle w:val="3-BodyText"/>
      </w:pPr>
      <w:r w:rsidRPr="0F1D33A4">
        <w:t xml:space="preserve">The resubmission justified the selection of MAJIC as the pivotal study </w:t>
      </w:r>
      <w:r w:rsidR="00F164A4" w:rsidRPr="0F1D33A4">
        <w:t>stating that it</w:t>
      </w:r>
      <w:r w:rsidRPr="0F1D33A4">
        <w:t xml:space="preserve"> provides up to 5 years of head-to-head evidence of comparative efficacy with limited crossover while the majority of patients randomised to BAT had crossed over to ruxolitinib from Week 32 in RESPONSE and from Week 28 in RESPONSE-2. The resubmission stated that the benefit of ruxolitinib compared with BAT was not captured beyond the time-point of crossover in RESPONSE and RESPONSE-2 trials, thereby introducing a high risk of bias and confounding the comparability of the ruxolitinib vs BAT. All patients crossed over from BAT to ruxolitinib or discontinued by Week 80 in these trials. The resubmission presented the results of primary outcomes for both arms and only presented long term results (after Week 80) for the ruxolitinib arm. </w:t>
      </w:r>
    </w:p>
    <w:p w14:paraId="19B93E25" w14:textId="6E742F73" w:rsidR="001F5AFC" w:rsidRPr="0046244A" w:rsidRDefault="001F5AFC" w:rsidP="0F1D33A4">
      <w:pPr>
        <w:pStyle w:val="3-BodyText"/>
        <w:rPr>
          <w:color w:val="000000" w:themeColor="text1"/>
        </w:rPr>
      </w:pPr>
      <w:r w:rsidRPr="0046244A">
        <w:rPr>
          <w:color w:val="000000" w:themeColor="text1"/>
        </w:rPr>
        <w:t>A recent publication of a systematic review and meta-analysis comparing ruxolitinib and BAT for patients with PV and patients with PV resistant or intolerant to HC/HU was identified during the evaluation (Roca Mora et al.</w:t>
      </w:r>
      <w:r w:rsidR="00201627" w:rsidRPr="0046244A">
        <w:rPr>
          <w:color w:val="000000" w:themeColor="text1"/>
        </w:rPr>
        <w:t>,</w:t>
      </w:r>
      <w:r w:rsidRPr="0046244A">
        <w:rPr>
          <w:color w:val="000000" w:themeColor="text1"/>
        </w:rPr>
        <w:t xml:space="preserve"> 2024).</w:t>
      </w:r>
      <w:r w:rsidRPr="0046244A">
        <w:rPr>
          <w:color w:val="000000" w:themeColor="text1"/>
          <w:vertAlign w:val="superscript"/>
        </w:rPr>
        <w:footnoteReference w:id="7"/>
      </w:r>
      <w:r w:rsidRPr="0046244A">
        <w:rPr>
          <w:color w:val="000000" w:themeColor="text1"/>
        </w:rPr>
        <w:t xml:space="preserve"> The systematic review and meta-analysis </w:t>
      </w:r>
      <w:r w:rsidR="00C321A2" w:rsidRPr="0046244A">
        <w:rPr>
          <w:color w:val="000000" w:themeColor="text1"/>
        </w:rPr>
        <w:t xml:space="preserve">considered </w:t>
      </w:r>
      <w:r w:rsidRPr="0046244A">
        <w:rPr>
          <w:color w:val="000000" w:themeColor="text1"/>
        </w:rPr>
        <w:t xml:space="preserve">data </w:t>
      </w:r>
      <w:r w:rsidR="003939BC" w:rsidRPr="0046244A">
        <w:rPr>
          <w:color w:val="000000" w:themeColor="text1"/>
        </w:rPr>
        <w:t xml:space="preserve">across six studies including </w:t>
      </w:r>
      <w:r w:rsidRPr="0046244A">
        <w:rPr>
          <w:color w:val="000000" w:themeColor="text1"/>
        </w:rPr>
        <w:t>the MAJIC, RESPONSE, and RESPONSE-2 trials</w:t>
      </w:r>
      <w:r w:rsidR="003939BC" w:rsidRPr="0046244A">
        <w:rPr>
          <w:color w:val="000000" w:themeColor="text1"/>
        </w:rPr>
        <w:t xml:space="preserve">. </w:t>
      </w:r>
      <w:r w:rsidRPr="0046244A">
        <w:rPr>
          <w:color w:val="000000" w:themeColor="text1"/>
        </w:rPr>
        <w:t>A subgroup analysis carried out for patients intolerant or resistant to HC/HU is presented in para</w:t>
      </w:r>
      <w:r w:rsidR="003F62FC" w:rsidRPr="0046244A">
        <w:rPr>
          <w:color w:val="000000" w:themeColor="text1"/>
        </w:rPr>
        <w:t>graphs</w:t>
      </w:r>
      <w:r w:rsidRPr="0046244A">
        <w:rPr>
          <w:color w:val="000000" w:themeColor="text1"/>
        </w:rPr>
        <w:t xml:space="preserve"> </w:t>
      </w:r>
      <w:r w:rsidRPr="0046244A">
        <w:rPr>
          <w:color w:val="000000" w:themeColor="text1"/>
        </w:rPr>
        <w:fldChar w:fldCharType="begin" w:fldLock="1"/>
      </w:r>
      <w:r w:rsidRPr="0046244A">
        <w:rPr>
          <w:color w:val="000000" w:themeColor="text1"/>
        </w:rPr>
        <w:instrText xml:space="preserve"> REF _Ref184916025 \r \h </w:instrText>
      </w:r>
      <w:r w:rsidR="006124A7" w:rsidRPr="0046244A">
        <w:rPr>
          <w:color w:val="000000" w:themeColor="text1"/>
        </w:rPr>
        <w:instrText xml:space="preserve"> \* MERGEFORMAT </w:instrText>
      </w:r>
      <w:r w:rsidRPr="0046244A">
        <w:rPr>
          <w:color w:val="000000" w:themeColor="text1"/>
        </w:rPr>
      </w:r>
      <w:r w:rsidRPr="0046244A">
        <w:rPr>
          <w:color w:val="000000" w:themeColor="text1"/>
        </w:rPr>
        <w:fldChar w:fldCharType="separate"/>
      </w:r>
      <w:r w:rsidR="004103B3" w:rsidRPr="0046244A">
        <w:rPr>
          <w:color w:val="000000" w:themeColor="text1"/>
        </w:rPr>
        <w:t>6.40</w:t>
      </w:r>
      <w:r w:rsidRPr="0046244A">
        <w:rPr>
          <w:color w:val="000000" w:themeColor="text1"/>
        </w:rPr>
        <w:fldChar w:fldCharType="end"/>
      </w:r>
      <w:r w:rsidRPr="0046244A">
        <w:rPr>
          <w:color w:val="000000" w:themeColor="text1"/>
        </w:rPr>
        <w:t xml:space="preserve"> and </w:t>
      </w:r>
      <w:r w:rsidRPr="0046244A">
        <w:rPr>
          <w:color w:val="000000" w:themeColor="text1"/>
        </w:rPr>
        <w:fldChar w:fldCharType="begin" w:fldLock="1"/>
      </w:r>
      <w:r w:rsidRPr="0046244A">
        <w:rPr>
          <w:color w:val="000000" w:themeColor="text1"/>
        </w:rPr>
        <w:instrText xml:space="preserve"> REF _Ref184916030 \n \h </w:instrText>
      </w:r>
      <w:r w:rsidR="006124A7" w:rsidRPr="0046244A">
        <w:rPr>
          <w:color w:val="000000" w:themeColor="text1"/>
        </w:rPr>
        <w:instrText xml:space="preserve"> \* MERGEFORMAT </w:instrText>
      </w:r>
      <w:r w:rsidRPr="0046244A">
        <w:rPr>
          <w:color w:val="000000" w:themeColor="text1"/>
        </w:rPr>
      </w:r>
      <w:r w:rsidRPr="0046244A">
        <w:rPr>
          <w:color w:val="000000" w:themeColor="text1"/>
        </w:rPr>
        <w:fldChar w:fldCharType="separate"/>
      </w:r>
      <w:r w:rsidR="004103B3" w:rsidRPr="0046244A">
        <w:rPr>
          <w:color w:val="000000" w:themeColor="text1"/>
        </w:rPr>
        <w:t>6.46</w:t>
      </w:r>
      <w:r w:rsidRPr="0046244A">
        <w:rPr>
          <w:color w:val="000000" w:themeColor="text1"/>
        </w:rPr>
        <w:fldChar w:fldCharType="end"/>
      </w:r>
      <w:r w:rsidRPr="0046244A">
        <w:rPr>
          <w:color w:val="000000" w:themeColor="text1"/>
        </w:rPr>
        <w:t>.</w:t>
      </w:r>
    </w:p>
    <w:p w14:paraId="5DAC6380" w14:textId="5D5C9CB1" w:rsidR="001F5AFC" w:rsidRPr="0046244A" w:rsidRDefault="001F5AFC" w:rsidP="0046244A">
      <w:pPr>
        <w:pStyle w:val="3-BodyText"/>
        <w:spacing w:after="120"/>
        <w:rPr>
          <w:rStyle w:val="CommentReference"/>
          <w:rFonts w:asciiTheme="minorHAnsi" w:hAnsiTheme="minorHAnsi"/>
          <w:b w:val="0"/>
          <w:sz w:val="24"/>
          <w:szCs w:val="22"/>
        </w:rPr>
      </w:pPr>
      <w:r w:rsidRPr="0046244A">
        <w:rPr>
          <w:color w:val="000000" w:themeColor="text1"/>
        </w:rPr>
        <w:t xml:space="preserve">The key features of the direct randomised trials are summarised </w:t>
      </w:r>
      <w:r w:rsidRPr="006124A7">
        <w:t xml:space="preserve">in </w:t>
      </w:r>
      <w:r w:rsidRPr="006124A7">
        <w:fldChar w:fldCharType="begin" w:fldLock="1"/>
      </w:r>
      <w:r w:rsidRPr="006124A7">
        <w:instrText xml:space="preserve"> REF _Ref104804098 \h  \* MERGEFORMAT </w:instrText>
      </w:r>
      <w:r w:rsidRPr="006124A7">
        <w:fldChar w:fldCharType="separate"/>
      </w:r>
      <w:r w:rsidR="0096555B" w:rsidRPr="006124A7">
        <w:t>Table</w:t>
      </w:r>
      <w:r w:rsidR="0096555B" w:rsidRPr="006124A7">
        <w:rPr>
          <w:rStyle w:val="CommentReference"/>
          <w:rFonts w:eastAsiaTheme="majorEastAsia" w:cstheme="majorBidi"/>
          <w:b w:val="0"/>
          <w:noProof/>
          <w:szCs w:val="24"/>
        </w:rPr>
        <w:t xml:space="preserve"> </w:t>
      </w:r>
      <w:r w:rsidR="0096555B" w:rsidRPr="006124A7">
        <w:rPr>
          <w:rStyle w:val="CommentReference"/>
          <w:rFonts w:asciiTheme="minorHAnsi" w:eastAsiaTheme="majorEastAsia" w:hAnsiTheme="minorHAnsi" w:cstheme="minorHAnsi"/>
          <w:b w:val="0"/>
          <w:noProof/>
          <w:sz w:val="24"/>
          <w:szCs w:val="24"/>
        </w:rPr>
        <w:t>4</w:t>
      </w:r>
      <w:r w:rsidRPr="006124A7">
        <w:fldChar w:fldCharType="end"/>
      </w:r>
      <w:r w:rsidRPr="006124A7">
        <w:t xml:space="preserve">. </w:t>
      </w:r>
      <w:bookmarkStart w:id="35" w:name="_Ref104804098"/>
    </w:p>
    <w:p w14:paraId="39720662" w14:textId="6BDF48AE" w:rsidR="001F5AFC" w:rsidRPr="006124A7" w:rsidRDefault="001F5AFC" w:rsidP="001F5AFC">
      <w:pPr>
        <w:pStyle w:val="Caption"/>
        <w:rPr>
          <w:rStyle w:val="CommentReference"/>
          <w:rFonts w:eastAsiaTheme="majorEastAsia" w:cstheme="majorBidi"/>
          <w:b/>
          <w:szCs w:val="24"/>
        </w:rPr>
      </w:pPr>
      <w:bookmarkStart w:id="36" w:name="_Ref187320807"/>
      <w:r w:rsidRPr="006124A7">
        <w:rPr>
          <w:rStyle w:val="CommentReference"/>
          <w:rFonts w:eastAsiaTheme="majorEastAsia" w:cstheme="majorBidi"/>
          <w:b/>
          <w:szCs w:val="24"/>
        </w:rPr>
        <w:lastRenderedPageBreak/>
        <w:t xml:space="preserve">Table </w:t>
      </w:r>
      <w:r w:rsidRPr="006124A7">
        <w:rPr>
          <w:rStyle w:val="CommentReference"/>
          <w:rFonts w:eastAsiaTheme="majorEastAsia" w:cstheme="majorBidi"/>
          <w:b/>
          <w:szCs w:val="24"/>
        </w:rPr>
        <w:fldChar w:fldCharType="begin" w:fldLock="1"/>
      </w:r>
      <w:r w:rsidRPr="006124A7">
        <w:rPr>
          <w:rStyle w:val="CommentReference"/>
          <w:rFonts w:eastAsiaTheme="majorEastAsia" w:cstheme="majorBidi"/>
          <w:b/>
          <w:szCs w:val="24"/>
        </w:rPr>
        <w:instrText xml:space="preserve"> SEQ Table \* ARABIC </w:instrText>
      </w:r>
      <w:r w:rsidRPr="006124A7">
        <w:rPr>
          <w:rStyle w:val="CommentReference"/>
          <w:rFonts w:eastAsiaTheme="majorEastAsia" w:cstheme="majorBidi"/>
          <w:b/>
          <w:szCs w:val="24"/>
        </w:rPr>
        <w:fldChar w:fldCharType="separate"/>
      </w:r>
      <w:r w:rsidR="001F427F">
        <w:rPr>
          <w:rStyle w:val="CommentReference"/>
          <w:rFonts w:eastAsiaTheme="majorEastAsia" w:cstheme="majorBidi"/>
          <w:b/>
          <w:noProof/>
          <w:szCs w:val="24"/>
        </w:rPr>
        <w:t>4</w:t>
      </w:r>
      <w:r w:rsidRPr="006124A7">
        <w:rPr>
          <w:rStyle w:val="CommentReference"/>
          <w:rFonts w:eastAsiaTheme="majorEastAsia" w:cstheme="majorBidi"/>
          <w:b/>
          <w:szCs w:val="24"/>
        </w:rPr>
        <w:fldChar w:fldCharType="end"/>
      </w:r>
      <w:bookmarkEnd w:id="35"/>
      <w:bookmarkEnd w:id="36"/>
      <w:r w:rsidRPr="006124A7">
        <w:rPr>
          <w:rStyle w:val="CommentReference"/>
          <w:rFonts w:eastAsiaTheme="majorEastAsia" w:cstheme="majorBidi"/>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Description w:val="New information being considered by PBAC in the resubmission:&#10;Duration of all three trials&#10;Risk of bias in the RESPONSE and RESPONSE-2 trials&#10;Outcomes of all three trials&#10;Use of MAJIC in modelled evaluation"/>
      </w:tblPr>
      <w:tblGrid>
        <w:gridCol w:w="1154"/>
        <w:gridCol w:w="563"/>
        <w:gridCol w:w="985"/>
        <w:gridCol w:w="1127"/>
        <w:gridCol w:w="1264"/>
        <w:gridCol w:w="2393"/>
        <w:gridCol w:w="1531"/>
      </w:tblGrid>
      <w:tr w:rsidR="001F5AFC" w:rsidRPr="006124A7" w14:paraId="7E8C0301" w14:textId="77777777">
        <w:tc>
          <w:tcPr>
            <w:tcW w:w="640" w:type="pct"/>
            <w:shd w:val="clear" w:color="auto" w:fill="B8CCE4" w:themeFill="accent1" w:themeFillTint="66"/>
          </w:tcPr>
          <w:p w14:paraId="666BB21E" w14:textId="77777777" w:rsidR="001F5AFC" w:rsidRPr="006124A7" w:rsidRDefault="001F5AFC">
            <w:pPr>
              <w:pStyle w:val="Tabletext"/>
              <w:keepNext/>
              <w:keepLines/>
              <w:rPr>
                <w:b/>
                <w:lang w:val="en-US"/>
              </w:rPr>
            </w:pPr>
            <w:r w:rsidRPr="006124A7">
              <w:rPr>
                <w:b/>
                <w:lang w:val="en-US"/>
              </w:rPr>
              <w:t>Trial</w:t>
            </w:r>
          </w:p>
        </w:tc>
        <w:tc>
          <w:tcPr>
            <w:tcW w:w="312" w:type="pct"/>
            <w:shd w:val="clear" w:color="auto" w:fill="B8CCE4" w:themeFill="accent1" w:themeFillTint="66"/>
          </w:tcPr>
          <w:p w14:paraId="4C9D24E8" w14:textId="77777777" w:rsidR="001F5AFC" w:rsidRPr="006124A7" w:rsidRDefault="001F5AFC">
            <w:pPr>
              <w:pStyle w:val="Tabletext"/>
              <w:keepNext/>
              <w:keepLines/>
              <w:rPr>
                <w:b/>
                <w:lang w:val="en-US"/>
              </w:rPr>
            </w:pPr>
            <w:r w:rsidRPr="006124A7">
              <w:rPr>
                <w:b/>
                <w:lang w:val="en-US"/>
              </w:rPr>
              <w:t>N</w:t>
            </w:r>
          </w:p>
        </w:tc>
        <w:tc>
          <w:tcPr>
            <w:tcW w:w="546" w:type="pct"/>
            <w:shd w:val="clear" w:color="auto" w:fill="B8CCE4" w:themeFill="accent1" w:themeFillTint="66"/>
          </w:tcPr>
          <w:p w14:paraId="439DA35C" w14:textId="77777777" w:rsidR="001F5AFC" w:rsidRPr="006124A7" w:rsidRDefault="001F5AFC">
            <w:pPr>
              <w:pStyle w:val="Tabletext"/>
              <w:keepNext/>
              <w:keepLines/>
              <w:rPr>
                <w:b/>
                <w:lang w:val="en-US"/>
              </w:rPr>
            </w:pPr>
            <w:r w:rsidRPr="006124A7">
              <w:rPr>
                <w:b/>
                <w:lang w:val="en-US"/>
              </w:rPr>
              <w:t>Design/ duration</w:t>
            </w:r>
          </w:p>
        </w:tc>
        <w:tc>
          <w:tcPr>
            <w:tcW w:w="625" w:type="pct"/>
            <w:shd w:val="clear" w:color="auto" w:fill="B8CCE4" w:themeFill="accent1" w:themeFillTint="66"/>
          </w:tcPr>
          <w:p w14:paraId="1190DA6A" w14:textId="77777777" w:rsidR="001F5AFC" w:rsidRPr="006124A7" w:rsidRDefault="001F5AFC">
            <w:pPr>
              <w:pStyle w:val="Tabletext"/>
              <w:keepNext/>
              <w:keepLines/>
              <w:rPr>
                <w:b/>
                <w:lang w:val="en-US"/>
              </w:rPr>
            </w:pPr>
            <w:r w:rsidRPr="006124A7">
              <w:rPr>
                <w:b/>
                <w:lang w:val="en-US"/>
              </w:rPr>
              <w:t>Risk of bias</w:t>
            </w:r>
          </w:p>
        </w:tc>
        <w:tc>
          <w:tcPr>
            <w:tcW w:w="701" w:type="pct"/>
            <w:shd w:val="clear" w:color="auto" w:fill="B8CCE4" w:themeFill="accent1" w:themeFillTint="66"/>
          </w:tcPr>
          <w:p w14:paraId="7D17CDC0" w14:textId="77777777" w:rsidR="001F5AFC" w:rsidRPr="006124A7" w:rsidRDefault="001F5AFC">
            <w:pPr>
              <w:pStyle w:val="Tabletext"/>
              <w:keepNext/>
              <w:keepLines/>
              <w:rPr>
                <w:b/>
                <w:lang w:val="en-US"/>
              </w:rPr>
            </w:pPr>
            <w:r w:rsidRPr="006124A7">
              <w:rPr>
                <w:b/>
                <w:lang w:val="en-US"/>
              </w:rPr>
              <w:t>Patient population</w:t>
            </w:r>
          </w:p>
        </w:tc>
        <w:tc>
          <w:tcPr>
            <w:tcW w:w="1327" w:type="pct"/>
            <w:shd w:val="clear" w:color="auto" w:fill="B8CCE4" w:themeFill="accent1" w:themeFillTint="66"/>
          </w:tcPr>
          <w:p w14:paraId="153D3643" w14:textId="77777777" w:rsidR="001F5AFC" w:rsidRPr="006124A7" w:rsidRDefault="001F5AFC">
            <w:pPr>
              <w:pStyle w:val="Tabletext"/>
              <w:keepNext/>
              <w:keepLines/>
              <w:rPr>
                <w:b/>
                <w:lang w:val="en-US"/>
              </w:rPr>
            </w:pPr>
            <w:r w:rsidRPr="006124A7">
              <w:rPr>
                <w:b/>
                <w:lang w:val="en-US"/>
              </w:rPr>
              <w:t>Outcome(s)</w:t>
            </w:r>
          </w:p>
        </w:tc>
        <w:tc>
          <w:tcPr>
            <w:tcW w:w="849" w:type="pct"/>
            <w:shd w:val="clear" w:color="auto" w:fill="B8CCE4" w:themeFill="accent1" w:themeFillTint="66"/>
          </w:tcPr>
          <w:p w14:paraId="68577763" w14:textId="164D7C5B" w:rsidR="001F5AFC" w:rsidRPr="006124A7" w:rsidRDefault="001F5AFC">
            <w:pPr>
              <w:pStyle w:val="Tabletext"/>
              <w:keepNext/>
              <w:keepLines/>
              <w:rPr>
                <w:b/>
                <w:lang w:val="en-US"/>
              </w:rPr>
            </w:pPr>
            <w:r w:rsidRPr="006124A7">
              <w:rPr>
                <w:b/>
                <w:lang w:val="en-US"/>
              </w:rPr>
              <w:t>Use in modelled evaluation</w:t>
            </w:r>
          </w:p>
        </w:tc>
      </w:tr>
      <w:tr w:rsidR="001F5AFC" w:rsidRPr="006124A7" w14:paraId="56939960" w14:textId="77777777">
        <w:tc>
          <w:tcPr>
            <w:tcW w:w="5000" w:type="pct"/>
            <w:gridSpan w:val="7"/>
            <w:shd w:val="clear" w:color="auto" w:fill="B8CCE4" w:themeFill="accent1" w:themeFillTint="66"/>
          </w:tcPr>
          <w:p w14:paraId="5C5C28BC" w14:textId="77777777" w:rsidR="001F5AFC" w:rsidRPr="006124A7" w:rsidRDefault="001F5AFC">
            <w:pPr>
              <w:pStyle w:val="Tabletext"/>
              <w:keepNext/>
              <w:keepLines/>
              <w:rPr>
                <w:b/>
                <w:lang w:val="en-US"/>
              </w:rPr>
            </w:pPr>
            <w:r w:rsidRPr="006124A7">
              <w:rPr>
                <w:b/>
                <w:lang w:val="en-US"/>
              </w:rPr>
              <w:t>Ruxolitinib vs BAT</w:t>
            </w:r>
          </w:p>
        </w:tc>
      </w:tr>
      <w:tr w:rsidR="001F5AFC" w:rsidRPr="006124A7" w14:paraId="0F2F133C" w14:textId="77777777">
        <w:tc>
          <w:tcPr>
            <w:tcW w:w="640" w:type="pct"/>
            <w:shd w:val="clear" w:color="auto" w:fill="B8CCE4" w:themeFill="accent1" w:themeFillTint="66"/>
          </w:tcPr>
          <w:p w14:paraId="776FD2FC" w14:textId="77777777" w:rsidR="001F5AFC" w:rsidRPr="006124A7" w:rsidRDefault="001F5AFC">
            <w:pPr>
              <w:pStyle w:val="Tabletext"/>
              <w:keepNext/>
              <w:keepLines/>
              <w:rPr>
                <w:lang w:val="en-US"/>
              </w:rPr>
            </w:pPr>
            <w:r w:rsidRPr="006124A7">
              <w:rPr>
                <w:lang w:val="en-US"/>
              </w:rPr>
              <w:t>MAJIC</w:t>
            </w:r>
          </w:p>
        </w:tc>
        <w:tc>
          <w:tcPr>
            <w:tcW w:w="312" w:type="pct"/>
            <w:shd w:val="clear" w:color="auto" w:fill="B8CCE4" w:themeFill="accent1" w:themeFillTint="66"/>
          </w:tcPr>
          <w:p w14:paraId="17FE08F5" w14:textId="77777777" w:rsidR="001F5AFC" w:rsidRPr="006124A7" w:rsidRDefault="001F5AFC">
            <w:pPr>
              <w:pStyle w:val="Tabletext"/>
              <w:keepNext/>
              <w:keepLines/>
              <w:jc w:val="center"/>
              <w:rPr>
                <w:lang w:val="en-US"/>
              </w:rPr>
            </w:pPr>
            <w:r w:rsidRPr="006124A7">
              <w:rPr>
                <w:lang w:val="en-US"/>
              </w:rPr>
              <w:t>190</w:t>
            </w:r>
          </w:p>
        </w:tc>
        <w:tc>
          <w:tcPr>
            <w:tcW w:w="546" w:type="pct"/>
            <w:shd w:val="clear" w:color="auto" w:fill="B8CCE4" w:themeFill="accent1" w:themeFillTint="66"/>
          </w:tcPr>
          <w:p w14:paraId="07AA58C7" w14:textId="77777777" w:rsidR="001F5AFC" w:rsidRPr="006124A7" w:rsidRDefault="001F5AFC">
            <w:pPr>
              <w:pStyle w:val="Tabletext"/>
              <w:keepNext/>
              <w:keepLines/>
              <w:rPr>
                <w:lang w:val="en-US"/>
              </w:rPr>
            </w:pPr>
            <w:r w:rsidRPr="006124A7">
              <w:rPr>
                <w:lang w:val="en-US"/>
              </w:rPr>
              <w:t>R,OL</w:t>
            </w:r>
          </w:p>
          <w:p w14:paraId="2D1C7F7E" w14:textId="77777777" w:rsidR="001F5AFC" w:rsidRPr="006124A7" w:rsidRDefault="001F5AFC">
            <w:pPr>
              <w:pStyle w:val="Tabletext"/>
              <w:keepNext/>
              <w:keepLines/>
              <w:rPr>
                <w:vertAlign w:val="superscript"/>
              </w:rPr>
            </w:pPr>
            <w:r w:rsidRPr="006124A7">
              <w:rPr>
                <w:shd w:val="clear" w:color="auto" w:fill="FFFFFF" w:themeFill="background1"/>
                <w:lang w:val="en-US"/>
              </w:rPr>
              <w:t>5 years</w:t>
            </w:r>
          </w:p>
        </w:tc>
        <w:tc>
          <w:tcPr>
            <w:tcW w:w="625" w:type="pct"/>
            <w:shd w:val="clear" w:color="auto" w:fill="B8CCE4" w:themeFill="accent1" w:themeFillTint="66"/>
          </w:tcPr>
          <w:p w14:paraId="3953DD44" w14:textId="77777777" w:rsidR="001F5AFC" w:rsidRPr="006124A7" w:rsidRDefault="001F5AFC">
            <w:pPr>
              <w:pStyle w:val="Tabletext"/>
              <w:keepNext/>
              <w:keepLines/>
              <w:rPr>
                <w:vertAlign w:val="superscript"/>
                <w:lang w:val="en-US"/>
              </w:rPr>
            </w:pPr>
            <w:r w:rsidRPr="006124A7">
              <w:rPr>
                <w:lang w:val="en-US"/>
              </w:rPr>
              <w:t xml:space="preserve">High </w:t>
            </w:r>
            <w:r w:rsidRPr="006124A7">
              <w:rPr>
                <w:vertAlign w:val="superscript"/>
                <w:lang w:val="en-US"/>
              </w:rPr>
              <w:t>a</w:t>
            </w:r>
          </w:p>
        </w:tc>
        <w:tc>
          <w:tcPr>
            <w:tcW w:w="701" w:type="pct"/>
            <w:shd w:val="clear" w:color="auto" w:fill="B8CCE4" w:themeFill="accent1" w:themeFillTint="66"/>
          </w:tcPr>
          <w:p w14:paraId="615C4108" w14:textId="77777777" w:rsidR="001F5AFC" w:rsidRPr="006124A7" w:rsidRDefault="001F5AFC">
            <w:pPr>
              <w:pStyle w:val="Tabletext"/>
              <w:keepNext/>
              <w:keepLines/>
              <w:rPr>
                <w:vertAlign w:val="superscript"/>
                <w:lang w:val="en-US"/>
              </w:rPr>
            </w:pPr>
            <w:r w:rsidRPr="006124A7">
              <w:rPr>
                <w:lang w:val="en-US"/>
              </w:rPr>
              <w:t xml:space="preserve">Resistant or intolerant to HC/HU, ‘high risk’ PV </w:t>
            </w:r>
            <w:r w:rsidRPr="006124A7">
              <w:rPr>
                <w:vertAlign w:val="superscript"/>
                <w:lang w:val="en-US"/>
              </w:rPr>
              <w:t>b</w:t>
            </w:r>
          </w:p>
        </w:tc>
        <w:tc>
          <w:tcPr>
            <w:tcW w:w="1327" w:type="pct"/>
            <w:shd w:val="clear" w:color="auto" w:fill="auto"/>
          </w:tcPr>
          <w:p w14:paraId="2B37CD1D" w14:textId="64740776" w:rsidR="001F5AFC" w:rsidRPr="006124A7" w:rsidRDefault="001F5AFC">
            <w:pPr>
              <w:pStyle w:val="Tabletext"/>
              <w:keepNext/>
              <w:keepLines/>
              <w:rPr>
                <w:lang w:val="en-US"/>
              </w:rPr>
            </w:pPr>
            <w:r w:rsidRPr="006124A7">
              <w:rPr>
                <w:lang w:val="en-US"/>
              </w:rPr>
              <w:t>CR</w:t>
            </w:r>
            <w:r w:rsidRPr="006124A7">
              <w:rPr>
                <w:vertAlign w:val="superscript"/>
                <w:lang w:val="en-US"/>
              </w:rPr>
              <w:t>c</w:t>
            </w:r>
            <w:r w:rsidRPr="006124A7">
              <w:rPr>
                <w:lang w:val="en-US"/>
              </w:rPr>
              <w:t xml:space="preserve"> at 12 months, CR+PR</w:t>
            </w:r>
            <w:r w:rsidRPr="006124A7">
              <w:rPr>
                <w:vertAlign w:val="superscript"/>
                <w:lang w:val="en-US"/>
              </w:rPr>
              <w:t xml:space="preserve">d </w:t>
            </w:r>
            <w:r w:rsidRPr="006124A7">
              <w:rPr>
                <w:lang w:val="en-US"/>
              </w:rPr>
              <w:t>at 12 months and 5 years, DoR, thromboembolic and haemorrhagic event rates, EFS, TEFS, HEFS, PFS, OS, venesections, QoL, AEs</w:t>
            </w:r>
          </w:p>
        </w:tc>
        <w:tc>
          <w:tcPr>
            <w:tcW w:w="849" w:type="pct"/>
            <w:shd w:val="clear" w:color="auto" w:fill="auto"/>
          </w:tcPr>
          <w:p w14:paraId="16C49905" w14:textId="0CD2FBB3" w:rsidR="001F5AFC" w:rsidRPr="006124A7" w:rsidRDefault="001F5AFC">
            <w:pPr>
              <w:pStyle w:val="Tabletext"/>
              <w:keepNext/>
              <w:keepLines/>
              <w:rPr>
                <w:lang w:val="en-US"/>
              </w:rPr>
            </w:pPr>
            <w:r w:rsidRPr="006124A7">
              <w:rPr>
                <w:lang w:val="en-US"/>
              </w:rPr>
              <w:t>D</w:t>
            </w:r>
            <w:r w:rsidR="0021208E" w:rsidRPr="006124A7">
              <w:rPr>
                <w:lang w:val="en-US"/>
              </w:rPr>
              <w:t>o</w:t>
            </w:r>
            <w:r w:rsidRPr="006124A7">
              <w:rPr>
                <w:lang w:val="en-US"/>
              </w:rPr>
              <w:t xml:space="preserve">R, QoL, PFS, OS, venesections used to inform transitions. </w:t>
            </w:r>
          </w:p>
        </w:tc>
      </w:tr>
      <w:tr w:rsidR="001F5AFC" w:rsidRPr="006124A7" w14:paraId="2D1BF099" w14:textId="77777777">
        <w:tc>
          <w:tcPr>
            <w:tcW w:w="640" w:type="pct"/>
            <w:shd w:val="clear" w:color="auto" w:fill="B8CCE4" w:themeFill="accent1" w:themeFillTint="66"/>
          </w:tcPr>
          <w:p w14:paraId="1C01A40A" w14:textId="77777777" w:rsidR="001F5AFC" w:rsidRPr="006124A7" w:rsidRDefault="001F5AFC">
            <w:pPr>
              <w:pStyle w:val="Tabletext"/>
              <w:keepNext/>
              <w:keepLines/>
              <w:rPr>
                <w:lang w:val="en-US"/>
              </w:rPr>
            </w:pPr>
            <w:r w:rsidRPr="006124A7">
              <w:rPr>
                <w:lang w:val="en-US"/>
              </w:rPr>
              <w:t>RESPONSE</w:t>
            </w:r>
          </w:p>
        </w:tc>
        <w:tc>
          <w:tcPr>
            <w:tcW w:w="312" w:type="pct"/>
            <w:shd w:val="clear" w:color="auto" w:fill="B8CCE4" w:themeFill="accent1" w:themeFillTint="66"/>
          </w:tcPr>
          <w:p w14:paraId="05FED2CD" w14:textId="77777777" w:rsidR="001F5AFC" w:rsidRPr="006124A7" w:rsidRDefault="001F5AFC">
            <w:pPr>
              <w:pStyle w:val="Tabletext"/>
              <w:keepNext/>
              <w:keepLines/>
              <w:jc w:val="center"/>
              <w:rPr>
                <w:lang w:val="en-US"/>
              </w:rPr>
            </w:pPr>
            <w:r w:rsidRPr="006124A7">
              <w:rPr>
                <w:lang w:val="en-US"/>
              </w:rPr>
              <w:t>222</w:t>
            </w:r>
          </w:p>
        </w:tc>
        <w:tc>
          <w:tcPr>
            <w:tcW w:w="546" w:type="pct"/>
            <w:shd w:val="clear" w:color="auto" w:fill="B8CCE4" w:themeFill="accent1" w:themeFillTint="66"/>
          </w:tcPr>
          <w:p w14:paraId="1BE9BAAC" w14:textId="77777777" w:rsidR="001F5AFC" w:rsidRPr="006124A7" w:rsidRDefault="001F5AFC">
            <w:pPr>
              <w:pStyle w:val="Tabletext"/>
              <w:keepNext/>
              <w:keepLines/>
              <w:rPr>
                <w:lang w:val="en-US"/>
              </w:rPr>
            </w:pPr>
            <w:r w:rsidRPr="006124A7">
              <w:rPr>
                <w:lang w:val="en-US"/>
              </w:rPr>
              <w:t>R, OL</w:t>
            </w:r>
          </w:p>
          <w:p w14:paraId="70AB14CD" w14:textId="77777777" w:rsidR="001F5AFC" w:rsidRPr="006124A7" w:rsidRDefault="001F5AFC">
            <w:pPr>
              <w:pStyle w:val="Tabletext"/>
              <w:keepNext/>
              <w:keepLines/>
              <w:rPr>
                <w:vertAlign w:val="superscript"/>
                <w:lang w:val="en-US"/>
              </w:rPr>
            </w:pPr>
            <w:r w:rsidRPr="006124A7">
              <w:rPr>
                <w:shd w:val="clear" w:color="auto" w:fill="FFFFFF" w:themeFill="background1"/>
                <w:lang w:val="en-US"/>
              </w:rPr>
              <w:t>256 weeks</w:t>
            </w:r>
            <w:r w:rsidRPr="006124A7">
              <w:rPr>
                <w:lang w:val="en-US"/>
              </w:rPr>
              <w:t xml:space="preserve"> </w:t>
            </w:r>
          </w:p>
        </w:tc>
        <w:tc>
          <w:tcPr>
            <w:tcW w:w="625" w:type="pct"/>
            <w:shd w:val="clear" w:color="auto" w:fill="auto"/>
          </w:tcPr>
          <w:p w14:paraId="6E49DEC7" w14:textId="77777777" w:rsidR="001F5AFC" w:rsidRPr="006124A7" w:rsidRDefault="001F5AFC">
            <w:pPr>
              <w:pStyle w:val="Tabletext"/>
              <w:keepNext/>
              <w:keepLines/>
              <w:rPr>
                <w:lang w:val="en-US"/>
              </w:rPr>
            </w:pPr>
            <w:r w:rsidRPr="006124A7">
              <w:rPr>
                <w:lang w:val="en-US"/>
              </w:rPr>
              <w:t xml:space="preserve">High </w:t>
            </w:r>
            <w:r w:rsidRPr="006124A7">
              <w:rPr>
                <w:vertAlign w:val="superscript"/>
                <w:lang w:val="en-US"/>
              </w:rPr>
              <w:t>a</w:t>
            </w:r>
          </w:p>
        </w:tc>
        <w:tc>
          <w:tcPr>
            <w:tcW w:w="701" w:type="pct"/>
            <w:shd w:val="clear" w:color="auto" w:fill="B8CCE4" w:themeFill="accent1" w:themeFillTint="66"/>
          </w:tcPr>
          <w:p w14:paraId="22F45E1F" w14:textId="77777777" w:rsidR="001F5AFC" w:rsidRPr="006124A7" w:rsidRDefault="001F5AFC">
            <w:pPr>
              <w:pStyle w:val="Tabletext"/>
              <w:keepNext/>
              <w:keepLines/>
              <w:rPr>
                <w:lang w:val="en-US"/>
              </w:rPr>
            </w:pPr>
            <w:r w:rsidRPr="006124A7">
              <w:rPr>
                <w:lang w:val="en-US"/>
              </w:rPr>
              <w:t>Resistant or intolerant to HC/HU with splenomegaly</w:t>
            </w:r>
          </w:p>
        </w:tc>
        <w:tc>
          <w:tcPr>
            <w:tcW w:w="1327" w:type="pct"/>
            <w:shd w:val="clear" w:color="auto" w:fill="auto"/>
          </w:tcPr>
          <w:p w14:paraId="13CB9F69" w14:textId="0C9EB9CD" w:rsidR="001F5AFC" w:rsidRPr="006124A7" w:rsidRDefault="001F5AFC">
            <w:pPr>
              <w:pStyle w:val="Tabletext"/>
              <w:keepNext/>
              <w:keepLines/>
              <w:rPr>
                <w:lang w:val="en-US"/>
              </w:rPr>
            </w:pPr>
            <w:r w:rsidRPr="006124A7">
              <w:rPr>
                <w:lang w:val="en-US"/>
              </w:rPr>
              <w:t xml:space="preserve">Response (HCT &lt;45% with no more than one </w:t>
            </w:r>
            <w:r w:rsidR="007E6797" w:rsidRPr="006124A7">
              <w:rPr>
                <w:lang w:val="en-US"/>
              </w:rPr>
              <w:t>venesection</w:t>
            </w:r>
            <w:r w:rsidRPr="006124A7">
              <w:rPr>
                <w:lang w:val="en-US"/>
              </w:rPr>
              <w:t xml:space="preserve"> and reduction in spleen size ≥ 35% at 32 weeks and 256 weeks, DoR, thromboembolic and haemorrhagic event rates, OS, QoL, </w:t>
            </w:r>
            <w:r w:rsidR="007E6797" w:rsidRPr="006124A7">
              <w:rPr>
                <w:lang w:val="en-US"/>
              </w:rPr>
              <w:t>venesections</w:t>
            </w:r>
            <w:r w:rsidRPr="006124A7">
              <w:rPr>
                <w:lang w:val="en-US"/>
              </w:rPr>
              <w:t>, AEs</w:t>
            </w:r>
          </w:p>
        </w:tc>
        <w:tc>
          <w:tcPr>
            <w:tcW w:w="849" w:type="pct"/>
            <w:shd w:val="clear" w:color="auto" w:fill="B8CCE4" w:themeFill="accent1" w:themeFillTint="66"/>
          </w:tcPr>
          <w:p w14:paraId="05AF31F3" w14:textId="402E0680" w:rsidR="001F5AFC" w:rsidRPr="006124A7" w:rsidRDefault="001F5AFC">
            <w:pPr>
              <w:pStyle w:val="Tabletext"/>
              <w:keepNext/>
              <w:keepLines/>
              <w:rPr>
                <w:lang w:val="en-US"/>
              </w:rPr>
            </w:pPr>
            <w:r w:rsidRPr="006124A7">
              <w:rPr>
                <w:lang w:val="en-US"/>
              </w:rPr>
              <w:t xml:space="preserve">QoL used to inform utility in SA. </w:t>
            </w:r>
            <w:r w:rsidR="00954DB1" w:rsidRPr="006124A7">
              <w:rPr>
                <w:lang w:val="en-US"/>
              </w:rPr>
              <w:t>Thromboembolic</w:t>
            </w:r>
            <w:r w:rsidR="0099236A" w:rsidRPr="006124A7">
              <w:rPr>
                <w:lang w:val="en-US"/>
              </w:rPr>
              <w:t xml:space="preserve"> events</w:t>
            </w:r>
            <w:r w:rsidR="00954DB1" w:rsidRPr="006124A7">
              <w:rPr>
                <w:lang w:val="en-US"/>
              </w:rPr>
              <w:t xml:space="preserve"> and </w:t>
            </w:r>
            <w:r w:rsidRPr="006124A7">
              <w:rPr>
                <w:lang w:val="en-US"/>
              </w:rPr>
              <w:t>AEs used.</w:t>
            </w:r>
          </w:p>
        </w:tc>
      </w:tr>
      <w:tr w:rsidR="001F5AFC" w:rsidRPr="006124A7" w14:paraId="5525D9FF" w14:textId="77777777">
        <w:tc>
          <w:tcPr>
            <w:tcW w:w="640" w:type="pct"/>
            <w:shd w:val="clear" w:color="auto" w:fill="B8CCE4" w:themeFill="accent1" w:themeFillTint="66"/>
          </w:tcPr>
          <w:p w14:paraId="23E9F5B3" w14:textId="77777777" w:rsidR="001F5AFC" w:rsidRPr="006124A7" w:rsidRDefault="001F5AFC">
            <w:pPr>
              <w:pStyle w:val="Tabletext"/>
              <w:keepNext/>
              <w:keepLines/>
              <w:rPr>
                <w:lang w:val="en-US"/>
              </w:rPr>
            </w:pPr>
            <w:r w:rsidRPr="006124A7">
              <w:rPr>
                <w:lang w:val="en-US"/>
              </w:rPr>
              <w:t>RESPONSE-2</w:t>
            </w:r>
          </w:p>
        </w:tc>
        <w:tc>
          <w:tcPr>
            <w:tcW w:w="312" w:type="pct"/>
            <w:shd w:val="clear" w:color="auto" w:fill="B8CCE4" w:themeFill="accent1" w:themeFillTint="66"/>
          </w:tcPr>
          <w:p w14:paraId="61839EE1" w14:textId="77777777" w:rsidR="001F5AFC" w:rsidRPr="006124A7" w:rsidRDefault="001F5AFC">
            <w:pPr>
              <w:pStyle w:val="Tabletext"/>
              <w:keepNext/>
              <w:keepLines/>
              <w:jc w:val="center"/>
              <w:rPr>
                <w:lang w:val="en-US"/>
              </w:rPr>
            </w:pPr>
            <w:r w:rsidRPr="006124A7">
              <w:rPr>
                <w:lang w:val="en-US"/>
              </w:rPr>
              <w:t>149</w:t>
            </w:r>
          </w:p>
        </w:tc>
        <w:tc>
          <w:tcPr>
            <w:tcW w:w="546" w:type="pct"/>
            <w:shd w:val="clear" w:color="auto" w:fill="B8CCE4" w:themeFill="accent1" w:themeFillTint="66"/>
          </w:tcPr>
          <w:p w14:paraId="11730930" w14:textId="77777777" w:rsidR="001F5AFC" w:rsidRPr="006124A7" w:rsidRDefault="001F5AFC">
            <w:pPr>
              <w:pStyle w:val="Tabletext"/>
              <w:keepNext/>
              <w:keepLines/>
              <w:rPr>
                <w:lang w:val="en-US"/>
              </w:rPr>
            </w:pPr>
            <w:r w:rsidRPr="006124A7">
              <w:rPr>
                <w:lang w:val="en-US"/>
              </w:rPr>
              <w:t>R, OL</w:t>
            </w:r>
          </w:p>
          <w:p w14:paraId="05343C0D" w14:textId="77777777" w:rsidR="001F5AFC" w:rsidRPr="006124A7" w:rsidRDefault="001F5AFC">
            <w:pPr>
              <w:pStyle w:val="Tabletext"/>
              <w:keepNext/>
              <w:keepLines/>
              <w:rPr>
                <w:lang w:val="en-US"/>
              </w:rPr>
            </w:pPr>
            <w:r w:rsidRPr="006124A7">
              <w:rPr>
                <w:shd w:val="clear" w:color="auto" w:fill="FFFFFF" w:themeFill="background1"/>
                <w:lang w:val="en-US"/>
              </w:rPr>
              <w:t>260 weeks</w:t>
            </w:r>
          </w:p>
        </w:tc>
        <w:tc>
          <w:tcPr>
            <w:tcW w:w="625" w:type="pct"/>
            <w:shd w:val="clear" w:color="auto" w:fill="auto"/>
          </w:tcPr>
          <w:p w14:paraId="3FF06862" w14:textId="77777777" w:rsidR="001F5AFC" w:rsidRPr="006124A7" w:rsidRDefault="001F5AFC">
            <w:pPr>
              <w:pStyle w:val="Tabletext"/>
              <w:keepNext/>
              <w:keepLines/>
            </w:pPr>
            <w:r w:rsidRPr="006124A7">
              <w:rPr>
                <w:lang w:val="en-US"/>
              </w:rPr>
              <w:t xml:space="preserve">High </w:t>
            </w:r>
            <w:r w:rsidRPr="006124A7">
              <w:rPr>
                <w:vertAlign w:val="superscript"/>
                <w:lang w:val="en-US"/>
              </w:rPr>
              <w:t>a</w:t>
            </w:r>
          </w:p>
        </w:tc>
        <w:tc>
          <w:tcPr>
            <w:tcW w:w="701" w:type="pct"/>
            <w:shd w:val="clear" w:color="auto" w:fill="B8CCE4" w:themeFill="accent1" w:themeFillTint="66"/>
          </w:tcPr>
          <w:p w14:paraId="04E15125" w14:textId="77777777" w:rsidR="001F5AFC" w:rsidRPr="006124A7" w:rsidRDefault="001F5AFC">
            <w:pPr>
              <w:pStyle w:val="Tabletext"/>
              <w:keepNext/>
              <w:keepLines/>
              <w:rPr>
                <w:lang w:val="en-US"/>
              </w:rPr>
            </w:pPr>
            <w:r w:rsidRPr="006124A7">
              <w:rPr>
                <w:lang w:val="en-US"/>
              </w:rPr>
              <w:t>Resistant or intolerant to HC/HU with no splenomegaly</w:t>
            </w:r>
          </w:p>
        </w:tc>
        <w:tc>
          <w:tcPr>
            <w:tcW w:w="1327" w:type="pct"/>
            <w:shd w:val="clear" w:color="auto" w:fill="auto"/>
          </w:tcPr>
          <w:p w14:paraId="52F2AE3D" w14:textId="086AB66C" w:rsidR="001F5AFC" w:rsidRPr="006124A7" w:rsidRDefault="001F5AFC">
            <w:pPr>
              <w:pStyle w:val="Tabletext"/>
              <w:keepNext/>
              <w:keepLines/>
              <w:rPr>
                <w:lang w:val="en-US"/>
              </w:rPr>
            </w:pPr>
            <w:r w:rsidRPr="006124A7">
              <w:rPr>
                <w:lang w:val="en-US"/>
              </w:rPr>
              <w:t xml:space="preserve">Response (HCT &lt;45% with no more than one </w:t>
            </w:r>
            <w:r w:rsidR="007E6797" w:rsidRPr="006124A7">
              <w:rPr>
                <w:lang w:val="en-US"/>
              </w:rPr>
              <w:t>venesection</w:t>
            </w:r>
            <w:r w:rsidRPr="006124A7">
              <w:rPr>
                <w:lang w:val="en-US"/>
              </w:rPr>
              <w:t xml:space="preserve">) at 28 weeks and 260 weeks, DoR, thromboembolic and haemorrhagic event rates, OS, QoL, </w:t>
            </w:r>
            <w:r w:rsidR="007E6797" w:rsidRPr="006124A7">
              <w:rPr>
                <w:lang w:val="en-US"/>
              </w:rPr>
              <w:t>venesections</w:t>
            </w:r>
            <w:r w:rsidRPr="006124A7">
              <w:rPr>
                <w:lang w:val="en-US"/>
              </w:rPr>
              <w:t>, AEs</w:t>
            </w:r>
          </w:p>
        </w:tc>
        <w:tc>
          <w:tcPr>
            <w:tcW w:w="849" w:type="pct"/>
            <w:shd w:val="clear" w:color="auto" w:fill="B8CCE4" w:themeFill="accent1" w:themeFillTint="66"/>
          </w:tcPr>
          <w:p w14:paraId="43134409" w14:textId="4B33F33D" w:rsidR="001F5AFC" w:rsidRPr="006124A7" w:rsidRDefault="001F5AFC">
            <w:pPr>
              <w:pStyle w:val="Tabletext"/>
              <w:keepNext/>
              <w:keepLines/>
              <w:rPr>
                <w:lang w:val="en-US"/>
              </w:rPr>
            </w:pPr>
            <w:r w:rsidRPr="006124A7">
              <w:rPr>
                <w:lang w:val="en-US"/>
              </w:rPr>
              <w:t xml:space="preserve">QoL used to inform utility. </w:t>
            </w:r>
            <w:r w:rsidR="00954DB1" w:rsidRPr="006124A7">
              <w:rPr>
                <w:lang w:val="en-US"/>
              </w:rPr>
              <w:t xml:space="preserve">Thromboembolic and haemorrhagic events, and </w:t>
            </w:r>
            <w:r w:rsidRPr="006124A7">
              <w:rPr>
                <w:lang w:val="en-US"/>
              </w:rPr>
              <w:t>AEs used.</w:t>
            </w:r>
          </w:p>
        </w:tc>
      </w:tr>
    </w:tbl>
    <w:p w14:paraId="2828E57A" w14:textId="77777777" w:rsidR="001F5AFC" w:rsidRPr="006124A7" w:rsidRDefault="001F5AFC" w:rsidP="001F5AFC">
      <w:pPr>
        <w:pStyle w:val="TableFigureFooter"/>
      </w:pPr>
      <w:r w:rsidRPr="006124A7">
        <w:t>Source: Produced during the evaluation</w:t>
      </w:r>
    </w:p>
    <w:p w14:paraId="43F84AFE" w14:textId="5FA25745" w:rsidR="001F5AFC" w:rsidRPr="006124A7" w:rsidRDefault="001F5AFC" w:rsidP="001F5AFC">
      <w:pPr>
        <w:pStyle w:val="TableFigureFooter"/>
      </w:pPr>
      <w:r w:rsidRPr="0F1D33A4">
        <w:t>Abbreviations: AEs, adverse events; BAT, Best Available Therapy; CR, complete response; D</w:t>
      </w:r>
      <w:r w:rsidR="0021208E" w:rsidRPr="0F1D33A4">
        <w:t>o</w:t>
      </w:r>
      <w:r w:rsidRPr="0F1D33A4">
        <w:t>R, duration of response; EFS, event-free survival; HCT, haematocrit control; HC/HU, hydroxycarbamide/hydroxyurea; HEFS, haemorrhagic event-free survival OL, open label; PFS, progression</w:t>
      </w:r>
      <w:r w:rsidR="00317307" w:rsidRPr="0F1D33A4">
        <w:t>-</w:t>
      </w:r>
      <w:r w:rsidRPr="0F1D33A4">
        <w:t>free survival; PR, partial response; PV, polycythemia vera; OS, overall survival, QoL, quality of life; R, randomised; SA, sensitivity analysis; TEFS, thromboembolic event-free survival.</w:t>
      </w:r>
    </w:p>
    <w:p w14:paraId="2761CBAA" w14:textId="77777777" w:rsidR="001F5AFC" w:rsidRPr="006124A7" w:rsidRDefault="001F5AFC" w:rsidP="001F5AFC">
      <w:pPr>
        <w:pStyle w:val="TableFigureFooter"/>
      </w:pPr>
      <w:r w:rsidRPr="0F1D33A4">
        <w:rPr>
          <w:vertAlign w:val="superscript"/>
        </w:rPr>
        <w:t>a</w:t>
      </w:r>
      <w:r w:rsidRPr="0F1D33A4">
        <w:t xml:space="preserve"> High risk as open label and high attrition in long term results.</w:t>
      </w:r>
    </w:p>
    <w:p w14:paraId="6DCF06FB" w14:textId="77777777" w:rsidR="001F5AFC" w:rsidRPr="006124A7" w:rsidRDefault="001F5AFC" w:rsidP="001F5AFC">
      <w:pPr>
        <w:pStyle w:val="TableFigureFooter"/>
      </w:pPr>
      <w:r w:rsidRPr="0F1D33A4">
        <w:rPr>
          <w:vertAlign w:val="superscript"/>
        </w:rPr>
        <w:t>b</w:t>
      </w:r>
      <w:r w:rsidRPr="0F1D33A4">
        <w:t xml:space="preserve"> High risk defined as one or more of: age &gt;60 years, previous thrombosis or migraine, significant splenomegaly or platelets &gt;1000 × 109/L</w:t>
      </w:r>
    </w:p>
    <w:p w14:paraId="3A4BBD4D" w14:textId="051E4619" w:rsidR="001F5AFC" w:rsidRPr="006124A7" w:rsidRDefault="001F5AFC" w:rsidP="001F5AFC">
      <w:pPr>
        <w:pStyle w:val="TableFigureFooter"/>
      </w:pPr>
      <w:r w:rsidRPr="0F1D33A4">
        <w:rPr>
          <w:vertAlign w:val="superscript"/>
        </w:rPr>
        <w:t xml:space="preserve">c </w:t>
      </w:r>
      <w:r w:rsidRPr="0F1D33A4">
        <w:t xml:space="preserve">CR defined as meeting all of HCT &lt;45% without </w:t>
      </w:r>
      <w:r w:rsidR="007E6797" w:rsidRPr="0F1D33A4">
        <w:t>venesection</w:t>
      </w:r>
      <w:r w:rsidRPr="0F1D33A4">
        <w:t xml:space="preserve"> for 3 months, AND Platelet count ≤400 x 109/L, white blood cell count ≤10 × 109/L and Normal spleen size on imaging</w:t>
      </w:r>
    </w:p>
    <w:p w14:paraId="06A9FF07" w14:textId="44800DD3" w:rsidR="001F5AFC" w:rsidRPr="006124A7" w:rsidRDefault="001F5AFC" w:rsidP="001F5AFC">
      <w:pPr>
        <w:pStyle w:val="TableFigureFooter"/>
      </w:pPr>
      <w:r w:rsidRPr="0F1D33A4">
        <w:rPr>
          <w:vertAlign w:val="superscript"/>
        </w:rPr>
        <w:t xml:space="preserve">d </w:t>
      </w:r>
      <w:r w:rsidRPr="0F1D33A4">
        <w:t xml:space="preserve">PR defined as meeting either i) HCT &lt;45% without </w:t>
      </w:r>
      <w:r w:rsidR="007E6797" w:rsidRPr="0F1D33A4">
        <w:t>venesection</w:t>
      </w:r>
      <w:r w:rsidRPr="0F1D33A4">
        <w:t xml:space="preserve"> for 3 months OR ii) Platelet count ≤400 x 109/L, white blood cell count ≤10 × 109/L and Normal spleen size on imaging</w:t>
      </w:r>
    </w:p>
    <w:p w14:paraId="42A97108" w14:textId="77777777" w:rsidR="001F5AFC" w:rsidRPr="006124A7" w:rsidRDefault="001F5AFC" w:rsidP="001F5AFC">
      <w:pPr>
        <w:pStyle w:val="TableFigureFooter"/>
        <w:keepNext/>
      </w:pPr>
      <w:r w:rsidRPr="0F1D33A4">
        <w:rPr>
          <w:rStyle w:val="CommentReference"/>
          <w:b w:val="0"/>
          <w:sz w:val="18"/>
          <w:szCs w:val="18"/>
          <w:shd w:val="clear" w:color="auto" w:fill="B8CCE4" w:themeFill="accent1" w:themeFillTint="66"/>
        </w:rPr>
        <w:t>Blue shading</w:t>
      </w:r>
      <w:r w:rsidRPr="0F1D33A4">
        <w:rPr>
          <w:rStyle w:val="CommentReference"/>
          <w:b w:val="0"/>
          <w:sz w:val="18"/>
          <w:szCs w:val="18"/>
        </w:rPr>
        <w:t xml:space="preserve"> indicates information previously seen by the PBAC. </w:t>
      </w:r>
    </w:p>
    <w:p w14:paraId="3C6F9894" w14:textId="2AD58BC8" w:rsidR="004E7F0E" w:rsidRPr="006124A7" w:rsidRDefault="004E7F0E" w:rsidP="001F5AFC">
      <w:pPr>
        <w:pStyle w:val="3-BodyText"/>
      </w:pPr>
      <w:r w:rsidRPr="0F1D33A4">
        <w:t xml:space="preserve">The resubmission acknowledged that MAJIC </w:t>
      </w:r>
      <w:r w:rsidR="008F38ED" w:rsidRPr="0F1D33A4">
        <w:t>wa</w:t>
      </w:r>
      <w:r w:rsidRPr="0F1D33A4">
        <w:t xml:space="preserve">s an open-label study and </w:t>
      </w:r>
      <w:r w:rsidR="00743084" w:rsidRPr="0F1D33A4">
        <w:t>argued</w:t>
      </w:r>
      <w:r w:rsidRPr="0F1D33A4">
        <w:t xml:space="preserve"> that </w:t>
      </w:r>
      <w:r w:rsidR="00032A66" w:rsidRPr="0F1D33A4">
        <w:t xml:space="preserve">as </w:t>
      </w:r>
      <w:r w:rsidRPr="0F1D33A4">
        <w:t xml:space="preserve">the clinical efficacy and safety endpoints </w:t>
      </w:r>
      <w:r w:rsidR="00E70123" w:rsidRPr="0F1D33A4">
        <w:t>we</w:t>
      </w:r>
      <w:r w:rsidRPr="0F1D33A4">
        <w:t xml:space="preserve">re based on objective measurements </w:t>
      </w:r>
      <w:r w:rsidR="00032A66" w:rsidRPr="0F1D33A4">
        <w:t xml:space="preserve">the risk of bias was </w:t>
      </w:r>
      <w:r w:rsidRPr="0F1D33A4">
        <w:t>minimise</w:t>
      </w:r>
      <w:r w:rsidR="00032A66" w:rsidRPr="0F1D33A4">
        <w:t>d</w:t>
      </w:r>
      <w:r w:rsidRPr="0F1D33A4">
        <w:t>. Despite the resubmission presenting full-peer reviewed evidence for the MAJIC trial that provide</w:t>
      </w:r>
      <w:r w:rsidR="005E5AF5" w:rsidRPr="0F1D33A4">
        <w:t>d</w:t>
      </w:r>
      <w:r w:rsidRPr="0F1D33A4">
        <w:t xml:space="preserve"> additional data and transparency and minimise</w:t>
      </w:r>
      <w:r w:rsidR="005E5AF5" w:rsidRPr="0F1D33A4">
        <w:t>d</w:t>
      </w:r>
      <w:r w:rsidRPr="0F1D33A4">
        <w:t xml:space="preserve"> the risk of selective reporting bias, the high risk of attrition bias due to discontinuation remain</w:t>
      </w:r>
      <w:r w:rsidR="002D2432" w:rsidRPr="0F1D33A4">
        <w:t>ed</w:t>
      </w:r>
      <w:r w:rsidRPr="0F1D33A4">
        <w:t xml:space="preserve"> (32.6% in ruxolitinib and 24.2% in BAT) and there </w:t>
      </w:r>
      <w:r w:rsidR="00E70123" w:rsidRPr="0F1D33A4">
        <w:t>we</w:t>
      </w:r>
      <w:r w:rsidRPr="0F1D33A4">
        <w:t>re some concerns of risk of detection bias due to the lack of blinding of outcome assessors (participants and investigators)</w:t>
      </w:r>
      <w:r w:rsidR="002D2432" w:rsidRPr="0F1D33A4">
        <w:t>. As such</w:t>
      </w:r>
      <w:r w:rsidR="003E1DA6" w:rsidRPr="0F1D33A4">
        <w:t>, the evaluation considered the trial had</w:t>
      </w:r>
      <w:r w:rsidR="00813367" w:rsidRPr="0F1D33A4">
        <w:t xml:space="preserve"> </w:t>
      </w:r>
      <w:r w:rsidRPr="0F1D33A4">
        <w:t>an overall high risk of bias</w:t>
      </w:r>
      <w:r w:rsidR="00813367" w:rsidRPr="0F1D33A4">
        <w:t xml:space="preserve"> and considered that p</w:t>
      </w:r>
      <w:r w:rsidRPr="0F1D33A4">
        <w:t>revious concerns raised by PBAC regarding the open label design and the high risk of bias of the MAJIC trial remain</w:t>
      </w:r>
      <w:r w:rsidR="004B5BE3" w:rsidRPr="0F1D33A4">
        <w:t>ed</w:t>
      </w:r>
      <w:r w:rsidRPr="0F1D33A4">
        <w:t>.</w:t>
      </w:r>
    </w:p>
    <w:p w14:paraId="4218565B" w14:textId="0AC03E98" w:rsidR="001F5AFC" w:rsidRPr="006124A7" w:rsidRDefault="256704AB" w:rsidP="001F5AFC">
      <w:pPr>
        <w:pStyle w:val="3-BodyText"/>
      </w:pPr>
      <w:r w:rsidRPr="0F1D33A4">
        <w:t>The resubmission presented updated evidence for MAJIC, a publication from Harrison et al.</w:t>
      </w:r>
      <w:r w:rsidR="65EA2EAD" w:rsidRPr="0F1D33A4">
        <w:t>,</w:t>
      </w:r>
      <w:r w:rsidRPr="0F1D33A4">
        <w:t xml:space="preserve"> 2023</w:t>
      </w:r>
      <w:r w:rsidR="61F02D48" w:rsidRPr="0F1D33A4">
        <w:t xml:space="preserve"> </w:t>
      </w:r>
      <w:r w:rsidRPr="0F1D33A4">
        <w:t xml:space="preserve">and the CSR, which included a longer </w:t>
      </w:r>
      <w:r w:rsidR="382E7081" w:rsidRPr="0F1D33A4">
        <w:t xml:space="preserve">median </w:t>
      </w:r>
      <w:r w:rsidRPr="0F1D33A4">
        <w:t xml:space="preserve">follow-up of 4.8 years </w:t>
      </w:r>
      <w:r w:rsidR="76D8C8D3" w:rsidRPr="0F1D33A4">
        <w:t xml:space="preserve">(data </w:t>
      </w:r>
      <w:r w:rsidR="393C3E42" w:rsidRPr="0F1D33A4">
        <w:t xml:space="preserve">cut at </w:t>
      </w:r>
      <w:r w:rsidR="0AEE4C2B" w:rsidRPr="0F1D33A4">
        <w:t>April 2022</w:t>
      </w:r>
      <w:r w:rsidR="393C3E42" w:rsidRPr="0F1D33A4">
        <w:t>)</w:t>
      </w:r>
      <w:r w:rsidRPr="0F1D33A4">
        <w:t xml:space="preserve"> and 4.9 years</w:t>
      </w:r>
      <w:r w:rsidR="393C3E42" w:rsidRPr="0F1D33A4">
        <w:t xml:space="preserve"> (data cut at </w:t>
      </w:r>
      <w:r w:rsidR="0054A34D" w:rsidRPr="0F1D33A4">
        <w:t>March 2023</w:t>
      </w:r>
      <w:r w:rsidR="393C3E42" w:rsidRPr="0F1D33A4">
        <w:t>)</w:t>
      </w:r>
      <w:r w:rsidRPr="0F1D33A4">
        <w:t xml:space="preserve">, respectively. </w:t>
      </w:r>
      <w:r w:rsidR="2E388826" w:rsidRPr="0F1D33A4">
        <w:t>The Ha</w:t>
      </w:r>
      <w:r w:rsidR="77D817D4" w:rsidRPr="0F1D33A4">
        <w:t>rrison et al.</w:t>
      </w:r>
      <w:r w:rsidR="65EA2EAD" w:rsidRPr="0F1D33A4">
        <w:t>,</w:t>
      </w:r>
      <w:r w:rsidR="77D817D4" w:rsidRPr="0F1D33A4">
        <w:t xml:space="preserve"> 2023</w:t>
      </w:r>
      <w:r w:rsidR="2ACE68DB" w:rsidRPr="0F1D33A4">
        <w:t xml:space="preserve"> paper</w:t>
      </w:r>
      <w:r w:rsidR="77D817D4" w:rsidRPr="0F1D33A4">
        <w:t xml:space="preserve"> also included QoL data</w:t>
      </w:r>
      <w:r w:rsidR="3C52E84D" w:rsidRPr="0F1D33A4">
        <w:t>.</w:t>
      </w:r>
      <w:r w:rsidR="38E3FE30" w:rsidRPr="0F1D33A4">
        <w:t xml:space="preserve"> </w:t>
      </w:r>
      <w:r w:rsidR="1066738C" w:rsidRPr="0F1D33A4">
        <w:t xml:space="preserve">The resubmission </w:t>
      </w:r>
      <w:r w:rsidR="716B2292" w:rsidRPr="0F1D33A4">
        <w:t>included</w:t>
      </w:r>
      <w:r w:rsidR="25603E5D" w:rsidRPr="0F1D33A4">
        <w:t xml:space="preserve"> both sources to </w:t>
      </w:r>
      <w:r w:rsidR="6D3BF6A4" w:rsidRPr="0F1D33A4">
        <w:t xml:space="preserve">support </w:t>
      </w:r>
      <w:r w:rsidR="07E440DD" w:rsidRPr="0F1D33A4">
        <w:t xml:space="preserve">the </w:t>
      </w:r>
      <w:r w:rsidR="6D3BF6A4" w:rsidRPr="0F1D33A4">
        <w:t xml:space="preserve">clinical </w:t>
      </w:r>
      <w:r w:rsidR="07E440DD" w:rsidRPr="0F1D33A4">
        <w:t xml:space="preserve">effectiveness and safety claim. </w:t>
      </w:r>
      <w:r w:rsidR="1295B499" w:rsidRPr="0F1D33A4">
        <w:t xml:space="preserve">Given </w:t>
      </w:r>
      <w:r w:rsidR="59AAAC7B" w:rsidRPr="0F1D33A4">
        <w:t xml:space="preserve">that </w:t>
      </w:r>
      <w:r w:rsidR="6B6E8BBD" w:rsidRPr="0F1D33A4">
        <w:t xml:space="preserve">both data sources were </w:t>
      </w:r>
      <w:r w:rsidR="6B6E8BBD" w:rsidRPr="0F1D33A4">
        <w:lastRenderedPageBreak/>
        <w:t xml:space="preserve">of the same </w:t>
      </w:r>
      <w:r w:rsidR="77C0C9DB" w:rsidRPr="0F1D33A4">
        <w:t>trial and t</w:t>
      </w:r>
      <w:r w:rsidR="185458E4" w:rsidRPr="0F1D33A4">
        <w:t xml:space="preserve">he </w:t>
      </w:r>
      <w:r w:rsidR="6A7BE995" w:rsidRPr="0F1D33A4">
        <w:t xml:space="preserve">analyses from the </w:t>
      </w:r>
      <w:r w:rsidR="6522289C" w:rsidRPr="0F1D33A4">
        <w:t>CSR</w:t>
      </w:r>
      <w:r w:rsidR="4A0BF5DA" w:rsidRPr="0F1D33A4">
        <w:t xml:space="preserve"> </w:t>
      </w:r>
      <w:r w:rsidR="78582E63" w:rsidRPr="0F1D33A4">
        <w:t xml:space="preserve">were </w:t>
      </w:r>
      <w:r w:rsidR="458BBCE7" w:rsidRPr="0F1D33A4">
        <w:t>from a</w:t>
      </w:r>
      <w:r w:rsidR="76243203" w:rsidRPr="0F1D33A4">
        <w:t xml:space="preserve"> later</w:t>
      </w:r>
      <w:r w:rsidR="458BBCE7" w:rsidRPr="0F1D33A4">
        <w:t xml:space="preserve"> data cut</w:t>
      </w:r>
      <w:r w:rsidR="78582E63" w:rsidRPr="0F1D33A4">
        <w:t xml:space="preserve">, </w:t>
      </w:r>
      <w:r w:rsidR="7D4E9C21" w:rsidRPr="0F1D33A4">
        <w:t xml:space="preserve">the </w:t>
      </w:r>
      <w:r w:rsidR="0E546595" w:rsidRPr="0F1D33A4">
        <w:t>results from the CSR were the focus of the evaluation</w:t>
      </w:r>
      <w:r w:rsidR="785945F4" w:rsidRPr="0F1D33A4">
        <w:t xml:space="preserve"> and data from the </w:t>
      </w:r>
      <w:r w:rsidR="0B243980" w:rsidRPr="0F1D33A4">
        <w:t>Harrison et al.</w:t>
      </w:r>
      <w:r w:rsidR="65EA2EAD" w:rsidRPr="0F1D33A4">
        <w:t>,</w:t>
      </w:r>
      <w:r w:rsidR="0B243980" w:rsidRPr="0F1D33A4">
        <w:t xml:space="preserve"> 2023 publication was used to corroborate and/or supplement the results where needed.</w:t>
      </w:r>
      <w:r w:rsidR="07E440DD" w:rsidRPr="0F1D33A4">
        <w:t xml:space="preserve"> </w:t>
      </w:r>
    </w:p>
    <w:p w14:paraId="66127AC8" w14:textId="49D3E11B" w:rsidR="001F5AFC" w:rsidRPr="006124A7" w:rsidRDefault="001F5AFC" w:rsidP="007A55AA">
      <w:pPr>
        <w:pStyle w:val="3-BodyText"/>
      </w:pPr>
      <w:r w:rsidRPr="0F1D33A4">
        <w:t xml:space="preserve">In November 2019, both RESPONSE and RESPONSE-2 trials, despite being open label trials, were considered to have a low risk of bias as the outcome assessors were blinded to treatment allocation until patients in </w:t>
      </w:r>
      <w:r w:rsidR="002317FF" w:rsidRPr="0F1D33A4">
        <w:t xml:space="preserve">the </w:t>
      </w:r>
      <w:r w:rsidRPr="0F1D33A4">
        <w:t xml:space="preserve">BAT </w:t>
      </w:r>
      <w:r w:rsidR="002317FF" w:rsidRPr="0F1D33A4">
        <w:t xml:space="preserve">arm </w:t>
      </w:r>
      <w:r w:rsidRPr="0F1D33A4">
        <w:t>were allowed to cross over to ruxolitinib and the trials did not have the same risk of attrition or reporting bias as MAJIC (para 6.11, ruxolitinib</w:t>
      </w:r>
      <w:r w:rsidR="00B100EA" w:rsidRPr="0F1D33A4">
        <w:t>,</w:t>
      </w:r>
      <w:r w:rsidRPr="0F1D33A4">
        <w:t xml:space="preserve"> PSD, November 2019 PBAC meeting). While the risk of bias is low for outcomes assessed before patients crossed over (at Week 32 in RESPONSE and Week 28 in RESPONSE-2), the overall risk of bias of these trials </w:t>
      </w:r>
      <w:r w:rsidR="00B03EAD" w:rsidRPr="0F1D33A4">
        <w:t xml:space="preserve">was </w:t>
      </w:r>
      <w:r w:rsidRPr="0F1D33A4">
        <w:t xml:space="preserve">potentially high for long term outcomes </w:t>
      </w:r>
      <w:r w:rsidR="00537E2C" w:rsidRPr="0F1D33A4">
        <w:t>due to</w:t>
      </w:r>
      <w:r w:rsidRPr="0F1D33A4">
        <w:t xml:space="preserve"> the risk of detection bias </w:t>
      </w:r>
      <w:r w:rsidR="00537E2C" w:rsidRPr="0F1D33A4">
        <w:t xml:space="preserve">from </w:t>
      </w:r>
      <w:r w:rsidRPr="0F1D33A4">
        <w:t xml:space="preserve">unblinding after </w:t>
      </w:r>
      <w:r w:rsidR="00F241B5" w:rsidRPr="0F1D33A4">
        <w:t xml:space="preserve">the </w:t>
      </w:r>
      <w:r w:rsidRPr="0F1D33A4">
        <w:t>crossover point</w:t>
      </w:r>
      <w:r w:rsidR="00F241B5" w:rsidRPr="0F1D33A4">
        <w:t>. In addition, the evaluation considered there was</w:t>
      </w:r>
      <w:r w:rsidRPr="0F1D33A4">
        <w:t xml:space="preserve"> a high risk of attrition bias due to discontinuation by 5 years of follow-up in RESPONSE (34.7% in ruxolitinib and 100% in BAT) and RESPONSE-2 (20.3% in ruxolitinib and 100% in BAT). Given that long term outcomes are presented and assessed in this resubmission, the evaluation considered the overall risk of bias to be high for these trials.</w:t>
      </w:r>
    </w:p>
    <w:p w14:paraId="1225A2AC" w14:textId="78745827" w:rsidR="005A7E88" w:rsidRPr="006124A7" w:rsidRDefault="001F5AFC" w:rsidP="0F1D33A4">
      <w:pPr>
        <w:pStyle w:val="3-BodyText"/>
        <w:rPr>
          <w:lang w:eastAsia="en-US"/>
        </w:rPr>
      </w:pPr>
      <w:r w:rsidRPr="0F1D33A4">
        <w:t xml:space="preserve">In terms of baseline patient demographics for all included trials, there </w:t>
      </w:r>
      <w:r w:rsidR="0084710C" w:rsidRPr="0F1D33A4">
        <w:t>were</w:t>
      </w:r>
      <w:r w:rsidRPr="0F1D33A4">
        <w:t xml:space="preserve"> minimal change</w:t>
      </w:r>
      <w:r w:rsidR="0084710C" w:rsidRPr="0F1D33A4">
        <w:t>s</w:t>
      </w:r>
      <w:r w:rsidRPr="0F1D33A4">
        <w:t xml:space="preserve"> since the previous submission, except for the MAJIC trial which analysed 87 patients in the BAT arm (decreased from 89 patients in previous submission) due to two patients not receiving assigned treatment (classified as BAT therapies) as per protocol. Therefore, all analyses (including outcomes) of the BAT arm have changed slightly in this trial.</w:t>
      </w:r>
    </w:p>
    <w:p w14:paraId="1E926CC7" w14:textId="77777777" w:rsidR="009F1828" w:rsidRPr="0098262F" w:rsidRDefault="009F1828" w:rsidP="009F1828">
      <w:pPr>
        <w:pStyle w:val="4-SubsectionHeading"/>
      </w:pPr>
      <w:bookmarkStart w:id="37" w:name="_Toc22897641"/>
      <w:bookmarkStart w:id="38" w:name="_Toc184797843"/>
      <w:bookmarkStart w:id="39" w:name="_Toc188348787"/>
      <w:r w:rsidRPr="0098262F">
        <w:t>Comparative effectiveness</w:t>
      </w:r>
      <w:bookmarkEnd w:id="37"/>
      <w:bookmarkEnd w:id="38"/>
      <w:bookmarkEnd w:id="39"/>
    </w:p>
    <w:p w14:paraId="3DC275BC" w14:textId="471238C5" w:rsidR="001F5AFC" w:rsidRPr="00952624" w:rsidRDefault="009F1828" w:rsidP="00952624">
      <w:pPr>
        <w:rPr>
          <w:b/>
          <w:bCs/>
        </w:rPr>
      </w:pPr>
      <w:r w:rsidRPr="00952624">
        <w:rPr>
          <w:b/>
          <w:bCs/>
        </w:rPr>
        <w:t>MAJIC results</w:t>
      </w:r>
    </w:p>
    <w:p w14:paraId="39900822" w14:textId="39EE66D3" w:rsidR="000C4898" w:rsidRPr="000C4898" w:rsidRDefault="000C4898" w:rsidP="000C4898">
      <w:pPr>
        <w:pStyle w:val="3-BodyText"/>
      </w:pPr>
      <w:r w:rsidRPr="000C4898">
        <w:t>The proportion of patients achieving CR or PR response by 12 months and</w:t>
      </w:r>
      <w:r w:rsidR="007B66E2">
        <w:t xml:space="preserve"> the best response</w:t>
      </w:r>
      <w:r w:rsidRPr="000C4898">
        <w:t xml:space="preserve"> across five years in MAJIC are presented in </w:t>
      </w:r>
      <w:r w:rsidRPr="00D017E4">
        <w:rPr>
          <w:rFonts w:cstheme="minorHAnsi"/>
          <w:szCs w:val="24"/>
        </w:rPr>
        <w:fldChar w:fldCharType="begin" w:fldLock="1"/>
      </w:r>
      <w:r w:rsidRPr="00D017E4">
        <w:rPr>
          <w:rFonts w:cstheme="minorHAnsi"/>
          <w:szCs w:val="24"/>
        </w:rPr>
        <w:instrText xml:space="preserve"> REF _Ref184741655 \h </w:instrText>
      </w:r>
      <w:r w:rsidR="00D017E4" w:rsidRPr="00D017E4">
        <w:rPr>
          <w:rFonts w:cstheme="minorHAnsi"/>
          <w:szCs w:val="24"/>
        </w:rPr>
        <w:instrText xml:space="preserve"> \* MERGEFORMAT </w:instrText>
      </w:r>
      <w:r w:rsidRPr="00D017E4">
        <w:rPr>
          <w:rFonts w:cstheme="minorHAnsi"/>
          <w:szCs w:val="24"/>
        </w:rPr>
      </w:r>
      <w:r w:rsidRPr="00D017E4">
        <w:rPr>
          <w:rFonts w:cstheme="minorHAnsi"/>
          <w:szCs w:val="24"/>
        </w:rPr>
        <w:fldChar w:fldCharType="separate"/>
      </w:r>
      <w:r w:rsidR="0096555B" w:rsidRPr="00D017E4">
        <w:rPr>
          <w:rFonts w:cstheme="minorHAnsi"/>
          <w:szCs w:val="24"/>
        </w:rPr>
        <w:t xml:space="preserve">Table </w:t>
      </w:r>
      <w:r w:rsidR="0096555B" w:rsidRPr="00D017E4">
        <w:rPr>
          <w:rFonts w:cstheme="minorHAnsi"/>
          <w:noProof/>
          <w:szCs w:val="24"/>
        </w:rPr>
        <w:t>5</w:t>
      </w:r>
      <w:r w:rsidRPr="00D017E4">
        <w:rPr>
          <w:rFonts w:cstheme="minorHAnsi"/>
          <w:szCs w:val="24"/>
        </w:rPr>
        <w:fldChar w:fldCharType="end"/>
      </w:r>
      <w:r w:rsidRPr="000C4898">
        <w:t>.</w:t>
      </w:r>
    </w:p>
    <w:p w14:paraId="18BA500A" w14:textId="7A7E2BBD" w:rsidR="000C4898" w:rsidRPr="000C4898" w:rsidRDefault="000C4898" w:rsidP="001D22CD">
      <w:pPr>
        <w:keepNext/>
        <w:keepLines/>
        <w:jc w:val="left"/>
        <w:rPr>
          <w:rFonts w:ascii="Arial Narrow" w:hAnsi="Arial Narrow"/>
          <w:b/>
          <w:bCs/>
          <w:sz w:val="20"/>
          <w:szCs w:val="18"/>
        </w:rPr>
      </w:pPr>
      <w:bookmarkStart w:id="40" w:name="_Ref184741655"/>
      <w:r w:rsidRPr="000C4898">
        <w:rPr>
          <w:rFonts w:ascii="Arial Narrow" w:hAnsi="Arial Narrow"/>
          <w:b/>
          <w:bCs/>
          <w:sz w:val="20"/>
          <w:szCs w:val="18"/>
        </w:rPr>
        <w:lastRenderedPageBreak/>
        <w:t xml:space="preserve">Table </w:t>
      </w:r>
      <w:r w:rsidRPr="000C4898">
        <w:rPr>
          <w:rFonts w:ascii="Arial Narrow" w:hAnsi="Arial Narrow"/>
          <w:b/>
          <w:bCs/>
          <w:sz w:val="20"/>
          <w:szCs w:val="18"/>
        </w:rPr>
        <w:fldChar w:fldCharType="begin" w:fldLock="1"/>
      </w:r>
      <w:r w:rsidRPr="000C4898">
        <w:rPr>
          <w:rFonts w:ascii="Arial Narrow" w:hAnsi="Arial Narrow"/>
          <w:b/>
          <w:bCs/>
          <w:sz w:val="20"/>
          <w:szCs w:val="18"/>
        </w:rPr>
        <w:instrText xml:space="preserve"> SEQ Table \* ARABIC </w:instrText>
      </w:r>
      <w:r w:rsidRPr="000C4898">
        <w:rPr>
          <w:rFonts w:ascii="Arial Narrow" w:hAnsi="Arial Narrow"/>
          <w:b/>
          <w:bCs/>
          <w:sz w:val="20"/>
          <w:szCs w:val="18"/>
        </w:rPr>
        <w:fldChar w:fldCharType="separate"/>
      </w:r>
      <w:r w:rsidR="001F427F">
        <w:rPr>
          <w:rFonts w:ascii="Arial Narrow" w:hAnsi="Arial Narrow"/>
          <w:b/>
          <w:bCs/>
          <w:noProof/>
          <w:sz w:val="20"/>
          <w:szCs w:val="18"/>
        </w:rPr>
        <w:t>5</w:t>
      </w:r>
      <w:r w:rsidRPr="000C4898">
        <w:rPr>
          <w:rFonts w:ascii="Arial Narrow" w:hAnsi="Arial Narrow"/>
          <w:b/>
          <w:bCs/>
          <w:noProof/>
          <w:sz w:val="20"/>
          <w:szCs w:val="18"/>
        </w:rPr>
        <w:fldChar w:fldCharType="end"/>
      </w:r>
      <w:bookmarkEnd w:id="40"/>
      <w:r w:rsidRPr="000C4898">
        <w:rPr>
          <w:rFonts w:ascii="Arial Narrow" w:hAnsi="Arial Narrow"/>
          <w:b/>
          <w:bCs/>
          <w:sz w:val="20"/>
          <w:szCs w:val="18"/>
        </w:rPr>
        <w:t>: Proportion of patients achieving response in MAJIC</w:t>
      </w:r>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5: Proportion of patients achieving response in MAJIC"/>
        <w:tblDescription w:val="New information being considered by PBAC in this resubmission:&#10;Response across 5 years&#10;Response within 12 months &#10;"/>
      </w:tblPr>
      <w:tblGrid>
        <w:gridCol w:w="2085"/>
        <w:gridCol w:w="1650"/>
        <w:gridCol w:w="1095"/>
        <w:gridCol w:w="1335"/>
        <w:gridCol w:w="1335"/>
        <w:gridCol w:w="1455"/>
      </w:tblGrid>
      <w:tr w:rsidR="000C4898" w:rsidRPr="000C4898" w14:paraId="111D5B35" w14:textId="77777777" w:rsidTr="0F1D33A4">
        <w:trPr>
          <w:trHeight w:val="15"/>
        </w:trPr>
        <w:tc>
          <w:tcPr>
            <w:tcW w:w="2085" w:type="dxa"/>
            <w:shd w:val="clear" w:color="auto" w:fill="auto"/>
            <w:vAlign w:val="center"/>
            <w:hideMark/>
          </w:tcPr>
          <w:p w14:paraId="3E9D45BB" w14:textId="77777777" w:rsidR="000C4898" w:rsidRPr="000C4898" w:rsidRDefault="000C4898" w:rsidP="001D22CD">
            <w:pPr>
              <w:keepNext/>
              <w:keepLines/>
              <w:jc w:val="left"/>
              <w:rPr>
                <w:rFonts w:ascii="Arial Narrow" w:eastAsiaTheme="majorEastAsia" w:hAnsi="Arial Narrow" w:cs="Times New Roman"/>
                <w:b/>
                <w:sz w:val="20"/>
                <w:lang w:val="en-US"/>
              </w:rPr>
            </w:pPr>
            <w:r w:rsidRPr="000C4898">
              <w:rPr>
                <w:rFonts w:ascii="Arial Narrow" w:eastAsiaTheme="majorEastAsia" w:hAnsi="Arial Narrow" w:cs="Times New Roman"/>
                <w:b/>
                <w:sz w:val="20"/>
                <w:lang w:val="en-US"/>
              </w:rPr>
              <w:t>MAJIC </w:t>
            </w:r>
          </w:p>
        </w:tc>
        <w:tc>
          <w:tcPr>
            <w:tcW w:w="1650" w:type="dxa"/>
            <w:shd w:val="clear" w:color="auto" w:fill="auto"/>
            <w:vAlign w:val="center"/>
            <w:hideMark/>
          </w:tcPr>
          <w:p w14:paraId="3288F652" w14:textId="77777777" w:rsidR="000C4898" w:rsidRPr="000C4898" w:rsidRDefault="000C4898" w:rsidP="001D22CD">
            <w:pPr>
              <w:keepNext/>
              <w:keepLines/>
              <w:jc w:val="center"/>
              <w:rPr>
                <w:rFonts w:ascii="Arial Narrow" w:eastAsiaTheme="majorEastAsia" w:hAnsi="Arial Narrow" w:cs="Times New Roman"/>
                <w:b/>
                <w:sz w:val="20"/>
                <w:lang w:val="en-US"/>
              </w:rPr>
            </w:pPr>
            <w:r w:rsidRPr="000C4898">
              <w:rPr>
                <w:rFonts w:ascii="Arial Narrow" w:eastAsiaTheme="majorEastAsia" w:hAnsi="Arial Narrow" w:cs="Times New Roman"/>
                <w:b/>
                <w:sz w:val="20"/>
                <w:lang w:val="en-US"/>
              </w:rPr>
              <w:t>Ruxolitinib (N = 93)</w:t>
            </w:r>
          </w:p>
        </w:tc>
        <w:tc>
          <w:tcPr>
            <w:tcW w:w="1095" w:type="dxa"/>
            <w:shd w:val="clear" w:color="auto" w:fill="auto"/>
            <w:vAlign w:val="center"/>
            <w:hideMark/>
          </w:tcPr>
          <w:p w14:paraId="4B5E6408" w14:textId="77777777" w:rsidR="000C4898" w:rsidRPr="000C4898" w:rsidRDefault="000C4898" w:rsidP="001D22CD">
            <w:pPr>
              <w:keepNext/>
              <w:keepLines/>
              <w:jc w:val="center"/>
              <w:rPr>
                <w:rFonts w:ascii="Arial Narrow" w:eastAsiaTheme="majorEastAsia" w:hAnsi="Arial Narrow" w:cs="Times New Roman"/>
                <w:b/>
                <w:sz w:val="20"/>
                <w:lang w:val="en-US"/>
              </w:rPr>
            </w:pPr>
            <w:r w:rsidRPr="000C4898">
              <w:rPr>
                <w:rFonts w:ascii="Arial Narrow" w:eastAsiaTheme="majorEastAsia" w:hAnsi="Arial Narrow" w:cs="Times New Roman"/>
                <w:b/>
                <w:sz w:val="20"/>
                <w:lang w:val="en-US"/>
              </w:rPr>
              <w:t>BAT (N = 87)</w:t>
            </w:r>
          </w:p>
        </w:tc>
        <w:tc>
          <w:tcPr>
            <w:tcW w:w="1335" w:type="dxa"/>
            <w:shd w:val="clear" w:color="auto" w:fill="auto"/>
            <w:vAlign w:val="center"/>
            <w:hideMark/>
          </w:tcPr>
          <w:p w14:paraId="7F30623E" w14:textId="77777777" w:rsidR="000C4898" w:rsidRPr="000C4898" w:rsidRDefault="000C4898" w:rsidP="001D22CD">
            <w:pPr>
              <w:keepNext/>
              <w:keepLines/>
              <w:jc w:val="center"/>
              <w:rPr>
                <w:rFonts w:ascii="Arial Narrow" w:eastAsiaTheme="majorEastAsia" w:hAnsi="Arial Narrow" w:cs="Times New Roman"/>
                <w:b/>
                <w:sz w:val="20"/>
                <w:lang w:val="en-US"/>
              </w:rPr>
            </w:pPr>
            <w:r w:rsidRPr="000C4898">
              <w:rPr>
                <w:rFonts w:ascii="Arial Narrow" w:eastAsiaTheme="majorEastAsia" w:hAnsi="Arial Narrow" w:cs="Times New Roman"/>
                <w:b/>
                <w:sz w:val="20"/>
                <w:lang w:val="en-US"/>
              </w:rPr>
              <w:t>OR</w:t>
            </w:r>
            <w:r w:rsidRPr="000C4898">
              <w:rPr>
                <w:rFonts w:ascii="Arial Narrow" w:eastAsiaTheme="majorEastAsia" w:hAnsi="Arial Narrow" w:cs="Times New Roman"/>
                <w:b/>
                <w:sz w:val="20"/>
                <w:vertAlign w:val="superscript"/>
                <w:lang w:val="en-US"/>
              </w:rPr>
              <w:t>a</w:t>
            </w:r>
            <w:r w:rsidRPr="000C4898">
              <w:rPr>
                <w:rFonts w:ascii="Arial Narrow" w:eastAsiaTheme="majorEastAsia" w:hAnsi="Arial Narrow" w:cs="Times New Roman"/>
                <w:b/>
                <w:sz w:val="20"/>
                <w:lang w:val="en-US"/>
              </w:rPr>
              <w:t xml:space="preserve"> (95% CI)</w:t>
            </w:r>
          </w:p>
        </w:tc>
        <w:tc>
          <w:tcPr>
            <w:tcW w:w="1335" w:type="dxa"/>
            <w:shd w:val="clear" w:color="auto" w:fill="auto"/>
            <w:vAlign w:val="center"/>
            <w:hideMark/>
          </w:tcPr>
          <w:p w14:paraId="7E35CE78" w14:textId="77777777" w:rsidR="000C4898" w:rsidRPr="000C4898" w:rsidRDefault="000C4898" w:rsidP="001D22CD">
            <w:pPr>
              <w:keepNext/>
              <w:keepLines/>
              <w:jc w:val="center"/>
              <w:rPr>
                <w:rFonts w:ascii="Arial Narrow" w:eastAsiaTheme="majorEastAsia" w:hAnsi="Arial Narrow" w:cs="Times New Roman"/>
                <w:b/>
                <w:sz w:val="20"/>
                <w:lang w:val="en-US"/>
              </w:rPr>
            </w:pPr>
            <w:r w:rsidRPr="000C4898">
              <w:rPr>
                <w:rFonts w:ascii="Arial Narrow" w:eastAsiaTheme="majorEastAsia" w:hAnsi="Arial Narrow" w:cs="Times New Roman"/>
                <w:b/>
                <w:sz w:val="20"/>
                <w:lang w:val="en-US"/>
              </w:rPr>
              <w:t>RR</w:t>
            </w:r>
            <w:r w:rsidRPr="000C4898">
              <w:rPr>
                <w:rFonts w:ascii="Arial Narrow" w:eastAsiaTheme="majorEastAsia" w:hAnsi="Arial Narrow" w:cs="Times New Roman"/>
                <w:b/>
                <w:sz w:val="20"/>
                <w:vertAlign w:val="superscript"/>
                <w:lang w:val="en-US"/>
              </w:rPr>
              <w:t>a</w:t>
            </w:r>
            <w:r w:rsidRPr="000C4898">
              <w:rPr>
                <w:rFonts w:ascii="Arial Narrow" w:eastAsiaTheme="majorEastAsia" w:hAnsi="Arial Narrow" w:cs="Times New Roman"/>
                <w:b/>
                <w:sz w:val="20"/>
                <w:lang w:val="en-US"/>
              </w:rPr>
              <w:t xml:space="preserve"> (95% CI)</w:t>
            </w:r>
          </w:p>
        </w:tc>
        <w:tc>
          <w:tcPr>
            <w:tcW w:w="1455" w:type="dxa"/>
            <w:shd w:val="clear" w:color="auto" w:fill="auto"/>
            <w:vAlign w:val="center"/>
            <w:hideMark/>
          </w:tcPr>
          <w:p w14:paraId="713ECBCD" w14:textId="77777777" w:rsidR="000C4898" w:rsidRPr="000C4898" w:rsidRDefault="000C4898" w:rsidP="001D22CD">
            <w:pPr>
              <w:keepNext/>
              <w:keepLines/>
              <w:jc w:val="center"/>
              <w:rPr>
                <w:rFonts w:ascii="Arial Narrow" w:eastAsiaTheme="majorEastAsia" w:hAnsi="Arial Narrow" w:cs="Times New Roman"/>
                <w:b/>
                <w:sz w:val="20"/>
                <w:lang w:val="en-US"/>
              </w:rPr>
            </w:pPr>
            <w:r w:rsidRPr="000C4898">
              <w:rPr>
                <w:rFonts w:ascii="Arial Narrow" w:eastAsiaTheme="majorEastAsia" w:hAnsi="Arial Narrow" w:cs="Times New Roman"/>
                <w:b/>
                <w:sz w:val="20"/>
                <w:lang w:val="en-US"/>
              </w:rPr>
              <w:t>RD</w:t>
            </w:r>
            <w:r w:rsidRPr="000C4898">
              <w:rPr>
                <w:rFonts w:ascii="Arial Narrow" w:eastAsiaTheme="majorEastAsia" w:hAnsi="Arial Narrow" w:cs="Times New Roman"/>
                <w:b/>
                <w:sz w:val="20"/>
                <w:vertAlign w:val="superscript"/>
                <w:lang w:val="en-US"/>
              </w:rPr>
              <w:t xml:space="preserve">a </w:t>
            </w:r>
            <w:r w:rsidRPr="000C4898">
              <w:rPr>
                <w:rFonts w:ascii="Arial Narrow" w:eastAsiaTheme="majorEastAsia" w:hAnsi="Arial Narrow" w:cs="Times New Roman"/>
                <w:b/>
                <w:sz w:val="20"/>
                <w:lang w:val="en-US"/>
              </w:rPr>
              <w:t>(95% CI)</w:t>
            </w:r>
          </w:p>
        </w:tc>
      </w:tr>
      <w:tr w:rsidR="000C4898" w:rsidRPr="000C4898" w14:paraId="01E2EE21" w14:textId="77777777" w:rsidTr="0F1D33A4">
        <w:trPr>
          <w:trHeight w:val="15"/>
        </w:trPr>
        <w:tc>
          <w:tcPr>
            <w:tcW w:w="8955" w:type="dxa"/>
            <w:gridSpan w:val="6"/>
            <w:shd w:val="clear" w:color="auto" w:fill="auto"/>
            <w:vAlign w:val="center"/>
          </w:tcPr>
          <w:p w14:paraId="2E40AABD" w14:textId="77777777" w:rsidR="000C4898" w:rsidRPr="000C4898" w:rsidRDefault="000C4898" w:rsidP="001D22CD">
            <w:pPr>
              <w:keepNext/>
              <w:keepLines/>
              <w:jc w:val="left"/>
              <w:rPr>
                <w:rFonts w:ascii="Arial Narrow" w:eastAsiaTheme="majorEastAsia" w:hAnsi="Arial Narrow" w:cs="Times New Roman"/>
                <w:b/>
                <w:sz w:val="20"/>
                <w:lang w:val="en-US"/>
              </w:rPr>
            </w:pPr>
            <w:r w:rsidRPr="000C4898">
              <w:rPr>
                <w:rFonts w:ascii="Arial Narrow" w:eastAsiaTheme="majorEastAsia" w:hAnsi="Arial Narrow" w:cs="Times New Roman"/>
                <w:b/>
                <w:sz w:val="20"/>
                <w:lang w:val="en-US"/>
              </w:rPr>
              <w:t>New evidence presented in this resubmission</w:t>
            </w:r>
          </w:p>
        </w:tc>
      </w:tr>
      <w:tr w:rsidR="000C4898" w:rsidRPr="000C4898" w14:paraId="25363DED" w14:textId="77777777" w:rsidTr="0F1D33A4">
        <w:trPr>
          <w:trHeight w:val="15"/>
        </w:trPr>
        <w:tc>
          <w:tcPr>
            <w:tcW w:w="8955" w:type="dxa"/>
            <w:gridSpan w:val="6"/>
            <w:shd w:val="clear" w:color="auto" w:fill="auto"/>
            <w:vAlign w:val="center"/>
          </w:tcPr>
          <w:p w14:paraId="79D616D1" w14:textId="20F4D601" w:rsidR="000C4898" w:rsidRPr="000C4898" w:rsidRDefault="000C4898" w:rsidP="001D22CD">
            <w:pPr>
              <w:keepNext/>
              <w:keepLines/>
              <w:jc w:val="left"/>
              <w:rPr>
                <w:rFonts w:ascii="Arial Narrow" w:eastAsiaTheme="majorEastAsia" w:hAnsi="Arial Narrow" w:cs="Times New Roman"/>
                <w:b/>
                <w:sz w:val="20"/>
                <w:lang w:val="en-US"/>
              </w:rPr>
            </w:pPr>
            <w:r w:rsidRPr="000C4898">
              <w:rPr>
                <w:rFonts w:ascii="Arial Narrow" w:eastAsiaTheme="majorEastAsia" w:hAnsi="Arial Narrow" w:cs="Times New Roman"/>
                <w:b/>
                <w:sz w:val="20"/>
                <w:lang w:val="en-US"/>
              </w:rPr>
              <w:t>Response across 5 Years</w:t>
            </w:r>
            <w:r w:rsidR="007D664D">
              <w:rPr>
                <w:rFonts w:ascii="Arial Narrow" w:eastAsiaTheme="majorEastAsia" w:hAnsi="Arial Narrow" w:cs="Times New Roman"/>
                <w:b/>
                <w:sz w:val="20"/>
                <w:lang w:val="en-US"/>
              </w:rPr>
              <w:t xml:space="preserve"> </w:t>
            </w:r>
          </w:p>
        </w:tc>
      </w:tr>
      <w:tr w:rsidR="000C4898" w:rsidRPr="000C4898" w14:paraId="5C014A93" w14:textId="77777777" w:rsidTr="0F1D33A4">
        <w:trPr>
          <w:trHeight w:val="15"/>
        </w:trPr>
        <w:tc>
          <w:tcPr>
            <w:tcW w:w="2085" w:type="dxa"/>
            <w:shd w:val="clear" w:color="auto" w:fill="auto"/>
            <w:vAlign w:val="center"/>
          </w:tcPr>
          <w:p w14:paraId="2CF26A2A" w14:textId="77777777" w:rsidR="000C4898" w:rsidRPr="000C4898" w:rsidRDefault="000C4898" w:rsidP="001D22CD">
            <w:pPr>
              <w:keepNext/>
              <w:keepLines/>
              <w:jc w:val="left"/>
              <w:rPr>
                <w:rFonts w:ascii="Arial Narrow" w:hAnsi="Arial Narrow" w:cs="Times New Roman"/>
                <w:snapToGrid w:val="0"/>
                <w:sz w:val="20"/>
              </w:rPr>
            </w:pPr>
            <w:r w:rsidRPr="000C4898">
              <w:rPr>
                <w:rFonts w:ascii="Arial Narrow" w:hAnsi="Arial Narrow" w:cs="Times New Roman"/>
                <w:snapToGrid w:val="0"/>
                <w:sz w:val="20"/>
              </w:rPr>
              <w:t>Complete response, n (%) </w:t>
            </w:r>
          </w:p>
        </w:tc>
        <w:tc>
          <w:tcPr>
            <w:tcW w:w="1650" w:type="dxa"/>
            <w:shd w:val="clear" w:color="auto" w:fill="auto"/>
            <w:vAlign w:val="center"/>
          </w:tcPr>
          <w:p w14:paraId="6ADFA885" w14:textId="77777777" w:rsidR="000C4898" w:rsidRPr="000C4898" w:rsidRDefault="000C4898" w:rsidP="001D22CD">
            <w:pPr>
              <w:keepNext/>
              <w:keepLines/>
              <w:jc w:val="center"/>
              <w:rPr>
                <w:rFonts w:ascii="Arial Narrow" w:hAnsi="Arial Narrow" w:cs="Times New Roman"/>
                <w:snapToGrid w:val="0"/>
                <w:sz w:val="20"/>
              </w:rPr>
            </w:pPr>
            <w:r w:rsidRPr="000C4898">
              <w:rPr>
                <w:rFonts w:ascii="Arial Narrow" w:hAnsi="Arial Narrow" w:cs="Times New Roman"/>
                <w:snapToGrid w:val="0"/>
                <w:sz w:val="20"/>
              </w:rPr>
              <w:t>63 (68)</w:t>
            </w:r>
          </w:p>
        </w:tc>
        <w:tc>
          <w:tcPr>
            <w:tcW w:w="1095" w:type="dxa"/>
            <w:shd w:val="clear" w:color="auto" w:fill="auto"/>
            <w:vAlign w:val="center"/>
          </w:tcPr>
          <w:p w14:paraId="2150D94D" w14:textId="77777777" w:rsidR="000C4898" w:rsidRPr="000C4898" w:rsidRDefault="000C4898" w:rsidP="001D22CD">
            <w:pPr>
              <w:keepNext/>
              <w:keepLines/>
              <w:jc w:val="center"/>
              <w:rPr>
                <w:rFonts w:ascii="Arial Narrow" w:hAnsi="Arial Narrow" w:cs="Times New Roman"/>
                <w:snapToGrid w:val="0"/>
                <w:sz w:val="20"/>
              </w:rPr>
            </w:pPr>
            <w:r w:rsidRPr="000C4898">
              <w:rPr>
                <w:rFonts w:ascii="Arial Narrow" w:hAnsi="Arial Narrow" w:cs="Times New Roman"/>
                <w:snapToGrid w:val="0"/>
                <w:sz w:val="20"/>
              </w:rPr>
              <w:t>51 (59)</w:t>
            </w:r>
          </w:p>
        </w:tc>
        <w:tc>
          <w:tcPr>
            <w:tcW w:w="1335" w:type="dxa"/>
            <w:shd w:val="clear" w:color="auto" w:fill="auto"/>
            <w:vAlign w:val="center"/>
          </w:tcPr>
          <w:p w14:paraId="35AD1080" w14:textId="77777777" w:rsidR="000C4898" w:rsidRPr="000C4898" w:rsidRDefault="000C4898" w:rsidP="001D22CD">
            <w:pPr>
              <w:keepNext/>
              <w:keepLines/>
              <w:jc w:val="center"/>
              <w:rPr>
                <w:rFonts w:ascii="Arial Narrow" w:hAnsi="Arial Narrow" w:cs="Times New Roman"/>
                <w:b/>
                <w:bCs/>
                <w:snapToGrid w:val="0"/>
                <w:sz w:val="20"/>
              </w:rPr>
            </w:pPr>
            <w:r w:rsidRPr="000C4898">
              <w:rPr>
                <w:rFonts w:ascii="Arial Narrow" w:hAnsi="Arial Narrow" w:cs="Times New Roman"/>
                <w:snapToGrid w:val="0"/>
                <w:sz w:val="20"/>
              </w:rPr>
              <w:t>1.48 (0.81, 2.73)</w:t>
            </w:r>
          </w:p>
        </w:tc>
        <w:tc>
          <w:tcPr>
            <w:tcW w:w="1335" w:type="dxa"/>
            <w:shd w:val="clear" w:color="auto" w:fill="auto"/>
            <w:vAlign w:val="center"/>
          </w:tcPr>
          <w:p w14:paraId="4B5EDAD0" w14:textId="77777777" w:rsidR="000C4898" w:rsidRPr="000C4898" w:rsidRDefault="000C4898" w:rsidP="001D22CD">
            <w:pPr>
              <w:keepNext/>
              <w:keepLines/>
              <w:jc w:val="center"/>
              <w:rPr>
                <w:rFonts w:ascii="Arial Narrow" w:hAnsi="Arial Narrow" w:cs="Times New Roman"/>
                <w:b/>
                <w:bCs/>
                <w:snapToGrid w:val="0"/>
                <w:sz w:val="20"/>
              </w:rPr>
            </w:pPr>
            <w:r w:rsidRPr="000C4898">
              <w:rPr>
                <w:rFonts w:ascii="Arial Narrow" w:hAnsi="Arial Narrow" w:cs="Times New Roman"/>
                <w:snapToGrid w:val="0"/>
                <w:sz w:val="20"/>
              </w:rPr>
              <w:t>1.16 (0.92, 1.45)</w:t>
            </w:r>
          </w:p>
        </w:tc>
        <w:tc>
          <w:tcPr>
            <w:tcW w:w="1455" w:type="dxa"/>
            <w:shd w:val="clear" w:color="auto" w:fill="auto"/>
          </w:tcPr>
          <w:p w14:paraId="10FD2F03" w14:textId="77777777" w:rsidR="000C4898" w:rsidRPr="000C4898" w:rsidRDefault="000C4898" w:rsidP="001D22CD">
            <w:pPr>
              <w:keepNext/>
              <w:keepLines/>
              <w:jc w:val="center"/>
              <w:rPr>
                <w:rFonts w:ascii="Arial Narrow" w:hAnsi="Arial Narrow" w:cs="Times New Roman"/>
                <w:b/>
                <w:bCs/>
                <w:snapToGrid w:val="0"/>
                <w:sz w:val="20"/>
              </w:rPr>
            </w:pPr>
            <w:r w:rsidRPr="000C4898">
              <w:rPr>
                <w:rFonts w:ascii="Arial Narrow" w:hAnsi="Arial Narrow" w:cs="Times New Roman"/>
                <w:snapToGrid w:val="0"/>
                <w:sz w:val="20"/>
              </w:rPr>
              <w:t>0.09 (-0.05, 0.23)</w:t>
            </w:r>
          </w:p>
        </w:tc>
      </w:tr>
      <w:tr w:rsidR="000C4898" w:rsidRPr="000C4898" w14:paraId="5733FAD8" w14:textId="77777777" w:rsidTr="0F1D33A4">
        <w:trPr>
          <w:trHeight w:val="15"/>
        </w:trPr>
        <w:tc>
          <w:tcPr>
            <w:tcW w:w="2085" w:type="dxa"/>
            <w:shd w:val="clear" w:color="auto" w:fill="auto"/>
            <w:vAlign w:val="center"/>
          </w:tcPr>
          <w:p w14:paraId="3896C3FE" w14:textId="77777777" w:rsidR="000C4898" w:rsidRPr="000C4898" w:rsidRDefault="000C4898" w:rsidP="001D22CD">
            <w:pPr>
              <w:keepNext/>
              <w:keepLines/>
              <w:jc w:val="left"/>
              <w:rPr>
                <w:rFonts w:ascii="Arial Narrow" w:hAnsi="Arial Narrow" w:cs="Times New Roman"/>
                <w:snapToGrid w:val="0"/>
                <w:sz w:val="20"/>
              </w:rPr>
            </w:pPr>
            <w:r w:rsidRPr="000C4898">
              <w:rPr>
                <w:rFonts w:ascii="Arial Narrow" w:hAnsi="Arial Narrow" w:cs="Times New Roman"/>
                <w:snapToGrid w:val="0"/>
                <w:sz w:val="20"/>
              </w:rPr>
              <w:t xml:space="preserve">Overall response </w:t>
            </w:r>
            <w:r w:rsidRPr="000C4898">
              <w:rPr>
                <w:rFonts w:ascii="Arial Narrow" w:hAnsi="Arial Narrow" w:cs="Times New Roman"/>
                <w:snapToGrid w:val="0"/>
                <w:sz w:val="20"/>
                <w:vertAlign w:val="superscript"/>
              </w:rPr>
              <w:t>b</w:t>
            </w:r>
            <w:r w:rsidRPr="000C4898">
              <w:rPr>
                <w:rFonts w:ascii="Arial Narrow" w:hAnsi="Arial Narrow" w:cs="Times New Roman"/>
                <w:snapToGrid w:val="0"/>
                <w:sz w:val="20"/>
              </w:rPr>
              <w:t>, n (%) </w:t>
            </w:r>
          </w:p>
        </w:tc>
        <w:tc>
          <w:tcPr>
            <w:tcW w:w="1650" w:type="dxa"/>
            <w:shd w:val="clear" w:color="auto" w:fill="auto"/>
            <w:vAlign w:val="center"/>
          </w:tcPr>
          <w:p w14:paraId="0AE9B1E8" w14:textId="77777777" w:rsidR="000C4898" w:rsidRPr="000C4898" w:rsidRDefault="000C4898" w:rsidP="001D22CD">
            <w:pPr>
              <w:keepNext/>
              <w:keepLines/>
              <w:jc w:val="center"/>
              <w:rPr>
                <w:rFonts w:ascii="Arial Narrow" w:hAnsi="Arial Narrow" w:cs="Times New Roman"/>
                <w:snapToGrid w:val="0"/>
                <w:sz w:val="20"/>
              </w:rPr>
            </w:pPr>
            <w:r w:rsidRPr="000C4898">
              <w:rPr>
                <w:rFonts w:ascii="Arial Narrow" w:hAnsi="Arial Narrow" w:cs="Times New Roman"/>
                <w:snapToGrid w:val="0"/>
                <w:sz w:val="20"/>
              </w:rPr>
              <w:t>90 (97)</w:t>
            </w:r>
          </w:p>
        </w:tc>
        <w:tc>
          <w:tcPr>
            <w:tcW w:w="1095" w:type="dxa"/>
            <w:shd w:val="clear" w:color="auto" w:fill="auto"/>
            <w:vAlign w:val="center"/>
          </w:tcPr>
          <w:p w14:paraId="425AC176" w14:textId="77777777" w:rsidR="000C4898" w:rsidRPr="000C4898" w:rsidRDefault="000C4898" w:rsidP="001D22CD">
            <w:pPr>
              <w:keepNext/>
              <w:keepLines/>
              <w:jc w:val="center"/>
              <w:rPr>
                <w:rFonts w:ascii="Arial Narrow" w:hAnsi="Arial Narrow" w:cs="Times New Roman"/>
                <w:snapToGrid w:val="0"/>
                <w:sz w:val="20"/>
              </w:rPr>
            </w:pPr>
            <w:r w:rsidRPr="000C4898">
              <w:rPr>
                <w:rFonts w:ascii="Arial Narrow" w:hAnsi="Arial Narrow" w:cs="Times New Roman"/>
                <w:snapToGrid w:val="0"/>
                <w:sz w:val="20"/>
              </w:rPr>
              <w:t>85 (98)</w:t>
            </w:r>
          </w:p>
        </w:tc>
        <w:tc>
          <w:tcPr>
            <w:tcW w:w="1335" w:type="dxa"/>
            <w:shd w:val="clear" w:color="auto" w:fill="auto"/>
            <w:vAlign w:val="center"/>
          </w:tcPr>
          <w:p w14:paraId="2EBC9DD7" w14:textId="77777777" w:rsidR="000C4898" w:rsidRPr="000C4898" w:rsidRDefault="000C4898" w:rsidP="001D22CD">
            <w:pPr>
              <w:keepNext/>
              <w:keepLines/>
              <w:jc w:val="center"/>
              <w:rPr>
                <w:rFonts w:ascii="Arial Narrow" w:hAnsi="Arial Narrow" w:cs="Times New Roman"/>
                <w:b/>
                <w:bCs/>
                <w:snapToGrid w:val="0"/>
                <w:sz w:val="20"/>
              </w:rPr>
            </w:pPr>
            <w:r w:rsidRPr="000C4898">
              <w:rPr>
                <w:rFonts w:ascii="Arial Narrow" w:hAnsi="Arial Narrow" w:cs="Times New Roman"/>
                <w:snapToGrid w:val="0"/>
                <w:sz w:val="20"/>
              </w:rPr>
              <w:t>0.71 (0.12, 4.33)</w:t>
            </w:r>
          </w:p>
        </w:tc>
        <w:tc>
          <w:tcPr>
            <w:tcW w:w="1335" w:type="dxa"/>
            <w:shd w:val="clear" w:color="auto" w:fill="auto"/>
            <w:vAlign w:val="center"/>
          </w:tcPr>
          <w:p w14:paraId="15001002" w14:textId="77777777" w:rsidR="000C4898" w:rsidRPr="000C4898" w:rsidRDefault="000C4898" w:rsidP="001D22CD">
            <w:pPr>
              <w:keepNext/>
              <w:keepLines/>
              <w:jc w:val="center"/>
              <w:rPr>
                <w:rFonts w:ascii="Arial Narrow" w:hAnsi="Arial Narrow" w:cs="Times New Roman"/>
                <w:b/>
                <w:bCs/>
                <w:snapToGrid w:val="0"/>
                <w:sz w:val="20"/>
              </w:rPr>
            </w:pPr>
            <w:r w:rsidRPr="000C4898">
              <w:rPr>
                <w:rFonts w:ascii="Arial Narrow" w:hAnsi="Arial Narrow" w:cs="Times New Roman"/>
                <w:snapToGrid w:val="0"/>
                <w:sz w:val="20"/>
              </w:rPr>
              <w:t>0.99 (0.94, 1.04)</w:t>
            </w:r>
          </w:p>
        </w:tc>
        <w:tc>
          <w:tcPr>
            <w:tcW w:w="1455" w:type="dxa"/>
            <w:shd w:val="clear" w:color="auto" w:fill="auto"/>
          </w:tcPr>
          <w:p w14:paraId="3E72DA78" w14:textId="77777777" w:rsidR="000C4898" w:rsidRPr="000C4898" w:rsidRDefault="000C4898" w:rsidP="001D22CD">
            <w:pPr>
              <w:keepNext/>
              <w:keepLines/>
              <w:jc w:val="center"/>
              <w:rPr>
                <w:rFonts w:ascii="Arial Narrow" w:hAnsi="Arial Narrow" w:cs="Times New Roman"/>
                <w:b/>
                <w:bCs/>
                <w:snapToGrid w:val="0"/>
                <w:sz w:val="20"/>
              </w:rPr>
            </w:pPr>
            <w:r w:rsidRPr="000C4898">
              <w:rPr>
                <w:rFonts w:ascii="Arial Narrow" w:hAnsi="Arial Narrow" w:cs="Times New Roman"/>
                <w:snapToGrid w:val="0"/>
                <w:sz w:val="20"/>
              </w:rPr>
              <w:t>-0.01 (-0.06, 0.04)</w:t>
            </w:r>
          </w:p>
        </w:tc>
      </w:tr>
      <w:tr w:rsidR="000C4898" w:rsidRPr="000C4898" w14:paraId="3FB41CA7" w14:textId="77777777" w:rsidTr="0F1D33A4">
        <w:trPr>
          <w:trHeight w:val="15"/>
        </w:trPr>
        <w:tc>
          <w:tcPr>
            <w:tcW w:w="2085" w:type="dxa"/>
            <w:shd w:val="clear" w:color="auto" w:fill="auto"/>
            <w:vAlign w:val="center"/>
          </w:tcPr>
          <w:p w14:paraId="002B14BA" w14:textId="77777777" w:rsidR="000C4898" w:rsidRPr="000C4898" w:rsidRDefault="000C4898" w:rsidP="001D22CD">
            <w:pPr>
              <w:keepNext/>
              <w:keepLines/>
              <w:jc w:val="left"/>
              <w:rPr>
                <w:rFonts w:ascii="Arial Narrow" w:hAnsi="Arial Narrow" w:cs="Times New Roman"/>
                <w:snapToGrid w:val="0"/>
                <w:sz w:val="20"/>
              </w:rPr>
            </w:pPr>
            <w:r w:rsidRPr="000C4898">
              <w:rPr>
                <w:rFonts w:ascii="Arial Narrow" w:hAnsi="Arial Narrow" w:cs="Times New Roman"/>
                <w:snapToGrid w:val="0"/>
                <w:sz w:val="20"/>
              </w:rPr>
              <w:t>No response </w:t>
            </w:r>
          </w:p>
        </w:tc>
        <w:tc>
          <w:tcPr>
            <w:tcW w:w="1650" w:type="dxa"/>
            <w:shd w:val="clear" w:color="auto" w:fill="auto"/>
            <w:vAlign w:val="center"/>
          </w:tcPr>
          <w:p w14:paraId="0FC6D866" w14:textId="77777777" w:rsidR="000C4898" w:rsidRPr="000C4898" w:rsidRDefault="000C4898" w:rsidP="001D22CD">
            <w:pPr>
              <w:keepNext/>
              <w:keepLines/>
              <w:jc w:val="center"/>
              <w:rPr>
                <w:rFonts w:ascii="Arial Narrow" w:hAnsi="Arial Narrow" w:cs="Times New Roman"/>
                <w:snapToGrid w:val="0"/>
                <w:sz w:val="20"/>
              </w:rPr>
            </w:pPr>
            <w:r w:rsidRPr="000C4898">
              <w:rPr>
                <w:rFonts w:ascii="Arial Narrow" w:hAnsi="Arial Narrow" w:cs="Times New Roman"/>
                <w:snapToGrid w:val="0"/>
                <w:sz w:val="20"/>
              </w:rPr>
              <w:t>3 (3)</w:t>
            </w:r>
          </w:p>
        </w:tc>
        <w:tc>
          <w:tcPr>
            <w:tcW w:w="1095" w:type="dxa"/>
            <w:shd w:val="clear" w:color="auto" w:fill="auto"/>
            <w:vAlign w:val="center"/>
          </w:tcPr>
          <w:p w14:paraId="5A6876B4" w14:textId="77777777" w:rsidR="000C4898" w:rsidRPr="000C4898" w:rsidRDefault="000C4898" w:rsidP="001D22CD">
            <w:pPr>
              <w:keepNext/>
              <w:keepLines/>
              <w:jc w:val="center"/>
              <w:rPr>
                <w:rFonts w:ascii="Arial Narrow" w:hAnsi="Arial Narrow" w:cs="Times New Roman"/>
                <w:snapToGrid w:val="0"/>
                <w:sz w:val="20"/>
              </w:rPr>
            </w:pPr>
            <w:r w:rsidRPr="000C4898">
              <w:rPr>
                <w:rFonts w:ascii="Arial Narrow" w:hAnsi="Arial Narrow" w:cs="Times New Roman"/>
                <w:snapToGrid w:val="0"/>
                <w:sz w:val="20"/>
              </w:rPr>
              <w:t>2 (2)</w:t>
            </w:r>
          </w:p>
        </w:tc>
        <w:tc>
          <w:tcPr>
            <w:tcW w:w="1335" w:type="dxa"/>
            <w:shd w:val="clear" w:color="auto" w:fill="auto"/>
            <w:vAlign w:val="center"/>
          </w:tcPr>
          <w:p w14:paraId="749EC1B1" w14:textId="77777777" w:rsidR="000C4898" w:rsidRPr="000C4898" w:rsidRDefault="000C4898" w:rsidP="001D22CD">
            <w:pPr>
              <w:keepNext/>
              <w:keepLines/>
              <w:jc w:val="center"/>
              <w:rPr>
                <w:rFonts w:ascii="Arial Narrow" w:hAnsi="Arial Narrow" w:cs="Times New Roman"/>
                <w:b/>
                <w:bCs/>
                <w:snapToGrid w:val="0"/>
                <w:sz w:val="20"/>
              </w:rPr>
            </w:pPr>
            <w:r w:rsidRPr="000C4898">
              <w:rPr>
                <w:rFonts w:ascii="Arial Narrow" w:hAnsi="Arial Narrow" w:cs="Times New Roman"/>
                <w:snapToGrid w:val="0"/>
                <w:sz w:val="20"/>
              </w:rPr>
              <w:t>1.42 (0.23, 8.69)</w:t>
            </w:r>
          </w:p>
        </w:tc>
        <w:tc>
          <w:tcPr>
            <w:tcW w:w="1335" w:type="dxa"/>
            <w:shd w:val="clear" w:color="auto" w:fill="auto"/>
            <w:vAlign w:val="center"/>
          </w:tcPr>
          <w:p w14:paraId="0979A1B5" w14:textId="77777777" w:rsidR="000C4898" w:rsidRPr="000C4898" w:rsidRDefault="000C4898" w:rsidP="001D22CD">
            <w:pPr>
              <w:keepNext/>
              <w:keepLines/>
              <w:jc w:val="center"/>
              <w:rPr>
                <w:rFonts w:ascii="Arial Narrow" w:hAnsi="Arial Narrow" w:cs="Times New Roman"/>
                <w:b/>
                <w:bCs/>
                <w:snapToGrid w:val="0"/>
                <w:sz w:val="20"/>
              </w:rPr>
            </w:pPr>
            <w:r w:rsidRPr="000C4898">
              <w:rPr>
                <w:rFonts w:ascii="Arial Narrow" w:hAnsi="Arial Narrow" w:cs="Times New Roman"/>
                <w:snapToGrid w:val="0"/>
                <w:sz w:val="20"/>
              </w:rPr>
              <w:t>1.40 (0.24, 8.20)</w:t>
            </w:r>
          </w:p>
        </w:tc>
        <w:tc>
          <w:tcPr>
            <w:tcW w:w="1455" w:type="dxa"/>
            <w:shd w:val="clear" w:color="auto" w:fill="auto"/>
          </w:tcPr>
          <w:p w14:paraId="1A3D60B7" w14:textId="77777777" w:rsidR="000C4898" w:rsidRPr="000C4898" w:rsidRDefault="000C4898" w:rsidP="001D22CD">
            <w:pPr>
              <w:keepNext/>
              <w:keepLines/>
              <w:jc w:val="center"/>
              <w:rPr>
                <w:rFonts w:ascii="Arial Narrow" w:hAnsi="Arial Narrow" w:cs="Times New Roman"/>
                <w:b/>
                <w:bCs/>
                <w:snapToGrid w:val="0"/>
                <w:sz w:val="20"/>
              </w:rPr>
            </w:pPr>
            <w:r w:rsidRPr="000C4898">
              <w:rPr>
                <w:rFonts w:ascii="Arial Narrow" w:hAnsi="Arial Narrow" w:cs="Times New Roman"/>
                <w:snapToGrid w:val="0"/>
                <w:sz w:val="20"/>
              </w:rPr>
              <w:t>0.01 (-0.04, 0.06)</w:t>
            </w:r>
          </w:p>
        </w:tc>
      </w:tr>
      <w:tr w:rsidR="000C4898" w:rsidRPr="000C4898" w14:paraId="7A43D15C" w14:textId="77777777" w:rsidTr="0F1D33A4">
        <w:trPr>
          <w:trHeight w:val="15"/>
        </w:trPr>
        <w:tc>
          <w:tcPr>
            <w:tcW w:w="8955" w:type="dxa"/>
            <w:gridSpan w:val="6"/>
            <w:shd w:val="clear" w:color="auto" w:fill="auto"/>
            <w:vAlign w:val="center"/>
          </w:tcPr>
          <w:p w14:paraId="7BBC1A24" w14:textId="618C22B5" w:rsidR="000C4898" w:rsidRPr="000C4898" w:rsidRDefault="000C4898" w:rsidP="001D22CD">
            <w:pPr>
              <w:keepNext/>
              <w:keepLines/>
              <w:jc w:val="left"/>
              <w:rPr>
                <w:rFonts w:ascii="Arial Narrow" w:hAnsi="Arial Narrow" w:cs="Times New Roman"/>
                <w:b/>
                <w:bCs/>
                <w:snapToGrid w:val="0"/>
                <w:sz w:val="20"/>
              </w:rPr>
            </w:pPr>
            <w:r w:rsidRPr="000C4898">
              <w:rPr>
                <w:rFonts w:ascii="Arial Narrow" w:hAnsi="Arial Narrow" w:cs="Times New Roman"/>
                <w:b/>
                <w:bCs/>
                <w:snapToGrid w:val="0"/>
                <w:sz w:val="20"/>
              </w:rPr>
              <w:t>Response within 12 months</w:t>
            </w:r>
          </w:p>
        </w:tc>
      </w:tr>
      <w:tr w:rsidR="000C4898" w:rsidRPr="000C4898" w14:paraId="1B7FF44C" w14:textId="77777777" w:rsidTr="0F1D33A4">
        <w:trPr>
          <w:trHeight w:val="15"/>
        </w:trPr>
        <w:tc>
          <w:tcPr>
            <w:tcW w:w="2085" w:type="dxa"/>
            <w:shd w:val="clear" w:color="auto" w:fill="auto"/>
            <w:vAlign w:val="center"/>
            <w:hideMark/>
          </w:tcPr>
          <w:p w14:paraId="16C3A10C" w14:textId="77777777" w:rsidR="000C4898" w:rsidRPr="000C4898" w:rsidRDefault="000C4898" w:rsidP="001D22CD">
            <w:pPr>
              <w:keepNext/>
              <w:keepLines/>
              <w:jc w:val="left"/>
              <w:rPr>
                <w:rFonts w:ascii="Arial Narrow" w:hAnsi="Arial Narrow" w:cs="Times New Roman"/>
                <w:snapToGrid w:val="0"/>
                <w:sz w:val="20"/>
              </w:rPr>
            </w:pPr>
            <w:r w:rsidRPr="000C4898">
              <w:rPr>
                <w:rFonts w:ascii="Arial Narrow" w:hAnsi="Arial Narrow" w:cs="Times New Roman"/>
                <w:snapToGrid w:val="0"/>
                <w:sz w:val="20"/>
              </w:rPr>
              <w:t>Complete response, n (%) </w:t>
            </w:r>
          </w:p>
        </w:tc>
        <w:tc>
          <w:tcPr>
            <w:tcW w:w="1650" w:type="dxa"/>
            <w:shd w:val="clear" w:color="auto" w:fill="auto"/>
            <w:vAlign w:val="center"/>
            <w:hideMark/>
          </w:tcPr>
          <w:p w14:paraId="6A060F1E" w14:textId="77777777" w:rsidR="000C4898" w:rsidRPr="000C4898" w:rsidRDefault="000C4898" w:rsidP="001D22CD">
            <w:pPr>
              <w:keepNext/>
              <w:keepLines/>
              <w:jc w:val="center"/>
              <w:rPr>
                <w:rFonts w:ascii="Arial Narrow" w:hAnsi="Arial Narrow" w:cs="Times New Roman"/>
                <w:snapToGrid w:val="0"/>
                <w:sz w:val="20"/>
              </w:rPr>
            </w:pPr>
            <w:r w:rsidRPr="000C4898">
              <w:rPr>
                <w:rFonts w:ascii="Arial Narrow" w:hAnsi="Arial Narrow" w:cs="Times New Roman"/>
                <w:snapToGrid w:val="0"/>
                <w:sz w:val="20"/>
              </w:rPr>
              <w:t>40 (43)</w:t>
            </w:r>
          </w:p>
        </w:tc>
        <w:tc>
          <w:tcPr>
            <w:tcW w:w="1095" w:type="dxa"/>
            <w:shd w:val="clear" w:color="auto" w:fill="auto"/>
            <w:vAlign w:val="center"/>
            <w:hideMark/>
          </w:tcPr>
          <w:p w14:paraId="057ECFDD" w14:textId="77777777" w:rsidR="000C4898" w:rsidRPr="000C4898" w:rsidRDefault="000C4898" w:rsidP="001D22CD">
            <w:pPr>
              <w:keepNext/>
              <w:keepLines/>
              <w:jc w:val="center"/>
              <w:rPr>
                <w:rFonts w:ascii="Arial Narrow" w:hAnsi="Arial Narrow" w:cs="Times New Roman"/>
                <w:snapToGrid w:val="0"/>
                <w:sz w:val="20"/>
              </w:rPr>
            </w:pPr>
            <w:r w:rsidRPr="000C4898">
              <w:rPr>
                <w:rFonts w:ascii="Arial Narrow" w:hAnsi="Arial Narrow" w:cs="Times New Roman"/>
                <w:snapToGrid w:val="0"/>
                <w:sz w:val="20"/>
              </w:rPr>
              <w:t>23 (26)</w:t>
            </w:r>
          </w:p>
        </w:tc>
        <w:tc>
          <w:tcPr>
            <w:tcW w:w="1335" w:type="dxa"/>
            <w:shd w:val="clear" w:color="auto" w:fill="auto"/>
            <w:vAlign w:val="center"/>
            <w:hideMark/>
          </w:tcPr>
          <w:p w14:paraId="6CF8FC37" w14:textId="77777777" w:rsidR="000C4898" w:rsidRPr="000C4898" w:rsidRDefault="000C4898" w:rsidP="001D22CD">
            <w:pPr>
              <w:keepNext/>
              <w:keepLines/>
              <w:jc w:val="center"/>
              <w:rPr>
                <w:rFonts w:ascii="Arial Narrow" w:hAnsi="Arial Narrow" w:cs="Times New Roman"/>
                <w:b/>
                <w:bCs/>
                <w:snapToGrid w:val="0"/>
                <w:sz w:val="20"/>
              </w:rPr>
            </w:pPr>
            <w:r w:rsidRPr="000C4898">
              <w:rPr>
                <w:rFonts w:ascii="Arial Narrow" w:hAnsi="Arial Narrow" w:cs="Times New Roman"/>
                <w:b/>
                <w:bCs/>
                <w:snapToGrid w:val="0"/>
                <w:sz w:val="20"/>
              </w:rPr>
              <w:t>2.10 (1.12, 3.94)</w:t>
            </w:r>
          </w:p>
        </w:tc>
        <w:tc>
          <w:tcPr>
            <w:tcW w:w="1335" w:type="dxa"/>
            <w:shd w:val="clear" w:color="auto" w:fill="auto"/>
            <w:vAlign w:val="center"/>
            <w:hideMark/>
          </w:tcPr>
          <w:p w14:paraId="26F0CD42" w14:textId="77777777" w:rsidR="000C4898" w:rsidRPr="000C4898" w:rsidRDefault="000C4898" w:rsidP="001D22CD">
            <w:pPr>
              <w:keepNext/>
              <w:keepLines/>
              <w:jc w:val="center"/>
              <w:rPr>
                <w:rFonts w:ascii="Arial Narrow" w:hAnsi="Arial Narrow" w:cs="Times New Roman"/>
                <w:b/>
                <w:bCs/>
                <w:snapToGrid w:val="0"/>
                <w:sz w:val="20"/>
              </w:rPr>
            </w:pPr>
            <w:r w:rsidRPr="000C4898">
              <w:rPr>
                <w:rFonts w:ascii="Arial Narrow" w:hAnsi="Arial Narrow" w:cs="Times New Roman"/>
                <w:b/>
                <w:bCs/>
                <w:snapToGrid w:val="0"/>
                <w:sz w:val="20"/>
              </w:rPr>
              <w:t>1.63 (1.07, 2.48)</w:t>
            </w:r>
          </w:p>
        </w:tc>
        <w:tc>
          <w:tcPr>
            <w:tcW w:w="1455" w:type="dxa"/>
            <w:shd w:val="clear" w:color="auto" w:fill="auto"/>
            <w:vAlign w:val="center"/>
            <w:hideMark/>
          </w:tcPr>
          <w:p w14:paraId="7EFF1971" w14:textId="77777777" w:rsidR="000C4898" w:rsidRPr="000C4898" w:rsidRDefault="000C4898" w:rsidP="001D22CD">
            <w:pPr>
              <w:keepNext/>
              <w:keepLines/>
              <w:jc w:val="center"/>
              <w:rPr>
                <w:rFonts w:ascii="Arial Narrow" w:hAnsi="Arial Narrow" w:cs="Times New Roman"/>
                <w:b/>
                <w:bCs/>
                <w:snapToGrid w:val="0"/>
                <w:sz w:val="20"/>
              </w:rPr>
            </w:pPr>
            <w:r w:rsidRPr="000C4898">
              <w:rPr>
                <w:rFonts w:ascii="Arial Narrow" w:hAnsi="Arial Narrow" w:cs="Times New Roman"/>
                <w:b/>
                <w:bCs/>
                <w:snapToGrid w:val="0"/>
                <w:sz w:val="20"/>
              </w:rPr>
              <w:t>0.17 (0.03, 0.30)</w:t>
            </w:r>
          </w:p>
        </w:tc>
      </w:tr>
      <w:tr w:rsidR="000C4898" w:rsidRPr="000C4898" w14:paraId="285F356D" w14:textId="77777777" w:rsidTr="0F1D33A4">
        <w:trPr>
          <w:trHeight w:val="15"/>
        </w:trPr>
        <w:tc>
          <w:tcPr>
            <w:tcW w:w="2085" w:type="dxa"/>
            <w:shd w:val="clear" w:color="auto" w:fill="auto"/>
            <w:vAlign w:val="center"/>
            <w:hideMark/>
          </w:tcPr>
          <w:p w14:paraId="16CBBEFC" w14:textId="77777777" w:rsidR="000C4898" w:rsidRPr="000C4898" w:rsidRDefault="000C4898" w:rsidP="001D22CD">
            <w:pPr>
              <w:keepNext/>
              <w:keepLines/>
              <w:jc w:val="left"/>
              <w:rPr>
                <w:rFonts w:ascii="Arial Narrow" w:hAnsi="Arial Narrow" w:cs="Times New Roman"/>
                <w:snapToGrid w:val="0"/>
                <w:sz w:val="20"/>
              </w:rPr>
            </w:pPr>
            <w:r w:rsidRPr="000C4898">
              <w:rPr>
                <w:rFonts w:ascii="Arial Narrow" w:hAnsi="Arial Narrow" w:cs="Times New Roman"/>
                <w:snapToGrid w:val="0"/>
                <w:sz w:val="20"/>
              </w:rPr>
              <w:t>Partial response, n (%) </w:t>
            </w:r>
          </w:p>
        </w:tc>
        <w:tc>
          <w:tcPr>
            <w:tcW w:w="1650" w:type="dxa"/>
            <w:shd w:val="clear" w:color="auto" w:fill="auto"/>
            <w:vAlign w:val="center"/>
            <w:hideMark/>
          </w:tcPr>
          <w:p w14:paraId="216A85F1" w14:textId="77777777" w:rsidR="000C4898" w:rsidRPr="000C4898" w:rsidRDefault="000C4898" w:rsidP="001D22CD">
            <w:pPr>
              <w:keepNext/>
              <w:keepLines/>
              <w:jc w:val="center"/>
              <w:rPr>
                <w:rFonts w:ascii="Arial Narrow" w:hAnsi="Arial Narrow" w:cs="Times New Roman"/>
                <w:snapToGrid w:val="0"/>
                <w:sz w:val="20"/>
              </w:rPr>
            </w:pPr>
            <w:r w:rsidRPr="000C4898">
              <w:rPr>
                <w:rFonts w:ascii="Arial Narrow" w:hAnsi="Arial Narrow" w:cs="Times New Roman"/>
                <w:snapToGrid w:val="0"/>
                <w:sz w:val="20"/>
              </w:rPr>
              <w:t>50 (54)</w:t>
            </w:r>
          </w:p>
        </w:tc>
        <w:tc>
          <w:tcPr>
            <w:tcW w:w="1095" w:type="dxa"/>
            <w:shd w:val="clear" w:color="auto" w:fill="auto"/>
            <w:vAlign w:val="center"/>
            <w:hideMark/>
          </w:tcPr>
          <w:p w14:paraId="0EA13177" w14:textId="77777777" w:rsidR="000C4898" w:rsidRPr="000C4898" w:rsidRDefault="000C4898" w:rsidP="001D22CD">
            <w:pPr>
              <w:keepNext/>
              <w:keepLines/>
              <w:jc w:val="center"/>
              <w:rPr>
                <w:rFonts w:ascii="Arial Narrow" w:hAnsi="Arial Narrow" w:cs="Times New Roman"/>
                <w:snapToGrid w:val="0"/>
                <w:sz w:val="20"/>
              </w:rPr>
            </w:pPr>
            <w:r w:rsidRPr="000C4898">
              <w:rPr>
                <w:rFonts w:ascii="Arial Narrow" w:hAnsi="Arial Narrow" w:cs="Times New Roman"/>
                <w:snapToGrid w:val="0"/>
                <w:sz w:val="20"/>
              </w:rPr>
              <w:t>58 (67)</w:t>
            </w:r>
          </w:p>
        </w:tc>
        <w:tc>
          <w:tcPr>
            <w:tcW w:w="1335" w:type="dxa"/>
            <w:shd w:val="clear" w:color="auto" w:fill="auto"/>
            <w:vAlign w:val="center"/>
            <w:hideMark/>
          </w:tcPr>
          <w:p w14:paraId="58F35D93" w14:textId="77777777" w:rsidR="000C4898" w:rsidRPr="000C4898" w:rsidRDefault="000C4898" w:rsidP="001D22CD">
            <w:pPr>
              <w:keepNext/>
              <w:keepLines/>
              <w:jc w:val="center"/>
              <w:rPr>
                <w:rFonts w:ascii="Arial Narrow" w:hAnsi="Arial Narrow" w:cs="Times New Roman"/>
                <w:snapToGrid w:val="0"/>
                <w:sz w:val="20"/>
              </w:rPr>
            </w:pPr>
            <w:r w:rsidRPr="000C4898">
              <w:rPr>
                <w:rFonts w:ascii="Arial Narrow" w:hAnsi="Arial Narrow" w:cs="Times New Roman"/>
                <w:snapToGrid w:val="0"/>
                <w:sz w:val="20"/>
              </w:rPr>
              <w:t>0.58 (0.32, 1.06)</w:t>
            </w:r>
          </w:p>
        </w:tc>
        <w:tc>
          <w:tcPr>
            <w:tcW w:w="1335" w:type="dxa"/>
            <w:shd w:val="clear" w:color="auto" w:fill="auto"/>
            <w:vAlign w:val="center"/>
            <w:hideMark/>
          </w:tcPr>
          <w:p w14:paraId="0B59A4DA" w14:textId="77777777" w:rsidR="000C4898" w:rsidRPr="000C4898" w:rsidRDefault="000C4898" w:rsidP="001D22CD">
            <w:pPr>
              <w:keepNext/>
              <w:keepLines/>
              <w:jc w:val="center"/>
              <w:rPr>
                <w:rFonts w:ascii="Arial Narrow" w:hAnsi="Arial Narrow" w:cs="Times New Roman"/>
                <w:snapToGrid w:val="0"/>
                <w:sz w:val="20"/>
              </w:rPr>
            </w:pPr>
            <w:r w:rsidRPr="000C4898">
              <w:rPr>
                <w:rFonts w:ascii="Arial Narrow" w:hAnsi="Arial Narrow" w:cs="Times New Roman"/>
                <w:snapToGrid w:val="0"/>
                <w:sz w:val="20"/>
              </w:rPr>
              <w:t>0.81 (0.63, 1.03)</w:t>
            </w:r>
          </w:p>
        </w:tc>
        <w:tc>
          <w:tcPr>
            <w:tcW w:w="1455" w:type="dxa"/>
            <w:shd w:val="clear" w:color="auto" w:fill="auto"/>
            <w:vAlign w:val="center"/>
            <w:hideMark/>
          </w:tcPr>
          <w:p w14:paraId="0915E783" w14:textId="77777777" w:rsidR="000C4898" w:rsidRPr="000C4898" w:rsidRDefault="000C4898" w:rsidP="001D22CD">
            <w:pPr>
              <w:keepNext/>
              <w:keepLines/>
              <w:jc w:val="center"/>
              <w:rPr>
                <w:rFonts w:ascii="Arial Narrow" w:hAnsi="Arial Narrow" w:cs="Times New Roman"/>
                <w:snapToGrid w:val="0"/>
                <w:sz w:val="20"/>
              </w:rPr>
            </w:pPr>
            <w:r w:rsidRPr="000C4898">
              <w:rPr>
                <w:rFonts w:ascii="Arial Narrow" w:hAnsi="Arial Narrow" w:cs="Times New Roman"/>
                <w:snapToGrid w:val="0"/>
                <w:sz w:val="20"/>
              </w:rPr>
              <w:t>-0.13 (-0.27, 0.01)</w:t>
            </w:r>
          </w:p>
        </w:tc>
      </w:tr>
      <w:tr w:rsidR="000C4898" w:rsidRPr="000C4898" w14:paraId="2D53C2B9" w14:textId="77777777" w:rsidTr="0F1D33A4">
        <w:trPr>
          <w:trHeight w:val="15"/>
        </w:trPr>
        <w:tc>
          <w:tcPr>
            <w:tcW w:w="2085" w:type="dxa"/>
            <w:shd w:val="clear" w:color="auto" w:fill="auto"/>
            <w:vAlign w:val="center"/>
            <w:hideMark/>
          </w:tcPr>
          <w:p w14:paraId="67917036" w14:textId="77777777" w:rsidR="000C4898" w:rsidRPr="000C4898" w:rsidRDefault="000C4898" w:rsidP="001D22CD">
            <w:pPr>
              <w:keepNext/>
              <w:keepLines/>
              <w:jc w:val="left"/>
              <w:rPr>
                <w:rFonts w:ascii="Arial Narrow" w:hAnsi="Arial Narrow" w:cs="Times New Roman"/>
                <w:snapToGrid w:val="0"/>
                <w:sz w:val="20"/>
              </w:rPr>
            </w:pPr>
            <w:r w:rsidRPr="000C4898">
              <w:rPr>
                <w:rFonts w:ascii="Arial Narrow" w:hAnsi="Arial Narrow" w:cs="Times New Roman"/>
                <w:snapToGrid w:val="0"/>
                <w:sz w:val="20"/>
              </w:rPr>
              <w:t xml:space="preserve">Overall response </w:t>
            </w:r>
            <w:r w:rsidRPr="000C4898">
              <w:rPr>
                <w:rFonts w:ascii="Arial Narrow" w:hAnsi="Arial Narrow" w:cs="Times New Roman"/>
                <w:snapToGrid w:val="0"/>
                <w:sz w:val="20"/>
                <w:vertAlign w:val="superscript"/>
              </w:rPr>
              <w:t>b</w:t>
            </w:r>
            <w:r w:rsidRPr="000C4898">
              <w:rPr>
                <w:rFonts w:ascii="Arial Narrow" w:hAnsi="Arial Narrow" w:cs="Times New Roman"/>
                <w:snapToGrid w:val="0"/>
                <w:sz w:val="20"/>
              </w:rPr>
              <w:t>, n (%) </w:t>
            </w:r>
          </w:p>
        </w:tc>
        <w:tc>
          <w:tcPr>
            <w:tcW w:w="1650" w:type="dxa"/>
            <w:shd w:val="clear" w:color="auto" w:fill="auto"/>
            <w:vAlign w:val="center"/>
            <w:hideMark/>
          </w:tcPr>
          <w:p w14:paraId="518AAABF" w14:textId="77777777" w:rsidR="000C4898" w:rsidRPr="000C4898" w:rsidRDefault="000C4898" w:rsidP="001D22CD">
            <w:pPr>
              <w:keepNext/>
              <w:keepLines/>
              <w:jc w:val="center"/>
              <w:rPr>
                <w:rFonts w:ascii="Arial Narrow" w:hAnsi="Arial Narrow" w:cs="Times New Roman"/>
                <w:snapToGrid w:val="0"/>
                <w:sz w:val="20"/>
              </w:rPr>
            </w:pPr>
            <w:r w:rsidRPr="000C4898">
              <w:rPr>
                <w:rFonts w:ascii="Arial Narrow" w:hAnsi="Arial Narrow" w:cs="Times New Roman"/>
                <w:snapToGrid w:val="0"/>
                <w:sz w:val="20"/>
              </w:rPr>
              <w:t>90 (97)</w:t>
            </w:r>
          </w:p>
        </w:tc>
        <w:tc>
          <w:tcPr>
            <w:tcW w:w="1095" w:type="dxa"/>
            <w:shd w:val="clear" w:color="auto" w:fill="auto"/>
            <w:vAlign w:val="center"/>
            <w:hideMark/>
          </w:tcPr>
          <w:p w14:paraId="4FC54724" w14:textId="77777777" w:rsidR="000C4898" w:rsidRPr="000C4898" w:rsidRDefault="000C4898" w:rsidP="001D22CD">
            <w:pPr>
              <w:keepNext/>
              <w:keepLines/>
              <w:jc w:val="center"/>
              <w:rPr>
                <w:rFonts w:ascii="Arial Narrow" w:hAnsi="Arial Narrow" w:cs="Times New Roman"/>
                <w:snapToGrid w:val="0"/>
                <w:sz w:val="20"/>
              </w:rPr>
            </w:pPr>
            <w:r w:rsidRPr="000C4898">
              <w:rPr>
                <w:rFonts w:ascii="Arial Narrow" w:hAnsi="Arial Narrow" w:cs="Times New Roman"/>
                <w:snapToGrid w:val="0"/>
                <w:sz w:val="20"/>
              </w:rPr>
              <w:t>81 (93)</w:t>
            </w:r>
          </w:p>
        </w:tc>
        <w:tc>
          <w:tcPr>
            <w:tcW w:w="1335" w:type="dxa"/>
            <w:shd w:val="clear" w:color="auto" w:fill="auto"/>
            <w:vAlign w:val="center"/>
            <w:hideMark/>
          </w:tcPr>
          <w:p w14:paraId="5E46FD2E" w14:textId="77777777" w:rsidR="000C4898" w:rsidRPr="000C4898" w:rsidRDefault="000C4898" w:rsidP="001D22CD">
            <w:pPr>
              <w:keepNext/>
              <w:keepLines/>
              <w:jc w:val="center"/>
              <w:rPr>
                <w:rFonts w:ascii="Arial Narrow" w:hAnsi="Arial Narrow" w:cs="Times New Roman"/>
                <w:snapToGrid w:val="0"/>
                <w:sz w:val="20"/>
              </w:rPr>
            </w:pPr>
            <w:r w:rsidRPr="000C4898">
              <w:rPr>
                <w:rFonts w:ascii="Arial Narrow" w:hAnsi="Arial Narrow" w:cs="Times New Roman"/>
                <w:snapToGrid w:val="0"/>
                <w:sz w:val="20"/>
              </w:rPr>
              <w:t>2.22 (0.54, 9.18)</w:t>
            </w:r>
          </w:p>
        </w:tc>
        <w:tc>
          <w:tcPr>
            <w:tcW w:w="1335" w:type="dxa"/>
            <w:shd w:val="clear" w:color="auto" w:fill="auto"/>
            <w:vAlign w:val="center"/>
            <w:hideMark/>
          </w:tcPr>
          <w:p w14:paraId="646BA407" w14:textId="77777777" w:rsidR="000C4898" w:rsidRPr="000C4898" w:rsidRDefault="000C4898" w:rsidP="001D22CD">
            <w:pPr>
              <w:keepNext/>
              <w:keepLines/>
              <w:jc w:val="center"/>
              <w:rPr>
                <w:rFonts w:ascii="Arial Narrow" w:hAnsi="Arial Narrow" w:cs="Times New Roman"/>
                <w:snapToGrid w:val="0"/>
                <w:sz w:val="20"/>
              </w:rPr>
            </w:pPr>
            <w:r w:rsidRPr="000C4898">
              <w:rPr>
                <w:rFonts w:ascii="Arial Narrow" w:hAnsi="Arial Narrow" w:cs="Times New Roman"/>
                <w:snapToGrid w:val="0"/>
                <w:sz w:val="20"/>
              </w:rPr>
              <w:t>1.04 (0.97, 1.11)</w:t>
            </w:r>
          </w:p>
        </w:tc>
        <w:tc>
          <w:tcPr>
            <w:tcW w:w="1455" w:type="dxa"/>
            <w:shd w:val="clear" w:color="auto" w:fill="auto"/>
            <w:vAlign w:val="center"/>
            <w:hideMark/>
          </w:tcPr>
          <w:p w14:paraId="108083FA" w14:textId="77777777" w:rsidR="000C4898" w:rsidRPr="000C4898" w:rsidRDefault="000C4898" w:rsidP="001D22CD">
            <w:pPr>
              <w:keepNext/>
              <w:keepLines/>
              <w:jc w:val="center"/>
              <w:rPr>
                <w:rFonts w:ascii="Arial Narrow" w:hAnsi="Arial Narrow" w:cs="Times New Roman"/>
                <w:snapToGrid w:val="0"/>
                <w:sz w:val="20"/>
              </w:rPr>
            </w:pPr>
            <w:r w:rsidRPr="000C4898">
              <w:rPr>
                <w:rFonts w:ascii="Arial Narrow" w:hAnsi="Arial Narrow" w:cs="Times New Roman"/>
                <w:snapToGrid w:val="0"/>
                <w:sz w:val="20"/>
              </w:rPr>
              <w:t>0.04 (-0.03, 0.10)</w:t>
            </w:r>
          </w:p>
        </w:tc>
      </w:tr>
      <w:tr w:rsidR="000C4898" w:rsidRPr="000C4898" w14:paraId="51BE345C" w14:textId="77777777" w:rsidTr="0F1D33A4">
        <w:trPr>
          <w:trHeight w:val="15"/>
        </w:trPr>
        <w:tc>
          <w:tcPr>
            <w:tcW w:w="2085" w:type="dxa"/>
            <w:shd w:val="clear" w:color="auto" w:fill="auto"/>
            <w:vAlign w:val="center"/>
            <w:hideMark/>
          </w:tcPr>
          <w:p w14:paraId="0161EFD4" w14:textId="77777777" w:rsidR="000C4898" w:rsidRPr="000C4898" w:rsidRDefault="000C4898" w:rsidP="001D22CD">
            <w:pPr>
              <w:keepNext/>
              <w:keepLines/>
              <w:jc w:val="left"/>
              <w:rPr>
                <w:rFonts w:ascii="Arial Narrow" w:hAnsi="Arial Narrow" w:cs="Times New Roman"/>
                <w:snapToGrid w:val="0"/>
                <w:sz w:val="20"/>
              </w:rPr>
            </w:pPr>
            <w:r w:rsidRPr="000C4898">
              <w:rPr>
                <w:rFonts w:ascii="Arial Narrow" w:hAnsi="Arial Narrow" w:cs="Times New Roman"/>
                <w:snapToGrid w:val="0"/>
                <w:sz w:val="20"/>
              </w:rPr>
              <w:t>No response </w:t>
            </w:r>
          </w:p>
        </w:tc>
        <w:tc>
          <w:tcPr>
            <w:tcW w:w="1650" w:type="dxa"/>
            <w:shd w:val="clear" w:color="auto" w:fill="auto"/>
            <w:vAlign w:val="center"/>
            <w:hideMark/>
          </w:tcPr>
          <w:p w14:paraId="253A4978" w14:textId="77777777" w:rsidR="000C4898" w:rsidRPr="000C4898" w:rsidRDefault="000C4898" w:rsidP="001D22CD">
            <w:pPr>
              <w:keepNext/>
              <w:keepLines/>
              <w:jc w:val="center"/>
              <w:rPr>
                <w:rFonts w:ascii="Arial Narrow" w:hAnsi="Arial Narrow" w:cs="Times New Roman"/>
                <w:snapToGrid w:val="0"/>
                <w:sz w:val="20"/>
              </w:rPr>
            </w:pPr>
            <w:r w:rsidRPr="000C4898">
              <w:rPr>
                <w:rFonts w:ascii="Arial Narrow" w:hAnsi="Arial Narrow" w:cs="Times New Roman"/>
                <w:snapToGrid w:val="0"/>
                <w:sz w:val="20"/>
              </w:rPr>
              <w:t>3 (3)</w:t>
            </w:r>
          </w:p>
        </w:tc>
        <w:tc>
          <w:tcPr>
            <w:tcW w:w="1095" w:type="dxa"/>
            <w:shd w:val="clear" w:color="auto" w:fill="auto"/>
            <w:vAlign w:val="center"/>
            <w:hideMark/>
          </w:tcPr>
          <w:p w14:paraId="482155F0" w14:textId="77777777" w:rsidR="000C4898" w:rsidRPr="000C4898" w:rsidRDefault="000C4898" w:rsidP="001D22CD">
            <w:pPr>
              <w:keepNext/>
              <w:keepLines/>
              <w:jc w:val="center"/>
              <w:rPr>
                <w:rFonts w:ascii="Arial Narrow" w:hAnsi="Arial Narrow" w:cs="Times New Roman"/>
                <w:snapToGrid w:val="0"/>
                <w:sz w:val="20"/>
              </w:rPr>
            </w:pPr>
            <w:r w:rsidRPr="000C4898">
              <w:rPr>
                <w:rFonts w:ascii="Arial Narrow" w:hAnsi="Arial Narrow" w:cs="Times New Roman"/>
                <w:snapToGrid w:val="0"/>
                <w:sz w:val="20"/>
              </w:rPr>
              <w:t>6 (7)</w:t>
            </w:r>
          </w:p>
        </w:tc>
        <w:tc>
          <w:tcPr>
            <w:tcW w:w="1335" w:type="dxa"/>
            <w:shd w:val="clear" w:color="auto" w:fill="auto"/>
            <w:vAlign w:val="center"/>
            <w:hideMark/>
          </w:tcPr>
          <w:p w14:paraId="41EAB942" w14:textId="77777777" w:rsidR="000C4898" w:rsidRPr="000C4898" w:rsidRDefault="000C4898" w:rsidP="001D22CD">
            <w:pPr>
              <w:keepNext/>
              <w:keepLines/>
              <w:jc w:val="center"/>
              <w:rPr>
                <w:rFonts w:ascii="Arial Narrow" w:hAnsi="Arial Narrow" w:cs="Times New Roman"/>
                <w:snapToGrid w:val="0"/>
                <w:sz w:val="20"/>
              </w:rPr>
            </w:pPr>
            <w:r w:rsidRPr="000C4898">
              <w:rPr>
                <w:rFonts w:ascii="Arial Narrow" w:hAnsi="Arial Narrow" w:cs="Times New Roman"/>
                <w:snapToGrid w:val="0"/>
                <w:sz w:val="20"/>
              </w:rPr>
              <w:t>0.45 (0.11, 1.86)</w:t>
            </w:r>
          </w:p>
        </w:tc>
        <w:tc>
          <w:tcPr>
            <w:tcW w:w="1335" w:type="dxa"/>
            <w:shd w:val="clear" w:color="auto" w:fill="auto"/>
            <w:vAlign w:val="center"/>
            <w:hideMark/>
          </w:tcPr>
          <w:p w14:paraId="64D1EBB2" w14:textId="77777777" w:rsidR="000C4898" w:rsidRPr="000C4898" w:rsidRDefault="000C4898" w:rsidP="001D22CD">
            <w:pPr>
              <w:keepNext/>
              <w:keepLines/>
              <w:jc w:val="center"/>
              <w:rPr>
                <w:rFonts w:ascii="Arial Narrow" w:hAnsi="Arial Narrow" w:cs="Times New Roman"/>
                <w:snapToGrid w:val="0"/>
                <w:sz w:val="20"/>
              </w:rPr>
            </w:pPr>
            <w:r w:rsidRPr="000C4898">
              <w:rPr>
                <w:rFonts w:ascii="Arial Narrow" w:hAnsi="Arial Narrow" w:cs="Times New Roman"/>
                <w:snapToGrid w:val="0"/>
                <w:sz w:val="20"/>
              </w:rPr>
              <w:t>0.47 (0.12, 1.81)</w:t>
            </w:r>
          </w:p>
        </w:tc>
        <w:tc>
          <w:tcPr>
            <w:tcW w:w="1455" w:type="dxa"/>
            <w:shd w:val="clear" w:color="auto" w:fill="auto"/>
            <w:vAlign w:val="center"/>
            <w:hideMark/>
          </w:tcPr>
          <w:p w14:paraId="644BF9E2" w14:textId="77777777" w:rsidR="000C4898" w:rsidRPr="000C4898" w:rsidRDefault="000C4898" w:rsidP="001D22CD">
            <w:pPr>
              <w:keepNext/>
              <w:keepLines/>
              <w:jc w:val="center"/>
              <w:rPr>
                <w:rFonts w:ascii="Arial Narrow" w:hAnsi="Arial Narrow" w:cs="Times New Roman"/>
                <w:snapToGrid w:val="0"/>
                <w:sz w:val="20"/>
              </w:rPr>
            </w:pPr>
            <w:r w:rsidRPr="000C4898">
              <w:rPr>
                <w:rFonts w:ascii="Arial Narrow" w:hAnsi="Arial Narrow" w:cs="Times New Roman"/>
                <w:snapToGrid w:val="0"/>
                <w:sz w:val="20"/>
              </w:rPr>
              <w:t>-0.04 (-0.10, 0.03)</w:t>
            </w:r>
          </w:p>
        </w:tc>
      </w:tr>
      <w:tr w:rsidR="000C4898" w:rsidRPr="000C4898" w14:paraId="4D5DB646" w14:textId="77777777" w:rsidTr="0F1D33A4">
        <w:trPr>
          <w:trHeight w:val="15"/>
        </w:trPr>
        <w:tc>
          <w:tcPr>
            <w:tcW w:w="8955" w:type="dxa"/>
            <w:gridSpan w:val="6"/>
            <w:shd w:val="clear" w:color="auto" w:fill="B8CCE4" w:themeFill="accent1" w:themeFillTint="66"/>
            <w:vAlign w:val="center"/>
          </w:tcPr>
          <w:p w14:paraId="08EB7E6C" w14:textId="77777777" w:rsidR="000C4898" w:rsidRPr="000C4898" w:rsidRDefault="000C4898" w:rsidP="001D22CD">
            <w:pPr>
              <w:keepNext/>
              <w:keepLines/>
              <w:jc w:val="left"/>
              <w:rPr>
                <w:rFonts w:ascii="Arial Narrow" w:eastAsiaTheme="majorEastAsia" w:hAnsi="Arial Narrow" w:cs="Times New Roman"/>
                <w:b/>
                <w:sz w:val="20"/>
                <w:lang w:val="en-US"/>
              </w:rPr>
            </w:pPr>
            <w:r w:rsidRPr="000C4898">
              <w:rPr>
                <w:rFonts w:ascii="Arial Narrow" w:eastAsiaTheme="majorEastAsia" w:hAnsi="Arial Narrow" w:cs="Times New Roman"/>
                <w:b/>
                <w:sz w:val="20"/>
                <w:lang w:val="en-US"/>
              </w:rPr>
              <w:t>Evidence from previous submission - Response within 12 months</w:t>
            </w:r>
          </w:p>
        </w:tc>
      </w:tr>
      <w:tr w:rsidR="000C4898" w:rsidRPr="000C4898" w14:paraId="2CC4716B" w14:textId="77777777" w:rsidTr="0F1D33A4">
        <w:trPr>
          <w:trHeight w:val="15"/>
        </w:trPr>
        <w:tc>
          <w:tcPr>
            <w:tcW w:w="2085" w:type="dxa"/>
            <w:shd w:val="clear" w:color="auto" w:fill="B8CCE4" w:themeFill="accent1" w:themeFillTint="66"/>
            <w:vAlign w:val="center"/>
          </w:tcPr>
          <w:p w14:paraId="1F266862" w14:textId="77777777" w:rsidR="000C4898" w:rsidRPr="000C4898" w:rsidRDefault="000C4898" w:rsidP="001D22CD">
            <w:pPr>
              <w:keepNext/>
              <w:keepLines/>
              <w:jc w:val="left"/>
              <w:rPr>
                <w:rFonts w:ascii="Arial Narrow" w:hAnsi="Arial Narrow" w:cs="Times New Roman"/>
                <w:b/>
                <w:bCs/>
                <w:snapToGrid w:val="0"/>
                <w:sz w:val="20"/>
              </w:rPr>
            </w:pPr>
            <w:r w:rsidRPr="000C4898">
              <w:rPr>
                <w:rFonts w:ascii="Arial Narrow" w:hAnsi="Arial Narrow" w:cs="Times New Roman"/>
                <w:b/>
                <w:bCs/>
                <w:snapToGrid w:val="0"/>
                <w:sz w:val="20"/>
              </w:rPr>
              <w:t>MAJIC </w:t>
            </w:r>
          </w:p>
        </w:tc>
        <w:tc>
          <w:tcPr>
            <w:tcW w:w="1650" w:type="dxa"/>
            <w:shd w:val="clear" w:color="auto" w:fill="B8CCE4" w:themeFill="accent1" w:themeFillTint="66"/>
            <w:vAlign w:val="center"/>
          </w:tcPr>
          <w:p w14:paraId="1F7F3FFC" w14:textId="77777777" w:rsidR="000C4898" w:rsidRPr="000C4898" w:rsidRDefault="000C4898" w:rsidP="0910F2D2">
            <w:pPr>
              <w:keepNext/>
              <w:keepLines/>
              <w:jc w:val="center"/>
              <w:rPr>
                <w:rFonts w:ascii="Arial Narrow" w:hAnsi="Arial Narrow" w:cs="Times New Roman"/>
                <w:b/>
                <w:bCs/>
                <w:snapToGrid w:val="0"/>
                <w:sz w:val="20"/>
                <w:szCs w:val="20"/>
              </w:rPr>
            </w:pPr>
            <w:r w:rsidRPr="0910F2D2">
              <w:rPr>
                <w:rFonts w:ascii="Arial Narrow" w:hAnsi="Arial Narrow" w:cs="Times New Roman"/>
                <w:b/>
                <w:bCs/>
                <w:snapToGrid w:val="0"/>
                <w:sz w:val="20"/>
                <w:szCs w:val="20"/>
              </w:rPr>
              <w:t>Ruxolitinib (N = 93)</w:t>
            </w:r>
          </w:p>
        </w:tc>
        <w:tc>
          <w:tcPr>
            <w:tcW w:w="1095" w:type="dxa"/>
            <w:shd w:val="clear" w:color="auto" w:fill="B8CCE4" w:themeFill="accent1" w:themeFillTint="66"/>
            <w:vAlign w:val="center"/>
          </w:tcPr>
          <w:p w14:paraId="6FC66BDA" w14:textId="77777777" w:rsidR="000C4898" w:rsidRPr="000C4898" w:rsidRDefault="000C4898" w:rsidP="001D22CD">
            <w:pPr>
              <w:keepNext/>
              <w:keepLines/>
              <w:jc w:val="center"/>
              <w:rPr>
                <w:rFonts w:ascii="Arial Narrow" w:hAnsi="Arial Narrow" w:cs="Times New Roman"/>
                <w:b/>
                <w:bCs/>
                <w:snapToGrid w:val="0"/>
                <w:sz w:val="20"/>
              </w:rPr>
            </w:pPr>
            <w:r w:rsidRPr="000C4898">
              <w:rPr>
                <w:rFonts w:ascii="Arial Narrow" w:hAnsi="Arial Narrow" w:cs="Times New Roman"/>
                <w:b/>
                <w:bCs/>
                <w:snapToGrid w:val="0"/>
                <w:sz w:val="20"/>
              </w:rPr>
              <w:t>BAT (N = 89)</w:t>
            </w:r>
          </w:p>
        </w:tc>
        <w:tc>
          <w:tcPr>
            <w:tcW w:w="1335" w:type="dxa"/>
            <w:shd w:val="clear" w:color="auto" w:fill="B8CCE4" w:themeFill="accent1" w:themeFillTint="66"/>
            <w:vAlign w:val="center"/>
          </w:tcPr>
          <w:p w14:paraId="2A248B13" w14:textId="77777777" w:rsidR="000C4898" w:rsidRPr="000C4898" w:rsidRDefault="000C4898" w:rsidP="0F1D33A4">
            <w:pPr>
              <w:keepNext/>
              <w:keepLines/>
              <w:jc w:val="center"/>
              <w:rPr>
                <w:rFonts w:ascii="Arial Narrow" w:hAnsi="Arial Narrow" w:cs="Times New Roman"/>
                <w:b/>
                <w:bCs/>
                <w:snapToGrid w:val="0"/>
                <w:sz w:val="20"/>
                <w:szCs w:val="20"/>
              </w:rPr>
            </w:pPr>
            <w:r w:rsidRPr="0F1D33A4">
              <w:rPr>
                <w:rFonts w:ascii="Arial Narrow" w:hAnsi="Arial Narrow" w:cs="Times New Roman"/>
                <w:b/>
                <w:bCs/>
                <w:snapToGrid w:val="0"/>
                <w:sz w:val="20"/>
                <w:szCs w:val="20"/>
              </w:rPr>
              <w:t>OR</w:t>
            </w:r>
            <w:r w:rsidRPr="0F1D33A4">
              <w:rPr>
                <w:rFonts w:ascii="Arial Narrow" w:hAnsi="Arial Narrow" w:cs="Times New Roman"/>
                <w:b/>
                <w:bCs/>
                <w:snapToGrid w:val="0"/>
                <w:sz w:val="20"/>
                <w:szCs w:val="20"/>
                <w:vertAlign w:val="superscript"/>
              </w:rPr>
              <w:t>a</w:t>
            </w:r>
            <w:r w:rsidRPr="0F1D33A4">
              <w:rPr>
                <w:rFonts w:ascii="Arial Narrow" w:hAnsi="Arial Narrow" w:cs="Times New Roman"/>
                <w:b/>
                <w:bCs/>
                <w:snapToGrid w:val="0"/>
                <w:sz w:val="20"/>
                <w:szCs w:val="20"/>
              </w:rPr>
              <w:t xml:space="preserve"> (95% CI)</w:t>
            </w:r>
          </w:p>
        </w:tc>
        <w:tc>
          <w:tcPr>
            <w:tcW w:w="1335" w:type="dxa"/>
            <w:shd w:val="clear" w:color="auto" w:fill="B8CCE4" w:themeFill="accent1" w:themeFillTint="66"/>
            <w:vAlign w:val="center"/>
          </w:tcPr>
          <w:p w14:paraId="56F81B90" w14:textId="77777777" w:rsidR="000C4898" w:rsidRPr="000C4898" w:rsidRDefault="000C4898" w:rsidP="0F1D33A4">
            <w:pPr>
              <w:keepNext/>
              <w:keepLines/>
              <w:jc w:val="center"/>
              <w:rPr>
                <w:rFonts w:ascii="Arial Narrow" w:hAnsi="Arial Narrow" w:cs="Times New Roman"/>
                <w:b/>
                <w:bCs/>
                <w:snapToGrid w:val="0"/>
                <w:sz w:val="20"/>
                <w:szCs w:val="20"/>
              </w:rPr>
            </w:pPr>
            <w:r w:rsidRPr="0F1D33A4">
              <w:rPr>
                <w:rFonts w:ascii="Arial Narrow" w:hAnsi="Arial Narrow" w:cs="Times New Roman"/>
                <w:b/>
                <w:bCs/>
                <w:snapToGrid w:val="0"/>
                <w:sz w:val="20"/>
                <w:szCs w:val="20"/>
              </w:rPr>
              <w:t>RR</w:t>
            </w:r>
            <w:r w:rsidRPr="0F1D33A4">
              <w:rPr>
                <w:rFonts w:ascii="Arial Narrow" w:hAnsi="Arial Narrow" w:cs="Times New Roman"/>
                <w:b/>
                <w:bCs/>
                <w:snapToGrid w:val="0"/>
                <w:sz w:val="20"/>
                <w:szCs w:val="20"/>
                <w:vertAlign w:val="superscript"/>
              </w:rPr>
              <w:t>a</w:t>
            </w:r>
            <w:r w:rsidRPr="0F1D33A4">
              <w:rPr>
                <w:rFonts w:ascii="Arial Narrow" w:hAnsi="Arial Narrow" w:cs="Times New Roman"/>
                <w:b/>
                <w:bCs/>
                <w:snapToGrid w:val="0"/>
                <w:sz w:val="20"/>
                <w:szCs w:val="20"/>
              </w:rPr>
              <w:t xml:space="preserve"> (95% CI)</w:t>
            </w:r>
          </w:p>
        </w:tc>
        <w:tc>
          <w:tcPr>
            <w:tcW w:w="1455" w:type="dxa"/>
            <w:shd w:val="clear" w:color="auto" w:fill="B8CCE4" w:themeFill="accent1" w:themeFillTint="66"/>
            <w:vAlign w:val="center"/>
          </w:tcPr>
          <w:p w14:paraId="07463DFB" w14:textId="77777777" w:rsidR="000C4898" w:rsidRPr="000C4898" w:rsidRDefault="000C4898" w:rsidP="0F1D33A4">
            <w:pPr>
              <w:keepNext/>
              <w:keepLines/>
              <w:jc w:val="center"/>
              <w:rPr>
                <w:rFonts w:ascii="Arial Narrow" w:hAnsi="Arial Narrow" w:cs="Times New Roman"/>
                <w:b/>
                <w:bCs/>
                <w:snapToGrid w:val="0"/>
                <w:sz w:val="20"/>
                <w:szCs w:val="20"/>
              </w:rPr>
            </w:pPr>
            <w:r w:rsidRPr="0F1D33A4">
              <w:rPr>
                <w:rFonts w:ascii="Arial Narrow" w:hAnsi="Arial Narrow" w:cs="Times New Roman"/>
                <w:b/>
                <w:bCs/>
                <w:snapToGrid w:val="0"/>
                <w:sz w:val="20"/>
                <w:szCs w:val="20"/>
              </w:rPr>
              <w:t>RD</w:t>
            </w:r>
            <w:r w:rsidRPr="0F1D33A4">
              <w:rPr>
                <w:rFonts w:ascii="Arial Narrow" w:hAnsi="Arial Narrow" w:cs="Times New Roman"/>
                <w:b/>
                <w:bCs/>
                <w:snapToGrid w:val="0"/>
                <w:sz w:val="20"/>
                <w:szCs w:val="20"/>
                <w:vertAlign w:val="superscript"/>
              </w:rPr>
              <w:t xml:space="preserve">a </w:t>
            </w:r>
            <w:r w:rsidRPr="0F1D33A4">
              <w:rPr>
                <w:rFonts w:ascii="Arial Narrow" w:hAnsi="Arial Narrow" w:cs="Times New Roman"/>
                <w:b/>
                <w:bCs/>
                <w:snapToGrid w:val="0"/>
                <w:sz w:val="20"/>
                <w:szCs w:val="20"/>
              </w:rPr>
              <w:t>(95% CI)</w:t>
            </w:r>
          </w:p>
        </w:tc>
      </w:tr>
      <w:tr w:rsidR="000C4898" w:rsidRPr="000C4898" w14:paraId="3AA36B9E" w14:textId="77777777" w:rsidTr="0F1D33A4">
        <w:trPr>
          <w:trHeight w:val="15"/>
        </w:trPr>
        <w:tc>
          <w:tcPr>
            <w:tcW w:w="2085" w:type="dxa"/>
            <w:shd w:val="clear" w:color="auto" w:fill="B8CCE4" w:themeFill="accent1" w:themeFillTint="66"/>
            <w:vAlign w:val="center"/>
          </w:tcPr>
          <w:p w14:paraId="073FE84C" w14:textId="77777777" w:rsidR="000C4898" w:rsidRPr="000C4898" w:rsidRDefault="000C4898" w:rsidP="001D22CD">
            <w:pPr>
              <w:keepNext/>
              <w:keepLines/>
              <w:jc w:val="left"/>
              <w:rPr>
                <w:rFonts w:ascii="Arial Narrow" w:hAnsi="Arial Narrow" w:cs="Times New Roman"/>
                <w:snapToGrid w:val="0"/>
                <w:sz w:val="20"/>
              </w:rPr>
            </w:pPr>
            <w:r w:rsidRPr="000C4898">
              <w:rPr>
                <w:rFonts w:ascii="Arial Narrow" w:hAnsi="Arial Narrow" w:cs="Times New Roman"/>
                <w:snapToGrid w:val="0"/>
                <w:sz w:val="20"/>
              </w:rPr>
              <w:t>Complete response, n (%)</w:t>
            </w:r>
          </w:p>
        </w:tc>
        <w:tc>
          <w:tcPr>
            <w:tcW w:w="1650" w:type="dxa"/>
            <w:shd w:val="clear" w:color="auto" w:fill="B8CCE4" w:themeFill="accent1" w:themeFillTint="66"/>
            <w:vAlign w:val="center"/>
          </w:tcPr>
          <w:p w14:paraId="39BF5798" w14:textId="77777777" w:rsidR="000C4898" w:rsidRPr="000C4898" w:rsidRDefault="000C4898" w:rsidP="001D22CD">
            <w:pPr>
              <w:keepNext/>
              <w:keepLines/>
              <w:jc w:val="center"/>
              <w:rPr>
                <w:rFonts w:ascii="Arial Narrow" w:hAnsi="Arial Narrow" w:cs="Times New Roman"/>
                <w:snapToGrid w:val="0"/>
                <w:sz w:val="20"/>
              </w:rPr>
            </w:pPr>
            <w:r w:rsidRPr="000C4898">
              <w:rPr>
                <w:rFonts w:ascii="Arial Narrow" w:hAnsi="Arial Narrow" w:cs="Times New Roman"/>
                <w:snapToGrid w:val="0"/>
                <w:sz w:val="20"/>
              </w:rPr>
              <w:t>46 (49.5)</w:t>
            </w:r>
          </w:p>
        </w:tc>
        <w:tc>
          <w:tcPr>
            <w:tcW w:w="1095" w:type="dxa"/>
            <w:shd w:val="clear" w:color="auto" w:fill="B8CCE4" w:themeFill="accent1" w:themeFillTint="66"/>
            <w:vAlign w:val="center"/>
          </w:tcPr>
          <w:p w14:paraId="7C902D98" w14:textId="77777777" w:rsidR="000C4898" w:rsidRPr="000C4898" w:rsidRDefault="000C4898" w:rsidP="001D22CD">
            <w:pPr>
              <w:keepNext/>
              <w:keepLines/>
              <w:jc w:val="center"/>
              <w:rPr>
                <w:rFonts w:ascii="Arial Narrow" w:hAnsi="Arial Narrow" w:cs="Times New Roman"/>
                <w:snapToGrid w:val="0"/>
                <w:sz w:val="20"/>
              </w:rPr>
            </w:pPr>
            <w:r w:rsidRPr="000C4898">
              <w:rPr>
                <w:rFonts w:ascii="Arial Narrow" w:hAnsi="Arial Narrow" w:cs="Times New Roman"/>
                <w:snapToGrid w:val="0"/>
                <w:sz w:val="20"/>
              </w:rPr>
              <w:t>24 (27.0)</w:t>
            </w:r>
          </w:p>
        </w:tc>
        <w:tc>
          <w:tcPr>
            <w:tcW w:w="1335" w:type="dxa"/>
            <w:shd w:val="clear" w:color="auto" w:fill="B8CCE4" w:themeFill="accent1" w:themeFillTint="66"/>
            <w:vAlign w:val="center"/>
          </w:tcPr>
          <w:p w14:paraId="42321615" w14:textId="77777777" w:rsidR="000C4898" w:rsidRPr="000C4898" w:rsidRDefault="000C4898" w:rsidP="001D22CD">
            <w:pPr>
              <w:keepNext/>
              <w:keepLines/>
              <w:jc w:val="center"/>
              <w:rPr>
                <w:rFonts w:ascii="Arial Narrow" w:hAnsi="Arial Narrow" w:cs="Times New Roman"/>
                <w:b/>
                <w:bCs/>
                <w:snapToGrid w:val="0"/>
                <w:sz w:val="20"/>
              </w:rPr>
            </w:pPr>
            <w:r w:rsidRPr="000C4898">
              <w:rPr>
                <w:rFonts w:ascii="Arial Narrow" w:hAnsi="Arial Narrow" w:cs="Times New Roman"/>
                <w:b/>
                <w:bCs/>
                <w:snapToGrid w:val="0"/>
                <w:sz w:val="20"/>
              </w:rPr>
              <w:t>2.65 (1.43, 4.93)</w:t>
            </w:r>
          </w:p>
        </w:tc>
        <w:tc>
          <w:tcPr>
            <w:tcW w:w="1335" w:type="dxa"/>
            <w:shd w:val="clear" w:color="auto" w:fill="B8CCE4" w:themeFill="accent1" w:themeFillTint="66"/>
            <w:vAlign w:val="center"/>
          </w:tcPr>
          <w:p w14:paraId="1685F2D5" w14:textId="77777777" w:rsidR="000C4898" w:rsidRPr="000C4898" w:rsidRDefault="000C4898" w:rsidP="001D22CD">
            <w:pPr>
              <w:keepNext/>
              <w:keepLines/>
              <w:jc w:val="center"/>
              <w:rPr>
                <w:rFonts w:ascii="Arial Narrow" w:hAnsi="Arial Narrow" w:cs="Times New Roman"/>
                <w:b/>
                <w:bCs/>
                <w:snapToGrid w:val="0"/>
                <w:sz w:val="20"/>
              </w:rPr>
            </w:pPr>
            <w:r w:rsidRPr="000C4898">
              <w:rPr>
                <w:rFonts w:ascii="Arial Narrow" w:hAnsi="Arial Narrow" w:cs="Times New Roman"/>
                <w:b/>
                <w:bCs/>
                <w:snapToGrid w:val="0"/>
                <w:sz w:val="20"/>
              </w:rPr>
              <w:t>1.83 (1.43, 4.93)</w:t>
            </w:r>
          </w:p>
        </w:tc>
        <w:tc>
          <w:tcPr>
            <w:tcW w:w="1455" w:type="dxa"/>
            <w:shd w:val="clear" w:color="auto" w:fill="B8CCE4" w:themeFill="accent1" w:themeFillTint="66"/>
            <w:vAlign w:val="center"/>
          </w:tcPr>
          <w:p w14:paraId="2BC188A2" w14:textId="77777777" w:rsidR="000C4898" w:rsidRPr="000C4898" w:rsidRDefault="000C4898" w:rsidP="001D22CD">
            <w:pPr>
              <w:keepNext/>
              <w:keepLines/>
              <w:jc w:val="center"/>
              <w:rPr>
                <w:rFonts w:ascii="Arial Narrow" w:hAnsi="Arial Narrow" w:cs="Times New Roman"/>
                <w:b/>
                <w:bCs/>
                <w:snapToGrid w:val="0"/>
                <w:sz w:val="20"/>
              </w:rPr>
            </w:pPr>
            <w:r w:rsidRPr="000C4898">
              <w:rPr>
                <w:rFonts w:ascii="Arial Narrow" w:hAnsi="Arial Narrow" w:cs="Times New Roman"/>
                <w:b/>
                <w:bCs/>
                <w:snapToGrid w:val="0"/>
                <w:sz w:val="20"/>
              </w:rPr>
              <w:t>0.22 (0.09, 0.36)</w:t>
            </w:r>
          </w:p>
        </w:tc>
      </w:tr>
      <w:tr w:rsidR="000C4898" w:rsidRPr="000C4898" w14:paraId="0E46ECC4" w14:textId="77777777" w:rsidTr="0F1D33A4">
        <w:trPr>
          <w:trHeight w:val="15"/>
        </w:trPr>
        <w:tc>
          <w:tcPr>
            <w:tcW w:w="2085" w:type="dxa"/>
            <w:shd w:val="clear" w:color="auto" w:fill="B8CCE4" w:themeFill="accent1" w:themeFillTint="66"/>
            <w:vAlign w:val="center"/>
          </w:tcPr>
          <w:p w14:paraId="2A647227" w14:textId="77777777" w:rsidR="000C4898" w:rsidRPr="000C4898" w:rsidRDefault="000C4898" w:rsidP="001D22CD">
            <w:pPr>
              <w:keepNext/>
              <w:keepLines/>
              <w:jc w:val="left"/>
              <w:rPr>
                <w:rFonts w:ascii="Arial Narrow" w:hAnsi="Arial Narrow" w:cs="Times New Roman"/>
                <w:snapToGrid w:val="0"/>
                <w:sz w:val="20"/>
              </w:rPr>
            </w:pPr>
            <w:r w:rsidRPr="000C4898">
              <w:rPr>
                <w:rFonts w:ascii="Arial Narrow" w:hAnsi="Arial Narrow" w:cs="Times New Roman"/>
                <w:snapToGrid w:val="0"/>
                <w:sz w:val="20"/>
              </w:rPr>
              <w:t>Partial response, n (%)</w:t>
            </w:r>
          </w:p>
        </w:tc>
        <w:tc>
          <w:tcPr>
            <w:tcW w:w="1650" w:type="dxa"/>
            <w:shd w:val="clear" w:color="auto" w:fill="B8CCE4" w:themeFill="accent1" w:themeFillTint="66"/>
            <w:vAlign w:val="center"/>
          </w:tcPr>
          <w:p w14:paraId="6A7C0F44" w14:textId="77777777" w:rsidR="000C4898" w:rsidRPr="000C4898" w:rsidRDefault="000C4898" w:rsidP="001D22CD">
            <w:pPr>
              <w:keepNext/>
              <w:keepLines/>
              <w:jc w:val="center"/>
              <w:rPr>
                <w:rFonts w:ascii="Arial Narrow" w:hAnsi="Arial Narrow" w:cs="Times New Roman"/>
                <w:snapToGrid w:val="0"/>
                <w:sz w:val="20"/>
              </w:rPr>
            </w:pPr>
            <w:r w:rsidRPr="000C4898">
              <w:rPr>
                <w:rFonts w:ascii="Arial Narrow" w:hAnsi="Arial Narrow" w:cs="Times New Roman"/>
                <w:snapToGrid w:val="0"/>
                <w:sz w:val="20"/>
              </w:rPr>
              <w:t>44 (47.3)</w:t>
            </w:r>
          </w:p>
        </w:tc>
        <w:tc>
          <w:tcPr>
            <w:tcW w:w="1095" w:type="dxa"/>
            <w:shd w:val="clear" w:color="auto" w:fill="B8CCE4" w:themeFill="accent1" w:themeFillTint="66"/>
            <w:vAlign w:val="center"/>
          </w:tcPr>
          <w:p w14:paraId="3462A063" w14:textId="77777777" w:rsidR="000C4898" w:rsidRPr="000C4898" w:rsidRDefault="000C4898" w:rsidP="001D22CD">
            <w:pPr>
              <w:keepNext/>
              <w:keepLines/>
              <w:jc w:val="center"/>
              <w:rPr>
                <w:rFonts w:ascii="Arial Narrow" w:hAnsi="Arial Narrow" w:cs="Times New Roman"/>
                <w:snapToGrid w:val="0"/>
                <w:sz w:val="20"/>
              </w:rPr>
            </w:pPr>
            <w:r w:rsidRPr="000C4898">
              <w:rPr>
                <w:rFonts w:ascii="Arial Narrow" w:hAnsi="Arial Narrow" w:cs="Times New Roman"/>
                <w:snapToGrid w:val="0"/>
                <w:sz w:val="20"/>
              </w:rPr>
              <w:t>59 (66.3)</w:t>
            </w:r>
          </w:p>
        </w:tc>
        <w:tc>
          <w:tcPr>
            <w:tcW w:w="1335" w:type="dxa"/>
            <w:shd w:val="clear" w:color="auto" w:fill="B8CCE4" w:themeFill="accent1" w:themeFillTint="66"/>
            <w:vAlign w:val="center"/>
          </w:tcPr>
          <w:p w14:paraId="46AFB308" w14:textId="77777777" w:rsidR="000C4898" w:rsidRPr="000C4898" w:rsidRDefault="000C4898" w:rsidP="001D22CD">
            <w:pPr>
              <w:keepNext/>
              <w:keepLines/>
              <w:jc w:val="center"/>
              <w:rPr>
                <w:rFonts w:ascii="Arial Narrow" w:hAnsi="Arial Narrow" w:cs="Times New Roman"/>
                <w:b/>
                <w:bCs/>
                <w:snapToGrid w:val="0"/>
                <w:sz w:val="20"/>
              </w:rPr>
            </w:pPr>
            <w:r w:rsidRPr="000C4898">
              <w:rPr>
                <w:rFonts w:ascii="Arial Narrow" w:hAnsi="Arial Narrow" w:cs="Times New Roman"/>
                <w:b/>
                <w:bCs/>
                <w:snapToGrid w:val="0"/>
                <w:sz w:val="20"/>
              </w:rPr>
              <w:t>0.46 (0.25, 0.83)</w:t>
            </w:r>
          </w:p>
        </w:tc>
        <w:tc>
          <w:tcPr>
            <w:tcW w:w="1335" w:type="dxa"/>
            <w:shd w:val="clear" w:color="auto" w:fill="B8CCE4" w:themeFill="accent1" w:themeFillTint="66"/>
            <w:vAlign w:val="center"/>
          </w:tcPr>
          <w:p w14:paraId="5D74152B" w14:textId="77777777" w:rsidR="000C4898" w:rsidRPr="000C4898" w:rsidRDefault="000C4898" w:rsidP="001D22CD">
            <w:pPr>
              <w:keepNext/>
              <w:keepLines/>
              <w:jc w:val="center"/>
              <w:rPr>
                <w:rFonts w:ascii="Arial Narrow" w:hAnsi="Arial Narrow" w:cs="Times New Roman"/>
                <w:b/>
                <w:bCs/>
                <w:snapToGrid w:val="0"/>
                <w:sz w:val="20"/>
              </w:rPr>
            </w:pPr>
            <w:r w:rsidRPr="000C4898">
              <w:rPr>
                <w:rFonts w:ascii="Arial Narrow" w:hAnsi="Arial Narrow" w:cs="Times New Roman"/>
                <w:b/>
                <w:bCs/>
                <w:snapToGrid w:val="0"/>
                <w:sz w:val="20"/>
              </w:rPr>
              <w:t>0.71 (0.55, 0.93)</w:t>
            </w:r>
          </w:p>
        </w:tc>
        <w:tc>
          <w:tcPr>
            <w:tcW w:w="1455" w:type="dxa"/>
            <w:shd w:val="clear" w:color="auto" w:fill="B8CCE4" w:themeFill="accent1" w:themeFillTint="66"/>
            <w:vAlign w:val="center"/>
          </w:tcPr>
          <w:p w14:paraId="495CF59A" w14:textId="77777777" w:rsidR="000C4898" w:rsidRPr="000C4898" w:rsidRDefault="000C4898" w:rsidP="0F1D33A4">
            <w:pPr>
              <w:keepNext/>
              <w:keepLines/>
              <w:jc w:val="center"/>
              <w:rPr>
                <w:rFonts w:ascii="Arial Narrow" w:hAnsi="Arial Narrow" w:cs="Times New Roman"/>
                <w:b/>
                <w:bCs/>
                <w:snapToGrid w:val="0"/>
                <w:sz w:val="20"/>
                <w:szCs w:val="20"/>
              </w:rPr>
            </w:pPr>
            <w:r w:rsidRPr="0F1D33A4">
              <w:rPr>
                <w:rFonts w:ascii="Arial Narrow" w:hAnsi="Arial Narrow" w:cs="Times New Roman"/>
                <w:b/>
                <w:bCs/>
                <w:snapToGrid w:val="0"/>
                <w:sz w:val="20"/>
                <w:szCs w:val="20"/>
              </w:rPr>
              <w:t>-0.19(-0.33,-0.05)</w:t>
            </w:r>
          </w:p>
        </w:tc>
      </w:tr>
      <w:tr w:rsidR="000C4898" w:rsidRPr="000C4898" w14:paraId="144A8DF9" w14:textId="77777777" w:rsidTr="0F1D33A4">
        <w:trPr>
          <w:trHeight w:val="15"/>
        </w:trPr>
        <w:tc>
          <w:tcPr>
            <w:tcW w:w="2085" w:type="dxa"/>
            <w:shd w:val="clear" w:color="auto" w:fill="B8CCE4" w:themeFill="accent1" w:themeFillTint="66"/>
            <w:vAlign w:val="center"/>
          </w:tcPr>
          <w:p w14:paraId="51F5CA2F" w14:textId="77777777" w:rsidR="000C4898" w:rsidRPr="000C4898" w:rsidRDefault="000C4898" w:rsidP="001D22CD">
            <w:pPr>
              <w:keepNext/>
              <w:keepLines/>
              <w:jc w:val="left"/>
              <w:rPr>
                <w:rFonts w:ascii="Arial Narrow" w:hAnsi="Arial Narrow" w:cs="Times New Roman"/>
                <w:snapToGrid w:val="0"/>
                <w:sz w:val="20"/>
              </w:rPr>
            </w:pPr>
            <w:r w:rsidRPr="000C4898">
              <w:rPr>
                <w:rFonts w:ascii="Arial Narrow" w:hAnsi="Arial Narrow" w:cs="Times New Roman"/>
                <w:snapToGrid w:val="0"/>
                <w:sz w:val="20"/>
              </w:rPr>
              <w:t xml:space="preserve">Overall response </w:t>
            </w:r>
            <w:r w:rsidRPr="000C4898">
              <w:rPr>
                <w:rFonts w:ascii="Arial Narrow" w:hAnsi="Arial Narrow" w:cs="Times New Roman"/>
                <w:snapToGrid w:val="0"/>
                <w:sz w:val="20"/>
                <w:vertAlign w:val="superscript"/>
              </w:rPr>
              <w:t>b</w:t>
            </w:r>
            <w:r w:rsidRPr="000C4898">
              <w:rPr>
                <w:rFonts w:ascii="Arial Narrow" w:hAnsi="Arial Narrow" w:cs="Times New Roman"/>
                <w:snapToGrid w:val="0"/>
                <w:sz w:val="20"/>
              </w:rPr>
              <w:t>, n (%) </w:t>
            </w:r>
          </w:p>
        </w:tc>
        <w:tc>
          <w:tcPr>
            <w:tcW w:w="1650" w:type="dxa"/>
            <w:shd w:val="clear" w:color="auto" w:fill="B8CCE4" w:themeFill="accent1" w:themeFillTint="66"/>
            <w:vAlign w:val="center"/>
          </w:tcPr>
          <w:p w14:paraId="5D5A42A4" w14:textId="77777777" w:rsidR="000C4898" w:rsidRPr="000C4898" w:rsidRDefault="000C4898" w:rsidP="001D22CD">
            <w:pPr>
              <w:keepNext/>
              <w:keepLines/>
              <w:jc w:val="center"/>
              <w:rPr>
                <w:rFonts w:ascii="Arial Narrow" w:hAnsi="Arial Narrow" w:cs="Times New Roman"/>
                <w:snapToGrid w:val="0"/>
                <w:sz w:val="20"/>
              </w:rPr>
            </w:pPr>
            <w:r w:rsidRPr="000C4898">
              <w:rPr>
                <w:rFonts w:ascii="Arial Narrow" w:hAnsi="Arial Narrow" w:cs="Times New Roman"/>
                <w:snapToGrid w:val="0"/>
                <w:sz w:val="20"/>
              </w:rPr>
              <w:t>90 (96.8)</w:t>
            </w:r>
          </w:p>
        </w:tc>
        <w:tc>
          <w:tcPr>
            <w:tcW w:w="1095" w:type="dxa"/>
            <w:shd w:val="clear" w:color="auto" w:fill="B8CCE4" w:themeFill="accent1" w:themeFillTint="66"/>
            <w:vAlign w:val="center"/>
          </w:tcPr>
          <w:p w14:paraId="6ABB780D" w14:textId="77777777" w:rsidR="000C4898" w:rsidRPr="000C4898" w:rsidRDefault="000C4898" w:rsidP="001D22CD">
            <w:pPr>
              <w:keepNext/>
              <w:keepLines/>
              <w:jc w:val="center"/>
              <w:rPr>
                <w:rFonts w:ascii="Arial Narrow" w:hAnsi="Arial Narrow" w:cs="Times New Roman"/>
                <w:snapToGrid w:val="0"/>
                <w:sz w:val="20"/>
              </w:rPr>
            </w:pPr>
            <w:r w:rsidRPr="000C4898">
              <w:rPr>
                <w:rFonts w:ascii="Arial Narrow" w:hAnsi="Arial Narrow" w:cs="Times New Roman"/>
                <w:snapToGrid w:val="0"/>
                <w:sz w:val="20"/>
              </w:rPr>
              <w:t>83 (93.3)</w:t>
            </w:r>
          </w:p>
        </w:tc>
        <w:tc>
          <w:tcPr>
            <w:tcW w:w="1335" w:type="dxa"/>
            <w:shd w:val="clear" w:color="auto" w:fill="B8CCE4" w:themeFill="accent1" w:themeFillTint="66"/>
            <w:vAlign w:val="center"/>
          </w:tcPr>
          <w:p w14:paraId="34F968D5" w14:textId="77777777" w:rsidR="000C4898" w:rsidRPr="000C4898" w:rsidRDefault="000C4898" w:rsidP="001D22CD">
            <w:pPr>
              <w:keepNext/>
              <w:keepLines/>
              <w:jc w:val="center"/>
              <w:rPr>
                <w:rFonts w:ascii="Arial Narrow" w:hAnsi="Arial Narrow" w:cs="Times New Roman"/>
                <w:snapToGrid w:val="0"/>
                <w:sz w:val="20"/>
              </w:rPr>
            </w:pPr>
            <w:r w:rsidRPr="000C4898">
              <w:rPr>
                <w:rFonts w:ascii="Arial Narrow" w:hAnsi="Arial Narrow" w:cs="Times New Roman"/>
                <w:snapToGrid w:val="0"/>
                <w:sz w:val="20"/>
              </w:rPr>
              <w:t>2.17 (0.53, 8.95)</w:t>
            </w:r>
          </w:p>
        </w:tc>
        <w:tc>
          <w:tcPr>
            <w:tcW w:w="1335" w:type="dxa"/>
            <w:shd w:val="clear" w:color="auto" w:fill="B8CCE4" w:themeFill="accent1" w:themeFillTint="66"/>
            <w:vAlign w:val="center"/>
          </w:tcPr>
          <w:p w14:paraId="5F37929C" w14:textId="77777777" w:rsidR="000C4898" w:rsidRPr="000C4898" w:rsidRDefault="000C4898" w:rsidP="001D22CD">
            <w:pPr>
              <w:keepNext/>
              <w:keepLines/>
              <w:jc w:val="center"/>
              <w:rPr>
                <w:rFonts w:ascii="Arial Narrow" w:hAnsi="Arial Narrow" w:cs="Times New Roman"/>
                <w:snapToGrid w:val="0"/>
                <w:sz w:val="20"/>
              </w:rPr>
            </w:pPr>
            <w:r w:rsidRPr="000C4898">
              <w:rPr>
                <w:rFonts w:ascii="Arial Narrow" w:hAnsi="Arial Narrow" w:cs="Times New Roman"/>
                <w:snapToGrid w:val="0"/>
                <w:sz w:val="20"/>
              </w:rPr>
              <w:t>1.04 (0.97, 1.11)</w:t>
            </w:r>
          </w:p>
        </w:tc>
        <w:tc>
          <w:tcPr>
            <w:tcW w:w="1455" w:type="dxa"/>
            <w:shd w:val="clear" w:color="auto" w:fill="B8CCE4" w:themeFill="accent1" w:themeFillTint="66"/>
            <w:vAlign w:val="center"/>
          </w:tcPr>
          <w:p w14:paraId="720065B4" w14:textId="77777777" w:rsidR="000C4898" w:rsidRPr="000C4898" w:rsidRDefault="000C4898" w:rsidP="001D22CD">
            <w:pPr>
              <w:keepNext/>
              <w:keepLines/>
              <w:jc w:val="center"/>
              <w:rPr>
                <w:rFonts w:ascii="Arial Narrow" w:hAnsi="Arial Narrow" w:cs="Times New Roman"/>
                <w:snapToGrid w:val="0"/>
                <w:sz w:val="20"/>
              </w:rPr>
            </w:pPr>
            <w:r w:rsidRPr="000C4898">
              <w:rPr>
                <w:rFonts w:ascii="Arial Narrow" w:hAnsi="Arial Narrow" w:cs="Times New Roman"/>
                <w:snapToGrid w:val="0"/>
                <w:sz w:val="20"/>
              </w:rPr>
              <w:t>0.04 (-0.03, 0.10)</w:t>
            </w:r>
          </w:p>
        </w:tc>
      </w:tr>
    </w:tbl>
    <w:p w14:paraId="0B354C5F" w14:textId="0C72C208" w:rsidR="000C4898" w:rsidRPr="00BF235D" w:rsidRDefault="000C4898" w:rsidP="001D22CD">
      <w:pPr>
        <w:pStyle w:val="TableFigureFooter"/>
        <w:keepNext/>
      </w:pPr>
      <w:r w:rsidRPr="0F1D33A4">
        <w:t>Source: Table 2.16, p89 of resubmission (based on MAJIC CSR), Table 2.14, p88 of resubmission (based on Harrison et al.</w:t>
      </w:r>
      <w:r w:rsidR="007E4F86" w:rsidRPr="0F1D33A4">
        <w:t>,</w:t>
      </w:r>
      <w:r w:rsidRPr="0F1D33A4">
        <w:t xml:space="preserve"> 2023) and Table 2.3-15, p92 of previous submission (based on Harrison et al.</w:t>
      </w:r>
      <w:r w:rsidR="007E4F86" w:rsidRPr="0F1D33A4">
        <w:t>,</w:t>
      </w:r>
      <w:r w:rsidRPr="0F1D33A4">
        <w:t xml:space="preserve"> 2018a poster)</w:t>
      </w:r>
    </w:p>
    <w:p w14:paraId="16BF93DC" w14:textId="2826AE20" w:rsidR="000C4898" w:rsidRPr="00BF235D" w:rsidRDefault="000C4898" w:rsidP="001D22CD">
      <w:pPr>
        <w:pStyle w:val="TableFigureFooter"/>
        <w:keepNext/>
      </w:pPr>
      <w:r w:rsidRPr="0F1D33A4">
        <w:t>Abbreviations: BAT, best available therapy; CI, confidence interval;</w:t>
      </w:r>
      <w:r w:rsidR="00C57DA7" w:rsidRPr="0F1D33A4">
        <w:t xml:space="preserve"> </w:t>
      </w:r>
      <w:r w:rsidRPr="0F1D33A4">
        <w:t>OR, odds ratio; RD, risk difference; RR, risk ratio </w:t>
      </w:r>
    </w:p>
    <w:p w14:paraId="4E980D01" w14:textId="35EC0D6C" w:rsidR="000C4898" w:rsidRPr="00BF235D" w:rsidRDefault="000C4898" w:rsidP="001D22CD">
      <w:pPr>
        <w:pStyle w:val="TableFigureFooter"/>
        <w:keepNext/>
      </w:pPr>
      <w:r w:rsidRPr="0F1D33A4">
        <w:t>a Calculated for the resubmission using the Mantel-Haenszel statistical method with a fixed effect model. Previous submission calculation used RevMan v5.3.</w:t>
      </w:r>
    </w:p>
    <w:p w14:paraId="3A37AE0A" w14:textId="6E417AAD" w:rsidR="000C4898" w:rsidRPr="00BF235D" w:rsidRDefault="000C4898" w:rsidP="001D22CD">
      <w:pPr>
        <w:pStyle w:val="TableFigureFooter"/>
        <w:keepNext/>
      </w:pPr>
      <w:r w:rsidRPr="0F1D33A4">
        <w:t>b Overall response comprises complete and partial response</w:t>
      </w:r>
      <w:r w:rsidR="00F87B86">
        <w:t xml:space="preserve"> </w:t>
      </w:r>
    </w:p>
    <w:p w14:paraId="051C84D6" w14:textId="77777777" w:rsidR="000C4898" w:rsidRPr="00BF235D" w:rsidRDefault="000C4898" w:rsidP="001D22CD">
      <w:pPr>
        <w:pStyle w:val="TableFigureFooter"/>
        <w:keepNext/>
      </w:pPr>
      <w:r w:rsidRPr="0F1D33A4">
        <w:t>Note: Results in</w:t>
      </w:r>
      <w:r w:rsidRPr="0F1D33A4">
        <w:rPr>
          <w:b/>
          <w:bCs/>
        </w:rPr>
        <w:t xml:space="preserve"> bold</w:t>
      </w:r>
      <w:r w:rsidRPr="0F1D33A4">
        <w:t xml:space="preserve"> indicate statistically significant difference (p&lt;0.05) </w:t>
      </w:r>
    </w:p>
    <w:p w14:paraId="3220B8FF" w14:textId="77777777" w:rsidR="000C4898" w:rsidRPr="00BF235D" w:rsidRDefault="000C4898" w:rsidP="001D22CD">
      <w:pPr>
        <w:pStyle w:val="TableFigureFooter"/>
        <w:keepNext/>
      </w:pPr>
      <w:r w:rsidRPr="0F1D33A4">
        <w:rPr>
          <w:shd w:val="clear" w:color="auto" w:fill="B8CCE4" w:themeFill="accent1" w:themeFillTint="66"/>
        </w:rPr>
        <w:t>Blue shading</w:t>
      </w:r>
      <w:r w:rsidRPr="0F1D33A4">
        <w:t xml:space="preserve"> indicates information previously seen by the PBAC.</w:t>
      </w:r>
    </w:p>
    <w:p w14:paraId="2C65CB68" w14:textId="559C9E84" w:rsidR="000C4898" w:rsidRPr="006124A7" w:rsidRDefault="000C4898" w:rsidP="000C4898">
      <w:pPr>
        <w:pStyle w:val="3-BodyText"/>
      </w:pPr>
      <w:bookmarkStart w:id="41" w:name="_Ref188102824"/>
      <w:r w:rsidRPr="0F1D33A4">
        <w:t xml:space="preserve">At 12 months, there was a statistically significantly higher proportion of patients treated with ruxolitinib who achieved CR (43%), compared to patients treated with BAT (26%) (OR 2.10; 95% CI: 1.12, 3.94). However, there was no statistically significant differences in the overall response (CR + PR) between patients treated with ruxolitinib (97%) and BAT (93%) (OR 2.22; 95% CI: 0.54, 9.18). There were small differences in the reported outcomes at 12 months between this and </w:t>
      </w:r>
      <w:r w:rsidR="00875B78" w:rsidRPr="0F1D33A4">
        <w:t xml:space="preserve">the </w:t>
      </w:r>
      <w:r w:rsidRPr="0F1D33A4">
        <w:t>previous submission (based on a small change to the number analysed in the BAT arm).</w:t>
      </w:r>
      <w:bookmarkEnd w:id="41"/>
      <w:r w:rsidRPr="0F1D33A4">
        <w:t xml:space="preserve"> </w:t>
      </w:r>
    </w:p>
    <w:p w14:paraId="5839142B" w14:textId="77777777" w:rsidR="000C4898" w:rsidRPr="006124A7" w:rsidRDefault="000C4898" w:rsidP="000C4898">
      <w:pPr>
        <w:pStyle w:val="3-BodyText"/>
      </w:pPr>
      <w:bookmarkStart w:id="42" w:name="_Ref187420745"/>
      <w:r w:rsidRPr="0910F2D2">
        <w:t>Across the first 5 years, there were no statistically significant differences in CR and overall response between the two treatment arms. While overall response remained similar across the 12-month and 5-year period, the proportion of patients achieving CR improved in both groups between 12 months (43% in ruxolitinib and 26% in BAT) and 5 years (68% in ruxolitinib and 59% in BAT).</w:t>
      </w:r>
      <w:bookmarkEnd w:id="42"/>
    </w:p>
    <w:p w14:paraId="20C7A916" w14:textId="74139728" w:rsidR="000C4898" w:rsidRPr="006124A7" w:rsidRDefault="000C4898" w:rsidP="000C4898">
      <w:pPr>
        <w:pStyle w:val="3-BodyText"/>
      </w:pPr>
      <w:r w:rsidRPr="0F1D33A4">
        <w:t>The Kaplan-Meier (KM) curve of D</w:t>
      </w:r>
      <w:r w:rsidR="00F633CA" w:rsidRPr="0F1D33A4">
        <w:t>o</w:t>
      </w:r>
      <w:r w:rsidRPr="0F1D33A4">
        <w:t xml:space="preserve">R in MAJIC are presented in </w:t>
      </w:r>
      <w:r>
        <w:fldChar w:fldCharType="begin" w:fldLock="1"/>
      </w:r>
      <w:r>
        <w:instrText xml:space="preserve"> REF _Ref184742047 \h  \* MERGEFORMAT </w:instrText>
      </w:r>
      <w:r>
        <w:fldChar w:fldCharType="separate"/>
      </w:r>
      <w:r w:rsidR="0096555B" w:rsidRPr="0F1D33A4">
        <w:t>Figure 1</w:t>
      </w:r>
      <w:r>
        <w:fldChar w:fldCharType="end"/>
      </w:r>
      <w:r w:rsidRPr="0F1D33A4">
        <w:t>.</w:t>
      </w:r>
      <w:r w:rsidR="0055192E" w:rsidRPr="0F1D33A4">
        <w:t xml:space="preserve"> </w:t>
      </w:r>
      <w:r w:rsidR="00013E7B" w:rsidRPr="0F1D33A4">
        <w:t>A KM curve for D</w:t>
      </w:r>
      <w:r w:rsidR="00F633CA" w:rsidRPr="0F1D33A4">
        <w:t>o</w:t>
      </w:r>
      <w:r w:rsidR="00013E7B" w:rsidRPr="0F1D33A4">
        <w:t xml:space="preserve">R </w:t>
      </w:r>
      <w:r w:rsidR="00FB43F8" w:rsidRPr="0F1D33A4">
        <w:t xml:space="preserve">in MAJIC </w:t>
      </w:r>
      <w:r w:rsidR="00013E7B" w:rsidRPr="0F1D33A4">
        <w:t xml:space="preserve">was presented in the November 2019 submission but no hazard ratios were </w:t>
      </w:r>
      <w:r w:rsidR="00FB43F8" w:rsidRPr="0F1D33A4">
        <w:t xml:space="preserve">presented. </w:t>
      </w:r>
    </w:p>
    <w:p w14:paraId="26AE8750" w14:textId="5C7F992A" w:rsidR="000C4898" w:rsidRPr="006124A7" w:rsidRDefault="000C4898" w:rsidP="000C4898">
      <w:pPr>
        <w:keepNext/>
        <w:keepLines/>
        <w:rPr>
          <w:rFonts w:ascii="Arial Narrow" w:hAnsi="Arial Narrow"/>
          <w:b/>
          <w:bCs/>
          <w:sz w:val="20"/>
          <w:szCs w:val="18"/>
        </w:rPr>
      </w:pPr>
      <w:bookmarkStart w:id="43" w:name="_Ref184742047"/>
      <w:r w:rsidRPr="006124A7">
        <w:rPr>
          <w:rFonts w:ascii="Arial Narrow" w:hAnsi="Arial Narrow"/>
          <w:b/>
          <w:bCs/>
          <w:sz w:val="20"/>
          <w:szCs w:val="18"/>
        </w:rPr>
        <w:lastRenderedPageBreak/>
        <w:t xml:space="preserve">Figure </w:t>
      </w:r>
      <w:r w:rsidRPr="006124A7">
        <w:rPr>
          <w:rFonts w:ascii="Arial Narrow" w:hAnsi="Arial Narrow"/>
          <w:b/>
          <w:bCs/>
          <w:sz w:val="20"/>
          <w:szCs w:val="18"/>
        </w:rPr>
        <w:fldChar w:fldCharType="begin" w:fldLock="1"/>
      </w:r>
      <w:r w:rsidRPr="006124A7">
        <w:rPr>
          <w:rFonts w:ascii="Arial Narrow" w:hAnsi="Arial Narrow"/>
          <w:b/>
          <w:bCs/>
          <w:sz w:val="20"/>
          <w:szCs w:val="18"/>
        </w:rPr>
        <w:instrText xml:space="preserve"> SEQ Figure \* ARABIC </w:instrText>
      </w:r>
      <w:r w:rsidRPr="006124A7">
        <w:rPr>
          <w:rFonts w:ascii="Arial Narrow" w:hAnsi="Arial Narrow"/>
          <w:b/>
          <w:bCs/>
          <w:sz w:val="20"/>
          <w:szCs w:val="18"/>
        </w:rPr>
        <w:fldChar w:fldCharType="separate"/>
      </w:r>
      <w:r w:rsidRPr="006124A7">
        <w:rPr>
          <w:rFonts w:ascii="Arial Narrow" w:hAnsi="Arial Narrow"/>
          <w:b/>
          <w:bCs/>
          <w:noProof/>
          <w:sz w:val="20"/>
          <w:szCs w:val="18"/>
        </w:rPr>
        <w:t>1</w:t>
      </w:r>
      <w:r w:rsidRPr="006124A7">
        <w:rPr>
          <w:rFonts w:ascii="Arial Narrow" w:hAnsi="Arial Narrow"/>
          <w:b/>
          <w:bCs/>
          <w:noProof/>
          <w:sz w:val="20"/>
          <w:szCs w:val="18"/>
        </w:rPr>
        <w:fldChar w:fldCharType="end"/>
      </w:r>
      <w:bookmarkEnd w:id="43"/>
      <w:r w:rsidRPr="006124A7">
        <w:rPr>
          <w:rFonts w:ascii="Arial Narrow" w:hAnsi="Arial Narrow"/>
          <w:b/>
          <w:bCs/>
          <w:sz w:val="20"/>
          <w:szCs w:val="18"/>
        </w:rPr>
        <w:t xml:space="preserve">: Duration of response in MAJIC </w:t>
      </w:r>
    </w:p>
    <w:p w14:paraId="1089C522" w14:textId="39B5CABB" w:rsidR="000C4898" w:rsidRPr="000C4898" w:rsidRDefault="000C4898" w:rsidP="000C4898">
      <w:r w:rsidRPr="000C4898">
        <w:rPr>
          <w:noProof/>
        </w:rPr>
        <w:drawing>
          <wp:inline distT="0" distB="0" distL="0" distR="0" wp14:anchorId="2E70825C" wp14:editId="34A37A0C">
            <wp:extent cx="3381375" cy="3161898"/>
            <wp:effectExtent l="0" t="0" r="0" b="635"/>
            <wp:docPr id="1278141503" name="Picture 1" descr="Figure 1: Duration of response in MAJIC - Kaplan-Meier curve of DoR &#10;&#10;Within 5 years of overall response, 85% patients on ruxolitinib survived compared to 40% of patients on BAT &#10;&#10;&#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141503" name="Picture 1" descr="Figure 1: Duration of response in MAJIC - Kaplan-Meier curve of DoR &#10;&#10;Within 5 years of overall response, 85% patients on ruxolitinib survived compared to 40% of patients on BAT &#10;&#10;&#10;&#10; "/>
                    <pic:cNvPicPr/>
                  </pic:nvPicPr>
                  <pic:blipFill>
                    <a:blip r:embed="rId11"/>
                    <a:stretch>
                      <a:fillRect/>
                    </a:stretch>
                  </pic:blipFill>
                  <pic:spPr>
                    <a:xfrm>
                      <a:off x="0" y="0"/>
                      <a:ext cx="3501009" cy="3273767"/>
                    </a:xfrm>
                    <a:prstGeom prst="rect">
                      <a:avLst/>
                    </a:prstGeom>
                  </pic:spPr>
                </pic:pic>
              </a:graphicData>
            </a:graphic>
          </wp:inline>
        </w:drawing>
      </w:r>
    </w:p>
    <w:p w14:paraId="105C5E41" w14:textId="4725460C" w:rsidR="000C4898" w:rsidRPr="000C4898" w:rsidRDefault="000C4898" w:rsidP="000C4898">
      <w:pPr>
        <w:keepLines/>
        <w:spacing w:after="120"/>
        <w:contextualSpacing/>
        <w:jc w:val="left"/>
        <w:rPr>
          <w:rFonts w:ascii="Arial Narrow" w:hAnsi="Arial Narrow"/>
          <w:snapToGrid w:val="0"/>
          <w:sz w:val="18"/>
          <w:szCs w:val="22"/>
        </w:rPr>
      </w:pPr>
      <w:r w:rsidRPr="000C4898">
        <w:rPr>
          <w:rFonts w:ascii="Arial Narrow" w:hAnsi="Arial Narrow"/>
          <w:snapToGrid w:val="0"/>
          <w:sz w:val="18"/>
          <w:szCs w:val="22"/>
        </w:rPr>
        <w:t>Source: Figure 2.6, p91 of resubmission</w:t>
      </w:r>
      <w:r w:rsidR="007B4009">
        <w:rPr>
          <w:rFonts w:ascii="Arial Narrow" w:hAnsi="Arial Narrow"/>
          <w:snapToGrid w:val="0"/>
          <w:sz w:val="18"/>
          <w:szCs w:val="22"/>
        </w:rPr>
        <w:t xml:space="preserve"> (based on </w:t>
      </w:r>
      <w:r w:rsidR="007C6D58">
        <w:rPr>
          <w:rFonts w:ascii="Arial Narrow" w:hAnsi="Arial Narrow"/>
          <w:snapToGrid w:val="0"/>
          <w:sz w:val="18"/>
          <w:szCs w:val="22"/>
        </w:rPr>
        <w:t xml:space="preserve">MAJIC </w:t>
      </w:r>
      <w:r w:rsidR="007B4009">
        <w:rPr>
          <w:rFonts w:ascii="Arial Narrow" w:hAnsi="Arial Narrow"/>
          <w:snapToGrid w:val="0"/>
          <w:sz w:val="18"/>
          <w:szCs w:val="22"/>
        </w:rPr>
        <w:t>CSR)</w:t>
      </w:r>
    </w:p>
    <w:p w14:paraId="4298A03B" w14:textId="77777777" w:rsidR="000C4898" w:rsidRPr="000C4898" w:rsidRDefault="000C4898" w:rsidP="000C4898">
      <w:pPr>
        <w:keepLines/>
        <w:spacing w:after="120"/>
        <w:contextualSpacing/>
        <w:jc w:val="left"/>
        <w:rPr>
          <w:rFonts w:ascii="Arial Narrow" w:hAnsi="Arial Narrow"/>
          <w:snapToGrid w:val="0"/>
          <w:sz w:val="18"/>
          <w:szCs w:val="22"/>
        </w:rPr>
      </w:pPr>
      <w:r w:rsidRPr="000C4898">
        <w:rPr>
          <w:rFonts w:ascii="Arial Narrow" w:hAnsi="Arial Narrow"/>
          <w:snapToGrid w:val="0"/>
          <w:sz w:val="18"/>
          <w:szCs w:val="22"/>
        </w:rPr>
        <w:t>Abbreviations: BAT, best available therapy; CI, confidence interval; CSR, clinical study report; HR, hazard ratio; PV, polycythaemia vera.</w:t>
      </w:r>
    </w:p>
    <w:p w14:paraId="7447CF3F" w14:textId="77777777" w:rsidR="000C4898" w:rsidRPr="000C4898" w:rsidRDefault="000C4898" w:rsidP="000C4898"/>
    <w:p w14:paraId="1E567677" w14:textId="131C0599" w:rsidR="000C4898" w:rsidRPr="006124A7" w:rsidRDefault="00431E03" w:rsidP="00382A1C">
      <w:pPr>
        <w:pStyle w:val="3-BodyText"/>
      </w:pPr>
      <w:bookmarkStart w:id="44" w:name="_Ref188102847"/>
      <w:bookmarkStart w:id="45" w:name="_Ref187420781"/>
      <w:bookmarkStart w:id="46" w:name="_Ref194253716"/>
      <w:r w:rsidRPr="0F1D33A4">
        <w:t>P</w:t>
      </w:r>
      <w:r w:rsidR="000C4898" w:rsidRPr="0F1D33A4">
        <w:t xml:space="preserve">atients treated with ruxolitinib in MAJIC </w:t>
      </w:r>
      <w:r w:rsidR="00C72200" w:rsidRPr="0F1D33A4">
        <w:t>achieved</w:t>
      </w:r>
      <w:r w:rsidR="00A27409" w:rsidRPr="0F1D33A4">
        <w:t xml:space="preserve"> more durable </w:t>
      </w:r>
      <w:r w:rsidR="000C4898" w:rsidRPr="0F1D33A4">
        <w:t>CR or PR compared to those who had received BAT (Hazard Ratio [HR]</w:t>
      </w:r>
      <w:r w:rsidR="00B65229" w:rsidRPr="0F1D33A4">
        <w:t xml:space="preserve"> </w:t>
      </w:r>
      <w:r w:rsidR="000C4898" w:rsidRPr="0F1D33A4">
        <w:t>=</w:t>
      </w:r>
      <w:r w:rsidR="00944FC5">
        <w:t xml:space="preserve"> </w:t>
      </w:r>
      <w:r w:rsidR="000C4898" w:rsidRPr="0F1D33A4">
        <w:t xml:space="preserve">0.14, 95% CI: 0.07, 0.30) at 5 years of follow-up. With longer follow up (5 years), the proportion of patients who maintained either CR or PR remained at 88% in </w:t>
      </w:r>
      <w:r w:rsidR="00514B14">
        <w:t xml:space="preserve">the </w:t>
      </w:r>
      <w:r w:rsidR="000C4898" w:rsidRPr="0F1D33A4">
        <w:t>ruxolitinib</w:t>
      </w:r>
      <w:r w:rsidR="00514B14">
        <w:t xml:space="preserve"> arm</w:t>
      </w:r>
      <w:r w:rsidR="000C4898" w:rsidRPr="0F1D33A4">
        <w:t xml:space="preserve"> and 41% in the BAT arm. </w:t>
      </w:r>
      <w:r w:rsidR="008B21D2" w:rsidRPr="0F1D33A4">
        <w:t>However, d</w:t>
      </w:r>
      <w:r w:rsidR="000C4898" w:rsidRPr="0F1D33A4">
        <w:t>ata at year 5 was informed by a small number of patients (</w:t>
      </w:r>
      <w:r w:rsidR="00775D57">
        <w:t>i.</w:t>
      </w:r>
      <w:r w:rsidR="000C4898" w:rsidRPr="0F1D33A4">
        <w:t xml:space="preserve">e. up to </w:t>
      </w:r>
      <w:r w:rsidR="00FB3BE3" w:rsidRPr="0F1D33A4">
        <w:t>1</w:t>
      </w:r>
      <w:r w:rsidR="000C4898" w:rsidRPr="0F1D33A4">
        <w:t xml:space="preserve"> and </w:t>
      </w:r>
      <w:r w:rsidR="00FB3BE3" w:rsidRPr="0F1D33A4">
        <w:t>8</w:t>
      </w:r>
      <w:r w:rsidR="000C4898" w:rsidRPr="0F1D33A4">
        <w:t xml:space="preserve"> in the BAT and ruxolitinib arms respectively).</w:t>
      </w:r>
      <w:bookmarkEnd w:id="44"/>
      <w:r w:rsidR="000C4898" w:rsidRPr="0F1D33A4">
        <w:t xml:space="preserve"> </w:t>
      </w:r>
      <w:bookmarkEnd w:id="45"/>
      <w:r w:rsidR="00802A93">
        <w:t xml:space="preserve">The PBAC noted that </w:t>
      </w:r>
      <w:r w:rsidR="00514B14">
        <w:t>the duration of response at 3 years was informed by a larger number of patients (29 and 62 in the BAT and ruxolitinib arms respectively. At 3 years, the PBAC noted that the proportion of patients who maintained either CR or PR was 91% in the ruxolitinib arm and 55% in the BAT arm.</w:t>
      </w:r>
      <w:bookmarkEnd w:id="46"/>
      <w:r w:rsidR="00514B14">
        <w:t xml:space="preserve"> </w:t>
      </w:r>
    </w:p>
    <w:p w14:paraId="760B6997" w14:textId="42A59BEA" w:rsidR="000C4898" w:rsidRPr="006124A7" w:rsidRDefault="000C4898" w:rsidP="00382A1C">
      <w:pPr>
        <w:pStyle w:val="3-BodyText"/>
      </w:pPr>
      <w:r w:rsidRPr="0F1D33A4">
        <w:t xml:space="preserve">The KM curves of thromboembolic event-free survival (TEFS) and haemorrhagic event-free survival (HEFS) presented in the resubmission are shown in </w:t>
      </w:r>
      <w:r>
        <w:fldChar w:fldCharType="begin" w:fldLock="1"/>
      </w:r>
      <w:r>
        <w:instrText xml:space="preserve"> REF _Ref184805144 \h  \* MERGEFORMAT </w:instrText>
      </w:r>
      <w:r>
        <w:fldChar w:fldCharType="separate"/>
      </w:r>
      <w:r w:rsidR="001E4CF1" w:rsidRPr="0F1D33A4">
        <w:t>Figure 2</w:t>
      </w:r>
      <w:r>
        <w:fldChar w:fldCharType="end"/>
      </w:r>
      <w:r w:rsidRPr="0F1D33A4">
        <w:t>. KM curves of TEFS and HEFS were not presented in the previous submission.</w:t>
      </w:r>
    </w:p>
    <w:p w14:paraId="2EDEAA73" w14:textId="35D6B643" w:rsidR="000C4898" w:rsidRPr="000C4898" w:rsidRDefault="000C4898" w:rsidP="000C4898">
      <w:pPr>
        <w:keepNext/>
        <w:keepLines/>
        <w:jc w:val="left"/>
        <w:rPr>
          <w:rFonts w:ascii="Arial Narrow" w:hAnsi="Arial Narrow"/>
          <w:b/>
          <w:bCs/>
          <w:sz w:val="20"/>
          <w:szCs w:val="18"/>
        </w:rPr>
      </w:pPr>
      <w:bookmarkStart w:id="47" w:name="_Ref184805144"/>
      <w:r w:rsidRPr="000C4898">
        <w:rPr>
          <w:rFonts w:ascii="Arial Narrow" w:hAnsi="Arial Narrow"/>
          <w:b/>
          <w:bCs/>
          <w:sz w:val="20"/>
          <w:szCs w:val="18"/>
        </w:rPr>
        <w:lastRenderedPageBreak/>
        <w:t xml:space="preserve">Figure </w:t>
      </w:r>
      <w:r w:rsidRPr="000C4898">
        <w:rPr>
          <w:rFonts w:ascii="Arial Narrow" w:hAnsi="Arial Narrow"/>
          <w:b/>
          <w:bCs/>
          <w:sz w:val="20"/>
          <w:szCs w:val="18"/>
        </w:rPr>
        <w:fldChar w:fldCharType="begin" w:fldLock="1"/>
      </w:r>
      <w:r w:rsidRPr="000C4898">
        <w:rPr>
          <w:rFonts w:ascii="Arial Narrow" w:hAnsi="Arial Narrow"/>
          <w:b/>
          <w:bCs/>
          <w:sz w:val="20"/>
          <w:szCs w:val="18"/>
        </w:rPr>
        <w:instrText xml:space="preserve"> SEQ Figure \* ARABIC </w:instrText>
      </w:r>
      <w:r w:rsidRPr="000C4898">
        <w:rPr>
          <w:rFonts w:ascii="Arial Narrow" w:hAnsi="Arial Narrow"/>
          <w:b/>
          <w:bCs/>
          <w:sz w:val="20"/>
          <w:szCs w:val="18"/>
        </w:rPr>
        <w:fldChar w:fldCharType="separate"/>
      </w:r>
      <w:r w:rsidR="0096555B">
        <w:rPr>
          <w:rFonts w:ascii="Arial Narrow" w:hAnsi="Arial Narrow"/>
          <w:b/>
          <w:bCs/>
          <w:noProof/>
          <w:sz w:val="20"/>
          <w:szCs w:val="18"/>
        </w:rPr>
        <w:t>2</w:t>
      </w:r>
      <w:r w:rsidRPr="000C4898">
        <w:rPr>
          <w:rFonts w:ascii="Arial Narrow" w:hAnsi="Arial Narrow"/>
          <w:b/>
          <w:bCs/>
          <w:noProof/>
          <w:sz w:val="20"/>
          <w:szCs w:val="18"/>
        </w:rPr>
        <w:fldChar w:fldCharType="end"/>
      </w:r>
      <w:bookmarkEnd w:id="47"/>
      <w:r w:rsidRPr="000C4898">
        <w:rPr>
          <w:rFonts w:ascii="Arial Narrow" w:hAnsi="Arial Narrow"/>
          <w:b/>
          <w:bCs/>
          <w:sz w:val="20"/>
          <w:szCs w:val="18"/>
        </w:rPr>
        <w:t>: Thromboembolic event-free survival</w:t>
      </w:r>
      <w:r w:rsidR="00BB496B">
        <w:rPr>
          <w:rFonts w:ascii="Arial Narrow" w:hAnsi="Arial Narrow"/>
          <w:b/>
          <w:bCs/>
          <w:sz w:val="20"/>
          <w:szCs w:val="18"/>
        </w:rPr>
        <w:t xml:space="preserve"> </w:t>
      </w:r>
      <w:r w:rsidR="003C2EF5">
        <w:rPr>
          <w:rFonts w:ascii="Arial Narrow" w:hAnsi="Arial Narrow"/>
          <w:b/>
          <w:bCs/>
          <w:sz w:val="20"/>
          <w:szCs w:val="18"/>
        </w:rPr>
        <w:t xml:space="preserve">(left) </w:t>
      </w:r>
      <w:r w:rsidR="00BB496B">
        <w:rPr>
          <w:rFonts w:ascii="Arial Narrow" w:hAnsi="Arial Narrow"/>
          <w:b/>
          <w:bCs/>
          <w:sz w:val="20"/>
          <w:szCs w:val="18"/>
        </w:rPr>
        <w:t xml:space="preserve">and </w:t>
      </w:r>
      <w:r w:rsidR="0014341C">
        <w:rPr>
          <w:rFonts w:ascii="Arial Narrow" w:hAnsi="Arial Narrow"/>
          <w:b/>
          <w:bCs/>
          <w:sz w:val="20"/>
          <w:szCs w:val="18"/>
        </w:rPr>
        <w:t>h</w:t>
      </w:r>
      <w:r w:rsidR="0014341C" w:rsidRPr="000C4898">
        <w:rPr>
          <w:rFonts w:ascii="Arial Narrow" w:hAnsi="Arial Narrow"/>
          <w:b/>
          <w:bCs/>
          <w:sz w:val="20"/>
          <w:szCs w:val="18"/>
        </w:rPr>
        <w:t>aemorrhagic event-free survival</w:t>
      </w:r>
      <w:r w:rsidR="003C2EF5">
        <w:rPr>
          <w:rFonts w:ascii="Arial Narrow" w:hAnsi="Arial Narrow"/>
          <w:b/>
          <w:bCs/>
          <w:sz w:val="20"/>
          <w:szCs w:val="18"/>
        </w:rPr>
        <w:t xml:space="preserve"> (right)</w:t>
      </w:r>
      <w:r w:rsidRPr="000C4898">
        <w:rPr>
          <w:rFonts w:ascii="Arial Narrow" w:hAnsi="Arial Narrow"/>
          <w:b/>
          <w:bCs/>
          <w:sz w:val="20"/>
          <w:szCs w:val="18"/>
        </w:rPr>
        <w:t xml:space="preserve"> in MAJIC </w:t>
      </w:r>
    </w:p>
    <w:p w14:paraId="2F3DBEE4" w14:textId="4E954FA0" w:rsidR="000C4898" w:rsidRPr="000C4898" w:rsidRDefault="000C4898" w:rsidP="000C4898">
      <w:pPr>
        <w:keepNext/>
        <w:jc w:val="left"/>
        <w:rPr>
          <w:rFonts w:ascii="Arial Narrow" w:eastAsiaTheme="majorEastAsia" w:hAnsi="Arial Narrow" w:cstheme="majorBidi"/>
          <w:b/>
          <w:bCs/>
          <w:sz w:val="20"/>
        </w:rPr>
      </w:pPr>
      <w:r w:rsidRPr="000C4898">
        <w:rPr>
          <w:rFonts w:ascii="Arial Narrow" w:eastAsiaTheme="majorEastAsia" w:hAnsi="Arial Narrow" w:cstheme="majorBidi"/>
          <w:b/>
          <w:bCs/>
          <w:noProof/>
          <w:sz w:val="20"/>
        </w:rPr>
        <w:drawing>
          <wp:inline distT="0" distB="0" distL="0" distR="0" wp14:anchorId="0089491B" wp14:editId="335759B5">
            <wp:extent cx="2809875" cy="2815938"/>
            <wp:effectExtent l="0" t="0" r="0" b="3810"/>
            <wp:docPr id="1052951233" name="Picture 1" descr="Figure 2A: Thromboembolic event-free survival (left). After 5 years since randomisation, 75% of ruxolitinib patients had event-free survival, compared to 60% of BAT patient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951233" name="Picture 1" descr="Figure 2A: Thromboembolic event-free survival (left). After 5 years since randomisation, 75% of ruxolitinib patients had event-free survival, compared to 60% of BAT patients&#10;&#10;"/>
                    <pic:cNvPicPr/>
                  </pic:nvPicPr>
                  <pic:blipFill rotWithShape="1">
                    <a:blip r:embed="rId12"/>
                    <a:srcRect l="6917" b="1123"/>
                    <a:stretch/>
                  </pic:blipFill>
                  <pic:spPr bwMode="auto">
                    <a:xfrm>
                      <a:off x="0" y="0"/>
                      <a:ext cx="2843882" cy="2850018"/>
                    </a:xfrm>
                    <a:prstGeom prst="rect">
                      <a:avLst/>
                    </a:prstGeom>
                    <a:ln>
                      <a:noFill/>
                    </a:ln>
                    <a:extLst>
                      <a:ext uri="{53640926-AAD7-44D8-BBD7-CCE9431645EC}">
                        <a14:shadowObscured xmlns:a14="http://schemas.microsoft.com/office/drawing/2010/main"/>
                      </a:ext>
                    </a:extLst>
                  </pic:spPr>
                </pic:pic>
              </a:graphicData>
            </a:graphic>
          </wp:inline>
        </w:drawing>
      </w:r>
      <w:r w:rsidR="0014341C" w:rsidRPr="000C4898">
        <w:rPr>
          <w:rFonts w:ascii="Arial Narrow" w:eastAsiaTheme="majorEastAsia" w:hAnsi="Arial Narrow" w:cstheme="majorBidi"/>
          <w:b/>
          <w:bCs/>
          <w:noProof/>
          <w:sz w:val="20"/>
        </w:rPr>
        <w:drawing>
          <wp:inline distT="0" distB="0" distL="0" distR="0" wp14:anchorId="00060F8F" wp14:editId="55D3D824">
            <wp:extent cx="2895600" cy="2889694"/>
            <wp:effectExtent l="0" t="0" r="0" b="6350"/>
            <wp:docPr id="1748155562" name="Picture 1" descr="Figure 2B haemorrhagic event-free survival in MAJIC. Haemorrhagic event-free survival rates were comparable between BAT and ruxolitinib patients up till year 4, with 72% of ruxolitinib patients experiencing haemorrhagic event-free survival after 5 years compared to 65% of BAT pati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155562" name="Picture 1" descr="Figure 2B haemorrhagic event-free survival in MAJIC. Haemorrhagic event-free survival rates were comparable between BAT and ruxolitinib patients up till year 4, with 72% of ruxolitinib patients experiencing haemorrhagic event-free survival after 5 years compared to 65% of BAT patients "/>
                    <pic:cNvPicPr/>
                  </pic:nvPicPr>
                  <pic:blipFill rotWithShape="1">
                    <a:blip r:embed="rId13"/>
                    <a:srcRect l="4798" t="2323" r="-4" b="1301"/>
                    <a:stretch/>
                  </pic:blipFill>
                  <pic:spPr bwMode="auto">
                    <a:xfrm>
                      <a:off x="0" y="0"/>
                      <a:ext cx="2957528" cy="2951495"/>
                    </a:xfrm>
                    <a:prstGeom prst="rect">
                      <a:avLst/>
                    </a:prstGeom>
                    <a:ln>
                      <a:noFill/>
                    </a:ln>
                    <a:extLst>
                      <a:ext uri="{53640926-AAD7-44D8-BBD7-CCE9431645EC}">
                        <a14:shadowObscured xmlns:a14="http://schemas.microsoft.com/office/drawing/2010/main"/>
                      </a:ext>
                    </a:extLst>
                  </pic:spPr>
                </pic:pic>
              </a:graphicData>
            </a:graphic>
          </wp:inline>
        </w:drawing>
      </w:r>
    </w:p>
    <w:p w14:paraId="6ED104BF" w14:textId="3FBB80E0" w:rsidR="000C4898" w:rsidRPr="000C4898" w:rsidRDefault="000C4898" w:rsidP="000C4898">
      <w:pPr>
        <w:keepLines/>
        <w:spacing w:after="120"/>
        <w:contextualSpacing/>
        <w:jc w:val="left"/>
        <w:rPr>
          <w:rFonts w:ascii="Arial Narrow" w:hAnsi="Arial Narrow"/>
          <w:snapToGrid w:val="0"/>
          <w:sz w:val="18"/>
          <w:szCs w:val="22"/>
        </w:rPr>
      </w:pPr>
      <w:r w:rsidRPr="000C4898">
        <w:rPr>
          <w:rFonts w:ascii="Arial Narrow" w:hAnsi="Arial Narrow"/>
          <w:snapToGrid w:val="0"/>
          <w:sz w:val="18"/>
          <w:szCs w:val="22"/>
        </w:rPr>
        <w:t>Source: Figure 2.15</w:t>
      </w:r>
      <w:r w:rsidR="005A4052">
        <w:rPr>
          <w:rFonts w:ascii="Arial Narrow" w:hAnsi="Arial Narrow"/>
          <w:snapToGrid w:val="0"/>
          <w:sz w:val="18"/>
          <w:szCs w:val="22"/>
        </w:rPr>
        <w:t xml:space="preserve"> and </w:t>
      </w:r>
      <w:r w:rsidR="0014341C">
        <w:rPr>
          <w:rFonts w:ascii="Arial Narrow" w:hAnsi="Arial Narrow"/>
          <w:snapToGrid w:val="0"/>
          <w:sz w:val="18"/>
          <w:szCs w:val="22"/>
        </w:rPr>
        <w:t>2.16</w:t>
      </w:r>
      <w:r w:rsidRPr="000C4898">
        <w:rPr>
          <w:rFonts w:ascii="Arial Narrow" w:hAnsi="Arial Narrow"/>
          <w:snapToGrid w:val="0"/>
          <w:sz w:val="18"/>
          <w:szCs w:val="22"/>
        </w:rPr>
        <w:t>, p97</w:t>
      </w:r>
      <w:r w:rsidR="00285BC1">
        <w:rPr>
          <w:rFonts w:ascii="Arial Narrow" w:hAnsi="Arial Narrow"/>
          <w:snapToGrid w:val="0"/>
          <w:sz w:val="18"/>
          <w:szCs w:val="22"/>
        </w:rPr>
        <w:t>, 98</w:t>
      </w:r>
      <w:r w:rsidRPr="000C4898">
        <w:rPr>
          <w:rFonts w:ascii="Arial Narrow" w:hAnsi="Arial Narrow"/>
          <w:snapToGrid w:val="0"/>
          <w:sz w:val="18"/>
          <w:szCs w:val="22"/>
        </w:rPr>
        <w:t xml:space="preserve"> of resubmission</w:t>
      </w:r>
      <w:r w:rsidR="00684F4A">
        <w:rPr>
          <w:rFonts w:ascii="Arial Narrow" w:hAnsi="Arial Narrow"/>
          <w:snapToGrid w:val="0"/>
          <w:sz w:val="18"/>
          <w:szCs w:val="22"/>
        </w:rPr>
        <w:t xml:space="preserve"> (based on MAJIC CSR)</w:t>
      </w:r>
      <w:r w:rsidRPr="000C4898">
        <w:rPr>
          <w:rFonts w:ascii="Arial Narrow" w:hAnsi="Arial Narrow"/>
          <w:snapToGrid w:val="0"/>
          <w:sz w:val="18"/>
          <w:szCs w:val="22"/>
        </w:rPr>
        <w:t>.</w:t>
      </w:r>
    </w:p>
    <w:p w14:paraId="63AFFE02" w14:textId="77777777" w:rsidR="000C4898" w:rsidRPr="000C4898" w:rsidRDefault="000C4898" w:rsidP="000C4898">
      <w:pPr>
        <w:keepLines/>
        <w:spacing w:after="120"/>
        <w:contextualSpacing/>
        <w:jc w:val="left"/>
        <w:rPr>
          <w:rFonts w:ascii="Arial Narrow" w:hAnsi="Arial Narrow"/>
          <w:snapToGrid w:val="0"/>
          <w:sz w:val="18"/>
          <w:szCs w:val="22"/>
        </w:rPr>
      </w:pPr>
      <w:r w:rsidRPr="000C4898">
        <w:rPr>
          <w:rFonts w:ascii="Arial Narrow" w:hAnsi="Arial Narrow"/>
          <w:snapToGrid w:val="0"/>
          <w:sz w:val="18"/>
          <w:szCs w:val="22"/>
        </w:rPr>
        <w:t>Abbreviations: BAT, best available therapy; CI, confidence interval; CSR, clinical study report; HR, hazard ratio; PV, polycythaemia vera.</w:t>
      </w:r>
    </w:p>
    <w:p w14:paraId="510958D2" w14:textId="32E94B19" w:rsidR="000C4898" w:rsidRPr="000C4898" w:rsidRDefault="000C4898" w:rsidP="00382A1C">
      <w:pPr>
        <w:pStyle w:val="3-BodyText"/>
      </w:pPr>
      <w:r w:rsidRPr="0F1D33A4">
        <w:t>A</w:t>
      </w:r>
      <w:r w:rsidR="00A668F6" w:rsidRPr="0F1D33A4">
        <w:t xml:space="preserve">n </w:t>
      </w:r>
      <w:r w:rsidRPr="0F1D33A4">
        <w:t xml:space="preserve">improvement in TEFS was observed in patients treated with ruxolitinib compared with patients treated with BAT (HR 0.57, 95% CI: 0.32, 0.99) at 5-year of follow up (based on MAJIC CSR), </w:t>
      </w:r>
      <w:r w:rsidR="00BE5F15" w:rsidRPr="0F1D33A4">
        <w:t>noting the</w:t>
      </w:r>
      <w:r w:rsidR="006C1995" w:rsidRPr="0F1D33A4">
        <w:t xml:space="preserve"> wide</w:t>
      </w:r>
      <w:r w:rsidR="004660B2" w:rsidRPr="0F1D33A4">
        <w:t xml:space="preserve"> 95% CIs</w:t>
      </w:r>
      <w:r w:rsidR="006C1995" w:rsidRPr="0F1D33A4">
        <w:t xml:space="preserve"> </w:t>
      </w:r>
      <w:r w:rsidR="004660B2" w:rsidRPr="0F1D33A4">
        <w:t>approach</w:t>
      </w:r>
      <w:r w:rsidR="001C14A7" w:rsidRPr="0F1D33A4">
        <w:t>ed</w:t>
      </w:r>
      <w:r w:rsidR="004660B2" w:rsidRPr="0F1D33A4">
        <w:t xml:space="preserve"> the null. T</w:t>
      </w:r>
      <w:r w:rsidRPr="0F1D33A4">
        <w:t xml:space="preserve">his was not observed in HEFS (HR 0.86, 95% CI: 0.49, 1.51), noting this trial was not powered to detect any differences in </w:t>
      </w:r>
      <w:r w:rsidR="0052285B" w:rsidRPr="0F1D33A4">
        <w:t xml:space="preserve">either of </w:t>
      </w:r>
      <w:r w:rsidRPr="0F1D33A4">
        <w:t>these outcomes.</w:t>
      </w:r>
      <w:r w:rsidR="00761BDD" w:rsidRPr="0F1D33A4">
        <w:t xml:space="preserve"> </w:t>
      </w:r>
    </w:p>
    <w:p w14:paraId="6EA146D4" w14:textId="0E266795" w:rsidR="000C4898" w:rsidRPr="00111789" w:rsidRDefault="000C4898" w:rsidP="0F1D33A4">
      <w:pPr>
        <w:pStyle w:val="3-BodyText"/>
        <w:rPr>
          <w:color w:val="0066FF"/>
        </w:rPr>
      </w:pPr>
      <w:r w:rsidRPr="0F1D33A4">
        <w:t xml:space="preserve">The thromboembolic and haemorrhagic events reported in MAJIC, RESPONSE and RESPONSE-2 in previous submission and at 5-year of follow up are summarised in </w:t>
      </w:r>
      <w:r>
        <w:fldChar w:fldCharType="begin" w:fldLock="1"/>
      </w:r>
      <w:r>
        <w:instrText xml:space="preserve"> REF _Ref184805201 \h  \* MERGEFORMAT </w:instrText>
      </w:r>
      <w:r>
        <w:fldChar w:fldCharType="separate"/>
      </w:r>
      <w:r w:rsidR="0096555B" w:rsidRPr="0F1D33A4">
        <w:t xml:space="preserve">Table </w:t>
      </w:r>
      <w:r w:rsidR="0096555B" w:rsidRPr="0F1D33A4">
        <w:rPr>
          <w:noProof/>
        </w:rPr>
        <w:t>6</w:t>
      </w:r>
      <w:r>
        <w:fldChar w:fldCharType="end"/>
      </w:r>
      <w:r w:rsidRPr="0F1D33A4">
        <w:t>.</w:t>
      </w:r>
      <w:r w:rsidRPr="0F1D33A4">
        <w:rPr>
          <w:i/>
          <w:iCs/>
        </w:rPr>
        <w:t xml:space="preserve"> </w:t>
      </w:r>
    </w:p>
    <w:p w14:paraId="3C272B5A" w14:textId="7AC15146" w:rsidR="000C4898" w:rsidRPr="000C4898" w:rsidRDefault="000C4898" w:rsidP="00BB42F1">
      <w:pPr>
        <w:keepNext/>
        <w:keepLines/>
        <w:rPr>
          <w:rFonts w:ascii="Arial Narrow" w:hAnsi="Arial Narrow"/>
          <w:b/>
          <w:bCs/>
          <w:sz w:val="20"/>
          <w:szCs w:val="18"/>
        </w:rPr>
      </w:pPr>
      <w:bookmarkStart w:id="48" w:name="_Ref184805201"/>
      <w:r w:rsidRPr="000C4898">
        <w:rPr>
          <w:rFonts w:ascii="Arial Narrow" w:hAnsi="Arial Narrow"/>
          <w:b/>
          <w:bCs/>
          <w:sz w:val="20"/>
          <w:szCs w:val="18"/>
        </w:rPr>
        <w:lastRenderedPageBreak/>
        <w:t xml:space="preserve">Table </w:t>
      </w:r>
      <w:r w:rsidRPr="000C4898">
        <w:rPr>
          <w:rFonts w:ascii="Arial Narrow" w:hAnsi="Arial Narrow"/>
          <w:b/>
          <w:bCs/>
          <w:sz w:val="20"/>
          <w:szCs w:val="18"/>
        </w:rPr>
        <w:fldChar w:fldCharType="begin" w:fldLock="1"/>
      </w:r>
      <w:r w:rsidRPr="000C4898">
        <w:rPr>
          <w:rFonts w:ascii="Arial Narrow" w:hAnsi="Arial Narrow"/>
          <w:b/>
          <w:bCs/>
          <w:sz w:val="20"/>
          <w:szCs w:val="18"/>
        </w:rPr>
        <w:instrText xml:space="preserve"> SEQ Table \* ARABIC </w:instrText>
      </w:r>
      <w:r w:rsidRPr="000C4898">
        <w:rPr>
          <w:rFonts w:ascii="Arial Narrow" w:hAnsi="Arial Narrow"/>
          <w:b/>
          <w:bCs/>
          <w:sz w:val="20"/>
          <w:szCs w:val="18"/>
        </w:rPr>
        <w:fldChar w:fldCharType="separate"/>
      </w:r>
      <w:r w:rsidR="001F427F">
        <w:rPr>
          <w:rFonts w:ascii="Arial Narrow" w:hAnsi="Arial Narrow"/>
          <w:b/>
          <w:bCs/>
          <w:noProof/>
          <w:sz w:val="20"/>
          <w:szCs w:val="18"/>
        </w:rPr>
        <w:t>6</w:t>
      </w:r>
      <w:r w:rsidRPr="000C4898">
        <w:rPr>
          <w:rFonts w:ascii="Arial Narrow" w:hAnsi="Arial Narrow"/>
          <w:b/>
          <w:bCs/>
          <w:noProof/>
          <w:sz w:val="20"/>
          <w:szCs w:val="18"/>
        </w:rPr>
        <w:fldChar w:fldCharType="end"/>
      </w:r>
      <w:bookmarkEnd w:id="48"/>
      <w:r w:rsidRPr="000C4898">
        <w:rPr>
          <w:rFonts w:ascii="Arial Narrow" w:hAnsi="Arial Narrow"/>
          <w:b/>
          <w:bCs/>
          <w:sz w:val="20"/>
          <w:szCs w:val="18"/>
        </w:rPr>
        <w:t>: Incidence of thrombotic and haemorrhagic events in the included trials</w:t>
      </w:r>
    </w:p>
    <w:tbl>
      <w:tblPr>
        <w:tblStyle w:val="TableGrid"/>
        <w:tblW w:w="5000" w:type="pct"/>
        <w:tblCellMar>
          <w:left w:w="28" w:type="dxa"/>
          <w:right w:w="28" w:type="dxa"/>
        </w:tblCellMar>
        <w:tblLook w:val="04A0" w:firstRow="1" w:lastRow="0" w:firstColumn="1" w:lastColumn="0" w:noHBand="0" w:noVBand="1"/>
        <w:tblCaption w:val="Table 6: Incidence of thrombotic and haemorrhagic events in the included trials"/>
        <w:tblDescription w:val="New information reviewed by PBAC in this resubmission:&#10;New evidence presented at 5-year follow-up in all trials, including thromboembolic events (any grade) and haemorrhagic events (any grade)"/>
      </w:tblPr>
      <w:tblGrid>
        <w:gridCol w:w="1502"/>
        <w:gridCol w:w="1755"/>
        <w:gridCol w:w="1252"/>
        <w:gridCol w:w="1502"/>
        <w:gridCol w:w="1502"/>
        <w:gridCol w:w="1504"/>
      </w:tblGrid>
      <w:tr w:rsidR="000C4898" w:rsidRPr="000C4898" w14:paraId="3AA3BD69" w14:textId="77777777" w:rsidTr="0F1D33A4">
        <w:tc>
          <w:tcPr>
            <w:tcW w:w="833" w:type="pct"/>
            <w:vAlign w:val="center"/>
          </w:tcPr>
          <w:p w14:paraId="45B6EABF" w14:textId="77777777" w:rsidR="000C4898" w:rsidRPr="000C4898" w:rsidRDefault="000C4898" w:rsidP="00BB42F1">
            <w:pPr>
              <w:keepNext/>
              <w:keepLines/>
              <w:jc w:val="left"/>
              <w:rPr>
                <w:rFonts w:ascii="Arial Narrow" w:hAnsi="Arial Narrow"/>
                <w:sz w:val="20"/>
                <w:szCs w:val="18"/>
              </w:rPr>
            </w:pPr>
            <w:r w:rsidRPr="000C4898">
              <w:rPr>
                <w:rFonts w:ascii="Arial Narrow" w:eastAsia="Calibri" w:hAnsi="Arial Narrow"/>
                <w:b/>
                <w:sz w:val="20"/>
                <w:szCs w:val="18"/>
              </w:rPr>
              <w:t>Trial</w:t>
            </w:r>
          </w:p>
        </w:tc>
        <w:tc>
          <w:tcPr>
            <w:tcW w:w="973" w:type="pct"/>
            <w:vAlign w:val="center"/>
          </w:tcPr>
          <w:p w14:paraId="15586D11" w14:textId="77777777" w:rsidR="000C4898" w:rsidRPr="000C4898" w:rsidRDefault="000C4898" w:rsidP="0F1D33A4">
            <w:pPr>
              <w:keepNext/>
              <w:keepLines/>
              <w:jc w:val="left"/>
              <w:rPr>
                <w:rFonts w:ascii="Arial Narrow" w:hAnsi="Arial Narrow"/>
                <w:sz w:val="20"/>
                <w:szCs w:val="20"/>
              </w:rPr>
            </w:pPr>
            <w:r w:rsidRPr="0F1D33A4">
              <w:rPr>
                <w:rFonts w:ascii="Arial Narrow" w:eastAsia="Calibri" w:hAnsi="Arial Narrow"/>
                <w:b/>
                <w:bCs/>
                <w:sz w:val="20"/>
                <w:szCs w:val="20"/>
              </w:rPr>
              <w:t>Ruxolitinib n/N(%)</w:t>
            </w:r>
          </w:p>
        </w:tc>
        <w:tc>
          <w:tcPr>
            <w:tcW w:w="694" w:type="pct"/>
            <w:vAlign w:val="center"/>
          </w:tcPr>
          <w:p w14:paraId="7C5CEA2E" w14:textId="77777777" w:rsidR="000C4898" w:rsidRPr="000C4898" w:rsidRDefault="000C4898" w:rsidP="0F1D33A4">
            <w:pPr>
              <w:keepNext/>
              <w:keepLines/>
              <w:jc w:val="left"/>
              <w:rPr>
                <w:rFonts w:ascii="Arial Narrow" w:hAnsi="Arial Narrow"/>
                <w:sz w:val="20"/>
                <w:szCs w:val="20"/>
              </w:rPr>
            </w:pPr>
            <w:r w:rsidRPr="0F1D33A4">
              <w:rPr>
                <w:rFonts w:ascii="Arial Narrow" w:eastAsia="Calibri" w:hAnsi="Arial Narrow"/>
                <w:b/>
                <w:bCs/>
                <w:sz w:val="20"/>
                <w:szCs w:val="20"/>
              </w:rPr>
              <w:t>BAT n/N(%)</w:t>
            </w:r>
          </w:p>
        </w:tc>
        <w:tc>
          <w:tcPr>
            <w:tcW w:w="2500" w:type="pct"/>
            <w:gridSpan w:val="3"/>
            <w:vAlign w:val="center"/>
          </w:tcPr>
          <w:p w14:paraId="1390F215" w14:textId="77777777" w:rsidR="000C4898" w:rsidRPr="000C4898" w:rsidRDefault="000C4898" w:rsidP="00BB42F1">
            <w:pPr>
              <w:keepNext/>
              <w:keepLines/>
              <w:jc w:val="left"/>
              <w:rPr>
                <w:rFonts w:ascii="Arial Narrow" w:eastAsia="Calibri" w:hAnsi="Arial Narrow"/>
                <w:b/>
                <w:sz w:val="20"/>
                <w:szCs w:val="18"/>
              </w:rPr>
            </w:pPr>
            <w:r w:rsidRPr="000C4898">
              <w:rPr>
                <w:rFonts w:ascii="Arial Narrow" w:eastAsia="Calibri" w:hAnsi="Arial Narrow"/>
                <w:b/>
                <w:sz w:val="20"/>
                <w:szCs w:val="18"/>
              </w:rPr>
              <w:t xml:space="preserve">HR (95% CI); P-value </w:t>
            </w:r>
          </w:p>
        </w:tc>
      </w:tr>
      <w:tr w:rsidR="000C4898" w:rsidRPr="000C4898" w14:paraId="22B13C62" w14:textId="77777777" w:rsidTr="0F1D33A4">
        <w:tc>
          <w:tcPr>
            <w:tcW w:w="5000" w:type="pct"/>
            <w:gridSpan w:val="6"/>
          </w:tcPr>
          <w:p w14:paraId="36A63E4F" w14:textId="77777777" w:rsidR="000C4898" w:rsidRPr="000C4898" w:rsidRDefault="000C4898" w:rsidP="00BB42F1">
            <w:pPr>
              <w:keepNext/>
              <w:keepLines/>
              <w:rPr>
                <w:rFonts w:ascii="Arial Narrow" w:hAnsi="Arial Narrow"/>
                <w:b/>
                <w:sz w:val="20"/>
                <w:szCs w:val="18"/>
              </w:rPr>
            </w:pPr>
            <w:r w:rsidRPr="000C4898">
              <w:rPr>
                <w:rFonts w:ascii="Arial Narrow" w:hAnsi="Arial Narrow"/>
                <w:b/>
                <w:sz w:val="20"/>
                <w:szCs w:val="18"/>
              </w:rPr>
              <w:t>New evidence presented at 5-year follow up in all trials</w:t>
            </w:r>
          </w:p>
        </w:tc>
      </w:tr>
      <w:tr w:rsidR="000C4898" w:rsidRPr="000C4898" w14:paraId="64A684B2" w14:textId="77777777" w:rsidTr="0F1D33A4">
        <w:tc>
          <w:tcPr>
            <w:tcW w:w="5000" w:type="pct"/>
            <w:gridSpan w:val="6"/>
          </w:tcPr>
          <w:p w14:paraId="046653B9" w14:textId="77777777" w:rsidR="000C4898" w:rsidRPr="000C4898" w:rsidRDefault="000C4898" w:rsidP="00BB42F1">
            <w:pPr>
              <w:keepNext/>
              <w:keepLines/>
              <w:rPr>
                <w:rFonts w:ascii="Arial Narrow" w:hAnsi="Arial Narrow"/>
                <w:b/>
                <w:sz w:val="20"/>
                <w:szCs w:val="18"/>
              </w:rPr>
            </w:pPr>
            <w:r w:rsidRPr="000C4898">
              <w:rPr>
                <w:rFonts w:ascii="Arial Narrow" w:hAnsi="Arial Narrow"/>
                <w:b/>
                <w:sz w:val="20"/>
                <w:szCs w:val="18"/>
              </w:rPr>
              <w:t>Thromboembolic events (any grade)</w:t>
            </w:r>
          </w:p>
        </w:tc>
      </w:tr>
      <w:tr w:rsidR="000C4898" w:rsidRPr="000C4898" w14:paraId="2014ECBB" w14:textId="77777777" w:rsidTr="0F1D33A4">
        <w:tc>
          <w:tcPr>
            <w:tcW w:w="833" w:type="pct"/>
          </w:tcPr>
          <w:p w14:paraId="633D8C1C" w14:textId="77777777" w:rsidR="000C4898" w:rsidRPr="000C4898" w:rsidRDefault="000C4898" w:rsidP="00BB42F1">
            <w:pPr>
              <w:keepNext/>
              <w:keepLines/>
              <w:rPr>
                <w:rFonts w:ascii="Arial Narrow" w:hAnsi="Arial Narrow"/>
                <w:sz w:val="20"/>
                <w:szCs w:val="18"/>
              </w:rPr>
            </w:pPr>
            <w:r w:rsidRPr="000C4898">
              <w:rPr>
                <w:rFonts w:ascii="Arial Narrow" w:hAnsi="Arial Narrow"/>
                <w:sz w:val="20"/>
                <w:szCs w:val="18"/>
              </w:rPr>
              <w:t xml:space="preserve">MAJIC </w:t>
            </w:r>
            <w:r w:rsidRPr="000C4898">
              <w:rPr>
                <w:rFonts w:ascii="Arial Narrow" w:hAnsi="Arial Narrow"/>
                <w:sz w:val="20"/>
                <w:szCs w:val="18"/>
                <w:vertAlign w:val="superscript"/>
              </w:rPr>
              <w:t>a</w:t>
            </w:r>
            <w:r w:rsidRPr="000C4898">
              <w:rPr>
                <w:rFonts w:ascii="Arial Narrow" w:hAnsi="Arial Narrow"/>
                <w:sz w:val="20"/>
                <w:szCs w:val="18"/>
              </w:rPr>
              <w:t xml:space="preserve"> </w:t>
            </w:r>
          </w:p>
        </w:tc>
        <w:tc>
          <w:tcPr>
            <w:tcW w:w="973" w:type="pct"/>
            <w:vAlign w:val="center"/>
          </w:tcPr>
          <w:p w14:paraId="4B34FA25" w14:textId="77777777" w:rsidR="000C4898" w:rsidRPr="000C4898" w:rsidRDefault="000C4898" w:rsidP="00BB42F1">
            <w:pPr>
              <w:keepNext/>
              <w:keepLines/>
              <w:jc w:val="center"/>
              <w:rPr>
                <w:rFonts w:ascii="Arial Narrow" w:hAnsi="Arial Narrow"/>
                <w:sz w:val="20"/>
                <w:szCs w:val="18"/>
              </w:rPr>
            </w:pPr>
            <w:r w:rsidRPr="000C4898">
              <w:rPr>
                <w:rFonts w:ascii="Arial Narrow" w:hAnsi="Arial Narrow"/>
                <w:sz w:val="20"/>
                <w:szCs w:val="18"/>
              </w:rPr>
              <w:t>10/93 (10.8)</w:t>
            </w:r>
          </w:p>
        </w:tc>
        <w:tc>
          <w:tcPr>
            <w:tcW w:w="694" w:type="pct"/>
            <w:vAlign w:val="center"/>
          </w:tcPr>
          <w:p w14:paraId="4A6D2D77" w14:textId="77777777" w:rsidR="000C4898" w:rsidRPr="000C4898" w:rsidRDefault="000C4898" w:rsidP="00BB42F1">
            <w:pPr>
              <w:keepNext/>
              <w:keepLines/>
              <w:jc w:val="center"/>
              <w:rPr>
                <w:rFonts w:ascii="Arial Narrow" w:hAnsi="Arial Narrow"/>
                <w:sz w:val="20"/>
                <w:szCs w:val="18"/>
              </w:rPr>
            </w:pPr>
            <w:r w:rsidRPr="000C4898">
              <w:rPr>
                <w:rFonts w:ascii="Arial Narrow" w:hAnsi="Arial Narrow"/>
                <w:sz w:val="20"/>
                <w:szCs w:val="18"/>
              </w:rPr>
              <w:t>17/87 (19.5)</w:t>
            </w:r>
          </w:p>
        </w:tc>
        <w:tc>
          <w:tcPr>
            <w:tcW w:w="2500" w:type="pct"/>
            <w:gridSpan w:val="3"/>
            <w:vAlign w:val="center"/>
          </w:tcPr>
          <w:p w14:paraId="597607C5" w14:textId="7F421A90" w:rsidR="000C4898" w:rsidRPr="0013681F" w:rsidRDefault="000C4898" w:rsidP="00BB42F1">
            <w:pPr>
              <w:keepNext/>
              <w:keepLines/>
              <w:jc w:val="center"/>
              <w:rPr>
                <w:rFonts w:ascii="Arial Narrow" w:hAnsi="Arial Narrow"/>
                <w:bCs/>
                <w:sz w:val="20"/>
                <w:szCs w:val="18"/>
              </w:rPr>
            </w:pPr>
            <w:r w:rsidRPr="0013681F">
              <w:rPr>
                <w:rFonts w:ascii="Arial Narrow" w:hAnsi="Arial Narrow"/>
                <w:bCs/>
                <w:sz w:val="20"/>
                <w:szCs w:val="18"/>
              </w:rPr>
              <w:t xml:space="preserve">0.57 (0.32, 0.99); p=0.05 </w:t>
            </w:r>
          </w:p>
        </w:tc>
      </w:tr>
      <w:tr w:rsidR="000C4898" w:rsidRPr="000C4898" w14:paraId="6BEF7162" w14:textId="77777777" w:rsidTr="0F1D33A4">
        <w:tc>
          <w:tcPr>
            <w:tcW w:w="833" w:type="pct"/>
          </w:tcPr>
          <w:p w14:paraId="5DCA8571" w14:textId="77777777" w:rsidR="000C4898" w:rsidRPr="000C4898" w:rsidRDefault="000C4898" w:rsidP="00BB42F1">
            <w:pPr>
              <w:keepNext/>
              <w:keepLines/>
              <w:rPr>
                <w:rFonts w:ascii="Arial Narrow" w:hAnsi="Arial Narrow"/>
                <w:sz w:val="20"/>
                <w:szCs w:val="18"/>
              </w:rPr>
            </w:pPr>
            <w:r w:rsidRPr="000C4898">
              <w:rPr>
                <w:rFonts w:ascii="Arial Narrow" w:hAnsi="Arial Narrow"/>
                <w:sz w:val="20"/>
                <w:szCs w:val="18"/>
              </w:rPr>
              <w:t>RESPONSE</w:t>
            </w:r>
            <w:r w:rsidRPr="000C4898">
              <w:rPr>
                <w:rFonts w:ascii="Arial Narrow" w:hAnsi="Arial Narrow"/>
                <w:sz w:val="20"/>
                <w:szCs w:val="18"/>
                <w:vertAlign w:val="superscript"/>
              </w:rPr>
              <w:t xml:space="preserve"> b</w:t>
            </w:r>
          </w:p>
        </w:tc>
        <w:tc>
          <w:tcPr>
            <w:tcW w:w="973" w:type="pct"/>
            <w:vAlign w:val="center"/>
          </w:tcPr>
          <w:p w14:paraId="3D6E3324" w14:textId="77777777" w:rsidR="000C4898" w:rsidRPr="000C4898" w:rsidRDefault="000C4898" w:rsidP="00BB42F1">
            <w:pPr>
              <w:keepNext/>
              <w:keepLines/>
              <w:jc w:val="center"/>
              <w:rPr>
                <w:rFonts w:ascii="Arial Narrow" w:hAnsi="Arial Narrow"/>
                <w:sz w:val="20"/>
                <w:szCs w:val="18"/>
              </w:rPr>
            </w:pPr>
            <w:r w:rsidRPr="000C4898">
              <w:rPr>
                <w:rFonts w:ascii="Arial Narrow" w:hAnsi="Arial Narrow"/>
                <w:sz w:val="20"/>
                <w:szCs w:val="18"/>
              </w:rPr>
              <w:t>5 (1.2)</w:t>
            </w:r>
          </w:p>
        </w:tc>
        <w:tc>
          <w:tcPr>
            <w:tcW w:w="694" w:type="pct"/>
            <w:vAlign w:val="center"/>
          </w:tcPr>
          <w:p w14:paraId="47ACC5EB" w14:textId="77777777" w:rsidR="000C4898" w:rsidRPr="000C4898" w:rsidRDefault="000C4898" w:rsidP="00BB42F1">
            <w:pPr>
              <w:keepNext/>
              <w:keepLines/>
              <w:jc w:val="center"/>
              <w:rPr>
                <w:rFonts w:ascii="Arial Narrow" w:hAnsi="Arial Narrow"/>
                <w:sz w:val="20"/>
                <w:szCs w:val="18"/>
              </w:rPr>
            </w:pPr>
            <w:r w:rsidRPr="000C4898">
              <w:rPr>
                <w:rFonts w:ascii="Arial Narrow" w:hAnsi="Arial Narrow"/>
                <w:sz w:val="20"/>
                <w:szCs w:val="18"/>
              </w:rPr>
              <w:t>6 (8.2)</w:t>
            </w:r>
          </w:p>
        </w:tc>
        <w:tc>
          <w:tcPr>
            <w:tcW w:w="2500" w:type="pct"/>
            <w:gridSpan w:val="3"/>
            <w:vAlign w:val="center"/>
          </w:tcPr>
          <w:p w14:paraId="4A319A0B" w14:textId="77777777" w:rsidR="000C4898" w:rsidRPr="000C4898" w:rsidRDefault="000C4898" w:rsidP="00BB42F1">
            <w:pPr>
              <w:keepNext/>
              <w:keepLines/>
              <w:jc w:val="center"/>
              <w:rPr>
                <w:rFonts w:ascii="Arial Narrow" w:hAnsi="Arial Narrow"/>
                <w:iCs/>
                <w:sz w:val="20"/>
                <w:szCs w:val="18"/>
              </w:rPr>
            </w:pPr>
            <w:r w:rsidRPr="000C4898">
              <w:rPr>
                <w:rFonts w:ascii="Arial Narrow" w:hAnsi="Arial Narrow"/>
                <w:iCs/>
                <w:sz w:val="20"/>
                <w:szCs w:val="18"/>
              </w:rPr>
              <w:t>NR</w:t>
            </w:r>
          </w:p>
        </w:tc>
      </w:tr>
      <w:tr w:rsidR="000C4898" w:rsidRPr="000C4898" w14:paraId="24AFEEAF" w14:textId="77777777" w:rsidTr="0F1D33A4">
        <w:tc>
          <w:tcPr>
            <w:tcW w:w="833" w:type="pct"/>
          </w:tcPr>
          <w:p w14:paraId="5BDDB130" w14:textId="77777777" w:rsidR="000C4898" w:rsidRPr="000C4898" w:rsidRDefault="000C4898" w:rsidP="00BB42F1">
            <w:pPr>
              <w:keepNext/>
              <w:keepLines/>
              <w:rPr>
                <w:rFonts w:ascii="Arial Narrow" w:hAnsi="Arial Narrow"/>
                <w:sz w:val="20"/>
                <w:szCs w:val="18"/>
              </w:rPr>
            </w:pPr>
            <w:r w:rsidRPr="000C4898">
              <w:rPr>
                <w:rFonts w:ascii="Arial Narrow" w:hAnsi="Arial Narrow"/>
                <w:sz w:val="20"/>
                <w:szCs w:val="18"/>
              </w:rPr>
              <w:t xml:space="preserve">RESPONSE-2 </w:t>
            </w:r>
            <w:r w:rsidRPr="000C4898">
              <w:rPr>
                <w:rFonts w:ascii="Arial Narrow" w:hAnsi="Arial Narrow"/>
                <w:sz w:val="20"/>
                <w:szCs w:val="18"/>
                <w:vertAlign w:val="superscript"/>
              </w:rPr>
              <w:t>c</w:t>
            </w:r>
          </w:p>
        </w:tc>
        <w:tc>
          <w:tcPr>
            <w:tcW w:w="973" w:type="pct"/>
            <w:vAlign w:val="center"/>
          </w:tcPr>
          <w:p w14:paraId="62E3708D" w14:textId="77777777" w:rsidR="000C4898" w:rsidRPr="000C4898" w:rsidRDefault="000C4898" w:rsidP="00BB42F1">
            <w:pPr>
              <w:keepNext/>
              <w:keepLines/>
              <w:jc w:val="center"/>
              <w:rPr>
                <w:rFonts w:ascii="Arial Narrow" w:hAnsi="Arial Narrow"/>
                <w:sz w:val="20"/>
                <w:szCs w:val="18"/>
              </w:rPr>
            </w:pPr>
            <w:r w:rsidRPr="000C4898">
              <w:rPr>
                <w:rFonts w:ascii="Arial Narrow" w:hAnsi="Arial Narrow"/>
                <w:sz w:val="20"/>
                <w:szCs w:val="18"/>
              </w:rPr>
              <w:t>5 (1.5)</w:t>
            </w:r>
          </w:p>
        </w:tc>
        <w:tc>
          <w:tcPr>
            <w:tcW w:w="694" w:type="pct"/>
            <w:vAlign w:val="center"/>
          </w:tcPr>
          <w:p w14:paraId="4A61C390" w14:textId="77777777" w:rsidR="000C4898" w:rsidRPr="000C4898" w:rsidRDefault="000C4898" w:rsidP="00BB42F1">
            <w:pPr>
              <w:keepNext/>
              <w:keepLines/>
              <w:jc w:val="center"/>
              <w:rPr>
                <w:rFonts w:ascii="Arial Narrow" w:hAnsi="Arial Narrow"/>
                <w:sz w:val="20"/>
                <w:szCs w:val="18"/>
              </w:rPr>
            </w:pPr>
            <w:r w:rsidRPr="000C4898">
              <w:rPr>
                <w:rFonts w:ascii="Arial Narrow" w:hAnsi="Arial Narrow"/>
                <w:sz w:val="20"/>
                <w:szCs w:val="18"/>
              </w:rPr>
              <w:t>2 (3.7)</w:t>
            </w:r>
          </w:p>
        </w:tc>
        <w:tc>
          <w:tcPr>
            <w:tcW w:w="2500" w:type="pct"/>
            <w:gridSpan w:val="3"/>
            <w:vAlign w:val="center"/>
          </w:tcPr>
          <w:p w14:paraId="23984C32" w14:textId="77777777" w:rsidR="000C4898" w:rsidRPr="000C4898" w:rsidRDefault="000C4898" w:rsidP="00BB42F1">
            <w:pPr>
              <w:keepNext/>
              <w:keepLines/>
              <w:jc w:val="center"/>
              <w:rPr>
                <w:rFonts w:ascii="Arial Narrow" w:hAnsi="Arial Narrow"/>
                <w:iCs/>
                <w:sz w:val="20"/>
                <w:szCs w:val="18"/>
              </w:rPr>
            </w:pPr>
            <w:r w:rsidRPr="000C4898">
              <w:rPr>
                <w:rFonts w:ascii="Arial Narrow" w:hAnsi="Arial Narrow"/>
                <w:iCs/>
                <w:sz w:val="20"/>
                <w:szCs w:val="18"/>
              </w:rPr>
              <w:t>NR</w:t>
            </w:r>
          </w:p>
        </w:tc>
      </w:tr>
      <w:tr w:rsidR="000C4898" w:rsidRPr="000C4898" w14:paraId="0757806D" w14:textId="77777777" w:rsidTr="0F1D33A4">
        <w:tc>
          <w:tcPr>
            <w:tcW w:w="5000" w:type="pct"/>
            <w:gridSpan w:val="6"/>
          </w:tcPr>
          <w:p w14:paraId="0C648539" w14:textId="77777777" w:rsidR="000C4898" w:rsidRPr="000C4898" w:rsidRDefault="000C4898" w:rsidP="00BB42F1">
            <w:pPr>
              <w:keepNext/>
              <w:keepLines/>
              <w:rPr>
                <w:rFonts w:ascii="Arial Narrow" w:hAnsi="Arial Narrow"/>
                <w:b/>
                <w:sz w:val="20"/>
                <w:szCs w:val="18"/>
              </w:rPr>
            </w:pPr>
            <w:r w:rsidRPr="000C4898">
              <w:rPr>
                <w:rFonts w:ascii="Arial Narrow" w:hAnsi="Arial Narrow"/>
                <w:b/>
                <w:sz w:val="20"/>
                <w:szCs w:val="18"/>
              </w:rPr>
              <w:t>Haemorrhagic events (any grade)</w:t>
            </w:r>
          </w:p>
        </w:tc>
      </w:tr>
      <w:tr w:rsidR="000C4898" w:rsidRPr="000C4898" w14:paraId="00D28AF4" w14:textId="77777777" w:rsidTr="0F1D33A4">
        <w:tc>
          <w:tcPr>
            <w:tcW w:w="833" w:type="pct"/>
          </w:tcPr>
          <w:p w14:paraId="42E68939" w14:textId="77777777" w:rsidR="000C4898" w:rsidRPr="000C4898" w:rsidRDefault="000C4898" w:rsidP="00BB42F1">
            <w:pPr>
              <w:keepNext/>
              <w:keepLines/>
              <w:rPr>
                <w:rFonts w:ascii="Arial Narrow" w:hAnsi="Arial Narrow"/>
                <w:sz w:val="20"/>
                <w:szCs w:val="18"/>
              </w:rPr>
            </w:pPr>
            <w:r w:rsidRPr="000C4898">
              <w:rPr>
                <w:rFonts w:ascii="Arial Narrow" w:hAnsi="Arial Narrow"/>
                <w:sz w:val="20"/>
                <w:szCs w:val="18"/>
              </w:rPr>
              <w:t xml:space="preserve">MAJIC </w:t>
            </w:r>
            <w:r w:rsidRPr="000C4898">
              <w:rPr>
                <w:rFonts w:ascii="Arial Narrow" w:hAnsi="Arial Narrow"/>
                <w:sz w:val="20"/>
                <w:szCs w:val="18"/>
                <w:vertAlign w:val="superscript"/>
              </w:rPr>
              <w:t>d</w:t>
            </w:r>
          </w:p>
        </w:tc>
        <w:tc>
          <w:tcPr>
            <w:tcW w:w="973" w:type="pct"/>
            <w:vAlign w:val="center"/>
          </w:tcPr>
          <w:p w14:paraId="212B2F51" w14:textId="77777777" w:rsidR="000C4898" w:rsidRPr="000C4898" w:rsidRDefault="000C4898" w:rsidP="00BB42F1">
            <w:pPr>
              <w:keepNext/>
              <w:keepLines/>
              <w:jc w:val="center"/>
              <w:rPr>
                <w:rFonts w:ascii="Arial Narrow" w:hAnsi="Arial Narrow"/>
                <w:sz w:val="20"/>
                <w:szCs w:val="18"/>
              </w:rPr>
            </w:pPr>
            <w:r w:rsidRPr="000C4898">
              <w:rPr>
                <w:rFonts w:ascii="Arial Narrow" w:hAnsi="Arial Narrow"/>
                <w:sz w:val="20"/>
                <w:szCs w:val="18"/>
              </w:rPr>
              <w:t>12/93 (12.9)</w:t>
            </w:r>
          </w:p>
        </w:tc>
        <w:tc>
          <w:tcPr>
            <w:tcW w:w="694" w:type="pct"/>
            <w:vAlign w:val="center"/>
          </w:tcPr>
          <w:p w14:paraId="10C30794" w14:textId="77777777" w:rsidR="000C4898" w:rsidRPr="000C4898" w:rsidRDefault="000C4898" w:rsidP="00BB42F1">
            <w:pPr>
              <w:keepNext/>
              <w:keepLines/>
              <w:jc w:val="center"/>
              <w:rPr>
                <w:rFonts w:ascii="Arial Narrow" w:hAnsi="Arial Narrow"/>
                <w:sz w:val="20"/>
                <w:szCs w:val="18"/>
              </w:rPr>
            </w:pPr>
            <w:r w:rsidRPr="000C4898">
              <w:rPr>
                <w:rFonts w:ascii="Arial Narrow" w:hAnsi="Arial Narrow"/>
                <w:sz w:val="20"/>
                <w:szCs w:val="18"/>
              </w:rPr>
              <w:t>16/87 (18.4)</w:t>
            </w:r>
          </w:p>
        </w:tc>
        <w:tc>
          <w:tcPr>
            <w:tcW w:w="2500" w:type="pct"/>
            <w:gridSpan w:val="3"/>
            <w:vAlign w:val="center"/>
          </w:tcPr>
          <w:p w14:paraId="25066161" w14:textId="77777777" w:rsidR="000C4898" w:rsidRPr="000C4898" w:rsidRDefault="000C4898" w:rsidP="00BB42F1">
            <w:pPr>
              <w:keepNext/>
              <w:keepLines/>
              <w:jc w:val="center"/>
              <w:rPr>
                <w:rFonts w:ascii="Arial Narrow" w:hAnsi="Arial Narrow"/>
                <w:iCs/>
                <w:sz w:val="20"/>
                <w:szCs w:val="18"/>
              </w:rPr>
            </w:pPr>
            <w:r w:rsidRPr="000C4898">
              <w:rPr>
                <w:rFonts w:ascii="Arial Narrow" w:hAnsi="Arial Narrow"/>
                <w:iCs/>
                <w:sz w:val="20"/>
                <w:szCs w:val="18"/>
              </w:rPr>
              <w:t xml:space="preserve">0.86 (0.49, 1.51); p=0.60 </w:t>
            </w:r>
          </w:p>
        </w:tc>
      </w:tr>
      <w:tr w:rsidR="000C4898" w:rsidRPr="000C4898" w14:paraId="0E123230" w14:textId="77777777" w:rsidTr="0F1D33A4">
        <w:tc>
          <w:tcPr>
            <w:tcW w:w="833" w:type="pct"/>
          </w:tcPr>
          <w:p w14:paraId="28295569" w14:textId="77777777" w:rsidR="000C4898" w:rsidRPr="000C4898" w:rsidRDefault="000C4898" w:rsidP="00BB42F1">
            <w:pPr>
              <w:keepNext/>
              <w:keepLines/>
              <w:rPr>
                <w:rFonts w:ascii="Arial Narrow" w:hAnsi="Arial Narrow"/>
                <w:sz w:val="20"/>
                <w:szCs w:val="18"/>
              </w:rPr>
            </w:pPr>
            <w:r w:rsidRPr="000C4898">
              <w:rPr>
                <w:rFonts w:ascii="Arial Narrow" w:hAnsi="Arial Narrow"/>
                <w:sz w:val="20"/>
                <w:szCs w:val="18"/>
              </w:rPr>
              <w:t xml:space="preserve">RESPONSE </w:t>
            </w:r>
            <w:r w:rsidRPr="000C4898">
              <w:rPr>
                <w:rFonts w:ascii="Arial Narrow" w:hAnsi="Arial Narrow"/>
                <w:sz w:val="20"/>
                <w:szCs w:val="18"/>
                <w:vertAlign w:val="superscript"/>
              </w:rPr>
              <w:t>e</w:t>
            </w:r>
          </w:p>
        </w:tc>
        <w:tc>
          <w:tcPr>
            <w:tcW w:w="973" w:type="pct"/>
            <w:vAlign w:val="center"/>
          </w:tcPr>
          <w:p w14:paraId="54BE5B69" w14:textId="77777777" w:rsidR="000C4898" w:rsidRPr="000C4898" w:rsidRDefault="000C4898" w:rsidP="00BB42F1">
            <w:pPr>
              <w:keepNext/>
              <w:keepLines/>
              <w:jc w:val="center"/>
              <w:rPr>
                <w:rFonts w:ascii="Arial Narrow" w:hAnsi="Arial Narrow"/>
                <w:sz w:val="20"/>
                <w:szCs w:val="18"/>
              </w:rPr>
            </w:pPr>
            <w:r w:rsidRPr="000C4898">
              <w:rPr>
                <w:rFonts w:ascii="Arial Narrow" w:hAnsi="Arial Narrow"/>
                <w:sz w:val="20"/>
                <w:szCs w:val="18"/>
              </w:rPr>
              <w:t>NR (5.6)</w:t>
            </w:r>
          </w:p>
        </w:tc>
        <w:tc>
          <w:tcPr>
            <w:tcW w:w="694" w:type="pct"/>
            <w:vAlign w:val="center"/>
          </w:tcPr>
          <w:p w14:paraId="25C5AE50" w14:textId="77777777" w:rsidR="000C4898" w:rsidRPr="000C4898" w:rsidRDefault="000C4898" w:rsidP="00BB42F1">
            <w:pPr>
              <w:keepNext/>
              <w:keepLines/>
              <w:jc w:val="center"/>
              <w:rPr>
                <w:rFonts w:ascii="Arial Narrow" w:hAnsi="Arial Narrow"/>
                <w:sz w:val="20"/>
                <w:szCs w:val="18"/>
              </w:rPr>
            </w:pPr>
            <w:r w:rsidRPr="000C4898">
              <w:rPr>
                <w:rFonts w:ascii="Arial Narrow" w:hAnsi="Arial Narrow"/>
                <w:sz w:val="20"/>
                <w:szCs w:val="18"/>
              </w:rPr>
              <w:t>NR</w:t>
            </w:r>
          </w:p>
        </w:tc>
        <w:tc>
          <w:tcPr>
            <w:tcW w:w="2500" w:type="pct"/>
            <w:gridSpan w:val="3"/>
            <w:vAlign w:val="center"/>
          </w:tcPr>
          <w:p w14:paraId="2BBD0915" w14:textId="77777777" w:rsidR="000C4898" w:rsidRPr="000C4898" w:rsidRDefault="000C4898" w:rsidP="00BB42F1">
            <w:pPr>
              <w:keepNext/>
              <w:keepLines/>
              <w:jc w:val="center"/>
              <w:rPr>
                <w:rFonts w:ascii="Arial Narrow" w:hAnsi="Arial Narrow"/>
                <w:iCs/>
                <w:sz w:val="20"/>
                <w:szCs w:val="18"/>
              </w:rPr>
            </w:pPr>
            <w:r w:rsidRPr="000C4898">
              <w:rPr>
                <w:rFonts w:ascii="Arial Narrow" w:hAnsi="Arial Narrow"/>
                <w:iCs/>
                <w:sz w:val="20"/>
                <w:szCs w:val="18"/>
              </w:rPr>
              <w:t>NR</w:t>
            </w:r>
          </w:p>
        </w:tc>
      </w:tr>
      <w:tr w:rsidR="000C4898" w:rsidRPr="000C4898" w14:paraId="3CEC1CD1" w14:textId="77777777" w:rsidTr="0F1D33A4">
        <w:tc>
          <w:tcPr>
            <w:tcW w:w="833" w:type="pct"/>
          </w:tcPr>
          <w:p w14:paraId="6B1C20D2" w14:textId="77777777" w:rsidR="000C4898" w:rsidRPr="000C4898" w:rsidRDefault="000C4898" w:rsidP="00BB42F1">
            <w:pPr>
              <w:keepNext/>
              <w:keepLines/>
              <w:rPr>
                <w:rFonts w:ascii="Arial Narrow" w:hAnsi="Arial Narrow"/>
                <w:sz w:val="20"/>
                <w:szCs w:val="18"/>
              </w:rPr>
            </w:pPr>
            <w:r w:rsidRPr="000C4898">
              <w:rPr>
                <w:rFonts w:ascii="Arial Narrow" w:hAnsi="Arial Narrow"/>
                <w:sz w:val="20"/>
                <w:szCs w:val="18"/>
              </w:rPr>
              <w:t>RESPONSE-2</w:t>
            </w:r>
            <w:r w:rsidRPr="000C4898">
              <w:rPr>
                <w:rFonts w:ascii="Arial Narrow" w:hAnsi="Arial Narrow"/>
                <w:sz w:val="20"/>
                <w:szCs w:val="18"/>
                <w:vertAlign w:val="superscript"/>
              </w:rPr>
              <w:t xml:space="preserve"> c</w:t>
            </w:r>
          </w:p>
        </w:tc>
        <w:tc>
          <w:tcPr>
            <w:tcW w:w="973" w:type="pct"/>
            <w:vAlign w:val="center"/>
          </w:tcPr>
          <w:p w14:paraId="3123F9C6" w14:textId="77777777" w:rsidR="000C4898" w:rsidRPr="000C4898" w:rsidRDefault="000C4898" w:rsidP="00BB42F1">
            <w:pPr>
              <w:keepNext/>
              <w:keepLines/>
              <w:jc w:val="center"/>
              <w:rPr>
                <w:rFonts w:ascii="Arial Narrow" w:hAnsi="Arial Narrow"/>
                <w:sz w:val="20"/>
                <w:szCs w:val="18"/>
              </w:rPr>
            </w:pPr>
            <w:r w:rsidRPr="000C4898">
              <w:rPr>
                <w:rFonts w:ascii="Arial Narrow" w:hAnsi="Arial Narrow"/>
                <w:sz w:val="20"/>
                <w:szCs w:val="18"/>
              </w:rPr>
              <w:t>22 (6.6)</w:t>
            </w:r>
          </w:p>
        </w:tc>
        <w:tc>
          <w:tcPr>
            <w:tcW w:w="694" w:type="pct"/>
            <w:vAlign w:val="center"/>
          </w:tcPr>
          <w:p w14:paraId="4C31E08B" w14:textId="77777777" w:rsidR="000C4898" w:rsidRPr="000C4898" w:rsidRDefault="000C4898" w:rsidP="00BB42F1">
            <w:pPr>
              <w:keepNext/>
              <w:keepLines/>
              <w:jc w:val="center"/>
              <w:rPr>
                <w:rFonts w:ascii="Arial Narrow" w:hAnsi="Arial Narrow"/>
                <w:sz w:val="20"/>
                <w:szCs w:val="18"/>
              </w:rPr>
            </w:pPr>
            <w:r w:rsidRPr="000C4898">
              <w:rPr>
                <w:rFonts w:ascii="Arial Narrow" w:hAnsi="Arial Narrow"/>
                <w:sz w:val="20"/>
                <w:szCs w:val="18"/>
              </w:rPr>
              <w:t>8 (15.0)</w:t>
            </w:r>
          </w:p>
        </w:tc>
        <w:tc>
          <w:tcPr>
            <w:tcW w:w="2500" w:type="pct"/>
            <w:gridSpan w:val="3"/>
            <w:vAlign w:val="center"/>
          </w:tcPr>
          <w:p w14:paraId="30801681" w14:textId="77777777" w:rsidR="000C4898" w:rsidRPr="000C4898" w:rsidRDefault="000C4898" w:rsidP="00BB42F1">
            <w:pPr>
              <w:keepNext/>
              <w:keepLines/>
              <w:jc w:val="center"/>
              <w:rPr>
                <w:rFonts w:ascii="Arial Narrow" w:hAnsi="Arial Narrow"/>
                <w:iCs/>
                <w:sz w:val="20"/>
                <w:szCs w:val="18"/>
              </w:rPr>
            </w:pPr>
            <w:r w:rsidRPr="000C4898">
              <w:rPr>
                <w:rFonts w:ascii="Arial Narrow" w:hAnsi="Arial Narrow"/>
                <w:iCs/>
                <w:sz w:val="20"/>
                <w:szCs w:val="18"/>
              </w:rPr>
              <w:t>NR</w:t>
            </w:r>
          </w:p>
        </w:tc>
      </w:tr>
      <w:tr w:rsidR="000C4898" w:rsidRPr="000C4898" w14:paraId="1440D962" w14:textId="77777777" w:rsidTr="0F1D33A4">
        <w:tc>
          <w:tcPr>
            <w:tcW w:w="5000" w:type="pct"/>
            <w:gridSpan w:val="6"/>
            <w:shd w:val="clear" w:color="auto" w:fill="B8CCE4" w:themeFill="accent1" w:themeFillTint="66"/>
            <w:vAlign w:val="center"/>
          </w:tcPr>
          <w:p w14:paraId="491A627B" w14:textId="77777777" w:rsidR="000C4898" w:rsidRPr="000C4898" w:rsidRDefault="000C4898" w:rsidP="00BB42F1">
            <w:pPr>
              <w:keepNext/>
              <w:keepLines/>
              <w:jc w:val="left"/>
              <w:rPr>
                <w:rFonts w:ascii="Arial Narrow" w:eastAsiaTheme="majorEastAsia" w:hAnsi="Arial Narrow" w:cs="Times New Roman"/>
                <w:b/>
                <w:sz w:val="20"/>
                <w:lang w:val="en-US"/>
              </w:rPr>
            </w:pPr>
            <w:r w:rsidRPr="000C4898">
              <w:rPr>
                <w:rFonts w:ascii="Arial Narrow" w:eastAsiaTheme="majorEastAsia" w:hAnsi="Arial Narrow" w:cs="Times New Roman"/>
                <w:b/>
                <w:sz w:val="20"/>
                <w:lang w:val="en-US"/>
              </w:rPr>
              <w:t>Evidence presented in previous submission at 2.6 years, 32 weeks, 28 weeks of follow up in MAJIC, RESPONSE and RESPONSE-2 trials, respectively</w:t>
            </w:r>
          </w:p>
        </w:tc>
      </w:tr>
      <w:tr w:rsidR="000C4898" w:rsidRPr="000C4898" w14:paraId="7CB1B3C7" w14:textId="77777777" w:rsidTr="0F1D33A4">
        <w:tc>
          <w:tcPr>
            <w:tcW w:w="833" w:type="pct"/>
            <w:shd w:val="clear" w:color="auto" w:fill="B8CCE4" w:themeFill="accent1" w:themeFillTint="66"/>
            <w:vAlign w:val="center"/>
          </w:tcPr>
          <w:p w14:paraId="16E05022" w14:textId="77777777" w:rsidR="000C4898" w:rsidRPr="000C4898" w:rsidRDefault="000C4898" w:rsidP="00BB42F1">
            <w:pPr>
              <w:keepNext/>
              <w:keepLines/>
              <w:rPr>
                <w:rFonts w:ascii="Arial Narrow" w:hAnsi="Arial Narrow"/>
                <w:sz w:val="20"/>
                <w:szCs w:val="18"/>
              </w:rPr>
            </w:pPr>
            <w:r w:rsidRPr="000C4898">
              <w:rPr>
                <w:rFonts w:ascii="Arial Narrow" w:eastAsia="Calibri" w:hAnsi="Arial Narrow"/>
                <w:b/>
                <w:sz w:val="20"/>
                <w:szCs w:val="18"/>
              </w:rPr>
              <w:t>Trial</w:t>
            </w:r>
          </w:p>
        </w:tc>
        <w:tc>
          <w:tcPr>
            <w:tcW w:w="973" w:type="pct"/>
            <w:shd w:val="clear" w:color="auto" w:fill="B8CCE4" w:themeFill="accent1" w:themeFillTint="66"/>
            <w:vAlign w:val="center"/>
          </w:tcPr>
          <w:p w14:paraId="366EDF6D" w14:textId="77777777" w:rsidR="000C4898" w:rsidRPr="000C4898" w:rsidRDefault="000C4898" w:rsidP="0F1D33A4">
            <w:pPr>
              <w:keepNext/>
              <w:keepLines/>
              <w:jc w:val="center"/>
              <w:rPr>
                <w:rFonts w:ascii="Arial Narrow" w:hAnsi="Arial Narrow"/>
                <w:sz w:val="20"/>
                <w:szCs w:val="20"/>
              </w:rPr>
            </w:pPr>
            <w:r w:rsidRPr="0F1D33A4">
              <w:rPr>
                <w:rFonts w:ascii="Arial Narrow" w:eastAsia="Calibri" w:hAnsi="Arial Narrow"/>
                <w:b/>
                <w:bCs/>
                <w:sz w:val="20"/>
                <w:szCs w:val="20"/>
              </w:rPr>
              <w:t>Ruxolitinib n/N(%)</w:t>
            </w:r>
          </w:p>
        </w:tc>
        <w:tc>
          <w:tcPr>
            <w:tcW w:w="694" w:type="pct"/>
            <w:shd w:val="clear" w:color="auto" w:fill="B8CCE4" w:themeFill="accent1" w:themeFillTint="66"/>
            <w:vAlign w:val="center"/>
          </w:tcPr>
          <w:p w14:paraId="567E1F7B" w14:textId="77777777" w:rsidR="000C4898" w:rsidRPr="000C4898" w:rsidRDefault="000C4898" w:rsidP="0F1D33A4">
            <w:pPr>
              <w:keepNext/>
              <w:keepLines/>
              <w:jc w:val="center"/>
              <w:rPr>
                <w:rFonts w:ascii="Arial Narrow" w:hAnsi="Arial Narrow"/>
                <w:sz w:val="20"/>
                <w:szCs w:val="20"/>
              </w:rPr>
            </w:pPr>
            <w:r w:rsidRPr="0F1D33A4">
              <w:rPr>
                <w:rFonts w:ascii="Arial Narrow" w:eastAsia="Calibri" w:hAnsi="Arial Narrow"/>
                <w:b/>
                <w:bCs/>
                <w:sz w:val="20"/>
                <w:szCs w:val="20"/>
              </w:rPr>
              <w:t>BAT n/N(%)</w:t>
            </w:r>
          </w:p>
        </w:tc>
        <w:tc>
          <w:tcPr>
            <w:tcW w:w="833" w:type="pct"/>
            <w:shd w:val="clear" w:color="auto" w:fill="B8CCE4" w:themeFill="accent1" w:themeFillTint="66"/>
            <w:vAlign w:val="center"/>
          </w:tcPr>
          <w:p w14:paraId="3F8A8514" w14:textId="77777777" w:rsidR="000C4898" w:rsidRPr="000C4898" w:rsidRDefault="000C4898" w:rsidP="00BB42F1">
            <w:pPr>
              <w:keepNext/>
              <w:keepLines/>
              <w:jc w:val="center"/>
              <w:rPr>
                <w:rFonts w:ascii="Arial Narrow" w:hAnsi="Arial Narrow"/>
                <w:sz w:val="20"/>
                <w:szCs w:val="18"/>
              </w:rPr>
            </w:pPr>
            <w:r w:rsidRPr="000C4898">
              <w:rPr>
                <w:rFonts w:ascii="Arial Narrow" w:eastAsia="Calibri" w:hAnsi="Arial Narrow"/>
                <w:b/>
                <w:sz w:val="20"/>
                <w:szCs w:val="18"/>
              </w:rPr>
              <w:t>OR (95% CI)</w:t>
            </w:r>
          </w:p>
        </w:tc>
        <w:tc>
          <w:tcPr>
            <w:tcW w:w="833" w:type="pct"/>
            <w:shd w:val="clear" w:color="auto" w:fill="B8CCE4" w:themeFill="accent1" w:themeFillTint="66"/>
            <w:vAlign w:val="center"/>
          </w:tcPr>
          <w:p w14:paraId="40203079" w14:textId="77777777" w:rsidR="000C4898" w:rsidRPr="000C4898" w:rsidRDefault="000C4898" w:rsidP="00BB42F1">
            <w:pPr>
              <w:keepNext/>
              <w:keepLines/>
              <w:jc w:val="center"/>
              <w:rPr>
                <w:rFonts w:ascii="Arial Narrow" w:hAnsi="Arial Narrow"/>
                <w:i/>
                <w:sz w:val="20"/>
                <w:szCs w:val="18"/>
              </w:rPr>
            </w:pPr>
            <w:r w:rsidRPr="000C4898">
              <w:rPr>
                <w:rFonts w:ascii="Arial Narrow" w:eastAsia="Calibri" w:hAnsi="Arial Narrow"/>
                <w:b/>
                <w:sz w:val="20"/>
                <w:szCs w:val="18"/>
              </w:rPr>
              <w:t>RR (95% CI)</w:t>
            </w:r>
          </w:p>
        </w:tc>
        <w:tc>
          <w:tcPr>
            <w:tcW w:w="834" w:type="pct"/>
            <w:shd w:val="clear" w:color="auto" w:fill="B8CCE4" w:themeFill="accent1" w:themeFillTint="66"/>
            <w:vAlign w:val="center"/>
          </w:tcPr>
          <w:p w14:paraId="2DF0747D" w14:textId="77777777" w:rsidR="000C4898" w:rsidRPr="000C4898" w:rsidRDefault="000C4898" w:rsidP="00BB42F1">
            <w:pPr>
              <w:keepNext/>
              <w:keepLines/>
              <w:jc w:val="center"/>
              <w:rPr>
                <w:rFonts w:ascii="Arial Narrow" w:hAnsi="Arial Narrow"/>
                <w:sz w:val="20"/>
                <w:szCs w:val="18"/>
              </w:rPr>
            </w:pPr>
            <w:r w:rsidRPr="000C4898">
              <w:rPr>
                <w:rFonts w:ascii="Arial Narrow" w:eastAsia="Calibri" w:hAnsi="Arial Narrow"/>
                <w:b/>
                <w:sz w:val="20"/>
                <w:szCs w:val="18"/>
              </w:rPr>
              <w:t>RD (95% CI)</w:t>
            </w:r>
          </w:p>
        </w:tc>
      </w:tr>
      <w:tr w:rsidR="000C4898" w:rsidRPr="000C4898" w14:paraId="77CF0E2D" w14:textId="77777777" w:rsidTr="0F1D33A4">
        <w:tc>
          <w:tcPr>
            <w:tcW w:w="5000" w:type="pct"/>
            <w:gridSpan w:val="6"/>
            <w:shd w:val="clear" w:color="auto" w:fill="B8CCE4" w:themeFill="accent1" w:themeFillTint="66"/>
          </w:tcPr>
          <w:p w14:paraId="484AC75D" w14:textId="77777777" w:rsidR="000C4898" w:rsidRPr="000C4898" w:rsidRDefault="000C4898" w:rsidP="00BB42F1">
            <w:pPr>
              <w:keepNext/>
              <w:keepLines/>
              <w:jc w:val="left"/>
              <w:rPr>
                <w:rFonts w:ascii="Arial Narrow" w:eastAsiaTheme="majorEastAsia" w:hAnsi="Arial Narrow" w:cs="Times New Roman"/>
                <w:b/>
                <w:sz w:val="20"/>
                <w:lang w:val="en-US"/>
              </w:rPr>
            </w:pPr>
            <w:r w:rsidRPr="000C4898">
              <w:rPr>
                <w:rFonts w:ascii="Arial Narrow" w:eastAsiaTheme="majorEastAsia" w:hAnsi="Arial Narrow" w:cs="Times New Roman"/>
                <w:b/>
                <w:sz w:val="20"/>
                <w:lang w:val="en-US"/>
              </w:rPr>
              <w:t>Thrombotic events (any grade)</w:t>
            </w:r>
          </w:p>
        </w:tc>
      </w:tr>
      <w:tr w:rsidR="000C4898" w:rsidRPr="000C4898" w14:paraId="4E062725" w14:textId="77777777" w:rsidTr="0F1D33A4">
        <w:tc>
          <w:tcPr>
            <w:tcW w:w="833" w:type="pct"/>
            <w:shd w:val="clear" w:color="auto" w:fill="B8CCE4" w:themeFill="accent1" w:themeFillTint="66"/>
          </w:tcPr>
          <w:p w14:paraId="5D5FDAEB" w14:textId="77777777" w:rsidR="000C4898" w:rsidRPr="000C4898" w:rsidRDefault="000C4898" w:rsidP="00BB42F1">
            <w:pPr>
              <w:keepNext/>
              <w:keepLines/>
              <w:rPr>
                <w:rFonts w:ascii="Arial Narrow" w:hAnsi="Arial Narrow"/>
                <w:b/>
                <w:sz w:val="20"/>
                <w:szCs w:val="18"/>
              </w:rPr>
            </w:pPr>
            <w:r w:rsidRPr="000C4898">
              <w:rPr>
                <w:rFonts w:ascii="Arial Narrow" w:hAnsi="Arial Narrow"/>
                <w:sz w:val="20"/>
                <w:szCs w:val="18"/>
              </w:rPr>
              <w:t>MAJIC</w:t>
            </w:r>
          </w:p>
        </w:tc>
        <w:tc>
          <w:tcPr>
            <w:tcW w:w="973" w:type="pct"/>
            <w:shd w:val="clear" w:color="auto" w:fill="B8CCE4" w:themeFill="accent1" w:themeFillTint="66"/>
            <w:vAlign w:val="center"/>
          </w:tcPr>
          <w:p w14:paraId="415E4BE7" w14:textId="77777777" w:rsidR="000C4898" w:rsidRPr="000C4898" w:rsidRDefault="000C4898" w:rsidP="00BB42F1">
            <w:pPr>
              <w:keepNext/>
              <w:keepLines/>
              <w:jc w:val="center"/>
              <w:rPr>
                <w:rFonts w:ascii="Arial Narrow" w:hAnsi="Arial Narrow"/>
                <w:sz w:val="20"/>
                <w:szCs w:val="18"/>
              </w:rPr>
            </w:pPr>
            <w:r w:rsidRPr="000C4898">
              <w:rPr>
                <w:rFonts w:ascii="Arial Narrow" w:hAnsi="Arial Narrow"/>
                <w:sz w:val="20"/>
                <w:szCs w:val="18"/>
              </w:rPr>
              <w:t xml:space="preserve">10 </w:t>
            </w:r>
            <w:r w:rsidRPr="000C4898">
              <w:rPr>
                <w:rFonts w:ascii="Arial Narrow" w:hAnsi="Arial Narrow"/>
                <w:sz w:val="20"/>
                <w:szCs w:val="18"/>
                <w:vertAlign w:val="superscript"/>
              </w:rPr>
              <w:t>f</w:t>
            </w:r>
            <w:r w:rsidRPr="000C4898">
              <w:rPr>
                <w:rFonts w:ascii="Arial Narrow" w:hAnsi="Arial Narrow"/>
                <w:sz w:val="20"/>
                <w:szCs w:val="18"/>
              </w:rPr>
              <w:t>/93 (10.8)</w:t>
            </w:r>
          </w:p>
        </w:tc>
        <w:tc>
          <w:tcPr>
            <w:tcW w:w="694" w:type="pct"/>
            <w:shd w:val="clear" w:color="auto" w:fill="B8CCE4" w:themeFill="accent1" w:themeFillTint="66"/>
            <w:vAlign w:val="center"/>
          </w:tcPr>
          <w:p w14:paraId="5992B149" w14:textId="77777777" w:rsidR="000C4898" w:rsidRPr="000C4898" w:rsidRDefault="000C4898" w:rsidP="00BB42F1">
            <w:pPr>
              <w:keepNext/>
              <w:keepLines/>
              <w:jc w:val="center"/>
              <w:rPr>
                <w:rFonts w:ascii="Arial Narrow" w:hAnsi="Arial Narrow"/>
                <w:sz w:val="20"/>
                <w:szCs w:val="18"/>
              </w:rPr>
            </w:pPr>
            <w:r w:rsidRPr="000C4898">
              <w:rPr>
                <w:rFonts w:ascii="Arial Narrow" w:hAnsi="Arial Narrow"/>
                <w:sz w:val="20"/>
                <w:szCs w:val="18"/>
              </w:rPr>
              <w:t xml:space="preserve">10 </w:t>
            </w:r>
            <w:r w:rsidRPr="000C4898">
              <w:rPr>
                <w:rFonts w:ascii="Arial Narrow" w:hAnsi="Arial Narrow"/>
                <w:sz w:val="20"/>
                <w:szCs w:val="18"/>
                <w:vertAlign w:val="superscript"/>
              </w:rPr>
              <w:t>f</w:t>
            </w:r>
            <w:r w:rsidRPr="000C4898">
              <w:rPr>
                <w:rFonts w:ascii="Arial Narrow" w:hAnsi="Arial Narrow"/>
                <w:sz w:val="20"/>
                <w:szCs w:val="18"/>
              </w:rPr>
              <w:t>/89 (11.2)</w:t>
            </w:r>
          </w:p>
        </w:tc>
        <w:tc>
          <w:tcPr>
            <w:tcW w:w="833" w:type="pct"/>
            <w:shd w:val="clear" w:color="auto" w:fill="B8CCE4" w:themeFill="accent1" w:themeFillTint="66"/>
            <w:vAlign w:val="center"/>
          </w:tcPr>
          <w:p w14:paraId="6BA82B96" w14:textId="77777777" w:rsidR="000C4898" w:rsidRPr="000C1E7D" w:rsidRDefault="000C4898" w:rsidP="00BB42F1">
            <w:pPr>
              <w:keepNext/>
              <w:keepLines/>
              <w:jc w:val="center"/>
              <w:rPr>
                <w:rFonts w:ascii="Arial Narrow" w:hAnsi="Arial Narrow"/>
                <w:iCs/>
                <w:sz w:val="20"/>
                <w:szCs w:val="18"/>
              </w:rPr>
            </w:pPr>
            <w:r w:rsidRPr="000C1E7D">
              <w:rPr>
                <w:rFonts w:ascii="Arial Narrow" w:hAnsi="Arial Narrow"/>
                <w:iCs/>
                <w:sz w:val="20"/>
                <w:szCs w:val="18"/>
              </w:rPr>
              <w:t>0.95 (0.36, 2.70)</w:t>
            </w:r>
          </w:p>
        </w:tc>
        <w:tc>
          <w:tcPr>
            <w:tcW w:w="833" w:type="pct"/>
            <w:shd w:val="clear" w:color="auto" w:fill="B8CCE4" w:themeFill="accent1" w:themeFillTint="66"/>
            <w:vAlign w:val="center"/>
          </w:tcPr>
          <w:p w14:paraId="2D9D132D" w14:textId="77777777" w:rsidR="000C4898" w:rsidRPr="000C1E7D" w:rsidRDefault="000C4898" w:rsidP="00BB42F1">
            <w:pPr>
              <w:keepNext/>
              <w:keepLines/>
              <w:jc w:val="center"/>
              <w:rPr>
                <w:rFonts w:ascii="Arial Narrow" w:hAnsi="Arial Narrow"/>
                <w:iCs/>
                <w:sz w:val="20"/>
                <w:szCs w:val="18"/>
              </w:rPr>
            </w:pPr>
            <w:r w:rsidRPr="000C1E7D">
              <w:rPr>
                <w:rFonts w:ascii="Arial Narrow" w:hAnsi="Arial Narrow"/>
                <w:iCs/>
                <w:sz w:val="20"/>
                <w:szCs w:val="18"/>
              </w:rPr>
              <w:t>0.96 (0.43, 2.14)</w:t>
            </w:r>
          </w:p>
        </w:tc>
        <w:tc>
          <w:tcPr>
            <w:tcW w:w="834" w:type="pct"/>
            <w:shd w:val="clear" w:color="auto" w:fill="B8CCE4" w:themeFill="accent1" w:themeFillTint="66"/>
            <w:vAlign w:val="center"/>
          </w:tcPr>
          <w:p w14:paraId="7DF57E95" w14:textId="77777777" w:rsidR="000C4898" w:rsidRPr="000C1E7D" w:rsidRDefault="000C4898" w:rsidP="00BB42F1">
            <w:pPr>
              <w:keepNext/>
              <w:keepLines/>
              <w:jc w:val="center"/>
              <w:rPr>
                <w:rFonts w:ascii="Arial Narrow" w:hAnsi="Arial Narrow"/>
                <w:iCs/>
                <w:sz w:val="20"/>
                <w:szCs w:val="18"/>
              </w:rPr>
            </w:pPr>
            <w:r w:rsidRPr="000C1E7D">
              <w:rPr>
                <w:rFonts w:ascii="Arial Narrow" w:hAnsi="Arial Narrow"/>
                <w:iCs/>
                <w:sz w:val="20"/>
                <w:szCs w:val="18"/>
              </w:rPr>
              <w:t>-0.01 (-0.10, 0.09)</w:t>
            </w:r>
          </w:p>
        </w:tc>
      </w:tr>
      <w:tr w:rsidR="000C4898" w:rsidRPr="000C4898" w14:paraId="03B293B1" w14:textId="77777777" w:rsidTr="0F1D33A4">
        <w:tc>
          <w:tcPr>
            <w:tcW w:w="833" w:type="pct"/>
            <w:shd w:val="clear" w:color="auto" w:fill="B8CCE4" w:themeFill="accent1" w:themeFillTint="66"/>
          </w:tcPr>
          <w:p w14:paraId="5D188A96" w14:textId="77777777" w:rsidR="000C4898" w:rsidRPr="000C4898" w:rsidRDefault="000C4898" w:rsidP="00BB42F1">
            <w:pPr>
              <w:keepNext/>
              <w:keepLines/>
              <w:rPr>
                <w:rFonts w:ascii="Arial Narrow" w:hAnsi="Arial Narrow"/>
                <w:sz w:val="20"/>
                <w:szCs w:val="18"/>
              </w:rPr>
            </w:pPr>
            <w:r w:rsidRPr="000C4898">
              <w:rPr>
                <w:rFonts w:ascii="Arial Narrow" w:hAnsi="Arial Narrow"/>
                <w:sz w:val="20"/>
                <w:szCs w:val="18"/>
              </w:rPr>
              <w:t>RESPONSE</w:t>
            </w:r>
          </w:p>
        </w:tc>
        <w:tc>
          <w:tcPr>
            <w:tcW w:w="973" w:type="pct"/>
            <w:shd w:val="clear" w:color="auto" w:fill="B8CCE4" w:themeFill="accent1" w:themeFillTint="66"/>
            <w:vAlign w:val="center"/>
          </w:tcPr>
          <w:p w14:paraId="118975A9" w14:textId="77777777" w:rsidR="000C4898" w:rsidRPr="000C4898" w:rsidRDefault="000C4898" w:rsidP="00BB42F1">
            <w:pPr>
              <w:keepNext/>
              <w:keepLines/>
              <w:jc w:val="center"/>
              <w:rPr>
                <w:rFonts w:ascii="Arial Narrow" w:hAnsi="Arial Narrow"/>
                <w:sz w:val="20"/>
                <w:szCs w:val="18"/>
              </w:rPr>
            </w:pPr>
            <w:r w:rsidRPr="000C4898">
              <w:rPr>
                <w:rFonts w:ascii="Arial Narrow" w:hAnsi="Arial Narrow"/>
                <w:sz w:val="20"/>
                <w:szCs w:val="18"/>
              </w:rPr>
              <w:t>1/110 (0.9)</w:t>
            </w:r>
          </w:p>
        </w:tc>
        <w:tc>
          <w:tcPr>
            <w:tcW w:w="694" w:type="pct"/>
            <w:shd w:val="clear" w:color="auto" w:fill="B8CCE4" w:themeFill="accent1" w:themeFillTint="66"/>
            <w:vAlign w:val="center"/>
          </w:tcPr>
          <w:p w14:paraId="61738DB7" w14:textId="77777777" w:rsidR="000C4898" w:rsidRPr="000C4898" w:rsidRDefault="000C4898" w:rsidP="00BB42F1">
            <w:pPr>
              <w:keepNext/>
              <w:keepLines/>
              <w:jc w:val="center"/>
              <w:rPr>
                <w:rFonts w:ascii="Arial Narrow" w:hAnsi="Arial Narrow"/>
                <w:sz w:val="20"/>
                <w:szCs w:val="18"/>
              </w:rPr>
            </w:pPr>
            <w:r w:rsidRPr="000C4898">
              <w:rPr>
                <w:rFonts w:ascii="Arial Narrow" w:hAnsi="Arial Narrow"/>
                <w:sz w:val="20"/>
                <w:szCs w:val="18"/>
              </w:rPr>
              <w:t>6/111 (5.4)</w:t>
            </w:r>
          </w:p>
        </w:tc>
        <w:tc>
          <w:tcPr>
            <w:tcW w:w="833" w:type="pct"/>
            <w:shd w:val="clear" w:color="auto" w:fill="B8CCE4" w:themeFill="accent1" w:themeFillTint="66"/>
            <w:vAlign w:val="center"/>
          </w:tcPr>
          <w:p w14:paraId="29107D99" w14:textId="77777777" w:rsidR="000C4898" w:rsidRPr="000C1E7D" w:rsidRDefault="000C4898" w:rsidP="00BB42F1">
            <w:pPr>
              <w:keepNext/>
              <w:keepLines/>
              <w:jc w:val="center"/>
              <w:rPr>
                <w:rFonts w:ascii="Arial Narrow" w:hAnsi="Arial Narrow"/>
                <w:iCs/>
                <w:sz w:val="20"/>
                <w:szCs w:val="18"/>
              </w:rPr>
            </w:pPr>
            <w:r w:rsidRPr="000C1E7D">
              <w:rPr>
                <w:rFonts w:ascii="Arial Narrow" w:hAnsi="Arial Narrow"/>
                <w:iCs/>
                <w:sz w:val="20"/>
                <w:szCs w:val="18"/>
              </w:rPr>
              <w:t>0.16 (0.003, 1.37)</w:t>
            </w:r>
          </w:p>
        </w:tc>
        <w:tc>
          <w:tcPr>
            <w:tcW w:w="833" w:type="pct"/>
            <w:shd w:val="clear" w:color="auto" w:fill="B8CCE4" w:themeFill="accent1" w:themeFillTint="66"/>
            <w:vAlign w:val="center"/>
          </w:tcPr>
          <w:p w14:paraId="78AF216F" w14:textId="77777777" w:rsidR="000C4898" w:rsidRPr="000C1E7D" w:rsidRDefault="000C4898" w:rsidP="00BB42F1">
            <w:pPr>
              <w:keepNext/>
              <w:keepLines/>
              <w:jc w:val="center"/>
              <w:rPr>
                <w:rFonts w:ascii="Arial Narrow" w:hAnsi="Arial Narrow"/>
                <w:iCs/>
                <w:sz w:val="20"/>
                <w:szCs w:val="18"/>
              </w:rPr>
            </w:pPr>
            <w:r w:rsidRPr="000C1E7D">
              <w:rPr>
                <w:rFonts w:ascii="Arial Narrow" w:hAnsi="Arial Narrow"/>
                <w:iCs/>
                <w:sz w:val="20"/>
                <w:szCs w:val="18"/>
              </w:rPr>
              <w:t>0.17 (0.03, 1.04)</w:t>
            </w:r>
          </w:p>
        </w:tc>
        <w:tc>
          <w:tcPr>
            <w:tcW w:w="834" w:type="pct"/>
            <w:shd w:val="clear" w:color="auto" w:fill="B8CCE4" w:themeFill="accent1" w:themeFillTint="66"/>
            <w:vAlign w:val="center"/>
          </w:tcPr>
          <w:p w14:paraId="71A28AC5" w14:textId="77777777" w:rsidR="000C4898" w:rsidRPr="000C1E7D" w:rsidRDefault="000C4898" w:rsidP="00BB42F1">
            <w:pPr>
              <w:keepNext/>
              <w:keepLines/>
              <w:jc w:val="center"/>
              <w:rPr>
                <w:rFonts w:ascii="Arial Narrow" w:hAnsi="Arial Narrow"/>
                <w:iCs/>
                <w:sz w:val="20"/>
                <w:szCs w:val="18"/>
              </w:rPr>
            </w:pPr>
            <w:r w:rsidRPr="000C1E7D">
              <w:rPr>
                <w:rFonts w:ascii="Arial Narrow" w:hAnsi="Arial Narrow"/>
                <w:iCs/>
                <w:sz w:val="20"/>
                <w:szCs w:val="18"/>
              </w:rPr>
              <w:t>-0.04 (-0.09, 0.00)</w:t>
            </w:r>
          </w:p>
        </w:tc>
      </w:tr>
      <w:tr w:rsidR="000C4898" w:rsidRPr="000C4898" w14:paraId="095AD6B9" w14:textId="77777777" w:rsidTr="0F1D33A4">
        <w:tc>
          <w:tcPr>
            <w:tcW w:w="833" w:type="pct"/>
            <w:shd w:val="clear" w:color="auto" w:fill="B8CCE4" w:themeFill="accent1" w:themeFillTint="66"/>
          </w:tcPr>
          <w:p w14:paraId="74D8A4F8" w14:textId="77777777" w:rsidR="000C4898" w:rsidRPr="000C4898" w:rsidRDefault="000C4898" w:rsidP="00BB42F1">
            <w:pPr>
              <w:keepNext/>
              <w:keepLines/>
              <w:rPr>
                <w:rFonts w:ascii="Arial Narrow" w:hAnsi="Arial Narrow"/>
                <w:sz w:val="20"/>
                <w:szCs w:val="18"/>
              </w:rPr>
            </w:pPr>
            <w:r w:rsidRPr="000C4898">
              <w:rPr>
                <w:rFonts w:ascii="Arial Narrow" w:hAnsi="Arial Narrow"/>
                <w:sz w:val="20"/>
                <w:szCs w:val="18"/>
              </w:rPr>
              <w:t>RESPONSE-2</w:t>
            </w:r>
          </w:p>
        </w:tc>
        <w:tc>
          <w:tcPr>
            <w:tcW w:w="973" w:type="pct"/>
            <w:shd w:val="clear" w:color="auto" w:fill="B8CCE4" w:themeFill="accent1" w:themeFillTint="66"/>
            <w:vAlign w:val="center"/>
          </w:tcPr>
          <w:p w14:paraId="363DBCB9" w14:textId="77777777" w:rsidR="000C4898" w:rsidRPr="000C4898" w:rsidRDefault="000C4898" w:rsidP="00BB42F1">
            <w:pPr>
              <w:keepNext/>
              <w:keepLines/>
              <w:jc w:val="center"/>
              <w:rPr>
                <w:rFonts w:ascii="Arial Narrow" w:hAnsi="Arial Narrow"/>
                <w:sz w:val="20"/>
                <w:szCs w:val="18"/>
              </w:rPr>
            </w:pPr>
            <w:r w:rsidRPr="000C4898">
              <w:rPr>
                <w:rFonts w:ascii="Arial Narrow" w:hAnsi="Arial Narrow"/>
                <w:sz w:val="20"/>
                <w:szCs w:val="18"/>
              </w:rPr>
              <w:t>1/74 (1.4)</w:t>
            </w:r>
          </w:p>
        </w:tc>
        <w:tc>
          <w:tcPr>
            <w:tcW w:w="694" w:type="pct"/>
            <w:shd w:val="clear" w:color="auto" w:fill="B8CCE4" w:themeFill="accent1" w:themeFillTint="66"/>
            <w:vAlign w:val="center"/>
          </w:tcPr>
          <w:p w14:paraId="797DDE25" w14:textId="77777777" w:rsidR="000C4898" w:rsidRPr="000C4898" w:rsidRDefault="000C4898" w:rsidP="00BB42F1">
            <w:pPr>
              <w:keepNext/>
              <w:keepLines/>
              <w:jc w:val="center"/>
              <w:rPr>
                <w:rFonts w:ascii="Arial Narrow" w:hAnsi="Arial Narrow"/>
                <w:sz w:val="20"/>
                <w:szCs w:val="18"/>
              </w:rPr>
            </w:pPr>
            <w:r w:rsidRPr="000C4898">
              <w:rPr>
                <w:rFonts w:ascii="Arial Narrow" w:hAnsi="Arial Narrow"/>
                <w:sz w:val="20"/>
                <w:szCs w:val="18"/>
              </w:rPr>
              <w:t>3/75 (4.0)</w:t>
            </w:r>
          </w:p>
        </w:tc>
        <w:tc>
          <w:tcPr>
            <w:tcW w:w="833" w:type="pct"/>
            <w:shd w:val="clear" w:color="auto" w:fill="B8CCE4" w:themeFill="accent1" w:themeFillTint="66"/>
            <w:vAlign w:val="center"/>
          </w:tcPr>
          <w:p w14:paraId="6CC02295" w14:textId="77777777" w:rsidR="000C4898" w:rsidRPr="000C1E7D" w:rsidRDefault="000C4898" w:rsidP="00BB42F1">
            <w:pPr>
              <w:keepNext/>
              <w:keepLines/>
              <w:jc w:val="center"/>
              <w:rPr>
                <w:rFonts w:ascii="Arial Narrow" w:hAnsi="Arial Narrow"/>
                <w:iCs/>
                <w:sz w:val="20"/>
                <w:szCs w:val="18"/>
              </w:rPr>
            </w:pPr>
            <w:r w:rsidRPr="000C1E7D">
              <w:rPr>
                <w:rFonts w:ascii="Arial Narrow" w:hAnsi="Arial Narrow"/>
                <w:iCs/>
                <w:sz w:val="20"/>
                <w:szCs w:val="18"/>
              </w:rPr>
              <w:t>0.33 (0.03, 3.24)</w:t>
            </w:r>
          </w:p>
        </w:tc>
        <w:tc>
          <w:tcPr>
            <w:tcW w:w="833" w:type="pct"/>
            <w:shd w:val="clear" w:color="auto" w:fill="B8CCE4" w:themeFill="accent1" w:themeFillTint="66"/>
            <w:vAlign w:val="center"/>
          </w:tcPr>
          <w:p w14:paraId="21FB92C3" w14:textId="77777777" w:rsidR="000C4898" w:rsidRPr="000C1E7D" w:rsidRDefault="000C4898" w:rsidP="00BB42F1">
            <w:pPr>
              <w:keepNext/>
              <w:keepLines/>
              <w:jc w:val="center"/>
              <w:rPr>
                <w:rFonts w:ascii="Arial Narrow" w:hAnsi="Arial Narrow"/>
                <w:iCs/>
                <w:sz w:val="20"/>
                <w:szCs w:val="18"/>
              </w:rPr>
            </w:pPr>
            <w:r w:rsidRPr="000C1E7D">
              <w:rPr>
                <w:rFonts w:ascii="Arial Narrow" w:hAnsi="Arial Narrow"/>
                <w:iCs/>
                <w:sz w:val="20"/>
                <w:szCs w:val="18"/>
              </w:rPr>
              <w:t>0.34 (0.05, 2.30)</w:t>
            </w:r>
          </w:p>
        </w:tc>
        <w:tc>
          <w:tcPr>
            <w:tcW w:w="834" w:type="pct"/>
            <w:shd w:val="clear" w:color="auto" w:fill="B8CCE4" w:themeFill="accent1" w:themeFillTint="66"/>
            <w:vAlign w:val="center"/>
          </w:tcPr>
          <w:p w14:paraId="4B39F438" w14:textId="77777777" w:rsidR="000C4898" w:rsidRPr="000C1E7D" w:rsidRDefault="000C4898" w:rsidP="00BB42F1">
            <w:pPr>
              <w:keepNext/>
              <w:keepLines/>
              <w:jc w:val="center"/>
              <w:rPr>
                <w:rFonts w:ascii="Arial Narrow" w:hAnsi="Arial Narrow"/>
                <w:iCs/>
                <w:sz w:val="20"/>
                <w:szCs w:val="18"/>
              </w:rPr>
            </w:pPr>
            <w:r w:rsidRPr="000C1E7D">
              <w:rPr>
                <w:rFonts w:ascii="Arial Narrow" w:hAnsi="Arial Narrow"/>
                <w:iCs/>
                <w:sz w:val="20"/>
                <w:szCs w:val="18"/>
              </w:rPr>
              <w:t>-0.03 (-0.08, 0.03)</w:t>
            </w:r>
          </w:p>
        </w:tc>
      </w:tr>
      <w:tr w:rsidR="000C4898" w:rsidRPr="000C4898" w14:paraId="0B288D82" w14:textId="77777777" w:rsidTr="0F1D33A4">
        <w:tc>
          <w:tcPr>
            <w:tcW w:w="5000" w:type="pct"/>
            <w:gridSpan w:val="6"/>
            <w:shd w:val="clear" w:color="auto" w:fill="B8CCE4" w:themeFill="accent1" w:themeFillTint="66"/>
          </w:tcPr>
          <w:p w14:paraId="7CEC2A88" w14:textId="77777777" w:rsidR="000C4898" w:rsidRPr="000C1E7D" w:rsidRDefault="000C4898" w:rsidP="00BB42F1">
            <w:pPr>
              <w:keepNext/>
              <w:keepLines/>
              <w:jc w:val="left"/>
              <w:rPr>
                <w:rFonts w:ascii="Arial Narrow" w:eastAsiaTheme="majorEastAsia" w:hAnsi="Arial Narrow" w:cs="Times New Roman"/>
                <w:b/>
                <w:iCs/>
                <w:sz w:val="20"/>
                <w:lang w:val="en-US"/>
              </w:rPr>
            </w:pPr>
            <w:r w:rsidRPr="000C1E7D">
              <w:rPr>
                <w:rFonts w:ascii="Arial Narrow" w:eastAsiaTheme="majorEastAsia" w:hAnsi="Arial Narrow" w:cs="Times New Roman"/>
                <w:b/>
                <w:iCs/>
                <w:sz w:val="20"/>
                <w:lang w:val="en-US"/>
              </w:rPr>
              <w:t>Haemorrhagic events (any grade)</w:t>
            </w:r>
          </w:p>
        </w:tc>
      </w:tr>
      <w:tr w:rsidR="000C4898" w:rsidRPr="000C4898" w14:paraId="19B2790A" w14:textId="77777777" w:rsidTr="0F1D33A4">
        <w:tc>
          <w:tcPr>
            <w:tcW w:w="833" w:type="pct"/>
            <w:shd w:val="clear" w:color="auto" w:fill="B8CCE4" w:themeFill="accent1" w:themeFillTint="66"/>
          </w:tcPr>
          <w:p w14:paraId="2DC96F7F" w14:textId="77777777" w:rsidR="000C4898" w:rsidRPr="000C4898" w:rsidRDefault="000C4898" w:rsidP="00BB42F1">
            <w:pPr>
              <w:keepNext/>
              <w:keepLines/>
              <w:rPr>
                <w:rFonts w:ascii="Arial Narrow" w:hAnsi="Arial Narrow"/>
                <w:b/>
                <w:sz w:val="20"/>
                <w:szCs w:val="18"/>
              </w:rPr>
            </w:pPr>
            <w:r w:rsidRPr="000C4898">
              <w:rPr>
                <w:rFonts w:ascii="Arial Narrow" w:hAnsi="Arial Narrow"/>
                <w:sz w:val="20"/>
                <w:szCs w:val="18"/>
              </w:rPr>
              <w:t>MAJIC</w:t>
            </w:r>
          </w:p>
        </w:tc>
        <w:tc>
          <w:tcPr>
            <w:tcW w:w="973" w:type="pct"/>
            <w:shd w:val="clear" w:color="auto" w:fill="B8CCE4" w:themeFill="accent1" w:themeFillTint="66"/>
            <w:vAlign w:val="center"/>
          </w:tcPr>
          <w:p w14:paraId="23C7289D" w14:textId="77777777" w:rsidR="000C4898" w:rsidRPr="000C4898" w:rsidRDefault="000C4898" w:rsidP="00BB42F1">
            <w:pPr>
              <w:keepNext/>
              <w:keepLines/>
              <w:jc w:val="center"/>
              <w:rPr>
                <w:rFonts w:ascii="Arial Narrow" w:hAnsi="Arial Narrow"/>
                <w:sz w:val="20"/>
                <w:szCs w:val="18"/>
              </w:rPr>
            </w:pPr>
            <w:r w:rsidRPr="000C4898">
              <w:rPr>
                <w:rFonts w:ascii="Arial Narrow" w:hAnsi="Arial Narrow"/>
                <w:sz w:val="20"/>
                <w:szCs w:val="18"/>
              </w:rPr>
              <w:t>9/93 (9.7)</w:t>
            </w:r>
          </w:p>
        </w:tc>
        <w:tc>
          <w:tcPr>
            <w:tcW w:w="694" w:type="pct"/>
            <w:shd w:val="clear" w:color="auto" w:fill="B8CCE4" w:themeFill="accent1" w:themeFillTint="66"/>
            <w:vAlign w:val="center"/>
          </w:tcPr>
          <w:p w14:paraId="2A6DE1D5" w14:textId="77777777" w:rsidR="000C4898" w:rsidRPr="000C4898" w:rsidRDefault="000C4898" w:rsidP="00BB42F1">
            <w:pPr>
              <w:keepNext/>
              <w:keepLines/>
              <w:jc w:val="center"/>
              <w:rPr>
                <w:rFonts w:ascii="Arial Narrow" w:hAnsi="Arial Narrow"/>
                <w:sz w:val="20"/>
                <w:szCs w:val="18"/>
              </w:rPr>
            </w:pPr>
            <w:r w:rsidRPr="000C4898">
              <w:rPr>
                <w:rFonts w:ascii="Arial Narrow" w:hAnsi="Arial Narrow"/>
                <w:sz w:val="20"/>
                <w:szCs w:val="18"/>
              </w:rPr>
              <w:t xml:space="preserve">8 </w:t>
            </w:r>
            <w:r w:rsidRPr="000C4898">
              <w:rPr>
                <w:rFonts w:ascii="Arial Narrow" w:hAnsi="Arial Narrow"/>
                <w:sz w:val="20"/>
                <w:szCs w:val="18"/>
                <w:vertAlign w:val="superscript"/>
              </w:rPr>
              <w:t>g</w:t>
            </w:r>
            <w:r w:rsidRPr="000C4898">
              <w:rPr>
                <w:rFonts w:ascii="Arial Narrow" w:hAnsi="Arial Narrow"/>
                <w:sz w:val="20"/>
                <w:szCs w:val="18"/>
              </w:rPr>
              <w:t>/93 (8.6)</w:t>
            </w:r>
          </w:p>
        </w:tc>
        <w:tc>
          <w:tcPr>
            <w:tcW w:w="833" w:type="pct"/>
            <w:shd w:val="clear" w:color="auto" w:fill="B8CCE4" w:themeFill="accent1" w:themeFillTint="66"/>
            <w:vAlign w:val="center"/>
          </w:tcPr>
          <w:p w14:paraId="547D7734" w14:textId="77777777" w:rsidR="000C4898" w:rsidRPr="000C1E7D" w:rsidRDefault="000C4898" w:rsidP="00BB42F1">
            <w:pPr>
              <w:keepNext/>
              <w:keepLines/>
              <w:jc w:val="center"/>
              <w:rPr>
                <w:rFonts w:ascii="Arial Narrow" w:hAnsi="Arial Narrow"/>
                <w:iCs/>
                <w:sz w:val="20"/>
                <w:szCs w:val="18"/>
              </w:rPr>
            </w:pPr>
            <w:r w:rsidRPr="000C1E7D">
              <w:rPr>
                <w:rFonts w:ascii="Arial Narrow" w:hAnsi="Arial Narrow"/>
                <w:iCs/>
                <w:sz w:val="20"/>
                <w:szCs w:val="18"/>
              </w:rPr>
              <w:t>1.14 (0.37, 3.57)</w:t>
            </w:r>
          </w:p>
        </w:tc>
        <w:tc>
          <w:tcPr>
            <w:tcW w:w="833" w:type="pct"/>
            <w:shd w:val="clear" w:color="auto" w:fill="B8CCE4" w:themeFill="accent1" w:themeFillTint="66"/>
            <w:vAlign w:val="center"/>
          </w:tcPr>
          <w:p w14:paraId="6C52E306" w14:textId="77777777" w:rsidR="000C4898" w:rsidRPr="000C1E7D" w:rsidRDefault="000C4898" w:rsidP="00BB42F1">
            <w:pPr>
              <w:keepNext/>
              <w:keepLines/>
              <w:jc w:val="center"/>
              <w:rPr>
                <w:rFonts w:ascii="Arial Narrow" w:hAnsi="Arial Narrow"/>
                <w:iCs/>
                <w:sz w:val="20"/>
                <w:szCs w:val="18"/>
              </w:rPr>
            </w:pPr>
            <w:r w:rsidRPr="000C1E7D">
              <w:rPr>
                <w:rFonts w:ascii="Arial Narrow" w:hAnsi="Arial Narrow"/>
                <w:iCs/>
                <w:sz w:val="20"/>
                <w:szCs w:val="18"/>
              </w:rPr>
              <w:t>1.13 (0.47, 2.72)</w:t>
            </w:r>
          </w:p>
        </w:tc>
        <w:tc>
          <w:tcPr>
            <w:tcW w:w="834" w:type="pct"/>
            <w:shd w:val="clear" w:color="auto" w:fill="B8CCE4" w:themeFill="accent1" w:themeFillTint="66"/>
            <w:vAlign w:val="center"/>
          </w:tcPr>
          <w:p w14:paraId="42DC54EA" w14:textId="77777777" w:rsidR="000C4898" w:rsidRPr="000C1E7D" w:rsidRDefault="000C4898" w:rsidP="00BB42F1">
            <w:pPr>
              <w:keepNext/>
              <w:keepLines/>
              <w:jc w:val="center"/>
              <w:rPr>
                <w:rFonts w:ascii="Arial Narrow" w:hAnsi="Arial Narrow"/>
                <w:iCs/>
                <w:sz w:val="20"/>
                <w:szCs w:val="18"/>
              </w:rPr>
            </w:pPr>
            <w:r w:rsidRPr="000C1E7D">
              <w:rPr>
                <w:rFonts w:ascii="Arial Narrow" w:hAnsi="Arial Narrow"/>
                <w:iCs/>
                <w:sz w:val="20"/>
                <w:szCs w:val="18"/>
              </w:rPr>
              <w:t>0.01 (-0.08, 0.10)</w:t>
            </w:r>
          </w:p>
        </w:tc>
      </w:tr>
      <w:tr w:rsidR="000C4898" w:rsidRPr="000C4898" w14:paraId="1A3CF11F" w14:textId="77777777" w:rsidTr="0F1D33A4">
        <w:tc>
          <w:tcPr>
            <w:tcW w:w="833" w:type="pct"/>
            <w:shd w:val="clear" w:color="auto" w:fill="B8CCE4" w:themeFill="accent1" w:themeFillTint="66"/>
          </w:tcPr>
          <w:p w14:paraId="6EDA3AEA" w14:textId="77777777" w:rsidR="000C4898" w:rsidRPr="000C4898" w:rsidRDefault="000C4898" w:rsidP="00BB42F1">
            <w:pPr>
              <w:keepNext/>
              <w:keepLines/>
              <w:rPr>
                <w:rFonts w:ascii="Arial Narrow" w:hAnsi="Arial Narrow"/>
                <w:sz w:val="20"/>
                <w:szCs w:val="18"/>
              </w:rPr>
            </w:pPr>
            <w:r w:rsidRPr="000C4898">
              <w:rPr>
                <w:rFonts w:ascii="Arial Narrow" w:hAnsi="Arial Narrow"/>
                <w:sz w:val="20"/>
                <w:szCs w:val="18"/>
              </w:rPr>
              <w:t>RESPONSE</w:t>
            </w:r>
          </w:p>
        </w:tc>
        <w:tc>
          <w:tcPr>
            <w:tcW w:w="973" w:type="pct"/>
            <w:shd w:val="clear" w:color="auto" w:fill="B8CCE4" w:themeFill="accent1" w:themeFillTint="66"/>
            <w:vAlign w:val="center"/>
          </w:tcPr>
          <w:p w14:paraId="45130B62" w14:textId="77777777" w:rsidR="000C4898" w:rsidRPr="000C4898" w:rsidRDefault="000C4898" w:rsidP="00BB42F1">
            <w:pPr>
              <w:keepNext/>
              <w:keepLines/>
              <w:jc w:val="center"/>
              <w:rPr>
                <w:rFonts w:ascii="Arial Narrow" w:hAnsi="Arial Narrow"/>
                <w:sz w:val="20"/>
                <w:szCs w:val="18"/>
              </w:rPr>
            </w:pPr>
            <w:r w:rsidRPr="000C4898">
              <w:rPr>
                <w:rFonts w:ascii="Arial Narrow" w:hAnsi="Arial Narrow"/>
                <w:sz w:val="20"/>
                <w:szCs w:val="18"/>
              </w:rPr>
              <w:t>22/110 (20.0)</w:t>
            </w:r>
          </w:p>
        </w:tc>
        <w:tc>
          <w:tcPr>
            <w:tcW w:w="694" w:type="pct"/>
            <w:shd w:val="clear" w:color="auto" w:fill="B8CCE4" w:themeFill="accent1" w:themeFillTint="66"/>
            <w:vAlign w:val="center"/>
          </w:tcPr>
          <w:p w14:paraId="06A8897E" w14:textId="77777777" w:rsidR="000C4898" w:rsidRPr="000C4898" w:rsidRDefault="000C4898" w:rsidP="00BB42F1">
            <w:pPr>
              <w:keepNext/>
              <w:keepLines/>
              <w:jc w:val="center"/>
              <w:rPr>
                <w:rFonts w:ascii="Arial Narrow" w:hAnsi="Arial Narrow"/>
                <w:sz w:val="20"/>
                <w:szCs w:val="18"/>
              </w:rPr>
            </w:pPr>
            <w:r w:rsidRPr="000C4898">
              <w:rPr>
                <w:rFonts w:ascii="Arial Narrow" w:hAnsi="Arial Narrow"/>
                <w:sz w:val="20"/>
                <w:szCs w:val="18"/>
              </w:rPr>
              <w:t>17/111 (15.3)</w:t>
            </w:r>
          </w:p>
        </w:tc>
        <w:tc>
          <w:tcPr>
            <w:tcW w:w="833" w:type="pct"/>
            <w:shd w:val="clear" w:color="auto" w:fill="B8CCE4" w:themeFill="accent1" w:themeFillTint="66"/>
            <w:vAlign w:val="center"/>
          </w:tcPr>
          <w:p w14:paraId="0AAF66EA" w14:textId="77777777" w:rsidR="000C4898" w:rsidRPr="000C1E7D" w:rsidRDefault="000C4898" w:rsidP="00BB42F1">
            <w:pPr>
              <w:keepNext/>
              <w:keepLines/>
              <w:jc w:val="center"/>
              <w:rPr>
                <w:rFonts w:ascii="Arial Narrow" w:hAnsi="Arial Narrow"/>
                <w:iCs/>
                <w:sz w:val="20"/>
                <w:szCs w:val="18"/>
              </w:rPr>
            </w:pPr>
            <w:r w:rsidRPr="000C1E7D">
              <w:rPr>
                <w:rFonts w:ascii="Arial Narrow" w:hAnsi="Arial Narrow"/>
                <w:iCs/>
                <w:sz w:val="20"/>
                <w:szCs w:val="18"/>
              </w:rPr>
              <w:t>1.38 (0.65, 2.97)</w:t>
            </w:r>
          </w:p>
        </w:tc>
        <w:tc>
          <w:tcPr>
            <w:tcW w:w="833" w:type="pct"/>
            <w:shd w:val="clear" w:color="auto" w:fill="B8CCE4" w:themeFill="accent1" w:themeFillTint="66"/>
            <w:vAlign w:val="center"/>
          </w:tcPr>
          <w:p w14:paraId="060BE512" w14:textId="77777777" w:rsidR="000C4898" w:rsidRPr="000C1E7D" w:rsidRDefault="000C4898" w:rsidP="00BB42F1">
            <w:pPr>
              <w:keepNext/>
              <w:keepLines/>
              <w:jc w:val="center"/>
              <w:rPr>
                <w:rFonts w:ascii="Arial Narrow" w:hAnsi="Arial Narrow"/>
                <w:iCs/>
                <w:sz w:val="20"/>
                <w:szCs w:val="18"/>
              </w:rPr>
            </w:pPr>
            <w:r w:rsidRPr="000C1E7D">
              <w:rPr>
                <w:rFonts w:ascii="Arial Narrow" w:hAnsi="Arial Narrow"/>
                <w:iCs/>
                <w:sz w:val="20"/>
                <w:szCs w:val="18"/>
              </w:rPr>
              <w:t>1.31 (0.74, 2.31)</w:t>
            </w:r>
          </w:p>
        </w:tc>
        <w:tc>
          <w:tcPr>
            <w:tcW w:w="834" w:type="pct"/>
            <w:shd w:val="clear" w:color="auto" w:fill="B8CCE4" w:themeFill="accent1" w:themeFillTint="66"/>
            <w:vAlign w:val="center"/>
          </w:tcPr>
          <w:p w14:paraId="115F90A6" w14:textId="77777777" w:rsidR="000C4898" w:rsidRPr="000C1E7D" w:rsidRDefault="000C4898" w:rsidP="00BB42F1">
            <w:pPr>
              <w:keepNext/>
              <w:keepLines/>
              <w:jc w:val="center"/>
              <w:rPr>
                <w:rFonts w:ascii="Arial Narrow" w:hAnsi="Arial Narrow"/>
                <w:iCs/>
                <w:sz w:val="20"/>
                <w:szCs w:val="18"/>
              </w:rPr>
            </w:pPr>
            <w:r w:rsidRPr="000C1E7D">
              <w:rPr>
                <w:rFonts w:ascii="Arial Narrow" w:hAnsi="Arial Narrow"/>
                <w:iCs/>
                <w:sz w:val="20"/>
                <w:szCs w:val="18"/>
              </w:rPr>
              <w:t>0.05 (-0.06, 0.15)</w:t>
            </w:r>
          </w:p>
        </w:tc>
      </w:tr>
      <w:tr w:rsidR="000C4898" w:rsidRPr="000C4898" w14:paraId="6EB87187" w14:textId="77777777" w:rsidTr="0F1D33A4">
        <w:tc>
          <w:tcPr>
            <w:tcW w:w="833" w:type="pct"/>
            <w:shd w:val="clear" w:color="auto" w:fill="B8CCE4" w:themeFill="accent1" w:themeFillTint="66"/>
          </w:tcPr>
          <w:p w14:paraId="2EFAEA4F" w14:textId="77777777" w:rsidR="000C4898" w:rsidRPr="000C4898" w:rsidRDefault="000C4898" w:rsidP="00BB42F1">
            <w:pPr>
              <w:keepNext/>
              <w:keepLines/>
              <w:rPr>
                <w:rFonts w:ascii="Arial Narrow" w:hAnsi="Arial Narrow"/>
                <w:sz w:val="20"/>
                <w:szCs w:val="18"/>
              </w:rPr>
            </w:pPr>
            <w:r w:rsidRPr="000C4898">
              <w:rPr>
                <w:rFonts w:ascii="Arial Narrow" w:hAnsi="Arial Narrow"/>
                <w:sz w:val="20"/>
                <w:szCs w:val="18"/>
              </w:rPr>
              <w:t>RESPONSE-2</w:t>
            </w:r>
          </w:p>
        </w:tc>
        <w:tc>
          <w:tcPr>
            <w:tcW w:w="973" w:type="pct"/>
            <w:shd w:val="clear" w:color="auto" w:fill="B8CCE4" w:themeFill="accent1" w:themeFillTint="66"/>
            <w:vAlign w:val="center"/>
          </w:tcPr>
          <w:p w14:paraId="6AFBAD71" w14:textId="77777777" w:rsidR="000C4898" w:rsidRPr="000C4898" w:rsidRDefault="000C4898" w:rsidP="00BB42F1">
            <w:pPr>
              <w:keepNext/>
              <w:keepLines/>
              <w:jc w:val="center"/>
              <w:rPr>
                <w:rFonts w:ascii="Arial Narrow" w:hAnsi="Arial Narrow"/>
                <w:sz w:val="20"/>
                <w:szCs w:val="18"/>
              </w:rPr>
            </w:pPr>
            <w:r w:rsidRPr="000C4898">
              <w:rPr>
                <w:rFonts w:ascii="Arial Narrow" w:hAnsi="Arial Narrow"/>
                <w:sz w:val="20"/>
                <w:szCs w:val="18"/>
              </w:rPr>
              <w:t>10/74 (13.5)</w:t>
            </w:r>
          </w:p>
        </w:tc>
        <w:tc>
          <w:tcPr>
            <w:tcW w:w="694" w:type="pct"/>
            <w:shd w:val="clear" w:color="auto" w:fill="B8CCE4" w:themeFill="accent1" w:themeFillTint="66"/>
            <w:vAlign w:val="center"/>
          </w:tcPr>
          <w:p w14:paraId="5439B299" w14:textId="77777777" w:rsidR="000C4898" w:rsidRPr="000C4898" w:rsidRDefault="000C4898" w:rsidP="00BB42F1">
            <w:pPr>
              <w:keepNext/>
              <w:keepLines/>
              <w:jc w:val="center"/>
              <w:rPr>
                <w:rFonts w:ascii="Arial Narrow" w:hAnsi="Arial Narrow"/>
                <w:sz w:val="20"/>
                <w:szCs w:val="18"/>
              </w:rPr>
            </w:pPr>
            <w:r w:rsidRPr="000C4898">
              <w:rPr>
                <w:rFonts w:ascii="Arial Narrow" w:hAnsi="Arial Narrow"/>
                <w:sz w:val="20"/>
                <w:szCs w:val="18"/>
              </w:rPr>
              <w:t>9/75 (12.0)</w:t>
            </w:r>
          </w:p>
        </w:tc>
        <w:tc>
          <w:tcPr>
            <w:tcW w:w="833" w:type="pct"/>
            <w:shd w:val="clear" w:color="auto" w:fill="B8CCE4" w:themeFill="accent1" w:themeFillTint="66"/>
            <w:vAlign w:val="center"/>
          </w:tcPr>
          <w:p w14:paraId="44857CCF" w14:textId="77777777" w:rsidR="000C4898" w:rsidRPr="000C1E7D" w:rsidRDefault="000C4898" w:rsidP="00BB42F1">
            <w:pPr>
              <w:keepNext/>
              <w:keepLines/>
              <w:jc w:val="center"/>
              <w:rPr>
                <w:rFonts w:ascii="Arial Narrow" w:hAnsi="Arial Narrow"/>
                <w:iCs/>
                <w:sz w:val="20"/>
                <w:szCs w:val="18"/>
              </w:rPr>
            </w:pPr>
            <w:r w:rsidRPr="000C1E7D">
              <w:rPr>
                <w:rFonts w:ascii="Arial Narrow" w:hAnsi="Arial Narrow"/>
                <w:iCs/>
                <w:sz w:val="20"/>
                <w:szCs w:val="18"/>
              </w:rPr>
              <w:t>1.15 (0.44,3.00)</w:t>
            </w:r>
          </w:p>
        </w:tc>
        <w:tc>
          <w:tcPr>
            <w:tcW w:w="833" w:type="pct"/>
            <w:shd w:val="clear" w:color="auto" w:fill="B8CCE4" w:themeFill="accent1" w:themeFillTint="66"/>
            <w:vAlign w:val="center"/>
          </w:tcPr>
          <w:p w14:paraId="5011FA3F" w14:textId="77777777" w:rsidR="000C4898" w:rsidRPr="000C1E7D" w:rsidRDefault="000C4898" w:rsidP="00BB42F1">
            <w:pPr>
              <w:keepNext/>
              <w:keepLines/>
              <w:jc w:val="center"/>
              <w:rPr>
                <w:rFonts w:ascii="Arial Narrow" w:hAnsi="Arial Narrow"/>
                <w:iCs/>
                <w:sz w:val="20"/>
                <w:szCs w:val="18"/>
              </w:rPr>
            </w:pPr>
            <w:r w:rsidRPr="000C1E7D">
              <w:rPr>
                <w:rFonts w:ascii="Arial Narrow" w:hAnsi="Arial Narrow"/>
                <w:iCs/>
                <w:sz w:val="20"/>
                <w:szCs w:val="18"/>
              </w:rPr>
              <w:t>1.13 (0.50, 2.56)</w:t>
            </w:r>
          </w:p>
        </w:tc>
        <w:tc>
          <w:tcPr>
            <w:tcW w:w="834" w:type="pct"/>
            <w:shd w:val="clear" w:color="auto" w:fill="B8CCE4" w:themeFill="accent1" w:themeFillTint="66"/>
            <w:vAlign w:val="center"/>
          </w:tcPr>
          <w:p w14:paraId="5CBA360D" w14:textId="77777777" w:rsidR="000C4898" w:rsidRPr="000C1E7D" w:rsidRDefault="000C4898" w:rsidP="00BB42F1">
            <w:pPr>
              <w:keepNext/>
              <w:keepLines/>
              <w:jc w:val="center"/>
              <w:rPr>
                <w:rFonts w:ascii="Arial Narrow" w:hAnsi="Arial Narrow"/>
                <w:iCs/>
                <w:sz w:val="20"/>
                <w:szCs w:val="18"/>
              </w:rPr>
            </w:pPr>
            <w:r w:rsidRPr="000C1E7D">
              <w:rPr>
                <w:rFonts w:ascii="Arial Narrow" w:hAnsi="Arial Narrow"/>
                <w:iCs/>
                <w:sz w:val="20"/>
                <w:szCs w:val="18"/>
              </w:rPr>
              <w:t>0.02 (-0.09, 0.12)</w:t>
            </w:r>
          </w:p>
        </w:tc>
      </w:tr>
    </w:tbl>
    <w:p w14:paraId="34E83BF5" w14:textId="6344BA7B" w:rsidR="000C4898" w:rsidRPr="000C4898" w:rsidRDefault="000C4898" w:rsidP="0F1D33A4">
      <w:pPr>
        <w:keepNext/>
        <w:keepLines/>
        <w:rPr>
          <w:rFonts w:ascii="Arial Narrow" w:hAnsi="Arial Narrow"/>
          <w:sz w:val="18"/>
          <w:szCs w:val="18"/>
        </w:rPr>
      </w:pPr>
      <w:r w:rsidRPr="0F1D33A4">
        <w:rPr>
          <w:rFonts w:ascii="Arial Narrow" w:hAnsi="Arial Narrow"/>
          <w:sz w:val="18"/>
          <w:szCs w:val="18"/>
        </w:rPr>
        <w:t>Source: Table 43, p52 of MAJIC CSR, p94 of RESPONSE CSR, p11, p117 of RESPONSE-2 CSR, Kiladjian et al</w:t>
      </w:r>
      <w:r w:rsidR="007E4F86" w:rsidRPr="0F1D33A4">
        <w:rPr>
          <w:rFonts w:ascii="Arial Narrow" w:hAnsi="Arial Narrow"/>
          <w:sz w:val="18"/>
          <w:szCs w:val="18"/>
        </w:rPr>
        <w:t>.,</w:t>
      </w:r>
      <w:r w:rsidRPr="0F1D33A4">
        <w:rPr>
          <w:rFonts w:ascii="Arial Narrow" w:hAnsi="Arial Narrow"/>
          <w:sz w:val="18"/>
          <w:szCs w:val="18"/>
        </w:rPr>
        <w:t xml:space="preserve"> 2020, Harrison et al</w:t>
      </w:r>
      <w:r w:rsidR="007E4F86" w:rsidRPr="0F1D33A4">
        <w:rPr>
          <w:rFonts w:ascii="Arial Narrow" w:hAnsi="Arial Narrow"/>
          <w:sz w:val="18"/>
          <w:szCs w:val="18"/>
        </w:rPr>
        <w:t>.,</w:t>
      </w:r>
      <w:r w:rsidRPr="0F1D33A4">
        <w:rPr>
          <w:rFonts w:ascii="Arial Narrow" w:hAnsi="Arial Narrow"/>
          <w:sz w:val="18"/>
          <w:szCs w:val="18"/>
        </w:rPr>
        <w:t xml:space="preserve"> 2018, Table 2.3-39, p154, Table 2.3-40, p155, Tables 2.3-49 and 2.3-50, p165 of previous submission.</w:t>
      </w:r>
    </w:p>
    <w:p w14:paraId="4C50FFD8" w14:textId="77777777" w:rsidR="000C4898" w:rsidRPr="000C4898" w:rsidRDefault="000C4898" w:rsidP="00BB42F1">
      <w:pPr>
        <w:keepNext/>
        <w:keepLines/>
        <w:rPr>
          <w:rFonts w:ascii="Arial Narrow" w:hAnsi="Arial Narrow"/>
          <w:sz w:val="20"/>
          <w:szCs w:val="20"/>
        </w:rPr>
      </w:pPr>
      <w:r w:rsidRPr="000C4898">
        <w:rPr>
          <w:rFonts w:ascii="Arial Narrow" w:hAnsi="Arial Narrow"/>
          <w:sz w:val="18"/>
          <w:szCs w:val="20"/>
        </w:rPr>
        <w:t>Abbreviations: BAT, best available therapy; CI, confidence interval; HR, hazard ratio; NR, not reported.</w:t>
      </w:r>
    </w:p>
    <w:p w14:paraId="5A73D324" w14:textId="77777777" w:rsidR="000C4898" w:rsidRPr="000C4898" w:rsidRDefault="000C4898" w:rsidP="0910F2D2">
      <w:pPr>
        <w:keepNext/>
        <w:keepLines/>
        <w:tabs>
          <w:tab w:val="left" w:pos="284"/>
        </w:tabs>
        <w:rPr>
          <w:rFonts w:ascii="Arial Narrow" w:hAnsi="Arial Narrow"/>
          <w:sz w:val="18"/>
          <w:szCs w:val="18"/>
        </w:rPr>
      </w:pPr>
      <w:r w:rsidRPr="0910F2D2">
        <w:rPr>
          <w:rFonts w:ascii="Arial Narrow" w:hAnsi="Arial Narrow"/>
          <w:sz w:val="18"/>
          <w:szCs w:val="18"/>
          <w:vertAlign w:val="superscript"/>
        </w:rPr>
        <w:t>a</w:t>
      </w:r>
      <w:r w:rsidRPr="0910F2D2">
        <w:rPr>
          <w:rFonts w:ascii="Arial Narrow" w:hAnsi="Arial Narrow"/>
          <w:sz w:val="18"/>
          <w:szCs w:val="18"/>
        </w:rPr>
        <w:t xml:space="preserve"> Based on MAJIC CSR. 14 events occurred in 10 patients with ruxolitinib and 22 events occurred in 17 patients with BAT.</w:t>
      </w:r>
    </w:p>
    <w:p w14:paraId="2877E578" w14:textId="1C131EFF" w:rsidR="000C4898" w:rsidRPr="000C4898" w:rsidRDefault="000C4898" w:rsidP="0F1D33A4">
      <w:pPr>
        <w:keepNext/>
        <w:keepLines/>
        <w:tabs>
          <w:tab w:val="left" w:pos="284"/>
        </w:tabs>
        <w:rPr>
          <w:rFonts w:ascii="Arial Narrow" w:hAnsi="Arial Narrow"/>
          <w:sz w:val="18"/>
          <w:szCs w:val="18"/>
        </w:rPr>
      </w:pPr>
      <w:r w:rsidRPr="0F1D33A4">
        <w:rPr>
          <w:rFonts w:ascii="Arial Narrow" w:hAnsi="Arial Narrow"/>
          <w:sz w:val="18"/>
          <w:szCs w:val="18"/>
          <w:vertAlign w:val="superscript"/>
        </w:rPr>
        <w:t>b</w:t>
      </w:r>
      <w:r w:rsidRPr="0F1D33A4">
        <w:rPr>
          <w:rFonts w:ascii="Arial Narrow" w:hAnsi="Arial Narrow"/>
          <w:sz w:val="18"/>
          <w:szCs w:val="18"/>
        </w:rPr>
        <w:t xml:space="preserve"> Reported by Week 256 in Kiladjuan et al.</w:t>
      </w:r>
      <w:r w:rsidR="007E4F86" w:rsidRPr="0F1D33A4">
        <w:rPr>
          <w:rFonts w:ascii="Arial Narrow" w:hAnsi="Arial Narrow"/>
          <w:sz w:val="18"/>
          <w:szCs w:val="18"/>
        </w:rPr>
        <w:t>,</w:t>
      </w:r>
      <w:r w:rsidRPr="0F1D33A4">
        <w:rPr>
          <w:rFonts w:ascii="Arial Narrow" w:hAnsi="Arial Narrow"/>
          <w:sz w:val="18"/>
          <w:szCs w:val="18"/>
        </w:rPr>
        <w:t xml:space="preserve"> 2020. Data corresponds to exposure-adjusted rates per 100 patient-year </w:t>
      </w:r>
    </w:p>
    <w:p w14:paraId="1AAAFAD2" w14:textId="6D647BDD" w:rsidR="000C4898" w:rsidRPr="000C4898" w:rsidRDefault="000C4898" w:rsidP="0F1D33A4">
      <w:pPr>
        <w:keepNext/>
        <w:keepLines/>
        <w:tabs>
          <w:tab w:val="left" w:pos="284"/>
        </w:tabs>
        <w:rPr>
          <w:rFonts w:ascii="Arial Narrow" w:hAnsi="Arial Narrow"/>
          <w:sz w:val="18"/>
          <w:szCs w:val="18"/>
        </w:rPr>
      </w:pPr>
      <w:r w:rsidRPr="0F1D33A4">
        <w:rPr>
          <w:rFonts w:ascii="Arial Narrow" w:hAnsi="Arial Narrow"/>
          <w:sz w:val="18"/>
          <w:szCs w:val="18"/>
          <w:vertAlign w:val="superscript"/>
        </w:rPr>
        <w:t>c</w:t>
      </w:r>
      <w:r w:rsidRPr="0F1D33A4">
        <w:rPr>
          <w:rFonts w:ascii="Arial Narrow" w:hAnsi="Arial Narrow"/>
          <w:sz w:val="18"/>
          <w:szCs w:val="18"/>
        </w:rPr>
        <w:t xml:space="preserve"> Reported by Week 260 in Passamonti et al.</w:t>
      </w:r>
      <w:r w:rsidR="007E4F86" w:rsidRPr="0F1D33A4">
        <w:rPr>
          <w:rFonts w:ascii="Arial Narrow" w:hAnsi="Arial Narrow"/>
          <w:sz w:val="18"/>
          <w:szCs w:val="18"/>
        </w:rPr>
        <w:t>,</w:t>
      </w:r>
      <w:r w:rsidRPr="0F1D33A4">
        <w:rPr>
          <w:rFonts w:ascii="Arial Narrow" w:hAnsi="Arial Narrow"/>
          <w:sz w:val="18"/>
          <w:szCs w:val="18"/>
        </w:rPr>
        <w:t xml:space="preserve"> 2022. Data correspond to exposure-adjusted rate per 100 person-years. Haemorrhagic events was reported as bleeding (haemorrhages).</w:t>
      </w:r>
    </w:p>
    <w:p w14:paraId="2C65160B" w14:textId="77777777" w:rsidR="000C4898" w:rsidRPr="000C4898" w:rsidRDefault="000C4898" w:rsidP="0910F2D2">
      <w:pPr>
        <w:keepNext/>
        <w:keepLines/>
        <w:tabs>
          <w:tab w:val="left" w:pos="284"/>
        </w:tabs>
        <w:rPr>
          <w:rFonts w:ascii="Arial Narrow" w:hAnsi="Arial Narrow"/>
          <w:sz w:val="18"/>
          <w:szCs w:val="18"/>
        </w:rPr>
      </w:pPr>
      <w:r w:rsidRPr="0910F2D2">
        <w:rPr>
          <w:rFonts w:ascii="Arial Narrow" w:hAnsi="Arial Narrow"/>
          <w:sz w:val="18"/>
          <w:szCs w:val="18"/>
          <w:vertAlign w:val="superscript"/>
        </w:rPr>
        <w:t>d</w:t>
      </w:r>
      <w:r w:rsidRPr="0910F2D2">
        <w:rPr>
          <w:rFonts w:ascii="Arial Narrow" w:hAnsi="Arial Narrow"/>
          <w:sz w:val="18"/>
          <w:szCs w:val="18"/>
        </w:rPr>
        <w:t xml:space="preserve"> Based on MAJIC CSR. 15 events occurred in 12 patients with ruxolitinib and 18 events occurred in 16 patients with BAT.</w:t>
      </w:r>
    </w:p>
    <w:p w14:paraId="3D0B6FF9" w14:textId="5BD199CC" w:rsidR="000C4898" w:rsidRPr="000C4898" w:rsidRDefault="000C4898" w:rsidP="0F1D33A4">
      <w:pPr>
        <w:keepNext/>
        <w:keepLines/>
        <w:tabs>
          <w:tab w:val="left" w:pos="284"/>
        </w:tabs>
        <w:rPr>
          <w:rFonts w:ascii="Arial Narrow" w:hAnsi="Arial Narrow"/>
          <w:sz w:val="18"/>
          <w:szCs w:val="18"/>
        </w:rPr>
      </w:pPr>
      <w:r w:rsidRPr="0F1D33A4">
        <w:rPr>
          <w:rFonts w:ascii="Arial Narrow" w:hAnsi="Arial Narrow"/>
          <w:sz w:val="18"/>
          <w:szCs w:val="18"/>
          <w:vertAlign w:val="superscript"/>
        </w:rPr>
        <w:t>e</w:t>
      </w:r>
      <w:r w:rsidRPr="0F1D33A4">
        <w:rPr>
          <w:rFonts w:ascii="Arial Narrow" w:hAnsi="Arial Narrow"/>
          <w:sz w:val="18"/>
          <w:szCs w:val="18"/>
        </w:rPr>
        <w:t xml:space="preserve"> Data corresponding to exposure-adjusted rate per 100 person-years (p94 of RESPONSE CSR). Number of events were not reported for either arm in the RESPONSE CSR or Kiladjian et al</w:t>
      </w:r>
      <w:r w:rsidR="007E4F86" w:rsidRPr="0F1D33A4">
        <w:rPr>
          <w:rFonts w:ascii="Arial Narrow" w:hAnsi="Arial Narrow"/>
          <w:sz w:val="18"/>
          <w:szCs w:val="18"/>
        </w:rPr>
        <w:t>.,</w:t>
      </w:r>
      <w:r w:rsidRPr="0F1D33A4">
        <w:rPr>
          <w:rFonts w:ascii="Arial Narrow" w:hAnsi="Arial Narrow"/>
          <w:sz w:val="18"/>
          <w:szCs w:val="18"/>
        </w:rPr>
        <w:t xml:space="preserve"> 2020.</w:t>
      </w:r>
    </w:p>
    <w:p w14:paraId="7AD38456" w14:textId="77777777" w:rsidR="000C4898" w:rsidRPr="000C4898" w:rsidRDefault="000C4898" w:rsidP="00BB42F1">
      <w:pPr>
        <w:keepNext/>
        <w:keepLines/>
        <w:tabs>
          <w:tab w:val="left" w:pos="284"/>
        </w:tabs>
        <w:rPr>
          <w:rFonts w:ascii="Arial Narrow" w:hAnsi="Arial Narrow"/>
          <w:sz w:val="18"/>
          <w:szCs w:val="20"/>
        </w:rPr>
      </w:pPr>
      <w:r w:rsidRPr="000C4898">
        <w:rPr>
          <w:rFonts w:ascii="Arial Narrow" w:hAnsi="Arial Narrow"/>
          <w:sz w:val="18"/>
          <w:szCs w:val="20"/>
          <w:vertAlign w:val="superscript"/>
        </w:rPr>
        <w:t>f</w:t>
      </w:r>
      <w:r w:rsidRPr="000C4898">
        <w:rPr>
          <w:rFonts w:ascii="Arial Narrow" w:hAnsi="Arial Narrow"/>
          <w:sz w:val="18"/>
          <w:szCs w:val="20"/>
        </w:rPr>
        <w:t xml:space="preserve"> 12 events in 10 patients</w:t>
      </w:r>
    </w:p>
    <w:p w14:paraId="1F88D220" w14:textId="77777777" w:rsidR="000C4898" w:rsidRPr="000C4898" w:rsidRDefault="000C4898" w:rsidP="00BB42F1">
      <w:pPr>
        <w:keepNext/>
        <w:keepLines/>
        <w:tabs>
          <w:tab w:val="left" w:pos="284"/>
        </w:tabs>
        <w:rPr>
          <w:rFonts w:ascii="Arial Narrow" w:hAnsi="Arial Narrow"/>
          <w:sz w:val="18"/>
          <w:szCs w:val="20"/>
        </w:rPr>
      </w:pPr>
      <w:r w:rsidRPr="000C4898">
        <w:rPr>
          <w:rFonts w:ascii="Arial Narrow" w:hAnsi="Arial Narrow"/>
          <w:sz w:val="18"/>
          <w:szCs w:val="20"/>
          <w:vertAlign w:val="superscript"/>
        </w:rPr>
        <w:t xml:space="preserve">g </w:t>
      </w:r>
      <w:r w:rsidRPr="000C4898">
        <w:rPr>
          <w:rFonts w:ascii="Arial Narrow" w:hAnsi="Arial Narrow"/>
          <w:sz w:val="18"/>
          <w:szCs w:val="20"/>
        </w:rPr>
        <w:t>9 events in 8 patients</w:t>
      </w:r>
    </w:p>
    <w:p w14:paraId="01DB8126" w14:textId="77777777" w:rsidR="000C4898" w:rsidRPr="000C4898" w:rsidRDefault="000C4898" w:rsidP="0F1D33A4">
      <w:pPr>
        <w:keepNext/>
        <w:keepLines/>
        <w:spacing w:after="120"/>
        <w:contextualSpacing/>
        <w:jc w:val="left"/>
        <w:rPr>
          <w:rFonts w:ascii="Arial Narrow" w:hAnsi="Arial Narrow"/>
          <w:snapToGrid w:val="0"/>
          <w:sz w:val="18"/>
          <w:szCs w:val="18"/>
        </w:rPr>
      </w:pPr>
      <w:r w:rsidRPr="0F1D33A4">
        <w:rPr>
          <w:rFonts w:ascii="Arial Narrow" w:eastAsiaTheme="majorEastAsia" w:hAnsi="Arial Narrow" w:cstheme="majorBidi"/>
          <w:sz w:val="18"/>
          <w:szCs w:val="18"/>
          <w:shd w:val="clear" w:color="auto" w:fill="B8CCE4" w:themeFill="accent1" w:themeFillTint="66"/>
        </w:rPr>
        <w:t>Blue shading</w:t>
      </w:r>
      <w:r w:rsidRPr="0F1D33A4">
        <w:rPr>
          <w:rFonts w:ascii="Arial Narrow" w:hAnsi="Arial Narrow"/>
          <w:snapToGrid w:val="0"/>
          <w:sz w:val="18"/>
          <w:szCs w:val="18"/>
        </w:rPr>
        <w:t xml:space="preserve"> indicates data previously seen by the PBAC.</w:t>
      </w:r>
    </w:p>
    <w:p w14:paraId="6E5F5592" w14:textId="2B0BB846" w:rsidR="000C4898" w:rsidRPr="000C4898" w:rsidRDefault="000C4898" w:rsidP="000E1530">
      <w:pPr>
        <w:pStyle w:val="3-BodyText"/>
      </w:pPr>
      <w:r w:rsidRPr="0F1D33A4">
        <w:t>Although, on average, the incidence of thromboembolic and haemorrhagic events were numerically higher in patients treated with BAT across the three trials, these differences were not statistically significant.</w:t>
      </w:r>
      <w:r w:rsidR="000E1530" w:rsidRPr="0F1D33A4">
        <w:t xml:space="preserve"> </w:t>
      </w:r>
      <w:r w:rsidRPr="0F1D33A4">
        <w:t xml:space="preserve">Overall, by the end of 5-year follow up period the proportions of events increased in the BAT arm. In the MAJIC trial, the number of thromboembolic and haemorrhagic events increased by 8.3% and 9.8% in the BAT arm, respectively, between 2.6-year and 5-year follow up periods. Similar trends were observed in the RESPONSE and RESPONSE-2 trials although at lower rates (2.8-3.0%), noting these were adjusted by exposure per 100 patients-years. The </w:t>
      </w:r>
      <w:r w:rsidR="00EF58E4" w:rsidRPr="0F1D33A4">
        <w:t>adjusted</w:t>
      </w:r>
      <w:r w:rsidRPr="0F1D33A4">
        <w:t xml:space="preserve"> incidence of thromboembolic and haemorrhagic events from the RESPONSE and RESPONSE-2 trials were used in the economic evaluation.</w:t>
      </w:r>
    </w:p>
    <w:p w14:paraId="12C3CE65" w14:textId="4E29F020" w:rsidR="000C4898" w:rsidRPr="0080568B" w:rsidRDefault="000C4898" w:rsidP="004D250F">
      <w:pPr>
        <w:pStyle w:val="3-BodyText"/>
      </w:pPr>
      <w:r w:rsidRPr="0F1D33A4">
        <w:t xml:space="preserve">The updated results of PFS and OS are presented in </w:t>
      </w:r>
      <w:r w:rsidRPr="0910F2D2">
        <w:fldChar w:fldCharType="begin" w:fldLock="1"/>
      </w:r>
      <w:r w:rsidRPr="0910F2D2">
        <w:instrText xml:space="preserve"> REF _Ref184805961 \h </w:instrText>
      </w:r>
      <w:r w:rsidR="00953A5D" w:rsidRPr="0910F2D2">
        <w:instrText xml:space="preserve"> \* MERGEFORMAT </w:instrText>
      </w:r>
      <w:r w:rsidRPr="0910F2D2">
        <w:fldChar w:fldCharType="separate"/>
      </w:r>
      <w:r w:rsidR="0096555B" w:rsidRPr="0F1D33A4">
        <w:rPr>
          <w:rFonts w:eastAsiaTheme="majorEastAsia"/>
        </w:rPr>
        <w:t xml:space="preserve">Table </w:t>
      </w:r>
      <w:r w:rsidR="0096555B" w:rsidRPr="0F1D33A4">
        <w:rPr>
          <w:rFonts w:eastAsiaTheme="majorEastAsia"/>
          <w:noProof/>
        </w:rPr>
        <w:t>7</w:t>
      </w:r>
      <w:r w:rsidRPr="0910F2D2">
        <w:fldChar w:fldCharType="end"/>
      </w:r>
      <w:r w:rsidRPr="0F1D33A4">
        <w:t xml:space="preserve">. HRs were not reported in the previous submission. </w:t>
      </w:r>
      <w:r w:rsidR="007443D5" w:rsidRPr="0F1D33A4">
        <w:t xml:space="preserve">The KM curves for PFS and OS </w:t>
      </w:r>
      <w:r w:rsidR="00773C39" w:rsidRPr="0F1D33A4">
        <w:t xml:space="preserve">are </w:t>
      </w:r>
      <w:r w:rsidR="007443D5" w:rsidRPr="0F1D33A4">
        <w:t xml:space="preserve">shown in </w:t>
      </w:r>
      <w:r w:rsidR="007443D5" w:rsidRPr="000C4898">
        <w:fldChar w:fldCharType="begin" w:fldLock="1"/>
      </w:r>
      <w:r w:rsidR="007443D5" w:rsidRPr="000C4898">
        <w:instrText xml:space="preserve"> REF _Ref184805990 \h </w:instrText>
      </w:r>
      <w:r w:rsidR="004D250F">
        <w:instrText xml:space="preserve"> \* MERGEFORMAT </w:instrText>
      </w:r>
      <w:r w:rsidR="007443D5" w:rsidRPr="000C4898">
        <w:fldChar w:fldCharType="separate"/>
      </w:r>
      <w:r w:rsidR="0096555B" w:rsidRPr="0F1D33A4">
        <w:t>Figure 3</w:t>
      </w:r>
      <w:r w:rsidR="007443D5" w:rsidRPr="000C4898">
        <w:fldChar w:fldCharType="end"/>
      </w:r>
      <w:r w:rsidR="00773C39" w:rsidRPr="0F1D33A4">
        <w:rPr>
          <w:shd w:val="clear" w:color="auto" w:fill="FFFFFF" w:themeFill="background1"/>
        </w:rPr>
        <w:t>.</w:t>
      </w:r>
    </w:p>
    <w:p w14:paraId="7FAC2A3A" w14:textId="18B17C93" w:rsidR="00660EFE" w:rsidRDefault="00660EFE">
      <w:pPr>
        <w:jc w:val="left"/>
        <w:rPr>
          <w:rFonts w:asciiTheme="minorHAnsi" w:eastAsiaTheme="minorHAnsi" w:hAnsiTheme="minorHAnsi" w:cstheme="minorBidi"/>
          <w:szCs w:val="22"/>
        </w:rPr>
      </w:pPr>
      <w:r>
        <w:br w:type="page"/>
      </w:r>
    </w:p>
    <w:p w14:paraId="7CD1B980" w14:textId="16C08504" w:rsidR="000C4898" w:rsidRPr="000C4898" w:rsidRDefault="000C4898" w:rsidP="000C4898">
      <w:pPr>
        <w:keepNext/>
        <w:jc w:val="left"/>
        <w:rPr>
          <w:rFonts w:ascii="Arial Narrow" w:eastAsiaTheme="majorEastAsia" w:hAnsi="Arial Narrow" w:cstheme="majorBidi"/>
          <w:b/>
          <w:bCs/>
          <w:sz w:val="20"/>
        </w:rPr>
      </w:pPr>
      <w:bookmarkStart w:id="49" w:name="_Ref184805961"/>
      <w:r w:rsidRPr="000C4898">
        <w:rPr>
          <w:rFonts w:ascii="Arial Narrow" w:eastAsiaTheme="majorEastAsia" w:hAnsi="Arial Narrow" w:cstheme="majorBidi"/>
          <w:b/>
          <w:bCs/>
          <w:sz w:val="20"/>
        </w:rPr>
        <w:lastRenderedPageBreak/>
        <w:t xml:space="preserve">Table </w:t>
      </w:r>
      <w:r w:rsidRPr="000C4898">
        <w:rPr>
          <w:rFonts w:ascii="Arial Narrow" w:eastAsiaTheme="majorEastAsia" w:hAnsi="Arial Narrow" w:cstheme="majorBidi"/>
          <w:b/>
          <w:bCs/>
          <w:sz w:val="20"/>
        </w:rPr>
        <w:fldChar w:fldCharType="begin" w:fldLock="1"/>
      </w:r>
      <w:r w:rsidRPr="000C4898">
        <w:rPr>
          <w:rFonts w:ascii="Arial Narrow" w:eastAsiaTheme="majorEastAsia" w:hAnsi="Arial Narrow" w:cstheme="majorBidi"/>
          <w:b/>
          <w:bCs/>
          <w:sz w:val="20"/>
        </w:rPr>
        <w:instrText xml:space="preserve"> SEQ Table \* ARABIC </w:instrText>
      </w:r>
      <w:r w:rsidRPr="000C4898">
        <w:rPr>
          <w:rFonts w:ascii="Arial Narrow" w:eastAsiaTheme="majorEastAsia" w:hAnsi="Arial Narrow" w:cstheme="majorBidi"/>
          <w:b/>
          <w:bCs/>
          <w:sz w:val="20"/>
        </w:rPr>
        <w:fldChar w:fldCharType="separate"/>
      </w:r>
      <w:r w:rsidR="001F427F">
        <w:rPr>
          <w:rFonts w:ascii="Arial Narrow" w:eastAsiaTheme="majorEastAsia" w:hAnsi="Arial Narrow" w:cstheme="majorBidi"/>
          <w:b/>
          <w:bCs/>
          <w:noProof/>
          <w:sz w:val="20"/>
        </w:rPr>
        <w:t>7</w:t>
      </w:r>
      <w:r w:rsidRPr="000C4898">
        <w:rPr>
          <w:rFonts w:ascii="Arial Narrow" w:eastAsiaTheme="majorEastAsia" w:hAnsi="Arial Narrow" w:cstheme="majorBidi"/>
          <w:b/>
          <w:bCs/>
          <w:noProof/>
          <w:sz w:val="20"/>
        </w:rPr>
        <w:fldChar w:fldCharType="end"/>
      </w:r>
      <w:bookmarkEnd w:id="49"/>
      <w:r w:rsidRPr="000C4898">
        <w:rPr>
          <w:rFonts w:ascii="Arial Narrow" w:eastAsiaTheme="majorEastAsia" w:hAnsi="Arial Narrow" w:cstheme="majorBidi"/>
          <w:b/>
          <w:bCs/>
          <w:sz w:val="20"/>
        </w:rPr>
        <w:t>: Results of progression</w:t>
      </w:r>
      <w:r w:rsidR="00317307">
        <w:rPr>
          <w:rFonts w:ascii="Arial Narrow" w:eastAsiaTheme="majorEastAsia" w:hAnsi="Arial Narrow" w:cstheme="majorBidi"/>
          <w:b/>
          <w:bCs/>
          <w:sz w:val="20"/>
        </w:rPr>
        <w:t>-</w:t>
      </w:r>
      <w:r w:rsidRPr="000C4898">
        <w:rPr>
          <w:rFonts w:ascii="Arial Narrow" w:eastAsiaTheme="majorEastAsia" w:hAnsi="Arial Narrow" w:cstheme="majorBidi"/>
          <w:b/>
          <w:bCs/>
          <w:sz w:val="20"/>
        </w:rPr>
        <w:t>free survival and overall survival in MAJIC</w:t>
      </w:r>
    </w:p>
    <w:tbl>
      <w:tblPr>
        <w:tblStyle w:val="TableGrid"/>
        <w:tblW w:w="5000" w:type="pct"/>
        <w:tblCellMar>
          <w:left w:w="28" w:type="dxa"/>
          <w:right w:w="28" w:type="dxa"/>
        </w:tblCellMar>
        <w:tblLook w:val="04A0" w:firstRow="1" w:lastRow="0" w:firstColumn="1" w:lastColumn="0" w:noHBand="0" w:noVBand="1"/>
        <w:tblCaption w:val="Table 7: Results of progression-free survival and overall survival in MAJIC"/>
      </w:tblPr>
      <w:tblGrid>
        <w:gridCol w:w="5213"/>
        <w:gridCol w:w="2011"/>
        <w:gridCol w:w="1793"/>
      </w:tblGrid>
      <w:tr w:rsidR="000C4898" w:rsidRPr="000C4898" w14:paraId="02F463F1" w14:textId="77777777" w:rsidTr="0910F2D2">
        <w:tc>
          <w:tcPr>
            <w:tcW w:w="2891" w:type="pct"/>
            <w:vAlign w:val="center"/>
          </w:tcPr>
          <w:p w14:paraId="14C66847" w14:textId="77777777" w:rsidR="000C4898" w:rsidRPr="000C4898" w:rsidRDefault="000C4898" w:rsidP="000C4898">
            <w:pPr>
              <w:jc w:val="left"/>
              <w:rPr>
                <w:rFonts w:ascii="Arial Narrow" w:hAnsi="Arial Narrow" w:cs="Times New Roman"/>
                <w:snapToGrid w:val="0"/>
                <w:sz w:val="20"/>
              </w:rPr>
            </w:pPr>
          </w:p>
        </w:tc>
        <w:tc>
          <w:tcPr>
            <w:tcW w:w="1115" w:type="pct"/>
            <w:vAlign w:val="center"/>
          </w:tcPr>
          <w:p w14:paraId="1A9B1A2D" w14:textId="77777777" w:rsidR="000C4898" w:rsidRPr="000C4898" w:rsidRDefault="000C4898" w:rsidP="0910F2D2">
            <w:pPr>
              <w:jc w:val="center"/>
              <w:rPr>
                <w:rFonts w:ascii="Arial Narrow" w:eastAsia="Calibri" w:hAnsi="Arial Narrow" w:cs="Times New Roman"/>
                <w:b/>
                <w:bCs/>
                <w:snapToGrid w:val="0"/>
                <w:sz w:val="20"/>
                <w:szCs w:val="20"/>
              </w:rPr>
            </w:pPr>
            <w:r w:rsidRPr="0910F2D2">
              <w:rPr>
                <w:rFonts w:ascii="Arial Narrow" w:eastAsia="Calibri" w:hAnsi="Arial Narrow" w:cs="Times New Roman"/>
                <w:b/>
                <w:bCs/>
                <w:snapToGrid w:val="0"/>
                <w:sz w:val="20"/>
                <w:szCs w:val="20"/>
              </w:rPr>
              <w:t>Ruxolitinib</w:t>
            </w:r>
          </w:p>
          <w:p w14:paraId="4B47F488" w14:textId="77777777" w:rsidR="000C4898" w:rsidRPr="000C4898" w:rsidRDefault="000C4898" w:rsidP="000C4898">
            <w:pPr>
              <w:jc w:val="center"/>
              <w:rPr>
                <w:rFonts w:ascii="Arial Narrow" w:hAnsi="Arial Narrow" w:cs="Times New Roman"/>
                <w:snapToGrid w:val="0"/>
                <w:sz w:val="20"/>
              </w:rPr>
            </w:pPr>
            <w:r w:rsidRPr="000C4898">
              <w:rPr>
                <w:rFonts w:ascii="Arial Narrow" w:eastAsia="Calibri" w:hAnsi="Arial Narrow" w:cs="Times New Roman"/>
                <w:b/>
                <w:snapToGrid w:val="0"/>
                <w:sz w:val="20"/>
              </w:rPr>
              <w:t>N=93</w:t>
            </w:r>
          </w:p>
        </w:tc>
        <w:tc>
          <w:tcPr>
            <w:tcW w:w="994" w:type="pct"/>
            <w:vAlign w:val="center"/>
          </w:tcPr>
          <w:p w14:paraId="227CEA7D" w14:textId="77777777" w:rsidR="000C4898" w:rsidRPr="000C4898" w:rsidRDefault="000C4898" w:rsidP="000C4898">
            <w:pPr>
              <w:jc w:val="center"/>
              <w:rPr>
                <w:rFonts w:ascii="Arial Narrow" w:eastAsia="Calibri" w:hAnsi="Arial Narrow" w:cs="Times New Roman"/>
                <w:b/>
                <w:snapToGrid w:val="0"/>
                <w:sz w:val="20"/>
              </w:rPr>
            </w:pPr>
            <w:r w:rsidRPr="000C4898">
              <w:rPr>
                <w:rFonts w:ascii="Arial Narrow" w:eastAsia="Calibri" w:hAnsi="Arial Narrow" w:cs="Times New Roman"/>
                <w:b/>
                <w:snapToGrid w:val="0"/>
                <w:sz w:val="20"/>
              </w:rPr>
              <w:t>BAT</w:t>
            </w:r>
          </w:p>
          <w:p w14:paraId="2D3C7229" w14:textId="77777777" w:rsidR="000C4898" w:rsidRPr="000C4898" w:rsidRDefault="000C4898" w:rsidP="000C4898">
            <w:pPr>
              <w:jc w:val="center"/>
              <w:rPr>
                <w:rFonts w:ascii="Arial Narrow" w:eastAsia="Calibri" w:hAnsi="Arial Narrow" w:cs="Times New Roman"/>
                <w:b/>
                <w:snapToGrid w:val="0"/>
                <w:sz w:val="20"/>
              </w:rPr>
            </w:pPr>
            <w:r w:rsidRPr="000C4898">
              <w:rPr>
                <w:rFonts w:ascii="Arial Narrow" w:eastAsia="Calibri" w:hAnsi="Arial Narrow" w:cs="Times New Roman"/>
                <w:b/>
                <w:snapToGrid w:val="0"/>
                <w:sz w:val="20"/>
              </w:rPr>
              <w:t>N=87</w:t>
            </w:r>
          </w:p>
        </w:tc>
      </w:tr>
      <w:tr w:rsidR="000C4898" w:rsidRPr="000C4898" w14:paraId="57B71B7B" w14:textId="77777777" w:rsidTr="0910F2D2">
        <w:tc>
          <w:tcPr>
            <w:tcW w:w="5000" w:type="pct"/>
            <w:gridSpan w:val="3"/>
          </w:tcPr>
          <w:p w14:paraId="74AACE3E" w14:textId="77777777" w:rsidR="000C4898" w:rsidRPr="000C4898" w:rsidRDefault="000C4898" w:rsidP="000C4898">
            <w:pPr>
              <w:keepNext/>
              <w:keepLines/>
              <w:jc w:val="left"/>
              <w:rPr>
                <w:rFonts w:ascii="Arial Narrow" w:eastAsiaTheme="majorEastAsia" w:hAnsi="Arial Narrow" w:cs="Times New Roman"/>
                <w:b/>
                <w:sz w:val="20"/>
                <w:lang w:val="en-US"/>
              </w:rPr>
            </w:pPr>
            <w:r w:rsidRPr="000C4898">
              <w:rPr>
                <w:rFonts w:ascii="Arial Narrow" w:eastAsiaTheme="majorEastAsia" w:hAnsi="Arial Narrow" w:cs="Times New Roman"/>
                <w:b/>
                <w:sz w:val="20"/>
                <w:lang w:val="en-US"/>
              </w:rPr>
              <w:t>PFS</w:t>
            </w:r>
          </w:p>
        </w:tc>
      </w:tr>
      <w:tr w:rsidR="000C4898" w:rsidRPr="000C4898" w14:paraId="73CA26F7" w14:textId="77777777" w:rsidTr="0910F2D2">
        <w:tc>
          <w:tcPr>
            <w:tcW w:w="2891" w:type="pct"/>
          </w:tcPr>
          <w:p w14:paraId="26A6314D" w14:textId="77777777" w:rsidR="000C4898" w:rsidRPr="000C4898" w:rsidRDefault="000C4898" w:rsidP="000C4898">
            <w:pPr>
              <w:jc w:val="left"/>
              <w:rPr>
                <w:rFonts w:ascii="Arial Narrow" w:hAnsi="Arial Narrow" w:cs="Times New Roman"/>
                <w:snapToGrid w:val="0"/>
                <w:sz w:val="20"/>
              </w:rPr>
            </w:pPr>
            <w:r w:rsidRPr="000C4898">
              <w:rPr>
                <w:rFonts w:ascii="Arial Narrow" w:hAnsi="Arial Narrow" w:cs="Times New Roman"/>
                <w:snapToGrid w:val="0"/>
                <w:sz w:val="20"/>
              </w:rPr>
              <w:t>Number of events</w:t>
            </w:r>
          </w:p>
        </w:tc>
        <w:tc>
          <w:tcPr>
            <w:tcW w:w="1115" w:type="pct"/>
            <w:vAlign w:val="center"/>
          </w:tcPr>
          <w:p w14:paraId="50BE14DD" w14:textId="77777777" w:rsidR="000C4898" w:rsidRPr="000C4898" w:rsidRDefault="000C4898" w:rsidP="000C4898">
            <w:pPr>
              <w:jc w:val="center"/>
              <w:rPr>
                <w:rFonts w:ascii="Arial Narrow" w:hAnsi="Arial Narrow" w:cs="Times New Roman"/>
                <w:snapToGrid w:val="0"/>
                <w:sz w:val="20"/>
              </w:rPr>
            </w:pPr>
            <w:r w:rsidRPr="000C4898">
              <w:rPr>
                <w:rFonts w:ascii="Arial Narrow" w:hAnsi="Arial Narrow" w:cs="Times New Roman"/>
                <w:snapToGrid w:val="0"/>
                <w:sz w:val="20"/>
              </w:rPr>
              <w:t>22</w:t>
            </w:r>
          </w:p>
        </w:tc>
        <w:tc>
          <w:tcPr>
            <w:tcW w:w="994" w:type="pct"/>
            <w:vAlign w:val="center"/>
          </w:tcPr>
          <w:p w14:paraId="27333D7A" w14:textId="77777777" w:rsidR="000C4898" w:rsidRPr="000C4898" w:rsidRDefault="000C4898" w:rsidP="000C4898">
            <w:pPr>
              <w:jc w:val="center"/>
              <w:rPr>
                <w:rFonts w:ascii="Arial Narrow" w:hAnsi="Arial Narrow" w:cs="Times New Roman"/>
                <w:snapToGrid w:val="0"/>
                <w:sz w:val="20"/>
              </w:rPr>
            </w:pPr>
            <w:r w:rsidRPr="000C4898">
              <w:rPr>
                <w:rFonts w:ascii="Arial Narrow" w:hAnsi="Arial Narrow" w:cs="Times New Roman"/>
                <w:snapToGrid w:val="0"/>
                <w:sz w:val="20"/>
              </w:rPr>
              <w:t>27</w:t>
            </w:r>
          </w:p>
        </w:tc>
      </w:tr>
      <w:tr w:rsidR="000C4898" w:rsidRPr="000C4898" w14:paraId="4B293CFC" w14:textId="77777777" w:rsidTr="0910F2D2">
        <w:tc>
          <w:tcPr>
            <w:tcW w:w="2891" w:type="pct"/>
          </w:tcPr>
          <w:p w14:paraId="2D45D408" w14:textId="77777777" w:rsidR="000C4898" w:rsidRPr="000C4898" w:rsidRDefault="000C4898" w:rsidP="000C4898">
            <w:pPr>
              <w:jc w:val="left"/>
              <w:rPr>
                <w:rFonts w:ascii="Arial Narrow" w:hAnsi="Arial Narrow" w:cs="Times New Roman"/>
                <w:snapToGrid w:val="0"/>
                <w:sz w:val="20"/>
              </w:rPr>
            </w:pPr>
            <w:r w:rsidRPr="000C4898">
              <w:rPr>
                <w:rFonts w:ascii="Arial Narrow" w:hAnsi="Arial Narrow" w:cs="Times New Roman"/>
                <w:snapToGrid w:val="0"/>
                <w:sz w:val="20"/>
              </w:rPr>
              <w:t>Median survival</w:t>
            </w:r>
          </w:p>
        </w:tc>
        <w:tc>
          <w:tcPr>
            <w:tcW w:w="1115" w:type="pct"/>
            <w:vAlign w:val="center"/>
          </w:tcPr>
          <w:p w14:paraId="6AE40BF3" w14:textId="77777777" w:rsidR="000C4898" w:rsidRPr="000C4898" w:rsidRDefault="000C4898" w:rsidP="000C4898">
            <w:pPr>
              <w:jc w:val="center"/>
              <w:rPr>
                <w:rFonts w:ascii="Arial Narrow" w:hAnsi="Arial Narrow" w:cs="Times New Roman"/>
                <w:snapToGrid w:val="0"/>
                <w:sz w:val="20"/>
              </w:rPr>
            </w:pPr>
            <w:r w:rsidRPr="000C4898">
              <w:rPr>
                <w:rFonts w:ascii="Arial Narrow" w:hAnsi="Arial Narrow" w:cs="Times New Roman"/>
                <w:snapToGrid w:val="0"/>
                <w:sz w:val="20"/>
              </w:rPr>
              <w:t>Not reached</w:t>
            </w:r>
          </w:p>
        </w:tc>
        <w:tc>
          <w:tcPr>
            <w:tcW w:w="994" w:type="pct"/>
            <w:vAlign w:val="center"/>
          </w:tcPr>
          <w:p w14:paraId="49AB4956" w14:textId="77777777" w:rsidR="000C4898" w:rsidRPr="000C4898" w:rsidRDefault="000C4898" w:rsidP="000C4898">
            <w:pPr>
              <w:jc w:val="center"/>
              <w:rPr>
                <w:rFonts w:ascii="Arial Narrow" w:hAnsi="Arial Narrow" w:cs="Times New Roman"/>
                <w:snapToGrid w:val="0"/>
                <w:sz w:val="20"/>
              </w:rPr>
            </w:pPr>
            <w:r w:rsidRPr="000C4898">
              <w:rPr>
                <w:rFonts w:ascii="Arial Narrow" w:hAnsi="Arial Narrow" w:cs="Times New Roman"/>
                <w:snapToGrid w:val="0"/>
                <w:sz w:val="20"/>
              </w:rPr>
              <w:t>Not reached</w:t>
            </w:r>
          </w:p>
        </w:tc>
      </w:tr>
      <w:tr w:rsidR="000C4898" w:rsidRPr="000C4898" w14:paraId="3AF9CFCC" w14:textId="77777777" w:rsidTr="0910F2D2">
        <w:tc>
          <w:tcPr>
            <w:tcW w:w="5000" w:type="pct"/>
            <w:gridSpan w:val="3"/>
          </w:tcPr>
          <w:p w14:paraId="08157A19" w14:textId="77777777" w:rsidR="000C4898" w:rsidRPr="000C4898" w:rsidRDefault="000C4898" w:rsidP="000C4898">
            <w:pPr>
              <w:jc w:val="left"/>
              <w:rPr>
                <w:rFonts w:ascii="Arial Narrow" w:hAnsi="Arial Narrow" w:cs="Times New Roman"/>
                <w:snapToGrid w:val="0"/>
                <w:sz w:val="20"/>
              </w:rPr>
            </w:pPr>
            <w:r w:rsidRPr="000C4898">
              <w:rPr>
                <w:rFonts w:ascii="Arial Narrow" w:hAnsi="Arial Narrow" w:cs="Times New Roman"/>
                <w:snapToGrid w:val="0"/>
                <w:sz w:val="20"/>
              </w:rPr>
              <w:t xml:space="preserve">Survival percentage </w:t>
            </w:r>
          </w:p>
        </w:tc>
      </w:tr>
      <w:tr w:rsidR="000C4898" w:rsidRPr="000C4898" w14:paraId="67F181CB" w14:textId="77777777" w:rsidTr="0910F2D2">
        <w:trPr>
          <w:trHeight w:val="50"/>
        </w:trPr>
        <w:tc>
          <w:tcPr>
            <w:tcW w:w="2891" w:type="pct"/>
          </w:tcPr>
          <w:p w14:paraId="1CA5A03A" w14:textId="77777777" w:rsidR="000C4898" w:rsidRPr="000C4898" w:rsidRDefault="000C4898" w:rsidP="000C4898">
            <w:pPr>
              <w:ind w:left="251"/>
              <w:jc w:val="left"/>
              <w:rPr>
                <w:rFonts w:ascii="Arial Narrow" w:hAnsi="Arial Narrow" w:cs="Times New Roman"/>
                <w:snapToGrid w:val="0"/>
                <w:sz w:val="20"/>
              </w:rPr>
            </w:pPr>
            <w:r w:rsidRPr="000C4898">
              <w:rPr>
                <w:rFonts w:ascii="Arial Narrow" w:hAnsi="Arial Narrow" w:cs="Times New Roman"/>
                <w:snapToGrid w:val="0"/>
                <w:sz w:val="20"/>
              </w:rPr>
              <w:t>1 year (95% CI)</w:t>
            </w:r>
          </w:p>
        </w:tc>
        <w:tc>
          <w:tcPr>
            <w:tcW w:w="1115" w:type="pct"/>
            <w:vAlign w:val="center"/>
          </w:tcPr>
          <w:p w14:paraId="19007FC1" w14:textId="77777777" w:rsidR="000C4898" w:rsidRPr="000C4898" w:rsidRDefault="000C4898" w:rsidP="000C4898">
            <w:pPr>
              <w:jc w:val="center"/>
              <w:rPr>
                <w:rFonts w:ascii="Arial Narrow" w:hAnsi="Arial Narrow" w:cs="Times New Roman"/>
                <w:snapToGrid w:val="0"/>
                <w:sz w:val="20"/>
              </w:rPr>
            </w:pPr>
            <w:r w:rsidRPr="000C4898">
              <w:rPr>
                <w:rFonts w:ascii="Arial Narrow" w:hAnsi="Arial Narrow" w:cs="Times New Roman"/>
                <w:snapToGrid w:val="0"/>
                <w:sz w:val="20"/>
              </w:rPr>
              <w:t>96% (89, 98)</w:t>
            </w:r>
          </w:p>
        </w:tc>
        <w:tc>
          <w:tcPr>
            <w:tcW w:w="994" w:type="pct"/>
            <w:vAlign w:val="center"/>
          </w:tcPr>
          <w:p w14:paraId="4331C8CF" w14:textId="77777777" w:rsidR="000C4898" w:rsidRPr="000C4898" w:rsidRDefault="000C4898" w:rsidP="000C4898">
            <w:pPr>
              <w:jc w:val="center"/>
              <w:rPr>
                <w:rFonts w:ascii="Arial Narrow" w:hAnsi="Arial Narrow" w:cs="Times New Roman"/>
                <w:snapToGrid w:val="0"/>
                <w:sz w:val="20"/>
              </w:rPr>
            </w:pPr>
            <w:r w:rsidRPr="000C4898">
              <w:rPr>
                <w:rFonts w:ascii="Arial Narrow" w:hAnsi="Arial Narrow" w:cs="Times New Roman"/>
                <w:snapToGrid w:val="0"/>
                <w:sz w:val="20"/>
              </w:rPr>
              <w:t>95% (88, 98)</w:t>
            </w:r>
          </w:p>
        </w:tc>
      </w:tr>
      <w:tr w:rsidR="000C4898" w:rsidRPr="000C4898" w14:paraId="301DB009" w14:textId="77777777" w:rsidTr="0910F2D2">
        <w:tc>
          <w:tcPr>
            <w:tcW w:w="2891" w:type="pct"/>
          </w:tcPr>
          <w:p w14:paraId="370D255C" w14:textId="77777777" w:rsidR="000C4898" w:rsidRPr="000C4898" w:rsidRDefault="000C4898" w:rsidP="000C4898">
            <w:pPr>
              <w:ind w:left="251"/>
              <w:jc w:val="left"/>
              <w:rPr>
                <w:rFonts w:ascii="Arial Narrow" w:hAnsi="Arial Narrow" w:cs="Times New Roman"/>
                <w:snapToGrid w:val="0"/>
                <w:sz w:val="20"/>
              </w:rPr>
            </w:pPr>
            <w:r w:rsidRPr="000C4898">
              <w:rPr>
                <w:rFonts w:ascii="Arial Narrow" w:hAnsi="Arial Narrow" w:cs="Times New Roman"/>
                <w:snapToGrid w:val="0"/>
                <w:sz w:val="20"/>
              </w:rPr>
              <w:t>3 years (95% CI)</w:t>
            </w:r>
          </w:p>
        </w:tc>
        <w:tc>
          <w:tcPr>
            <w:tcW w:w="1115" w:type="pct"/>
            <w:vAlign w:val="center"/>
          </w:tcPr>
          <w:p w14:paraId="0E5F0162" w14:textId="77777777" w:rsidR="000C4898" w:rsidRPr="000C4898" w:rsidRDefault="000C4898" w:rsidP="000C4898">
            <w:pPr>
              <w:jc w:val="center"/>
              <w:rPr>
                <w:rFonts w:ascii="Arial Narrow" w:hAnsi="Arial Narrow" w:cs="Times New Roman"/>
                <w:snapToGrid w:val="0"/>
                <w:sz w:val="20"/>
              </w:rPr>
            </w:pPr>
            <w:r w:rsidRPr="000C4898">
              <w:rPr>
                <w:rFonts w:ascii="Arial Narrow" w:hAnsi="Arial Narrow" w:cs="Times New Roman"/>
                <w:snapToGrid w:val="0"/>
                <w:sz w:val="20"/>
              </w:rPr>
              <w:t>84% (74, 90)</w:t>
            </w:r>
          </w:p>
        </w:tc>
        <w:tc>
          <w:tcPr>
            <w:tcW w:w="994" w:type="pct"/>
            <w:vAlign w:val="center"/>
          </w:tcPr>
          <w:p w14:paraId="6DC4C099" w14:textId="77777777" w:rsidR="000C4898" w:rsidRPr="000C4898" w:rsidRDefault="000C4898" w:rsidP="000C4898">
            <w:pPr>
              <w:jc w:val="center"/>
              <w:rPr>
                <w:rFonts w:ascii="Arial Narrow" w:hAnsi="Arial Narrow" w:cs="Times New Roman"/>
                <w:snapToGrid w:val="0"/>
                <w:sz w:val="20"/>
              </w:rPr>
            </w:pPr>
            <w:r w:rsidRPr="000C4898">
              <w:rPr>
                <w:rFonts w:ascii="Arial Narrow" w:hAnsi="Arial Narrow" w:cs="Times New Roman"/>
                <w:snapToGrid w:val="0"/>
                <w:sz w:val="20"/>
              </w:rPr>
              <w:t>75% (63, 83)</w:t>
            </w:r>
          </w:p>
        </w:tc>
      </w:tr>
      <w:tr w:rsidR="000C4898" w:rsidRPr="000C4898" w14:paraId="19409C12" w14:textId="77777777" w:rsidTr="0910F2D2">
        <w:tc>
          <w:tcPr>
            <w:tcW w:w="2891" w:type="pct"/>
          </w:tcPr>
          <w:p w14:paraId="7DF705E2" w14:textId="77777777" w:rsidR="000C4898" w:rsidRPr="000C4898" w:rsidRDefault="000C4898" w:rsidP="000C4898">
            <w:pPr>
              <w:ind w:left="251"/>
              <w:jc w:val="left"/>
              <w:rPr>
                <w:rFonts w:ascii="Arial Narrow" w:hAnsi="Arial Narrow" w:cs="Times New Roman"/>
                <w:snapToGrid w:val="0"/>
                <w:sz w:val="20"/>
              </w:rPr>
            </w:pPr>
            <w:r w:rsidRPr="000C4898">
              <w:rPr>
                <w:rFonts w:ascii="Arial Narrow" w:hAnsi="Arial Narrow" w:cs="Times New Roman"/>
                <w:snapToGrid w:val="0"/>
                <w:sz w:val="20"/>
              </w:rPr>
              <w:t>5 years (95% CI)</w:t>
            </w:r>
          </w:p>
        </w:tc>
        <w:tc>
          <w:tcPr>
            <w:tcW w:w="1115" w:type="pct"/>
            <w:vAlign w:val="center"/>
          </w:tcPr>
          <w:p w14:paraId="08A9AD49" w14:textId="77777777" w:rsidR="000C4898" w:rsidRPr="000C4898" w:rsidRDefault="000C4898" w:rsidP="000C4898">
            <w:pPr>
              <w:jc w:val="center"/>
              <w:rPr>
                <w:rFonts w:ascii="Arial Narrow" w:hAnsi="Arial Narrow" w:cs="Times New Roman"/>
                <w:snapToGrid w:val="0"/>
                <w:sz w:val="20"/>
              </w:rPr>
            </w:pPr>
            <w:r w:rsidRPr="000C4898">
              <w:rPr>
                <w:rFonts w:ascii="Arial Narrow" w:hAnsi="Arial Narrow" w:cs="Times New Roman"/>
                <w:snapToGrid w:val="0"/>
                <w:sz w:val="20"/>
              </w:rPr>
              <w:t>76% (65, 84)</w:t>
            </w:r>
          </w:p>
        </w:tc>
        <w:tc>
          <w:tcPr>
            <w:tcW w:w="994" w:type="pct"/>
            <w:vAlign w:val="center"/>
          </w:tcPr>
          <w:p w14:paraId="7069787F" w14:textId="77777777" w:rsidR="000C4898" w:rsidRPr="000C4898" w:rsidRDefault="000C4898" w:rsidP="000C4898">
            <w:pPr>
              <w:jc w:val="center"/>
              <w:rPr>
                <w:rFonts w:ascii="Arial Narrow" w:hAnsi="Arial Narrow" w:cs="Times New Roman"/>
                <w:snapToGrid w:val="0"/>
                <w:sz w:val="20"/>
              </w:rPr>
            </w:pPr>
            <w:r w:rsidRPr="000C4898">
              <w:rPr>
                <w:rFonts w:ascii="Arial Narrow" w:hAnsi="Arial Narrow" w:cs="Times New Roman"/>
                <w:snapToGrid w:val="0"/>
                <w:sz w:val="20"/>
              </w:rPr>
              <w:t>64% (51, 74)</w:t>
            </w:r>
          </w:p>
        </w:tc>
      </w:tr>
      <w:tr w:rsidR="000C4898" w:rsidRPr="000C4898" w14:paraId="2DF84D86" w14:textId="77777777" w:rsidTr="0910F2D2">
        <w:tc>
          <w:tcPr>
            <w:tcW w:w="2891" w:type="pct"/>
          </w:tcPr>
          <w:p w14:paraId="5EB022CC" w14:textId="77777777" w:rsidR="000C4898" w:rsidRPr="000C4898" w:rsidRDefault="000C4898" w:rsidP="000C4898">
            <w:pPr>
              <w:jc w:val="left"/>
              <w:rPr>
                <w:rFonts w:ascii="Arial Narrow" w:hAnsi="Arial Narrow" w:cs="Times New Roman"/>
                <w:snapToGrid w:val="0"/>
                <w:sz w:val="20"/>
              </w:rPr>
            </w:pPr>
            <w:r w:rsidRPr="000C4898">
              <w:rPr>
                <w:rFonts w:ascii="Arial Narrow" w:hAnsi="Arial Narrow" w:cs="Times New Roman"/>
                <w:snapToGrid w:val="0"/>
                <w:sz w:val="20"/>
              </w:rPr>
              <w:t>HR (95% CI; p-value)</w:t>
            </w:r>
          </w:p>
        </w:tc>
        <w:tc>
          <w:tcPr>
            <w:tcW w:w="2109" w:type="pct"/>
            <w:gridSpan w:val="2"/>
            <w:vAlign w:val="center"/>
          </w:tcPr>
          <w:p w14:paraId="2633D828" w14:textId="77777777" w:rsidR="000C4898" w:rsidRPr="000C4898" w:rsidRDefault="000C4898" w:rsidP="000C4898">
            <w:pPr>
              <w:jc w:val="center"/>
              <w:rPr>
                <w:rFonts w:ascii="Arial Narrow" w:hAnsi="Arial Narrow" w:cs="Times New Roman"/>
                <w:snapToGrid w:val="0"/>
                <w:sz w:val="20"/>
              </w:rPr>
            </w:pPr>
            <w:r w:rsidRPr="000C4898">
              <w:rPr>
                <w:rFonts w:ascii="Arial Narrow" w:hAnsi="Arial Narrow" w:cs="Times New Roman"/>
                <w:snapToGrid w:val="0"/>
                <w:sz w:val="20"/>
              </w:rPr>
              <w:t>0.64 (0.35, 1.14; p=0.13)</w:t>
            </w:r>
          </w:p>
        </w:tc>
      </w:tr>
      <w:tr w:rsidR="000C4898" w:rsidRPr="000C4898" w14:paraId="348F129F" w14:textId="77777777" w:rsidTr="0910F2D2">
        <w:tc>
          <w:tcPr>
            <w:tcW w:w="5000" w:type="pct"/>
            <w:gridSpan w:val="3"/>
          </w:tcPr>
          <w:p w14:paraId="29C2E31A" w14:textId="77777777" w:rsidR="000C4898" w:rsidRPr="000C4898" w:rsidRDefault="000C4898" w:rsidP="000C4898">
            <w:pPr>
              <w:keepNext/>
              <w:keepLines/>
              <w:jc w:val="left"/>
              <w:rPr>
                <w:rFonts w:ascii="Arial Narrow" w:eastAsiaTheme="majorEastAsia" w:hAnsi="Arial Narrow" w:cs="Times New Roman"/>
                <w:b/>
                <w:sz w:val="20"/>
                <w:lang w:val="en-US"/>
              </w:rPr>
            </w:pPr>
            <w:r w:rsidRPr="000C4898">
              <w:rPr>
                <w:rFonts w:ascii="Arial Narrow" w:eastAsiaTheme="majorEastAsia" w:hAnsi="Arial Narrow" w:cs="Times New Roman"/>
                <w:b/>
                <w:sz w:val="20"/>
                <w:lang w:val="en-US"/>
              </w:rPr>
              <w:t>OS</w:t>
            </w:r>
          </w:p>
        </w:tc>
      </w:tr>
      <w:tr w:rsidR="000C4898" w:rsidRPr="000C4898" w14:paraId="1AA96B87" w14:textId="77777777" w:rsidTr="0910F2D2">
        <w:tc>
          <w:tcPr>
            <w:tcW w:w="2891" w:type="pct"/>
          </w:tcPr>
          <w:p w14:paraId="6FCA1DBF" w14:textId="77777777" w:rsidR="000C4898" w:rsidRPr="000C4898" w:rsidRDefault="000C4898" w:rsidP="000C4898">
            <w:pPr>
              <w:jc w:val="left"/>
              <w:rPr>
                <w:rFonts w:ascii="Arial Narrow" w:hAnsi="Arial Narrow" w:cs="Times New Roman"/>
                <w:snapToGrid w:val="0"/>
                <w:sz w:val="20"/>
              </w:rPr>
            </w:pPr>
            <w:r w:rsidRPr="000C4898">
              <w:rPr>
                <w:rFonts w:ascii="Arial Narrow" w:hAnsi="Arial Narrow" w:cs="Times New Roman"/>
                <w:snapToGrid w:val="0"/>
                <w:sz w:val="20"/>
              </w:rPr>
              <w:t>Number of events</w:t>
            </w:r>
          </w:p>
        </w:tc>
        <w:tc>
          <w:tcPr>
            <w:tcW w:w="1115" w:type="pct"/>
            <w:vAlign w:val="center"/>
          </w:tcPr>
          <w:p w14:paraId="37E42D3C" w14:textId="77777777" w:rsidR="000C4898" w:rsidRPr="000C4898" w:rsidRDefault="000C4898" w:rsidP="000C4898">
            <w:pPr>
              <w:jc w:val="center"/>
              <w:rPr>
                <w:rFonts w:ascii="Arial Narrow" w:hAnsi="Arial Narrow" w:cs="Times New Roman"/>
                <w:snapToGrid w:val="0"/>
                <w:sz w:val="20"/>
              </w:rPr>
            </w:pPr>
            <w:r w:rsidRPr="000C4898">
              <w:rPr>
                <w:rFonts w:ascii="Arial Narrow" w:hAnsi="Arial Narrow" w:cs="Times New Roman"/>
                <w:snapToGrid w:val="0"/>
                <w:sz w:val="20"/>
              </w:rPr>
              <w:t>17</w:t>
            </w:r>
          </w:p>
        </w:tc>
        <w:tc>
          <w:tcPr>
            <w:tcW w:w="994" w:type="pct"/>
            <w:vAlign w:val="center"/>
          </w:tcPr>
          <w:p w14:paraId="47A83295" w14:textId="77777777" w:rsidR="000C4898" w:rsidRPr="000C4898" w:rsidRDefault="000C4898" w:rsidP="000C4898">
            <w:pPr>
              <w:jc w:val="center"/>
              <w:rPr>
                <w:rFonts w:ascii="Arial Narrow" w:hAnsi="Arial Narrow" w:cs="Times New Roman"/>
                <w:snapToGrid w:val="0"/>
                <w:sz w:val="20"/>
              </w:rPr>
            </w:pPr>
            <w:r w:rsidRPr="000C4898">
              <w:rPr>
                <w:rFonts w:ascii="Arial Narrow" w:hAnsi="Arial Narrow" w:cs="Times New Roman"/>
                <w:snapToGrid w:val="0"/>
                <w:sz w:val="20"/>
              </w:rPr>
              <w:t>17</w:t>
            </w:r>
          </w:p>
        </w:tc>
      </w:tr>
      <w:tr w:rsidR="000C4898" w:rsidRPr="000C4898" w14:paraId="03FB3B38" w14:textId="77777777" w:rsidTr="0910F2D2">
        <w:tc>
          <w:tcPr>
            <w:tcW w:w="2891" w:type="pct"/>
          </w:tcPr>
          <w:p w14:paraId="708ED502" w14:textId="77777777" w:rsidR="000C4898" w:rsidRPr="000C4898" w:rsidRDefault="000C4898" w:rsidP="000C4898">
            <w:pPr>
              <w:jc w:val="left"/>
              <w:rPr>
                <w:rFonts w:ascii="Arial Narrow" w:hAnsi="Arial Narrow" w:cs="Times New Roman"/>
                <w:snapToGrid w:val="0"/>
                <w:sz w:val="20"/>
              </w:rPr>
            </w:pPr>
            <w:r w:rsidRPr="000C4898">
              <w:rPr>
                <w:rFonts w:ascii="Arial Narrow" w:hAnsi="Arial Narrow" w:cs="Times New Roman"/>
                <w:snapToGrid w:val="0"/>
                <w:sz w:val="20"/>
              </w:rPr>
              <w:t>Median survival</w:t>
            </w:r>
          </w:p>
        </w:tc>
        <w:tc>
          <w:tcPr>
            <w:tcW w:w="1115" w:type="pct"/>
          </w:tcPr>
          <w:p w14:paraId="328EAC0F" w14:textId="77777777" w:rsidR="000C4898" w:rsidRPr="000C4898" w:rsidRDefault="000C4898" w:rsidP="000C4898">
            <w:pPr>
              <w:jc w:val="center"/>
              <w:rPr>
                <w:rFonts w:ascii="Arial Narrow" w:hAnsi="Arial Narrow" w:cs="Times New Roman"/>
                <w:snapToGrid w:val="0"/>
                <w:sz w:val="20"/>
              </w:rPr>
            </w:pPr>
            <w:r w:rsidRPr="000C4898">
              <w:rPr>
                <w:rFonts w:ascii="Arial Narrow" w:hAnsi="Arial Narrow" w:cs="Times New Roman"/>
                <w:snapToGrid w:val="0"/>
                <w:sz w:val="20"/>
              </w:rPr>
              <w:t>Not reached</w:t>
            </w:r>
          </w:p>
        </w:tc>
        <w:tc>
          <w:tcPr>
            <w:tcW w:w="994" w:type="pct"/>
          </w:tcPr>
          <w:p w14:paraId="266B7885" w14:textId="77777777" w:rsidR="000C4898" w:rsidRPr="000C4898" w:rsidRDefault="000C4898" w:rsidP="000C4898">
            <w:pPr>
              <w:jc w:val="center"/>
              <w:rPr>
                <w:rFonts w:ascii="Arial Narrow" w:hAnsi="Arial Narrow" w:cs="Times New Roman"/>
                <w:snapToGrid w:val="0"/>
                <w:sz w:val="20"/>
              </w:rPr>
            </w:pPr>
            <w:r w:rsidRPr="000C4898">
              <w:rPr>
                <w:rFonts w:ascii="Arial Narrow" w:hAnsi="Arial Narrow" w:cs="Times New Roman"/>
                <w:snapToGrid w:val="0"/>
                <w:sz w:val="20"/>
              </w:rPr>
              <w:t>Not reached</w:t>
            </w:r>
          </w:p>
        </w:tc>
      </w:tr>
      <w:tr w:rsidR="000C4898" w:rsidRPr="000C4898" w14:paraId="346EA82F" w14:textId="77777777" w:rsidTr="0910F2D2">
        <w:tc>
          <w:tcPr>
            <w:tcW w:w="5000" w:type="pct"/>
            <w:gridSpan w:val="3"/>
          </w:tcPr>
          <w:p w14:paraId="581B8FF6" w14:textId="77777777" w:rsidR="000C4898" w:rsidRPr="000C4898" w:rsidRDefault="000C4898" w:rsidP="000C4898">
            <w:pPr>
              <w:jc w:val="left"/>
              <w:rPr>
                <w:rFonts w:ascii="Arial Narrow" w:hAnsi="Arial Narrow" w:cs="Times New Roman"/>
                <w:snapToGrid w:val="0"/>
                <w:sz w:val="20"/>
              </w:rPr>
            </w:pPr>
            <w:r w:rsidRPr="000C4898">
              <w:rPr>
                <w:rFonts w:ascii="Arial Narrow" w:hAnsi="Arial Narrow" w:cs="Times New Roman"/>
                <w:snapToGrid w:val="0"/>
                <w:sz w:val="20"/>
              </w:rPr>
              <w:t xml:space="preserve">Survival percentage </w:t>
            </w:r>
          </w:p>
        </w:tc>
      </w:tr>
      <w:tr w:rsidR="000C4898" w:rsidRPr="000C4898" w14:paraId="1B51E002" w14:textId="77777777" w:rsidTr="0910F2D2">
        <w:tc>
          <w:tcPr>
            <w:tcW w:w="2891" w:type="pct"/>
          </w:tcPr>
          <w:p w14:paraId="1436E86C" w14:textId="77777777" w:rsidR="000C4898" w:rsidRPr="000C4898" w:rsidRDefault="000C4898" w:rsidP="000C4898">
            <w:pPr>
              <w:ind w:left="251"/>
              <w:jc w:val="left"/>
              <w:rPr>
                <w:rFonts w:ascii="Arial Narrow" w:hAnsi="Arial Narrow" w:cs="Times New Roman"/>
                <w:snapToGrid w:val="0"/>
                <w:sz w:val="20"/>
              </w:rPr>
            </w:pPr>
            <w:r w:rsidRPr="000C4898">
              <w:rPr>
                <w:rFonts w:ascii="Arial Narrow" w:hAnsi="Arial Narrow" w:cs="Times New Roman"/>
                <w:snapToGrid w:val="0"/>
                <w:sz w:val="20"/>
              </w:rPr>
              <w:t>1 year (95% CI)</w:t>
            </w:r>
          </w:p>
        </w:tc>
        <w:tc>
          <w:tcPr>
            <w:tcW w:w="1115" w:type="pct"/>
            <w:vAlign w:val="center"/>
          </w:tcPr>
          <w:p w14:paraId="197F2671" w14:textId="77777777" w:rsidR="000C4898" w:rsidRPr="000C4898" w:rsidRDefault="000C4898" w:rsidP="000C4898">
            <w:pPr>
              <w:jc w:val="center"/>
              <w:rPr>
                <w:rFonts w:ascii="Arial Narrow" w:hAnsi="Arial Narrow" w:cs="Times New Roman"/>
                <w:snapToGrid w:val="0"/>
                <w:sz w:val="20"/>
              </w:rPr>
            </w:pPr>
            <w:r w:rsidRPr="000C4898">
              <w:rPr>
                <w:rFonts w:ascii="Arial Narrow" w:hAnsi="Arial Narrow" w:cs="Times New Roman"/>
                <w:snapToGrid w:val="0"/>
                <w:sz w:val="20"/>
              </w:rPr>
              <w:t>100%</w:t>
            </w:r>
          </w:p>
        </w:tc>
        <w:tc>
          <w:tcPr>
            <w:tcW w:w="994" w:type="pct"/>
            <w:vAlign w:val="center"/>
          </w:tcPr>
          <w:p w14:paraId="3DF28129" w14:textId="77777777" w:rsidR="000C4898" w:rsidRPr="000C4898" w:rsidRDefault="000C4898" w:rsidP="000C4898">
            <w:pPr>
              <w:jc w:val="center"/>
              <w:rPr>
                <w:rFonts w:ascii="Arial Narrow" w:hAnsi="Arial Narrow" w:cs="Times New Roman"/>
                <w:snapToGrid w:val="0"/>
                <w:sz w:val="20"/>
              </w:rPr>
            </w:pPr>
            <w:r w:rsidRPr="000C4898">
              <w:rPr>
                <w:rFonts w:ascii="Arial Narrow" w:hAnsi="Arial Narrow" w:cs="Times New Roman"/>
                <w:snapToGrid w:val="0"/>
                <w:sz w:val="20"/>
              </w:rPr>
              <w:t>99% (92, 100)</w:t>
            </w:r>
          </w:p>
        </w:tc>
      </w:tr>
      <w:tr w:rsidR="000C4898" w:rsidRPr="000C4898" w14:paraId="4CE14B37" w14:textId="77777777" w:rsidTr="0910F2D2">
        <w:tc>
          <w:tcPr>
            <w:tcW w:w="2891" w:type="pct"/>
          </w:tcPr>
          <w:p w14:paraId="2F0B6599" w14:textId="77777777" w:rsidR="000C4898" w:rsidRPr="000C4898" w:rsidRDefault="000C4898" w:rsidP="000C4898">
            <w:pPr>
              <w:ind w:left="251"/>
              <w:jc w:val="left"/>
              <w:rPr>
                <w:rFonts w:ascii="Arial Narrow" w:hAnsi="Arial Narrow" w:cs="Times New Roman"/>
                <w:snapToGrid w:val="0"/>
                <w:sz w:val="20"/>
              </w:rPr>
            </w:pPr>
            <w:r w:rsidRPr="000C4898">
              <w:rPr>
                <w:rFonts w:ascii="Arial Narrow" w:hAnsi="Arial Narrow" w:cs="Times New Roman"/>
                <w:snapToGrid w:val="0"/>
                <w:sz w:val="20"/>
              </w:rPr>
              <w:t>3 years (95% CI)</w:t>
            </w:r>
          </w:p>
        </w:tc>
        <w:tc>
          <w:tcPr>
            <w:tcW w:w="1115" w:type="pct"/>
            <w:vAlign w:val="center"/>
          </w:tcPr>
          <w:p w14:paraId="63457340" w14:textId="77777777" w:rsidR="000C4898" w:rsidRPr="000C4898" w:rsidRDefault="000C4898" w:rsidP="000C4898">
            <w:pPr>
              <w:jc w:val="center"/>
              <w:rPr>
                <w:rFonts w:ascii="Arial Narrow" w:hAnsi="Arial Narrow" w:cs="Times New Roman"/>
                <w:snapToGrid w:val="0"/>
                <w:sz w:val="20"/>
              </w:rPr>
            </w:pPr>
            <w:r w:rsidRPr="000C4898">
              <w:rPr>
                <w:rFonts w:ascii="Arial Narrow" w:hAnsi="Arial Narrow" w:cs="Times New Roman"/>
                <w:snapToGrid w:val="0"/>
                <w:sz w:val="20"/>
              </w:rPr>
              <w:t>88% (79, 93)</w:t>
            </w:r>
          </w:p>
        </w:tc>
        <w:tc>
          <w:tcPr>
            <w:tcW w:w="994" w:type="pct"/>
            <w:vAlign w:val="center"/>
          </w:tcPr>
          <w:p w14:paraId="7A6341D4" w14:textId="77777777" w:rsidR="000C4898" w:rsidRPr="000C4898" w:rsidRDefault="000C4898" w:rsidP="000C4898">
            <w:pPr>
              <w:jc w:val="center"/>
              <w:rPr>
                <w:rFonts w:ascii="Arial Narrow" w:hAnsi="Arial Narrow" w:cs="Times New Roman"/>
                <w:snapToGrid w:val="0"/>
                <w:sz w:val="20"/>
              </w:rPr>
            </w:pPr>
            <w:r w:rsidRPr="000C4898">
              <w:rPr>
                <w:rFonts w:ascii="Arial Narrow" w:hAnsi="Arial Narrow" w:cs="Times New Roman"/>
                <w:snapToGrid w:val="0"/>
                <w:sz w:val="20"/>
              </w:rPr>
              <w:t>87% (77, 93)</w:t>
            </w:r>
          </w:p>
        </w:tc>
      </w:tr>
      <w:tr w:rsidR="000C4898" w:rsidRPr="000C4898" w14:paraId="42FD7FE0" w14:textId="77777777" w:rsidTr="0910F2D2">
        <w:tc>
          <w:tcPr>
            <w:tcW w:w="2891" w:type="pct"/>
          </w:tcPr>
          <w:p w14:paraId="7A0F57B7" w14:textId="77777777" w:rsidR="000C4898" w:rsidRPr="000C4898" w:rsidRDefault="000C4898" w:rsidP="000C4898">
            <w:pPr>
              <w:ind w:left="251"/>
              <w:jc w:val="left"/>
              <w:rPr>
                <w:rFonts w:ascii="Arial Narrow" w:hAnsi="Arial Narrow" w:cs="Times New Roman"/>
                <w:snapToGrid w:val="0"/>
                <w:sz w:val="20"/>
              </w:rPr>
            </w:pPr>
            <w:r w:rsidRPr="000C4898">
              <w:rPr>
                <w:rFonts w:ascii="Arial Narrow" w:hAnsi="Arial Narrow" w:cs="Times New Roman"/>
                <w:snapToGrid w:val="0"/>
                <w:sz w:val="20"/>
              </w:rPr>
              <w:t>5 years (95% CI)</w:t>
            </w:r>
          </w:p>
        </w:tc>
        <w:tc>
          <w:tcPr>
            <w:tcW w:w="1115" w:type="pct"/>
            <w:vAlign w:val="center"/>
          </w:tcPr>
          <w:p w14:paraId="39A50669" w14:textId="77777777" w:rsidR="000C4898" w:rsidRPr="000C4898" w:rsidRDefault="000C4898" w:rsidP="000C4898">
            <w:pPr>
              <w:jc w:val="center"/>
              <w:rPr>
                <w:rFonts w:ascii="Arial Narrow" w:hAnsi="Arial Narrow" w:cs="Times New Roman"/>
                <w:snapToGrid w:val="0"/>
                <w:sz w:val="20"/>
              </w:rPr>
            </w:pPr>
            <w:r w:rsidRPr="000C4898">
              <w:rPr>
                <w:rFonts w:ascii="Arial Narrow" w:hAnsi="Arial Narrow" w:cs="Times New Roman"/>
                <w:snapToGrid w:val="0"/>
                <w:sz w:val="20"/>
              </w:rPr>
              <w:t>83% (72, 89)</w:t>
            </w:r>
          </w:p>
        </w:tc>
        <w:tc>
          <w:tcPr>
            <w:tcW w:w="994" w:type="pct"/>
            <w:vAlign w:val="center"/>
          </w:tcPr>
          <w:p w14:paraId="0AF3B899" w14:textId="77777777" w:rsidR="000C4898" w:rsidRPr="000C4898" w:rsidRDefault="000C4898" w:rsidP="000C4898">
            <w:pPr>
              <w:jc w:val="center"/>
              <w:rPr>
                <w:rFonts w:ascii="Arial Narrow" w:hAnsi="Arial Narrow" w:cs="Times New Roman"/>
                <w:snapToGrid w:val="0"/>
                <w:sz w:val="20"/>
              </w:rPr>
            </w:pPr>
            <w:r w:rsidRPr="000C4898">
              <w:rPr>
                <w:rFonts w:ascii="Arial Narrow" w:hAnsi="Arial Narrow" w:cs="Times New Roman"/>
                <w:snapToGrid w:val="0"/>
                <w:sz w:val="20"/>
              </w:rPr>
              <w:t>75% (61, 84)</w:t>
            </w:r>
          </w:p>
        </w:tc>
      </w:tr>
      <w:tr w:rsidR="000C4898" w:rsidRPr="000C4898" w14:paraId="5331D358" w14:textId="77777777" w:rsidTr="0910F2D2">
        <w:tc>
          <w:tcPr>
            <w:tcW w:w="2891" w:type="pct"/>
          </w:tcPr>
          <w:p w14:paraId="121F9A5B" w14:textId="77777777" w:rsidR="000C4898" w:rsidRPr="000C4898" w:rsidRDefault="000C4898" w:rsidP="000C4898">
            <w:pPr>
              <w:ind w:left="251"/>
              <w:jc w:val="left"/>
              <w:rPr>
                <w:rFonts w:ascii="Arial Narrow" w:hAnsi="Arial Narrow" w:cs="Times New Roman"/>
                <w:snapToGrid w:val="0"/>
                <w:sz w:val="20"/>
              </w:rPr>
            </w:pPr>
            <w:r w:rsidRPr="000C4898">
              <w:rPr>
                <w:rFonts w:ascii="Arial Narrow" w:hAnsi="Arial Narrow" w:cs="Times New Roman"/>
                <w:snapToGrid w:val="0"/>
                <w:sz w:val="20"/>
              </w:rPr>
              <w:t>HR (95% CI); p-value</w:t>
            </w:r>
          </w:p>
        </w:tc>
        <w:tc>
          <w:tcPr>
            <w:tcW w:w="2109" w:type="pct"/>
            <w:gridSpan w:val="2"/>
            <w:vAlign w:val="center"/>
          </w:tcPr>
          <w:p w14:paraId="617150B3" w14:textId="77777777" w:rsidR="000C4898" w:rsidRPr="000C4898" w:rsidRDefault="000C4898" w:rsidP="000C4898">
            <w:pPr>
              <w:jc w:val="center"/>
              <w:rPr>
                <w:rFonts w:ascii="Arial Narrow" w:hAnsi="Arial Narrow" w:cs="Times New Roman"/>
                <w:snapToGrid w:val="0"/>
                <w:sz w:val="20"/>
              </w:rPr>
            </w:pPr>
            <w:r w:rsidRPr="000C4898">
              <w:rPr>
                <w:rFonts w:ascii="Arial Narrow" w:hAnsi="Arial Narrow" w:cs="Times New Roman"/>
                <w:snapToGrid w:val="0"/>
                <w:sz w:val="20"/>
              </w:rPr>
              <w:t>0.72 (0.35, 1.48; p=0.38)</w:t>
            </w:r>
          </w:p>
        </w:tc>
      </w:tr>
    </w:tbl>
    <w:p w14:paraId="3985BB86" w14:textId="77777777" w:rsidR="000C4898" w:rsidRPr="000C4898" w:rsidRDefault="000C4898" w:rsidP="000C4898">
      <w:pPr>
        <w:keepLines/>
        <w:spacing w:after="120"/>
        <w:contextualSpacing/>
        <w:jc w:val="left"/>
        <w:rPr>
          <w:rFonts w:ascii="Arial Narrow" w:hAnsi="Arial Narrow"/>
          <w:snapToGrid w:val="0"/>
          <w:sz w:val="18"/>
          <w:szCs w:val="22"/>
        </w:rPr>
      </w:pPr>
      <w:r w:rsidRPr="000C4898">
        <w:rPr>
          <w:rFonts w:ascii="Arial Narrow" w:hAnsi="Arial Narrow"/>
          <w:snapToGrid w:val="0"/>
          <w:sz w:val="18"/>
          <w:szCs w:val="22"/>
        </w:rPr>
        <w:t>Source: Table 2.17, p102 of resubmission (based on CSR)</w:t>
      </w:r>
    </w:p>
    <w:p w14:paraId="5A77D460" w14:textId="77777777" w:rsidR="000C4898" w:rsidRPr="000C4898" w:rsidRDefault="000C4898" w:rsidP="000C4898">
      <w:pPr>
        <w:keepLines/>
        <w:spacing w:after="120"/>
        <w:contextualSpacing/>
        <w:jc w:val="left"/>
        <w:rPr>
          <w:rFonts w:ascii="Arial Narrow" w:hAnsi="Arial Narrow"/>
          <w:snapToGrid w:val="0"/>
          <w:sz w:val="18"/>
          <w:szCs w:val="22"/>
        </w:rPr>
      </w:pPr>
      <w:r w:rsidRPr="000C4898">
        <w:rPr>
          <w:rFonts w:ascii="Arial Narrow" w:hAnsi="Arial Narrow"/>
          <w:snapToGrid w:val="0"/>
          <w:sz w:val="18"/>
          <w:szCs w:val="22"/>
        </w:rPr>
        <w:t xml:space="preserve">Abbreviations: BAT, best available therapy; CI, confidence interval; CSR, clinical study report; HR, hazard ratio; OS, overall survival; PFS, progression-free survival; </w:t>
      </w:r>
    </w:p>
    <w:p w14:paraId="421B58C4" w14:textId="77777777" w:rsidR="000C4898" w:rsidRPr="009211C8" w:rsidRDefault="000C4898" w:rsidP="009211C8">
      <w:pPr>
        <w:rPr>
          <w:rFonts w:eastAsiaTheme="minorHAnsi"/>
        </w:rPr>
      </w:pPr>
    </w:p>
    <w:p w14:paraId="2E2934A4" w14:textId="221F2384" w:rsidR="000C4898" w:rsidRPr="000C4898" w:rsidRDefault="000C4898" w:rsidP="000C4898">
      <w:pPr>
        <w:keepNext/>
        <w:jc w:val="left"/>
        <w:rPr>
          <w:rFonts w:ascii="Arial Narrow" w:eastAsiaTheme="majorEastAsia" w:hAnsi="Arial Narrow" w:cstheme="majorBidi"/>
          <w:b/>
          <w:bCs/>
          <w:sz w:val="20"/>
        </w:rPr>
      </w:pPr>
      <w:bookmarkStart w:id="50" w:name="_Ref184805990"/>
      <w:r w:rsidRPr="000C4898">
        <w:rPr>
          <w:rFonts w:ascii="Arial Narrow" w:eastAsiaTheme="majorEastAsia" w:hAnsi="Arial Narrow" w:cstheme="majorBidi"/>
          <w:b/>
          <w:bCs/>
          <w:sz w:val="20"/>
        </w:rPr>
        <w:t xml:space="preserve">Figure </w:t>
      </w:r>
      <w:r w:rsidRPr="000C4898">
        <w:rPr>
          <w:rFonts w:ascii="Arial Narrow" w:eastAsiaTheme="majorEastAsia" w:hAnsi="Arial Narrow" w:cstheme="majorBidi"/>
          <w:b/>
          <w:bCs/>
          <w:sz w:val="20"/>
        </w:rPr>
        <w:fldChar w:fldCharType="begin" w:fldLock="1"/>
      </w:r>
      <w:r w:rsidRPr="000C4898">
        <w:rPr>
          <w:rFonts w:ascii="Arial Narrow" w:eastAsiaTheme="majorEastAsia" w:hAnsi="Arial Narrow" w:cstheme="majorBidi"/>
          <w:b/>
          <w:bCs/>
          <w:sz w:val="20"/>
        </w:rPr>
        <w:instrText xml:space="preserve"> SEQ Figure \* ARABIC </w:instrText>
      </w:r>
      <w:r w:rsidRPr="000C4898">
        <w:rPr>
          <w:rFonts w:ascii="Arial Narrow" w:eastAsiaTheme="majorEastAsia" w:hAnsi="Arial Narrow" w:cstheme="majorBidi"/>
          <w:b/>
          <w:bCs/>
          <w:sz w:val="20"/>
        </w:rPr>
        <w:fldChar w:fldCharType="separate"/>
      </w:r>
      <w:r w:rsidR="0096555B">
        <w:rPr>
          <w:rFonts w:ascii="Arial Narrow" w:eastAsiaTheme="majorEastAsia" w:hAnsi="Arial Narrow" w:cstheme="majorBidi"/>
          <w:b/>
          <w:bCs/>
          <w:noProof/>
          <w:sz w:val="20"/>
        </w:rPr>
        <w:t>3</w:t>
      </w:r>
      <w:r w:rsidRPr="000C4898">
        <w:rPr>
          <w:rFonts w:ascii="Arial Narrow" w:eastAsiaTheme="majorEastAsia" w:hAnsi="Arial Narrow" w:cstheme="majorBidi"/>
          <w:b/>
          <w:bCs/>
          <w:noProof/>
          <w:sz w:val="20"/>
        </w:rPr>
        <w:fldChar w:fldCharType="end"/>
      </w:r>
      <w:bookmarkEnd w:id="50"/>
      <w:r w:rsidRPr="000C4898">
        <w:rPr>
          <w:rFonts w:ascii="Arial Narrow" w:eastAsiaTheme="majorEastAsia" w:hAnsi="Arial Narrow" w:cstheme="majorBidi"/>
          <w:b/>
          <w:bCs/>
          <w:sz w:val="20"/>
        </w:rPr>
        <w:t xml:space="preserve">: Progression-free </w:t>
      </w:r>
      <w:r w:rsidR="00DD69ED">
        <w:rPr>
          <w:rFonts w:ascii="Arial Narrow" w:eastAsiaTheme="majorEastAsia" w:hAnsi="Arial Narrow" w:cstheme="majorBidi"/>
          <w:b/>
          <w:bCs/>
          <w:sz w:val="20"/>
        </w:rPr>
        <w:t xml:space="preserve">(left) and overall </w:t>
      </w:r>
      <w:r w:rsidRPr="000C4898">
        <w:rPr>
          <w:rFonts w:ascii="Arial Narrow" w:eastAsiaTheme="majorEastAsia" w:hAnsi="Arial Narrow" w:cstheme="majorBidi"/>
          <w:b/>
          <w:bCs/>
          <w:sz w:val="20"/>
        </w:rPr>
        <w:t>survival</w:t>
      </w:r>
      <w:r w:rsidR="00DD69ED">
        <w:rPr>
          <w:rFonts w:ascii="Arial Narrow" w:eastAsiaTheme="majorEastAsia" w:hAnsi="Arial Narrow" w:cstheme="majorBidi"/>
          <w:b/>
          <w:bCs/>
          <w:sz w:val="20"/>
        </w:rPr>
        <w:t xml:space="preserve"> (right)</w:t>
      </w:r>
      <w:r w:rsidRPr="000C4898">
        <w:rPr>
          <w:rFonts w:ascii="Arial Narrow" w:eastAsiaTheme="majorEastAsia" w:hAnsi="Arial Narrow" w:cstheme="majorBidi"/>
          <w:b/>
          <w:bCs/>
          <w:sz w:val="20"/>
        </w:rPr>
        <w:t xml:space="preserve"> in MAJIC </w:t>
      </w:r>
    </w:p>
    <w:p w14:paraId="7DD53E75" w14:textId="5A4983F0" w:rsidR="000C4898" w:rsidRPr="000C4898" w:rsidRDefault="000C4898" w:rsidP="000C4898">
      <w:pPr>
        <w:keepNext/>
        <w:jc w:val="left"/>
        <w:rPr>
          <w:rFonts w:ascii="Arial Narrow" w:eastAsiaTheme="majorEastAsia" w:hAnsi="Arial Narrow" w:cstheme="majorBidi"/>
          <w:b/>
          <w:bCs/>
          <w:sz w:val="20"/>
        </w:rPr>
      </w:pPr>
      <w:r w:rsidRPr="000C4898">
        <w:rPr>
          <w:rFonts w:ascii="Arial Narrow" w:eastAsiaTheme="majorEastAsia" w:hAnsi="Arial Narrow" w:cstheme="majorBidi"/>
          <w:b/>
          <w:bCs/>
          <w:noProof/>
          <w:sz w:val="20"/>
        </w:rPr>
        <w:drawing>
          <wp:inline distT="0" distB="0" distL="0" distR="0" wp14:anchorId="0788CF10" wp14:editId="4DA0B064">
            <wp:extent cx="2675978" cy="2676525"/>
            <wp:effectExtent l="0" t="0" r="0" b="0"/>
            <wp:docPr id="3234495" name="Picture 1" descr="Figure 3A: Progression free survival in MAJIC. At 5 years since randomisation, 70% of ruxolitinib patients experienced progression free survival, compared to 60% of BAT pati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4495" name="Picture 1" descr="Figure 3A: Progression free survival in MAJIC. At 5 years since randomisation, 70% of ruxolitinib patients experienced progression free survival, compared to 60% of BAT patients "/>
                    <pic:cNvPicPr/>
                  </pic:nvPicPr>
                  <pic:blipFill>
                    <a:blip r:embed="rId14"/>
                    <a:stretch>
                      <a:fillRect/>
                    </a:stretch>
                  </pic:blipFill>
                  <pic:spPr>
                    <a:xfrm>
                      <a:off x="0" y="0"/>
                      <a:ext cx="2727218" cy="2727775"/>
                    </a:xfrm>
                    <a:prstGeom prst="rect">
                      <a:avLst/>
                    </a:prstGeom>
                  </pic:spPr>
                </pic:pic>
              </a:graphicData>
            </a:graphic>
          </wp:inline>
        </w:drawing>
      </w:r>
      <w:r w:rsidR="00DD69ED" w:rsidRPr="00DD69ED">
        <w:rPr>
          <w:rFonts w:ascii="Arial Narrow" w:eastAsiaTheme="majorEastAsia" w:hAnsi="Arial Narrow" w:cstheme="majorBidi"/>
          <w:b/>
          <w:bCs/>
          <w:noProof/>
          <w:sz w:val="20"/>
          <w:u w:val="single"/>
        </w:rPr>
        <w:t xml:space="preserve"> </w:t>
      </w:r>
      <w:r w:rsidR="00DD69ED" w:rsidRPr="000C4898">
        <w:rPr>
          <w:rFonts w:ascii="Arial Narrow" w:eastAsiaTheme="majorEastAsia" w:hAnsi="Arial Narrow" w:cstheme="majorBidi"/>
          <w:b/>
          <w:bCs/>
          <w:noProof/>
          <w:sz w:val="20"/>
          <w:u w:val="single"/>
        </w:rPr>
        <w:drawing>
          <wp:inline distT="0" distB="0" distL="0" distR="0" wp14:anchorId="27357FA3" wp14:editId="0192A710">
            <wp:extent cx="2886075" cy="2802498"/>
            <wp:effectExtent l="0" t="0" r="0" b="0"/>
            <wp:docPr id="555717170" name="Picture 1" descr="Figure 3B: Overall survival in MAJIC. Overall survival rates are comparable from Years 0 to 3 for both groups. At 5 years since randomisation, 80% of ruxolitinib patients survived, compared to 75% of BAT pati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717170" name="Picture 1" descr="Figure 3B: Overall survival in MAJIC. Overall survival rates are comparable from Years 0 to 3 for both groups. At 5 years since randomisation, 80% of ruxolitinib patients survived, compared to 75% of BAT patients "/>
                    <pic:cNvPicPr>
                      <a:picLocks noChangeAspect="1" noChangeArrowheads="1"/>
                    </pic:cNvPicPr>
                  </pic:nvPicPr>
                  <pic:blipFill rotWithShape="1">
                    <a:blip r:embed="rId15">
                      <a:extLst>
                        <a:ext uri="{28A0092B-C50C-407E-A947-70E740481C1C}">
                          <a14:useLocalDpi xmlns:a14="http://schemas.microsoft.com/office/drawing/2010/main" val="0"/>
                        </a:ext>
                      </a:extLst>
                    </a:blip>
                    <a:srcRect l="5391" b="359"/>
                    <a:stretch/>
                  </pic:blipFill>
                  <pic:spPr bwMode="auto">
                    <a:xfrm>
                      <a:off x="0" y="0"/>
                      <a:ext cx="2956667" cy="2871046"/>
                    </a:xfrm>
                    <a:prstGeom prst="rect">
                      <a:avLst/>
                    </a:prstGeom>
                    <a:noFill/>
                    <a:ln>
                      <a:noFill/>
                    </a:ln>
                    <a:extLst>
                      <a:ext uri="{53640926-AAD7-44D8-BBD7-CCE9431645EC}">
                        <a14:shadowObscured xmlns:a14="http://schemas.microsoft.com/office/drawing/2010/main"/>
                      </a:ext>
                    </a:extLst>
                  </pic:spPr>
                </pic:pic>
              </a:graphicData>
            </a:graphic>
          </wp:inline>
        </w:drawing>
      </w:r>
    </w:p>
    <w:p w14:paraId="78CA0842" w14:textId="25B93C66" w:rsidR="000C4898" w:rsidRPr="000C4898" w:rsidRDefault="000C4898" w:rsidP="000C4898">
      <w:pPr>
        <w:keepLines/>
        <w:spacing w:after="120"/>
        <w:contextualSpacing/>
        <w:jc w:val="left"/>
        <w:rPr>
          <w:rFonts w:ascii="Arial Narrow" w:hAnsi="Arial Narrow"/>
          <w:snapToGrid w:val="0"/>
          <w:sz w:val="18"/>
          <w:szCs w:val="22"/>
        </w:rPr>
      </w:pPr>
      <w:r w:rsidRPr="000C4898">
        <w:rPr>
          <w:rFonts w:ascii="Arial Narrow" w:hAnsi="Arial Narrow"/>
          <w:snapToGrid w:val="0"/>
          <w:sz w:val="18"/>
          <w:szCs w:val="22"/>
        </w:rPr>
        <w:t>Source: Figure 2.18</w:t>
      </w:r>
      <w:r w:rsidR="00D71F57">
        <w:rPr>
          <w:rFonts w:ascii="Arial Narrow" w:hAnsi="Arial Narrow"/>
          <w:snapToGrid w:val="0"/>
          <w:sz w:val="18"/>
          <w:szCs w:val="22"/>
        </w:rPr>
        <w:t xml:space="preserve"> and</w:t>
      </w:r>
      <w:r w:rsidR="00DD69ED">
        <w:rPr>
          <w:rFonts w:ascii="Arial Narrow" w:hAnsi="Arial Narrow"/>
          <w:snapToGrid w:val="0"/>
          <w:sz w:val="18"/>
          <w:szCs w:val="22"/>
        </w:rPr>
        <w:t xml:space="preserve"> 2.20</w:t>
      </w:r>
      <w:r w:rsidRPr="000C4898">
        <w:rPr>
          <w:rFonts w:ascii="Arial Narrow" w:hAnsi="Arial Narrow"/>
          <w:snapToGrid w:val="0"/>
          <w:sz w:val="18"/>
          <w:szCs w:val="22"/>
        </w:rPr>
        <w:t>, p100</w:t>
      </w:r>
      <w:r w:rsidR="00DD69ED">
        <w:rPr>
          <w:rFonts w:ascii="Arial Narrow" w:hAnsi="Arial Narrow"/>
          <w:snapToGrid w:val="0"/>
          <w:sz w:val="18"/>
          <w:szCs w:val="22"/>
        </w:rPr>
        <w:t>, 102</w:t>
      </w:r>
      <w:r w:rsidRPr="000C4898">
        <w:rPr>
          <w:rFonts w:ascii="Arial Narrow" w:hAnsi="Arial Narrow"/>
          <w:snapToGrid w:val="0"/>
          <w:sz w:val="18"/>
          <w:szCs w:val="22"/>
        </w:rPr>
        <w:t xml:space="preserve"> of resubmission</w:t>
      </w:r>
      <w:r w:rsidR="00062C70">
        <w:rPr>
          <w:rFonts w:ascii="Arial Narrow" w:hAnsi="Arial Narrow"/>
          <w:snapToGrid w:val="0"/>
          <w:sz w:val="18"/>
          <w:szCs w:val="22"/>
        </w:rPr>
        <w:t xml:space="preserve"> (based on MAJIC CSR)</w:t>
      </w:r>
      <w:r w:rsidRPr="000C4898">
        <w:rPr>
          <w:rFonts w:ascii="Arial Narrow" w:hAnsi="Arial Narrow"/>
          <w:snapToGrid w:val="0"/>
          <w:sz w:val="18"/>
          <w:szCs w:val="22"/>
        </w:rPr>
        <w:t>.</w:t>
      </w:r>
    </w:p>
    <w:p w14:paraId="79ABD29F" w14:textId="77777777" w:rsidR="000C4898" w:rsidRPr="000C4898" w:rsidRDefault="000C4898" w:rsidP="000C4898">
      <w:pPr>
        <w:keepLines/>
        <w:spacing w:after="120"/>
        <w:contextualSpacing/>
        <w:jc w:val="left"/>
        <w:rPr>
          <w:rFonts w:ascii="Arial Narrow" w:hAnsi="Arial Narrow"/>
          <w:snapToGrid w:val="0"/>
          <w:sz w:val="18"/>
          <w:szCs w:val="22"/>
        </w:rPr>
      </w:pPr>
      <w:r w:rsidRPr="000C4898">
        <w:rPr>
          <w:rFonts w:ascii="Arial Narrow" w:hAnsi="Arial Narrow"/>
          <w:snapToGrid w:val="0"/>
          <w:sz w:val="18"/>
          <w:szCs w:val="22"/>
        </w:rPr>
        <w:t>Abbreviations: BAT, best available therapy; CI, confidence interval; CSR, clinical study report; HR, hazard ratio; PV, polycythaemia vera.</w:t>
      </w:r>
    </w:p>
    <w:p w14:paraId="5BFB3B25" w14:textId="77777777" w:rsidR="000C4898" w:rsidRPr="000C4898" w:rsidRDefault="000C4898" w:rsidP="000C4898"/>
    <w:p w14:paraId="06EF7DF9" w14:textId="3C0556CD" w:rsidR="000C4898" w:rsidRPr="006124A7" w:rsidRDefault="5E23A171" w:rsidP="00EF11B5">
      <w:pPr>
        <w:pStyle w:val="3-BodyText"/>
      </w:pPr>
      <w:bookmarkStart w:id="51" w:name="_Ref184970556"/>
      <w:r w:rsidRPr="0F1D33A4">
        <w:t xml:space="preserve">The number of PFS events </w:t>
      </w:r>
      <w:r w:rsidR="11E85747" w:rsidRPr="0F1D33A4">
        <w:t xml:space="preserve">was </w:t>
      </w:r>
      <w:r w:rsidRPr="0F1D33A4">
        <w:t>higher in the BAT</w:t>
      </w:r>
      <w:r w:rsidR="43E6B6EE" w:rsidRPr="0F1D33A4">
        <w:t xml:space="preserve"> arm</w:t>
      </w:r>
      <w:r w:rsidRPr="0F1D33A4">
        <w:t xml:space="preserve"> compared to</w:t>
      </w:r>
      <w:r w:rsidR="43E6B6EE" w:rsidRPr="0F1D33A4">
        <w:t xml:space="preserve"> the</w:t>
      </w:r>
      <w:r w:rsidRPr="0F1D33A4">
        <w:t xml:space="preserve"> ruxolitin</w:t>
      </w:r>
      <w:r w:rsidR="4A9EACF5" w:rsidRPr="0F1D33A4">
        <w:t>i</w:t>
      </w:r>
      <w:r w:rsidRPr="0F1D33A4">
        <w:t>b arm (27 vs 22), while</w:t>
      </w:r>
      <w:r w:rsidR="43E6B6EE" w:rsidRPr="0F1D33A4">
        <w:t xml:space="preserve"> the</w:t>
      </w:r>
      <w:r w:rsidRPr="0F1D33A4">
        <w:t xml:space="preserve"> number of events </w:t>
      </w:r>
      <w:r w:rsidR="54FC643C" w:rsidRPr="0F1D33A4">
        <w:t xml:space="preserve">was </w:t>
      </w:r>
      <w:r w:rsidRPr="0F1D33A4">
        <w:t>the same for OS (17 for both arms). No statistically significant differences in PFS and OS were observed between the treatment arms in MAJIC. This aligns with results presented in the previous submission.</w:t>
      </w:r>
      <w:bookmarkEnd w:id="51"/>
      <w:r w:rsidRPr="0F1D33A4">
        <w:t xml:space="preserve"> </w:t>
      </w:r>
      <w:r w:rsidR="799B6D35" w:rsidRPr="0F1D33A4">
        <w:t xml:space="preserve">The PFS KM curves appear to separate after 1.5 years and the PFS rates at 3- and 5-years were numerically higher in the ruxolitinib arm compared to BAT; 84% </w:t>
      </w:r>
      <w:r w:rsidR="799B6D35" w:rsidRPr="0F1D33A4">
        <w:lastRenderedPageBreak/>
        <w:t>vs 75% and 76% vs 64% respectively. The 5-year OS rates were 83% in the ruxolitinib arm and 75% in the BAT arm, noting the 95% CIs were overlapping.</w:t>
      </w:r>
      <w:r w:rsidR="418055EC" w:rsidRPr="0F1D33A4">
        <w:t xml:space="preserve"> </w:t>
      </w:r>
      <w:r w:rsidR="3D5802FB" w:rsidRPr="00946411">
        <w:t>The Pre-Sub-Committee Response (PSCR) stated that the absence of a statistically significant difference in PFS and OS was due to the low number of disease progression events and deaths over the 5-year follow-up in MAJIC and noted that the trial was not powered to demonstrate a difference in these outcomes. The ESC agreed with the PSCR that this was not unexpected, given the natural history of PV where median survival of patients varies between 10.9 years (high-risk patients) and 27.8 years (low-risk patients).</w:t>
      </w:r>
      <w:r w:rsidR="00F87B86">
        <w:rPr>
          <w:i/>
          <w:iCs/>
        </w:rPr>
        <w:t xml:space="preserve"> </w:t>
      </w:r>
    </w:p>
    <w:p w14:paraId="3C027F9C" w14:textId="6185F9C2" w:rsidR="00506D17" w:rsidRPr="006124A7" w:rsidRDefault="026B5041" w:rsidP="00506D17">
      <w:pPr>
        <w:pStyle w:val="3-BodyText"/>
      </w:pPr>
      <w:r w:rsidRPr="0F1D33A4">
        <w:t xml:space="preserve">The KM curves of EFS </w:t>
      </w:r>
      <w:r w:rsidR="237B14CF" w:rsidRPr="0F1D33A4">
        <w:t xml:space="preserve">for both Harrison et al., and </w:t>
      </w:r>
      <w:r w:rsidR="679964EF" w:rsidRPr="0F1D33A4">
        <w:t xml:space="preserve">the CSR </w:t>
      </w:r>
      <w:r w:rsidRPr="0F1D33A4">
        <w:t xml:space="preserve">are shown in </w:t>
      </w:r>
      <w:r>
        <w:fldChar w:fldCharType="begin" w:fldLock="1"/>
      </w:r>
      <w:r>
        <w:instrText xml:space="preserve"> REF _Ref184808724 \h  \* MERGEFORMAT </w:instrText>
      </w:r>
      <w:r>
        <w:fldChar w:fldCharType="separate"/>
      </w:r>
      <w:r w:rsidR="07B8CB76" w:rsidRPr="0F1D33A4">
        <w:t>Figure 4</w:t>
      </w:r>
      <w:r>
        <w:fldChar w:fldCharType="end"/>
      </w:r>
      <w:r w:rsidRPr="0F1D33A4">
        <w:t xml:space="preserve">. EFS </w:t>
      </w:r>
      <w:r w:rsidR="44811995" w:rsidRPr="0F1D33A4">
        <w:t>wa</w:t>
      </w:r>
      <w:r w:rsidR="72FC82A9" w:rsidRPr="0F1D33A4">
        <w:t xml:space="preserve">s </w:t>
      </w:r>
      <w:r w:rsidRPr="0F1D33A4">
        <w:t>newly presented in this resubmission</w:t>
      </w:r>
      <w:r w:rsidR="72FC82A9" w:rsidRPr="0F1D33A4">
        <w:t xml:space="preserve"> and has additional potential for bias due to being defined post-hoc</w:t>
      </w:r>
      <w:r w:rsidRPr="0F1D33A4">
        <w:t>.</w:t>
      </w:r>
    </w:p>
    <w:p w14:paraId="46E65C89" w14:textId="2FB6E678" w:rsidR="00506D17" w:rsidRPr="000C4898" w:rsidRDefault="026B5041" w:rsidP="0F1D33A4">
      <w:pPr>
        <w:keepNext/>
        <w:keepLines/>
        <w:jc w:val="left"/>
        <w:rPr>
          <w:rFonts w:ascii="Arial Narrow" w:hAnsi="Arial Narrow"/>
          <w:b/>
          <w:bCs/>
          <w:sz w:val="20"/>
          <w:szCs w:val="20"/>
        </w:rPr>
      </w:pPr>
      <w:bookmarkStart w:id="52" w:name="_Ref184808724"/>
      <w:r w:rsidRPr="0F1D33A4">
        <w:rPr>
          <w:rFonts w:ascii="Arial Narrow" w:hAnsi="Arial Narrow"/>
          <w:b/>
          <w:bCs/>
          <w:sz w:val="20"/>
          <w:szCs w:val="20"/>
        </w:rPr>
        <w:t xml:space="preserve">Figure </w:t>
      </w:r>
      <w:r w:rsidRPr="0F1D33A4">
        <w:rPr>
          <w:rFonts w:ascii="Arial Narrow" w:hAnsi="Arial Narrow"/>
          <w:b/>
          <w:bCs/>
          <w:sz w:val="20"/>
          <w:szCs w:val="20"/>
        </w:rPr>
        <w:fldChar w:fldCharType="begin" w:fldLock="1"/>
      </w:r>
      <w:r w:rsidRPr="0F1D33A4">
        <w:rPr>
          <w:rFonts w:ascii="Arial Narrow" w:hAnsi="Arial Narrow"/>
          <w:b/>
          <w:bCs/>
          <w:sz w:val="20"/>
          <w:szCs w:val="20"/>
        </w:rPr>
        <w:instrText xml:space="preserve"> SEQ Figure \* ARABIC </w:instrText>
      </w:r>
      <w:r w:rsidRPr="0F1D33A4">
        <w:rPr>
          <w:rFonts w:ascii="Arial Narrow" w:hAnsi="Arial Narrow"/>
          <w:b/>
          <w:bCs/>
          <w:sz w:val="20"/>
          <w:szCs w:val="20"/>
        </w:rPr>
        <w:fldChar w:fldCharType="separate"/>
      </w:r>
      <w:r w:rsidR="07B8CB76" w:rsidRPr="0F1D33A4">
        <w:rPr>
          <w:rFonts w:ascii="Arial Narrow" w:hAnsi="Arial Narrow"/>
          <w:b/>
          <w:bCs/>
          <w:noProof/>
          <w:sz w:val="20"/>
          <w:szCs w:val="20"/>
        </w:rPr>
        <w:t>4</w:t>
      </w:r>
      <w:r w:rsidRPr="0F1D33A4">
        <w:rPr>
          <w:rFonts w:ascii="Arial Narrow" w:hAnsi="Arial Narrow"/>
          <w:b/>
          <w:bCs/>
          <w:noProof/>
          <w:sz w:val="20"/>
          <w:szCs w:val="20"/>
        </w:rPr>
        <w:fldChar w:fldCharType="end"/>
      </w:r>
      <w:bookmarkEnd w:id="52"/>
      <w:r w:rsidRPr="0F1D33A4">
        <w:rPr>
          <w:rFonts w:ascii="Arial Narrow" w:hAnsi="Arial Narrow"/>
          <w:b/>
          <w:bCs/>
          <w:sz w:val="20"/>
          <w:szCs w:val="20"/>
        </w:rPr>
        <w:t xml:space="preserve">: Event-free survival in MAJIC </w:t>
      </w:r>
      <w:r w:rsidR="7DEE034C" w:rsidRPr="0F1D33A4">
        <w:rPr>
          <w:rFonts w:ascii="Arial Narrow" w:hAnsi="Arial Narrow"/>
          <w:b/>
          <w:bCs/>
          <w:sz w:val="20"/>
          <w:szCs w:val="20"/>
        </w:rPr>
        <w:t>for</w:t>
      </w:r>
      <w:r w:rsidR="00F87B86">
        <w:rPr>
          <w:rFonts w:ascii="Arial Narrow" w:hAnsi="Arial Narrow"/>
          <w:b/>
          <w:bCs/>
          <w:sz w:val="20"/>
          <w:szCs w:val="20"/>
        </w:rPr>
        <w:t xml:space="preserve"> </w:t>
      </w:r>
      <w:r w:rsidR="7DEE034C" w:rsidRPr="0F1D33A4">
        <w:rPr>
          <w:rFonts w:ascii="Arial Narrow" w:hAnsi="Arial Narrow"/>
          <w:b/>
          <w:bCs/>
          <w:sz w:val="20"/>
          <w:szCs w:val="20"/>
        </w:rPr>
        <w:t>all minor and major thromboembolic/haemorrhagic events (CSR</w:t>
      </w:r>
      <w:r w:rsidR="62369C2B" w:rsidRPr="0F1D33A4">
        <w:rPr>
          <w:rFonts w:ascii="Arial Narrow" w:hAnsi="Arial Narrow"/>
          <w:b/>
          <w:bCs/>
          <w:sz w:val="20"/>
          <w:szCs w:val="20"/>
        </w:rPr>
        <w:t>)</w:t>
      </w:r>
      <w:r w:rsidR="691EA0DC" w:rsidRPr="0F1D33A4">
        <w:rPr>
          <w:rFonts w:ascii="Arial Narrow" w:hAnsi="Arial Narrow"/>
          <w:b/>
          <w:bCs/>
          <w:sz w:val="20"/>
          <w:szCs w:val="20"/>
        </w:rPr>
        <w:t>(</w:t>
      </w:r>
      <w:r w:rsidR="193CEF9C" w:rsidRPr="0F1D33A4">
        <w:rPr>
          <w:rFonts w:ascii="Arial Narrow" w:hAnsi="Arial Narrow"/>
          <w:b/>
          <w:bCs/>
          <w:sz w:val="20"/>
          <w:szCs w:val="20"/>
        </w:rPr>
        <w:t>left</w:t>
      </w:r>
      <w:r w:rsidR="691EA0DC" w:rsidRPr="0F1D33A4">
        <w:rPr>
          <w:rFonts w:ascii="Arial Narrow" w:hAnsi="Arial Narrow"/>
          <w:b/>
          <w:bCs/>
          <w:sz w:val="20"/>
          <w:szCs w:val="20"/>
        </w:rPr>
        <w:t>)</w:t>
      </w:r>
      <w:r w:rsidR="7DEE034C" w:rsidRPr="0F1D33A4">
        <w:rPr>
          <w:rFonts w:ascii="Arial Narrow" w:hAnsi="Arial Narrow"/>
          <w:b/>
          <w:bCs/>
          <w:sz w:val="20"/>
          <w:szCs w:val="20"/>
        </w:rPr>
        <w:t xml:space="preserve"> and </w:t>
      </w:r>
      <w:r w:rsidR="50BED4DC" w:rsidRPr="0F1D33A4">
        <w:rPr>
          <w:rFonts w:ascii="Arial Narrow" w:hAnsi="Arial Narrow"/>
          <w:b/>
          <w:bCs/>
          <w:sz w:val="20"/>
          <w:szCs w:val="20"/>
        </w:rPr>
        <w:t xml:space="preserve">for </w:t>
      </w:r>
      <w:r w:rsidR="5FE6FA94" w:rsidRPr="0F1D33A4">
        <w:rPr>
          <w:rFonts w:ascii="Arial Narrow" w:hAnsi="Arial Narrow"/>
          <w:b/>
          <w:bCs/>
          <w:sz w:val="20"/>
          <w:szCs w:val="20"/>
        </w:rPr>
        <w:t>major thromboembolic/haemorrhagic events</w:t>
      </w:r>
      <w:r w:rsidR="50BED4DC" w:rsidRPr="0F1D33A4">
        <w:rPr>
          <w:rFonts w:ascii="Arial Narrow" w:hAnsi="Arial Narrow"/>
          <w:b/>
          <w:bCs/>
          <w:sz w:val="20"/>
          <w:szCs w:val="20"/>
        </w:rPr>
        <w:t xml:space="preserve"> (Harrison et al.</w:t>
      </w:r>
      <w:r w:rsidR="7DED35AA" w:rsidRPr="0F1D33A4">
        <w:rPr>
          <w:rFonts w:ascii="Arial Narrow" w:hAnsi="Arial Narrow"/>
          <w:b/>
          <w:bCs/>
          <w:sz w:val="20"/>
          <w:szCs w:val="20"/>
        </w:rPr>
        <w:t>) (right</w:t>
      </w:r>
      <w:r w:rsidRPr="0F1D33A4">
        <w:rPr>
          <w:rFonts w:ascii="Arial Narrow" w:hAnsi="Arial Narrow"/>
          <w:b/>
          <w:bCs/>
          <w:sz w:val="20"/>
          <w:szCs w:val="20"/>
        </w:rPr>
        <w:t>)</w:t>
      </w:r>
    </w:p>
    <w:p w14:paraId="0E78DDF2" w14:textId="40DA0819" w:rsidR="00506D17" w:rsidRPr="000C4898" w:rsidRDefault="00D43F47" w:rsidP="00506D17">
      <w:pPr>
        <w:keepNext/>
        <w:jc w:val="left"/>
        <w:rPr>
          <w:rFonts w:ascii="Arial Narrow" w:eastAsiaTheme="majorEastAsia" w:hAnsi="Arial Narrow" w:cstheme="majorBidi"/>
          <w:b/>
          <w:bCs/>
          <w:sz w:val="20"/>
        </w:rPr>
      </w:pPr>
      <w:r w:rsidRPr="000C4898">
        <w:rPr>
          <w:rFonts w:ascii="Arial Narrow" w:eastAsiaTheme="majorEastAsia" w:hAnsi="Arial Narrow" w:cstheme="majorBidi"/>
          <w:b/>
          <w:bCs/>
          <w:noProof/>
          <w:sz w:val="20"/>
        </w:rPr>
        <w:drawing>
          <wp:inline distT="0" distB="0" distL="0" distR="0" wp14:anchorId="21D07F38" wp14:editId="2FCDC19D">
            <wp:extent cx="2571368" cy="2805430"/>
            <wp:effectExtent l="0" t="0" r="635" b="0"/>
            <wp:docPr id="357970612" name="Picture 9" descr="Figure 4A: Event-free survival in MAJIC for  all minor and major thromboembolic/haemorrhagic events. At 5 years since randomisation, 60% of ruxolitinib patients experienced event-free survival compared to 45% of BAT pati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970612" name="Picture 9" descr="Figure 4A: Event-free survival in MAJIC for  all minor and major thromboembolic/haemorrhagic events. At 5 years since randomisation, 60% of ruxolitinib patients experienced event-free survival compared to 45% of BAT patients "/>
                    <pic:cNvPicPr>
                      <a:picLocks noChangeAspect="1" noChangeArrowheads="1"/>
                    </pic:cNvPicPr>
                  </pic:nvPicPr>
                  <pic:blipFill rotWithShape="1">
                    <a:blip r:embed="rId16">
                      <a:extLst>
                        <a:ext uri="{28A0092B-C50C-407E-A947-70E740481C1C}">
                          <a14:useLocalDpi xmlns:a14="http://schemas.microsoft.com/office/drawing/2010/main" val="0"/>
                        </a:ext>
                      </a:extLst>
                    </a:blip>
                    <a:srcRect/>
                    <a:stretch/>
                  </pic:blipFill>
                  <pic:spPr bwMode="auto">
                    <a:xfrm>
                      <a:off x="0" y="0"/>
                      <a:ext cx="2592693" cy="2828696"/>
                    </a:xfrm>
                    <a:prstGeom prst="rect">
                      <a:avLst/>
                    </a:prstGeom>
                    <a:noFill/>
                    <a:ln>
                      <a:noFill/>
                    </a:ln>
                    <a:extLst>
                      <a:ext uri="{53640926-AAD7-44D8-BBD7-CCE9431645EC}">
                        <a14:shadowObscured xmlns:a14="http://schemas.microsoft.com/office/drawing/2010/main"/>
                      </a:ext>
                    </a:extLst>
                  </pic:spPr>
                </pic:pic>
              </a:graphicData>
            </a:graphic>
          </wp:inline>
        </w:drawing>
      </w:r>
      <w:r w:rsidR="00506D17" w:rsidRPr="000C4898">
        <w:rPr>
          <w:rFonts w:ascii="Arial Narrow" w:eastAsiaTheme="majorEastAsia" w:hAnsi="Arial Narrow" w:cstheme="majorBidi"/>
          <w:b/>
          <w:bCs/>
          <w:noProof/>
          <w:sz w:val="20"/>
        </w:rPr>
        <w:drawing>
          <wp:inline distT="0" distB="0" distL="0" distR="0" wp14:anchorId="6E02E761" wp14:editId="4B84E09C">
            <wp:extent cx="2968625" cy="2692400"/>
            <wp:effectExtent l="0" t="0" r="3175" b="0"/>
            <wp:docPr id="2142412568" name="Picture 1" descr="Figure 4B: Event-free survival in MAJIC for major thromboembolic/haemorrhagic events. After 5 years since random assignment, 70% of ruxolitinib patients experienced event-free survival compared to 50% of BAT pati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412568" name="Picture 1" descr="Figure 4B: Event-free survival in MAJIC for major thromboembolic/haemorrhagic events. After 5 years since random assignment, 70% of ruxolitinib patients experienced event-free survival compared to 50% of BAT patients "/>
                    <pic:cNvPicPr/>
                  </pic:nvPicPr>
                  <pic:blipFill>
                    <a:blip r:embed="rId17"/>
                    <a:stretch>
                      <a:fillRect/>
                    </a:stretch>
                  </pic:blipFill>
                  <pic:spPr>
                    <a:xfrm>
                      <a:off x="0" y="0"/>
                      <a:ext cx="2971649" cy="2695143"/>
                    </a:xfrm>
                    <a:prstGeom prst="rect">
                      <a:avLst/>
                    </a:prstGeom>
                  </pic:spPr>
                </pic:pic>
              </a:graphicData>
            </a:graphic>
          </wp:inline>
        </w:drawing>
      </w:r>
    </w:p>
    <w:p w14:paraId="4DE74F26" w14:textId="77777777" w:rsidR="00506D17" w:rsidRPr="000C4898" w:rsidRDefault="00506D17" w:rsidP="00506D17">
      <w:pPr>
        <w:keepLines/>
        <w:spacing w:after="120"/>
        <w:contextualSpacing/>
        <w:jc w:val="left"/>
        <w:rPr>
          <w:rFonts w:ascii="Arial Narrow" w:hAnsi="Arial Narrow"/>
          <w:snapToGrid w:val="0"/>
          <w:sz w:val="18"/>
          <w:szCs w:val="22"/>
        </w:rPr>
      </w:pPr>
      <w:r w:rsidRPr="000C4898">
        <w:rPr>
          <w:rFonts w:ascii="Arial Narrow" w:hAnsi="Arial Narrow"/>
          <w:snapToGrid w:val="0"/>
          <w:sz w:val="18"/>
          <w:szCs w:val="22"/>
        </w:rPr>
        <w:t>Source: Figure 2.9 and Figure 2.11, p94-95 of resubmission.</w:t>
      </w:r>
    </w:p>
    <w:p w14:paraId="3DD45486" w14:textId="067E892F" w:rsidR="00506D17" w:rsidRPr="000C4898" w:rsidRDefault="00506D17" w:rsidP="0910F2D2">
      <w:pPr>
        <w:keepLines/>
        <w:spacing w:after="120"/>
        <w:contextualSpacing/>
        <w:jc w:val="left"/>
        <w:rPr>
          <w:rFonts w:ascii="Arial Narrow" w:hAnsi="Arial Narrow"/>
          <w:snapToGrid w:val="0"/>
          <w:sz w:val="18"/>
          <w:szCs w:val="18"/>
        </w:rPr>
      </w:pPr>
      <w:r w:rsidRPr="0910F2D2">
        <w:rPr>
          <w:rFonts w:ascii="Arial Narrow" w:hAnsi="Arial Narrow"/>
          <w:snapToGrid w:val="0"/>
          <w:sz w:val="18"/>
          <w:szCs w:val="18"/>
        </w:rPr>
        <w:t xml:space="preserve">Abbreviations: BAT, best available therapy; CI, confidence interval; CSR, clinical study report; EFS, event-free survival, HR, hazard ratio; </w:t>
      </w:r>
      <w:r w:rsidR="00A826F4" w:rsidRPr="0910F2D2">
        <w:rPr>
          <w:rFonts w:ascii="Arial Narrow" w:hAnsi="Arial Narrow"/>
          <w:snapToGrid w:val="0"/>
          <w:sz w:val="18"/>
          <w:szCs w:val="18"/>
        </w:rPr>
        <w:t>RUX, ruxolitinib</w:t>
      </w:r>
      <w:r w:rsidRPr="0910F2D2">
        <w:rPr>
          <w:rFonts w:ascii="Arial Narrow" w:hAnsi="Arial Narrow"/>
          <w:snapToGrid w:val="0"/>
          <w:sz w:val="18"/>
          <w:szCs w:val="18"/>
        </w:rPr>
        <w:t>.</w:t>
      </w:r>
    </w:p>
    <w:p w14:paraId="5225557F" w14:textId="3F3081F7" w:rsidR="00506D17" w:rsidRPr="006124A7" w:rsidRDefault="026B5041" w:rsidP="00D933F6">
      <w:pPr>
        <w:pStyle w:val="3-BodyText"/>
      </w:pPr>
      <w:r w:rsidRPr="0F1D33A4">
        <w:t>The definition of EFS differed between the MAJIC CSR and Harrison et al.</w:t>
      </w:r>
      <w:r w:rsidR="38BF0863" w:rsidRPr="0F1D33A4">
        <w:t>,</w:t>
      </w:r>
      <w:r w:rsidRPr="0F1D33A4">
        <w:t xml:space="preserve"> 2023 </w:t>
      </w:r>
      <w:r w:rsidR="51F22027" w:rsidRPr="0F1D33A4">
        <w:t>with</w:t>
      </w:r>
      <w:r w:rsidRPr="0F1D33A4">
        <w:t xml:space="preserve"> the former includ</w:t>
      </w:r>
      <w:r w:rsidR="51F22027" w:rsidRPr="0F1D33A4">
        <w:t>ing</w:t>
      </w:r>
      <w:r w:rsidRPr="0F1D33A4">
        <w:t xml:space="preserve"> all minor and major thromboembolic/haemorrhagic events while the latter only includes major events. </w:t>
      </w:r>
      <w:r w:rsidR="5286FC32" w:rsidRPr="0F1D33A4">
        <w:t xml:space="preserve">These results suggest that </w:t>
      </w:r>
      <w:r w:rsidR="57F4E830" w:rsidRPr="0F1D33A4">
        <w:t>while ruxolitinib</w:t>
      </w:r>
      <w:r w:rsidR="0829E193" w:rsidRPr="0F1D33A4">
        <w:t xml:space="preserve"> </w:t>
      </w:r>
      <w:r w:rsidR="60695870" w:rsidRPr="0F1D33A4">
        <w:t>was not associated with</w:t>
      </w:r>
      <w:r w:rsidR="0C15B140" w:rsidRPr="0F1D33A4">
        <w:t xml:space="preserve"> a statistically significant </w:t>
      </w:r>
      <w:r w:rsidR="32EFEF8D" w:rsidRPr="0F1D33A4">
        <w:t xml:space="preserve">reduction in </w:t>
      </w:r>
      <w:r w:rsidR="0349488F" w:rsidRPr="0F1D33A4">
        <w:t xml:space="preserve">EFS </w:t>
      </w:r>
      <w:r w:rsidR="4CE3520C" w:rsidRPr="0F1D33A4">
        <w:t>(</w:t>
      </w:r>
      <w:r w:rsidR="2E906AB9" w:rsidRPr="0F1D33A4">
        <w:t>both minor and major events combined</w:t>
      </w:r>
      <w:r w:rsidR="4CE3520C" w:rsidRPr="0F1D33A4">
        <w:t>)</w:t>
      </w:r>
      <w:r w:rsidR="24D195A1" w:rsidRPr="0F1D33A4">
        <w:t xml:space="preserve"> (HR 0.65, 95% CI: 0.41, 1.02 from CSR)</w:t>
      </w:r>
      <w:r w:rsidR="2E906AB9" w:rsidRPr="0F1D33A4">
        <w:t xml:space="preserve">, </w:t>
      </w:r>
      <w:r w:rsidR="44FBCA7C" w:rsidRPr="0F1D33A4">
        <w:t xml:space="preserve">ruxolitinib </w:t>
      </w:r>
      <w:r w:rsidR="24D195A1" w:rsidRPr="0F1D33A4">
        <w:t>was</w:t>
      </w:r>
      <w:r w:rsidR="44FBCA7C" w:rsidRPr="0F1D33A4">
        <w:t xml:space="preserve"> associated with a</w:t>
      </w:r>
      <w:r w:rsidR="004C2750" w:rsidRPr="0F1D33A4">
        <w:t xml:space="preserve"> </w:t>
      </w:r>
      <w:r w:rsidR="728FB59F" w:rsidRPr="0F1D33A4">
        <w:t>statistically significant</w:t>
      </w:r>
      <w:r w:rsidR="7EA7A217" w:rsidRPr="0F1D33A4">
        <w:t>ly</w:t>
      </w:r>
      <w:r w:rsidR="728FB59F" w:rsidRPr="0F1D33A4">
        <w:t xml:space="preserve"> lower risk for major </w:t>
      </w:r>
      <w:r w:rsidR="11EBF31E" w:rsidRPr="0F1D33A4">
        <w:t xml:space="preserve">EFS </w:t>
      </w:r>
      <w:r w:rsidR="4CE3520C" w:rsidRPr="0F1D33A4">
        <w:t xml:space="preserve">(major </w:t>
      </w:r>
      <w:r w:rsidR="728FB59F" w:rsidRPr="0F1D33A4">
        <w:t>thromboembolic/haemorrhagic events</w:t>
      </w:r>
      <w:r w:rsidR="37D724EB" w:rsidRPr="0F1D33A4">
        <w:t>)</w:t>
      </w:r>
      <w:r w:rsidR="728FB59F" w:rsidRPr="0F1D33A4">
        <w:t xml:space="preserve"> (</w:t>
      </w:r>
      <w:r w:rsidR="5D47366C" w:rsidRPr="0F1D33A4">
        <w:t>HR 0.58, 95% CI: 0.35, 0.94</w:t>
      </w:r>
      <w:r w:rsidR="753FE17B" w:rsidRPr="0F1D33A4">
        <w:t xml:space="preserve"> from Harrison et al</w:t>
      </w:r>
      <w:r w:rsidR="0D1F525E" w:rsidRPr="0F1D33A4">
        <w:t>.</w:t>
      </w:r>
      <w:r w:rsidR="38BF0863" w:rsidRPr="0F1D33A4">
        <w:t>,</w:t>
      </w:r>
      <w:r w:rsidR="0D1F525E" w:rsidRPr="0F1D33A4">
        <w:t xml:space="preserve"> 2023)</w:t>
      </w:r>
      <w:r w:rsidR="57F4E830" w:rsidRPr="0F1D33A4">
        <w:t xml:space="preserve"> compared to BAT</w:t>
      </w:r>
      <w:r w:rsidR="0D1F525E" w:rsidRPr="0F1D33A4">
        <w:t xml:space="preserve">. </w:t>
      </w:r>
      <w:r w:rsidR="24D195A1" w:rsidRPr="0F1D33A4">
        <w:t>Further, a</w:t>
      </w:r>
      <w:r w:rsidR="464B411B" w:rsidRPr="0F1D33A4">
        <w:t>dditional a</w:t>
      </w:r>
      <w:r w:rsidR="6D945DFC" w:rsidRPr="0F1D33A4">
        <w:t xml:space="preserve">nalysis presented in the </w:t>
      </w:r>
      <w:r w:rsidRPr="0F1D33A4">
        <w:t xml:space="preserve">MAJIC CSR </w:t>
      </w:r>
      <w:r w:rsidR="6D945DFC" w:rsidRPr="0F1D33A4">
        <w:t xml:space="preserve">for </w:t>
      </w:r>
      <w:r w:rsidRPr="0F1D33A4">
        <w:t xml:space="preserve">major </w:t>
      </w:r>
      <w:r w:rsidR="37D724EB" w:rsidRPr="0F1D33A4">
        <w:t>EFS</w:t>
      </w:r>
      <w:r w:rsidRPr="0F1D33A4">
        <w:t xml:space="preserve">, </w:t>
      </w:r>
      <w:r w:rsidR="6D945DFC" w:rsidRPr="0F1D33A4">
        <w:t>also</w:t>
      </w:r>
      <w:r w:rsidRPr="0F1D33A4">
        <w:t xml:space="preserve"> indicated a </w:t>
      </w:r>
      <w:r w:rsidR="65DCE64D" w:rsidRPr="0F1D33A4">
        <w:t xml:space="preserve">statistically </w:t>
      </w:r>
      <w:r w:rsidRPr="0F1D33A4">
        <w:t xml:space="preserve">significant difference for ruxolitinib (HR 0.60, 95% CI: 0.37, 0.97; p=0.04). </w:t>
      </w:r>
    </w:p>
    <w:p w14:paraId="7D4DD807" w14:textId="5A2E2A86" w:rsidR="00506D17" w:rsidRPr="006124A7" w:rsidRDefault="00506D17" w:rsidP="00506D17">
      <w:pPr>
        <w:pStyle w:val="3-BodyText"/>
        <w:rPr>
          <w:iCs/>
        </w:rPr>
      </w:pPr>
      <w:r w:rsidRPr="006124A7">
        <w:rPr>
          <w:iCs/>
        </w:rPr>
        <w:lastRenderedPageBreak/>
        <w:t xml:space="preserve">The results of venesections and venesection-free survival (VFS) are presented in </w:t>
      </w:r>
      <w:r w:rsidR="009E4741" w:rsidRPr="006124A7">
        <w:rPr>
          <w:iCs/>
        </w:rPr>
        <w:fldChar w:fldCharType="begin" w:fldLock="1"/>
      </w:r>
      <w:r w:rsidR="009E4741" w:rsidRPr="006124A7">
        <w:rPr>
          <w:iCs/>
        </w:rPr>
        <w:instrText xml:space="preserve"> REF _Ref184839301 \h  \* MERGEFORMAT </w:instrText>
      </w:r>
      <w:r w:rsidR="009E4741" w:rsidRPr="006124A7">
        <w:rPr>
          <w:iCs/>
        </w:rPr>
      </w:r>
      <w:r w:rsidR="009E4741" w:rsidRPr="006124A7">
        <w:rPr>
          <w:iCs/>
        </w:rPr>
        <w:fldChar w:fldCharType="separate"/>
      </w:r>
      <w:r w:rsidR="009E4741" w:rsidRPr="006124A7">
        <w:rPr>
          <w:iCs/>
        </w:rPr>
        <w:t>Table 8</w:t>
      </w:r>
      <w:r w:rsidR="009E4741" w:rsidRPr="006124A7">
        <w:rPr>
          <w:iCs/>
        </w:rPr>
        <w:fldChar w:fldCharType="end"/>
      </w:r>
      <w:r w:rsidRPr="006124A7">
        <w:rPr>
          <w:iCs/>
        </w:rPr>
        <w:t>. Venesections was an exploratory outcome, not pre-specified in the protocol.</w:t>
      </w:r>
    </w:p>
    <w:p w14:paraId="06A57085" w14:textId="279BDABA" w:rsidR="00506D17" w:rsidRPr="006124A7" w:rsidRDefault="00506D17" w:rsidP="00BB42F1">
      <w:pPr>
        <w:keepNext/>
        <w:keepLines/>
        <w:jc w:val="left"/>
        <w:rPr>
          <w:rFonts w:ascii="Arial Narrow" w:hAnsi="Arial Narrow"/>
          <w:b/>
          <w:bCs/>
          <w:iCs/>
          <w:sz w:val="20"/>
          <w:szCs w:val="18"/>
        </w:rPr>
      </w:pPr>
      <w:bookmarkStart w:id="53" w:name="_Ref184839301"/>
      <w:bookmarkStart w:id="54" w:name="_Ref190339345"/>
      <w:r w:rsidRPr="006124A7">
        <w:rPr>
          <w:rFonts w:ascii="Arial Narrow" w:hAnsi="Arial Narrow"/>
          <w:b/>
          <w:bCs/>
          <w:iCs/>
          <w:sz w:val="20"/>
          <w:szCs w:val="18"/>
        </w:rPr>
        <w:t xml:space="preserve">Table </w:t>
      </w:r>
      <w:r w:rsidRPr="006124A7">
        <w:rPr>
          <w:rFonts w:ascii="Arial Narrow" w:hAnsi="Arial Narrow"/>
          <w:b/>
          <w:bCs/>
          <w:iCs/>
          <w:sz w:val="20"/>
          <w:szCs w:val="18"/>
        </w:rPr>
        <w:fldChar w:fldCharType="begin" w:fldLock="1"/>
      </w:r>
      <w:r w:rsidRPr="006124A7">
        <w:rPr>
          <w:rFonts w:ascii="Arial Narrow" w:hAnsi="Arial Narrow"/>
          <w:b/>
          <w:bCs/>
          <w:iCs/>
          <w:sz w:val="20"/>
          <w:szCs w:val="18"/>
        </w:rPr>
        <w:instrText xml:space="preserve"> SEQ Table \* ARABIC </w:instrText>
      </w:r>
      <w:r w:rsidRPr="006124A7">
        <w:rPr>
          <w:rFonts w:ascii="Arial Narrow" w:hAnsi="Arial Narrow"/>
          <w:b/>
          <w:bCs/>
          <w:iCs/>
          <w:sz w:val="20"/>
          <w:szCs w:val="18"/>
        </w:rPr>
        <w:fldChar w:fldCharType="separate"/>
      </w:r>
      <w:r w:rsidR="001F427F">
        <w:rPr>
          <w:rFonts w:ascii="Arial Narrow" w:hAnsi="Arial Narrow"/>
          <w:b/>
          <w:bCs/>
          <w:iCs/>
          <w:noProof/>
          <w:sz w:val="20"/>
          <w:szCs w:val="18"/>
        </w:rPr>
        <w:t>8</w:t>
      </w:r>
      <w:r w:rsidRPr="006124A7">
        <w:rPr>
          <w:rFonts w:ascii="Arial Narrow" w:hAnsi="Arial Narrow"/>
          <w:b/>
          <w:bCs/>
          <w:iCs/>
          <w:noProof/>
          <w:sz w:val="20"/>
          <w:szCs w:val="18"/>
        </w:rPr>
        <w:fldChar w:fldCharType="end"/>
      </w:r>
      <w:bookmarkEnd w:id="53"/>
      <w:r w:rsidRPr="006124A7">
        <w:rPr>
          <w:rFonts w:ascii="Arial Narrow" w:hAnsi="Arial Narrow"/>
          <w:b/>
          <w:bCs/>
          <w:iCs/>
          <w:sz w:val="20"/>
          <w:szCs w:val="18"/>
        </w:rPr>
        <w:t>: Results of venesections in MAJIC presented in the resubmission</w:t>
      </w:r>
      <w:bookmarkEnd w:id="54"/>
    </w:p>
    <w:tbl>
      <w:tblPr>
        <w:tblStyle w:val="TableGrid"/>
        <w:tblW w:w="5000" w:type="pct"/>
        <w:tblCellMar>
          <w:left w:w="28" w:type="dxa"/>
          <w:right w:w="28" w:type="dxa"/>
        </w:tblCellMar>
        <w:tblLook w:val="04A0" w:firstRow="1" w:lastRow="0" w:firstColumn="1" w:lastColumn="0" w:noHBand="0" w:noVBand="1"/>
        <w:tblCaption w:val="Table 8: Results of venesections in MAJIC presented in the resubmission"/>
      </w:tblPr>
      <w:tblGrid>
        <w:gridCol w:w="4958"/>
        <w:gridCol w:w="2126"/>
        <w:gridCol w:w="1933"/>
      </w:tblGrid>
      <w:tr w:rsidR="00506D17" w:rsidRPr="006124A7" w14:paraId="3B1FF56F" w14:textId="77777777" w:rsidTr="0F1D33A4">
        <w:tc>
          <w:tcPr>
            <w:tcW w:w="2749" w:type="pct"/>
            <w:vAlign w:val="center"/>
          </w:tcPr>
          <w:p w14:paraId="13DA4356" w14:textId="77777777" w:rsidR="00506D17" w:rsidRPr="006124A7" w:rsidRDefault="00506D17" w:rsidP="00BB42F1">
            <w:pPr>
              <w:keepNext/>
              <w:keepLines/>
              <w:jc w:val="left"/>
              <w:rPr>
                <w:rFonts w:ascii="Arial Narrow" w:eastAsiaTheme="majorEastAsia" w:hAnsi="Arial Narrow" w:cs="Times New Roman"/>
                <w:b/>
                <w:iCs/>
                <w:sz w:val="20"/>
                <w:lang w:val="en-US"/>
              </w:rPr>
            </w:pPr>
            <w:r w:rsidRPr="006124A7">
              <w:rPr>
                <w:rFonts w:ascii="Arial Narrow" w:eastAsiaTheme="majorEastAsia" w:hAnsi="Arial Narrow" w:cs="Times New Roman"/>
                <w:b/>
                <w:iCs/>
                <w:sz w:val="20"/>
                <w:lang w:val="en-US"/>
              </w:rPr>
              <w:t>Venesections</w:t>
            </w:r>
          </w:p>
        </w:tc>
        <w:tc>
          <w:tcPr>
            <w:tcW w:w="1179" w:type="pct"/>
            <w:vAlign w:val="center"/>
          </w:tcPr>
          <w:p w14:paraId="3755E361" w14:textId="77777777" w:rsidR="00506D17" w:rsidRPr="006124A7" w:rsidRDefault="00506D17" w:rsidP="0910F2D2">
            <w:pPr>
              <w:keepNext/>
              <w:keepLines/>
              <w:jc w:val="center"/>
              <w:rPr>
                <w:rFonts w:ascii="Arial Narrow" w:hAnsi="Arial Narrow" w:cs="Times New Roman"/>
                <w:snapToGrid w:val="0"/>
                <w:sz w:val="20"/>
                <w:szCs w:val="20"/>
              </w:rPr>
            </w:pPr>
            <w:r w:rsidRPr="0910F2D2">
              <w:rPr>
                <w:rFonts w:ascii="Arial Narrow" w:eastAsia="Calibri" w:hAnsi="Arial Narrow" w:cs="Times New Roman"/>
                <w:b/>
                <w:bCs/>
                <w:snapToGrid w:val="0"/>
                <w:sz w:val="20"/>
                <w:szCs w:val="20"/>
              </w:rPr>
              <w:t>Ruxolitinib (N=93)</w:t>
            </w:r>
          </w:p>
        </w:tc>
        <w:tc>
          <w:tcPr>
            <w:tcW w:w="1072" w:type="pct"/>
            <w:vAlign w:val="center"/>
          </w:tcPr>
          <w:p w14:paraId="7500CF5C" w14:textId="77777777" w:rsidR="00506D17" w:rsidRPr="006124A7" w:rsidRDefault="00506D17" w:rsidP="00BB42F1">
            <w:pPr>
              <w:keepNext/>
              <w:keepLines/>
              <w:jc w:val="center"/>
              <w:rPr>
                <w:rFonts w:ascii="Arial Narrow" w:eastAsia="Calibri" w:hAnsi="Arial Narrow" w:cs="Times New Roman"/>
                <w:b/>
                <w:iCs/>
                <w:snapToGrid w:val="0"/>
                <w:sz w:val="20"/>
              </w:rPr>
            </w:pPr>
            <w:r w:rsidRPr="006124A7">
              <w:rPr>
                <w:rFonts w:ascii="Arial Narrow" w:eastAsia="Calibri" w:hAnsi="Arial Narrow" w:cs="Times New Roman"/>
                <w:b/>
                <w:iCs/>
                <w:snapToGrid w:val="0"/>
                <w:sz w:val="20"/>
              </w:rPr>
              <w:t>BAT (N=87)</w:t>
            </w:r>
          </w:p>
        </w:tc>
      </w:tr>
      <w:tr w:rsidR="00506D17" w:rsidRPr="006124A7" w14:paraId="2F117A1A" w14:textId="77777777" w:rsidTr="0F1D33A4">
        <w:tc>
          <w:tcPr>
            <w:tcW w:w="2749" w:type="pct"/>
          </w:tcPr>
          <w:p w14:paraId="54176449" w14:textId="6173F581" w:rsidR="00506D17" w:rsidRPr="006124A7" w:rsidRDefault="00506D17" w:rsidP="00BB42F1">
            <w:pPr>
              <w:keepNext/>
              <w:keepLines/>
              <w:jc w:val="left"/>
              <w:rPr>
                <w:rFonts w:ascii="Arial Narrow" w:hAnsi="Arial Narrow" w:cs="Times New Roman"/>
                <w:iCs/>
                <w:snapToGrid w:val="0"/>
                <w:sz w:val="20"/>
              </w:rPr>
            </w:pPr>
            <w:r w:rsidRPr="006124A7">
              <w:rPr>
                <w:rFonts w:ascii="Arial Narrow" w:hAnsi="Arial Narrow" w:cs="Times New Roman"/>
                <w:iCs/>
                <w:snapToGrid w:val="0"/>
                <w:sz w:val="20"/>
              </w:rPr>
              <w:t>Number of venesections during trial</w:t>
            </w:r>
            <w:r w:rsidR="00123915" w:rsidRPr="006124A7">
              <w:rPr>
                <w:rFonts w:ascii="Arial Narrow" w:hAnsi="Arial Narrow" w:cs="Times New Roman"/>
                <w:iCs/>
                <w:snapToGrid w:val="0"/>
                <w:sz w:val="20"/>
              </w:rPr>
              <w:t xml:space="preserve"> </w:t>
            </w:r>
            <w:r w:rsidR="00123915" w:rsidRPr="006124A7">
              <w:rPr>
                <w:rFonts w:ascii="Arial Narrow" w:hAnsi="Arial Narrow" w:cs="Times New Roman"/>
                <w:iCs/>
                <w:snapToGrid w:val="0"/>
                <w:sz w:val="20"/>
                <w:vertAlign w:val="superscript"/>
              </w:rPr>
              <w:t>a</w:t>
            </w:r>
          </w:p>
        </w:tc>
        <w:tc>
          <w:tcPr>
            <w:tcW w:w="1179" w:type="pct"/>
            <w:vAlign w:val="center"/>
          </w:tcPr>
          <w:p w14:paraId="206F30DE" w14:textId="247A416D" w:rsidR="00506D17" w:rsidRPr="006124A7" w:rsidRDefault="00FA78D2" w:rsidP="00BB42F1">
            <w:pPr>
              <w:keepNext/>
              <w:keepLines/>
              <w:jc w:val="center"/>
              <w:rPr>
                <w:rFonts w:ascii="Arial Narrow" w:hAnsi="Arial Narrow" w:cs="Times New Roman"/>
                <w:iCs/>
                <w:snapToGrid w:val="0"/>
                <w:sz w:val="20"/>
              </w:rPr>
            </w:pPr>
            <w:r w:rsidRPr="006124A7">
              <w:rPr>
                <w:rFonts w:ascii="Arial Narrow" w:hAnsi="Arial Narrow" w:cs="Times New Roman"/>
                <w:iCs/>
                <w:snapToGrid w:val="0"/>
                <w:sz w:val="20"/>
              </w:rPr>
              <w:t>9</w:t>
            </w:r>
            <w:r w:rsidR="002B55E1" w:rsidRPr="006124A7">
              <w:rPr>
                <w:rFonts w:ascii="Arial Narrow" w:hAnsi="Arial Narrow" w:cs="Times New Roman"/>
                <w:iCs/>
                <w:snapToGrid w:val="0"/>
                <w:sz w:val="20"/>
              </w:rPr>
              <w:t>7</w:t>
            </w:r>
          </w:p>
        </w:tc>
        <w:tc>
          <w:tcPr>
            <w:tcW w:w="1072" w:type="pct"/>
            <w:vAlign w:val="center"/>
          </w:tcPr>
          <w:p w14:paraId="64B28126" w14:textId="5E5A3304" w:rsidR="00506D17" w:rsidRPr="006124A7" w:rsidRDefault="00895CCC" w:rsidP="00BB42F1">
            <w:pPr>
              <w:keepNext/>
              <w:keepLines/>
              <w:jc w:val="center"/>
              <w:rPr>
                <w:rFonts w:ascii="Arial Narrow" w:hAnsi="Arial Narrow" w:cs="Times New Roman"/>
                <w:iCs/>
                <w:snapToGrid w:val="0"/>
                <w:sz w:val="20"/>
              </w:rPr>
            </w:pPr>
            <w:r w:rsidRPr="006124A7">
              <w:rPr>
                <w:rFonts w:ascii="Arial Narrow" w:hAnsi="Arial Narrow" w:cs="Times New Roman"/>
                <w:iCs/>
                <w:snapToGrid w:val="0"/>
                <w:sz w:val="20"/>
              </w:rPr>
              <w:t>338</w:t>
            </w:r>
          </w:p>
        </w:tc>
      </w:tr>
      <w:tr w:rsidR="00506D17" w:rsidRPr="006124A7" w14:paraId="76292561" w14:textId="77777777" w:rsidTr="0F1D33A4">
        <w:tc>
          <w:tcPr>
            <w:tcW w:w="2749" w:type="pct"/>
          </w:tcPr>
          <w:p w14:paraId="4C86157B" w14:textId="533DF190" w:rsidR="00506D17" w:rsidRPr="006124A7" w:rsidRDefault="00506D17" w:rsidP="00BB42F1">
            <w:pPr>
              <w:keepNext/>
              <w:keepLines/>
              <w:jc w:val="left"/>
              <w:rPr>
                <w:rFonts w:ascii="Arial Narrow" w:hAnsi="Arial Narrow" w:cs="Times New Roman"/>
                <w:iCs/>
                <w:snapToGrid w:val="0"/>
                <w:sz w:val="20"/>
              </w:rPr>
            </w:pPr>
            <w:r w:rsidRPr="006124A7">
              <w:rPr>
                <w:rFonts w:ascii="Arial Narrow" w:hAnsi="Arial Narrow" w:cs="Times New Roman"/>
                <w:iCs/>
                <w:snapToGrid w:val="0"/>
                <w:sz w:val="20"/>
              </w:rPr>
              <w:t>Number of venesections during treatment</w:t>
            </w:r>
            <w:r w:rsidR="00123915" w:rsidRPr="006124A7">
              <w:rPr>
                <w:rFonts w:ascii="Arial Narrow" w:hAnsi="Arial Narrow" w:cs="Times New Roman"/>
                <w:iCs/>
                <w:snapToGrid w:val="0"/>
                <w:sz w:val="20"/>
              </w:rPr>
              <w:t xml:space="preserve"> </w:t>
            </w:r>
            <w:r w:rsidR="00DA5B82" w:rsidRPr="006124A7">
              <w:rPr>
                <w:rFonts w:ascii="Arial Narrow" w:hAnsi="Arial Narrow" w:cs="Times New Roman"/>
                <w:iCs/>
                <w:snapToGrid w:val="0"/>
                <w:sz w:val="20"/>
                <w:vertAlign w:val="superscript"/>
              </w:rPr>
              <w:t>b</w:t>
            </w:r>
          </w:p>
        </w:tc>
        <w:tc>
          <w:tcPr>
            <w:tcW w:w="1179" w:type="pct"/>
            <w:vAlign w:val="center"/>
          </w:tcPr>
          <w:p w14:paraId="4EF2E7F3" w14:textId="77777777" w:rsidR="00506D17" w:rsidRPr="006124A7" w:rsidRDefault="00506D17" w:rsidP="00BB42F1">
            <w:pPr>
              <w:keepNext/>
              <w:keepLines/>
              <w:jc w:val="center"/>
              <w:rPr>
                <w:rFonts w:ascii="Arial Narrow" w:hAnsi="Arial Narrow" w:cs="Times New Roman"/>
                <w:iCs/>
                <w:snapToGrid w:val="0"/>
                <w:sz w:val="20"/>
              </w:rPr>
            </w:pPr>
            <w:r w:rsidRPr="006124A7">
              <w:rPr>
                <w:rFonts w:ascii="Arial Narrow" w:hAnsi="Arial Narrow" w:cs="Times New Roman"/>
                <w:iCs/>
                <w:snapToGrid w:val="0"/>
                <w:sz w:val="20"/>
              </w:rPr>
              <w:t>77</w:t>
            </w:r>
          </w:p>
        </w:tc>
        <w:tc>
          <w:tcPr>
            <w:tcW w:w="1072" w:type="pct"/>
            <w:vAlign w:val="center"/>
          </w:tcPr>
          <w:p w14:paraId="57B92E11" w14:textId="77777777" w:rsidR="00506D17" w:rsidRPr="006124A7" w:rsidRDefault="00506D17" w:rsidP="00BB42F1">
            <w:pPr>
              <w:keepNext/>
              <w:keepLines/>
              <w:jc w:val="center"/>
              <w:rPr>
                <w:rFonts w:ascii="Arial Narrow" w:hAnsi="Arial Narrow" w:cs="Times New Roman"/>
                <w:iCs/>
                <w:snapToGrid w:val="0"/>
                <w:sz w:val="20"/>
              </w:rPr>
            </w:pPr>
            <w:r w:rsidRPr="006124A7">
              <w:rPr>
                <w:rFonts w:ascii="Arial Narrow" w:hAnsi="Arial Narrow" w:cs="Times New Roman"/>
                <w:iCs/>
                <w:snapToGrid w:val="0"/>
                <w:sz w:val="20"/>
              </w:rPr>
              <w:t>298</w:t>
            </w:r>
          </w:p>
        </w:tc>
      </w:tr>
      <w:tr w:rsidR="00971267" w:rsidRPr="006124A7" w14:paraId="31207B5F" w14:textId="77777777" w:rsidTr="0F1D33A4">
        <w:trPr>
          <w:trHeight w:val="50"/>
        </w:trPr>
        <w:tc>
          <w:tcPr>
            <w:tcW w:w="2749" w:type="pct"/>
          </w:tcPr>
          <w:p w14:paraId="62457BC0" w14:textId="35CDC007" w:rsidR="00A93C01" w:rsidRPr="006124A7" w:rsidRDefault="00F27C80" w:rsidP="0F1D33A4">
            <w:pPr>
              <w:keepNext/>
              <w:keepLines/>
              <w:jc w:val="left"/>
              <w:rPr>
                <w:rFonts w:ascii="Arial Narrow" w:hAnsi="Arial Narrow" w:cs="Times New Roman"/>
                <w:snapToGrid w:val="0"/>
                <w:sz w:val="20"/>
                <w:szCs w:val="20"/>
              </w:rPr>
            </w:pPr>
            <w:r w:rsidRPr="0F1D33A4">
              <w:rPr>
                <w:rFonts w:ascii="Arial Narrow" w:hAnsi="Arial Narrow" w:cs="Times New Roman"/>
                <w:snapToGrid w:val="0"/>
                <w:sz w:val="20"/>
                <w:szCs w:val="20"/>
              </w:rPr>
              <w:t>Number of patients who received at least one venesection</w:t>
            </w:r>
            <w:r w:rsidR="00EF39B0" w:rsidRPr="0F1D33A4">
              <w:rPr>
                <w:rFonts w:ascii="Arial Narrow" w:hAnsi="Arial Narrow" w:cs="Times New Roman"/>
                <w:snapToGrid w:val="0"/>
                <w:sz w:val="20"/>
                <w:szCs w:val="20"/>
              </w:rPr>
              <w:t>, n (%)</w:t>
            </w:r>
            <w:r w:rsidR="00DA5B82" w:rsidRPr="0F1D33A4">
              <w:rPr>
                <w:rFonts w:ascii="Arial Narrow" w:hAnsi="Arial Narrow" w:cs="Times New Roman"/>
                <w:snapToGrid w:val="0"/>
                <w:sz w:val="20"/>
                <w:szCs w:val="20"/>
                <w:vertAlign w:val="superscript"/>
              </w:rPr>
              <w:t>a</w:t>
            </w:r>
          </w:p>
        </w:tc>
        <w:tc>
          <w:tcPr>
            <w:tcW w:w="1179" w:type="pct"/>
            <w:vAlign w:val="center"/>
          </w:tcPr>
          <w:p w14:paraId="1EA956E9" w14:textId="44755DB0" w:rsidR="00A93C01" w:rsidRPr="006124A7" w:rsidRDefault="00F27C80" w:rsidP="00BB42F1">
            <w:pPr>
              <w:keepNext/>
              <w:keepLines/>
              <w:jc w:val="center"/>
              <w:rPr>
                <w:rFonts w:ascii="Arial Narrow" w:hAnsi="Arial Narrow" w:cs="Times New Roman"/>
                <w:iCs/>
                <w:snapToGrid w:val="0"/>
                <w:sz w:val="20"/>
              </w:rPr>
            </w:pPr>
            <w:r w:rsidRPr="006124A7">
              <w:rPr>
                <w:rFonts w:ascii="Arial Narrow" w:hAnsi="Arial Narrow" w:cs="Times New Roman"/>
                <w:iCs/>
                <w:snapToGrid w:val="0"/>
                <w:sz w:val="20"/>
              </w:rPr>
              <w:t>30</w:t>
            </w:r>
            <w:r w:rsidR="00EF39B0" w:rsidRPr="006124A7">
              <w:rPr>
                <w:rFonts w:ascii="Arial Narrow" w:hAnsi="Arial Narrow" w:cs="Times New Roman"/>
                <w:iCs/>
                <w:snapToGrid w:val="0"/>
                <w:sz w:val="20"/>
              </w:rPr>
              <w:t xml:space="preserve"> (</w:t>
            </w:r>
            <w:r w:rsidR="00D12670" w:rsidRPr="006124A7">
              <w:rPr>
                <w:rFonts w:ascii="Arial Narrow" w:hAnsi="Arial Narrow" w:cs="Times New Roman"/>
                <w:iCs/>
                <w:snapToGrid w:val="0"/>
                <w:sz w:val="20"/>
              </w:rPr>
              <w:t>32.3)</w:t>
            </w:r>
          </w:p>
        </w:tc>
        <w:tc>
          <w:tcPr>
            <w:tcW w:w="1072" w:type="pct"/>
            <w:vAlign w:val="center"/>
          </w:tcPr>
          <w:p w14:paraId="6177DA2C" w14:textId="4204D4BC" w:rsidR="00A93C01" w:rsidRPr="006124A7" w:rsidRDefault="00F27C80" w:rsidP="00BB42F1">
            <w:pPr>
              <w:keepNext/>
              <w:keepLines/>
              <w:jc w:val="center"/>
              <w:rPr>
                <w:rFonts w:ascii="Arial Narrow" w:hAnsi="Arial Narrow" w:cs="Times New Roman"/>
                <w:iCs/>
                <w:snapToGrid w:val="0"/>
                <w:sz w:val="20"/>
              </w:rPr>
            </w:pPr>
            <w:r w:rsidRPr="006124A7">
              <w:rPr>
                <w:rFonts w:ascii="Arial Narrow" w:hAnsi="Arial Narrow" w:cs="Times New Roman"/>
                <w:iCs/>
                <w:snapToGrid w:val="0"/>
                <w:sz w:val="20"/>
              </w:rPr>
              <w:t>49</w:t>
            </w:r>
            <w:r w:rsidR="00D12670" w:rsidRPr="006124A7">
              <w:rPr>
                <w:rFonts w:ascii="Arial Narrow" w:hAnsi="Arial Narrow" w:cs="Times New Roman"/>
                <w:iCs/>
                <w:snapToGrid w:val="0"/>
                <w:sz w:val="20"/>
              </w:rPr>
              <w:t xml:space="preserve"> (56.3)</w:t>
            </w:r>
          </w:p>
        </w:tc>
      </w:tr>
      <w:tr w:rsidR="00506D17" w:rsidRPr="006124A7" w14:paraId="2F795CFB" w14:textId="77777777" w:rsidTr="0F1D33A4">
        <w:trPr>
          <w:trHeight w:val="50"/>
        </w:trPr>
        <w:tc>
          <w:tcPr>
            <w:tcW w:w="2749" w:type="pct"/>
          </w:tcPr>
          <w:p w14:paraId="238BE6F6" w14:textId="0C00988F" w:rsidR="00506D17" w:rsidRPr="006124A7" w:rsidRDefault="00506D17" w:rsidP="00BB42F1">
            <w:pPr>
              <w:keepNext/>
              <w:keepLines/>
              <w:jc w:val="left"/>
              <w:rPr>
                <w:rFonts w:ascii="Arial Narrow" w:hAnsi="Arial Narrow" w:cs="Times New Roman"/>
                <w:iCs/>
                <w:snapToGrid w:val="0"/>
                <w:sz w:val="20"/>
              </w:rPr>
            </w:pPr>
            <w:r w:rsidRPr="006124A7">
              <w:rPr>
                <w:rFonts w:ascii="Arial Narrow" w:hAnsi="Arial Narrow" w:cs="Times New Roman"/>
                <w:iCs/>
                <w:snapToGrid w:val="0"/>
                <w:sz w:val="20"/>
              </w:rPr>
              <w:t>Median (range) per patient</w:t>
            </w:r>
            <w:r w:rsidR="00DA5B82" w:rsidRPr="006124A7">
              <w:rPr>
                <w:rFonts w:ascii="Arial Narrow" w:hAnsi="Arial Narrow" w:cs="Times New Roman"/>
                <w:iCs/>
                <w:snapToGrid w:val="0"/>
                <w:sz w:val="20"/>
              </w:rPr>
              <w:t xml:space="preserve"> </w:t>
            </w:r>
            <w:r w:rsidR="00DA5B82" w:rsidRPr="006124A7">
              <w:rPr>
                <w:rFonts w:ascii="Arial Narrow" w:hAnsi="Arial Narrow" w:cs="Times New Roman"/>
                <w:iCs/>
                <w:snapToGrid w:val="0"/>
                <w:sz w:val="20"/>
                <w:vertAlign w:val="superscript"/>
              </w:rPr>
              <w:t>b</w:t>
            </w:r>
          </w:p>
        </w:tc>
        <w:tc>
          <w:tcPr>
            <w:tcW w:w="1179" w:type="pct"/>
            <w:vAlign w:val="center"/>
          </w:tcPr>
          <w:p w14:paraId="4928346C" w14:textId="77777777" w:rsidR="00506D17" w:rsidRPr="006124A7" w:rsidRDefault="00506D17" w:rsidP="00BB42F1">
            <w:pPr>
              <w:keepNext/>
              <w:keepLines/>
              <w:jc w:val="center"/>
              <w:rPr>
                <w:rFonts w:ascii="Arial Narrow" w:hAnsi="Arial Narrow" w:cs="Times New Roman"/>
                <w:iCs/>
                <w:snapToGrid w:val="0"/>
                <w:sz w:val="20"/>
              </w:rPr>
            </w:pPr>
            <w:r w:rsidRPr="006124A7">
              <w:rPr>
                <w:rFonts w:ascii="Arial Narrow" w:hAnsi="Arial Narrow" w:cs="Times New Roman"/>
                <w:iCs/>
                <w:snapToGrid w:val="0"/>
                <w:sz w:val="20"/>
              </w:rPr>
              <w:t>0 (0, 13)</w:t>
            </w:r>
          </w:p>
        </w:tc>
        <w:tc>
          <w:tcPr>
            <w:tcW w:w="1072" w:type="pct"/>
            <w:vAlign w:val="center"/>
          </w:tcPr>
          <w:p w14:paraId="266FF0E6" w14:textId="77777777" w:rsidR="00506D17" w:rsidRPr="006124A7" w:rsidRDefault="00506D17" w:rsidP="00BB42F1">
            <w:pPr>
              <w:keepNext/>
              <w:keepLines/>
              <w:jc w:val="center"/>
              <w:rPr>
                <w:rFonts w:ascii="Arial Narrow" w:hAnsi="Arial Narrow" w:cs="Times New Roman"/>
                <w:iCs/>
                <w:snapToGrid w:val="0"/>
                <w:sz w:val="20"/>
              </w:rPr>
            </w:pPr>
            <w:r w:rsidRPr="006124A7">
              <w:rPr>
                <w:rFonts w:ascii="Arial Narrow" w:hAnsi="Arial Narrow" w:cs="Times New Roman"/>
                <w:iCs/>
                <w:snapToGrid w:val="0"/>
                <w:sz w:val="20"/>
              </w:rPr>
              <w:t>1 (0, 25)</w:t>
            </w:r>
          </w:p>
        </w:tc>
      </w:tr>
      <w:tr w:rsidR="00506D17" w:rsidRPr="006124A7" w14:paraId="075DB7FA" w14:textId="77777777" w:rsidTr="0F1D33A4">
        <w:tc>
          <w:tcPr>
            <w:tcW w:w="2749" w:type="pct"/>
          </w:tcPr>
          <w:p w14:paraId="5DF0D037" w14:textId="31C52495" w:rsidR="00506D17" w:rsidRPr="006124A7" w:rsidRDefault="00506D17" w:rsidP="00BB42F1">
            <w:pPr>
              <w:keepNext/>
              <w:keepLines/>
              <w:jc w:val="left"/>
              <w:rPr>
                <w:rFonts w:ascii="Arial Narrow" w:hAnsi="Arial Narrow" w:cs="Times New Roman"/>
                <w:b/>
                <w:iCs/>
                <w:snapToGrid w:val="0"/>
                <w:sz w:val="20"/>
              </w:rPr>
            </w:pPr>
            <w:r w:rsidRPr="006124A7">
              <w:rPr>
                <w:rFonts w:ascii="Arial Narrow" w:hAnsi="Arial Narrow" w:cs="Times New Roman"/>
                <w:iCs/>
                <w:snapToGrid w:val="0"/>
                <w:sz w:val="20"/>
              </w:rPr>
              <w:t>Average treatment length, median (range) in months</w:t>
            </w:r>
            <w:r w:rsidR="00DA5B82" w:rsidRPr="006124A7">
              <w:rPr>
                <w:rFonts w:ascii="Arial Narrow" w:hAnsi="Arial Narrow" w:cs="Times New Roman"/>
                <w:iCs/>
                <w:snapToGrid w:val="0"/>
                <w:sz w:val="20"/>
              </w:rPr>
              <w:t xml:space="preserve"> </w:t>
            </w:r>
            <w:r w:rsidR="00DA5B82" w:rsidRPr="006124A7">
              <w:rPr>
                <w:rFonts w:ascii="Arial Narrow" w:hAnsi="Arial Narrow" w:cs="Times New Roman"/>
                <w:iCs/>
                <w:snapToGrid w:val="0"/>
                <w:sz w:val="20"/>
                <w:vertAlign w:val="superscript"/>
              </w:rPr>
              <w:t>b</w:t>
            </w:r>
          </w:p>
        </w:tc>
        <w:tc>
          <w:tcPr>
            <w:tcW w:w="1179" w:type="pct"/>
            <w:vAlign w:val="center"/>
          </w:tcPr>
          <w:p w14:paraId="7A70AF4F" w14:textId="77777777" w:rsidR="00506D17" w:rsidRPr="006124A7" w:rsidRDefault="00506D17" w:rsidP="00BB42F1">
            <w:pPr>
              <w:keepNext/>
              <w:keepLines/>
              <w:jc w:val="center"/>
              <w:rPr>
                <w:rFonts w:ascii="Arial Narrow" w:hAnsi="Arial Narrow" w:cs="Times New Roman"/>
                <w:iCs/>
                <w:snapToGrid w:val="0"/>
                <w:sz w:val="20"/>
              </w:rPr>
            </w:pPr>
            <w:r w:rsidRPr="006124A7">
              <w:rPr>
                <w:rFonts w:ascii="Arial Narrow" w:hAnsi="Arial Narrow" w:cs="Times New Roman"/>
                <w:iCs/>
                <w:snapToGrid w:val="0"/>
                <w:sz w:val="20"/>
              </w:rPr>
              <w:t>52 (1, 73)</w:t>
            </w:r>
          </w:p>
        </w:tc>
        <w:tc>
          <w:tcPr>
            <w:tcW w:w="1072" w:type="pct"/>
            <w:vAlign w:val="center"/>
          </w:tcPr>
          <w:p w14:paraId="50026807" w14:textId="77777777" w:rsidR="00506D17" w:rsidRPr="006124A7" w:rsidRDefault="00506D17" w:rsidP="00BB42F1">
            <w:pPr>
              <w:keepNext/>
              <w:keepLines/>
              <w:jc w:val="center"/>
              <w:rPr>
                <w:rFonts w:ascii="Arial Narrow" w:hAnsi="Arial Narrow" w:cs="Times New Roman"/>
                <w:iCs/>
                <w:snapToGrid w:val="0"/>
                <w:sz w:val="20"/>
              </w:rPr>
            </w:pPr>
            <w:r w:rsidRPr="006124A7">
              <w:rPr>
                <w:rFonts w:ascii="Arial Narrow" w:hAnsi="Arial Narrow" w:cs="Times New Roman"/>
                <w:iCs/>
                <w:snapToGrid w:val="0"/>
                <w:sz w:val="20"/>
              </w:rPr>
              <w:t>42 (1,73)</w:t>
            </w:r>
          </w:p>
        </w:tc>
      </w:tr>
      <w:tr w:rsidR="00506D17" w:rsidRPr="006124A7" w14:paraId="7073C3D2" w14:textId="77777777" w:rsidTr="0F1D33A4">
        <w:tc>
          <w:tcPr>
            <w:tcW w:w="5000" w:type="pct"/>
            <w:gridSpan w:val="3"/>
          </w:tcPr>
          <w:p w14:paraId="3167A6B9" w14:textId="0CAF5B30" w:rsidR="00506D17" w:rsidRPr="006124A7" w:rsidRDefault="00506D17" w:rsidP="00BB42F1">
            <w:pPr>
              <w:keepNext/>
              <w:keepLines/>
              <w:jc w:val="left"/>
              <w:rPr>
                <w:rFonts w:ascii="Arial Narrow" w:eastAsiaTheme="majorEastAsia" w:hAnsi="Arial Narrow" w:cs="Times New Roman"/>
                <w:b/>
                <w:iCs/>
                <w:sz w:val="20"/>
                <w:lang w:val="en-US"/>
              </w:rPr>
            </w:pPr>
            <w:r w:rsidRPr="006124A7">
              <w:rPr>
                <w:rFonts w:ascii="Arial Narrow" w:eastAsiaTheme="majorEastAsia" w:hAnsi="Arial Narrow" w:cs="Times New Roman"/>
                <w:b/>
                <w:iCs/>
                <w:sz w:val="20"/>
                <w:lang w:val="en-US"/>
              </w:rPr>
              <w:t>Venesection-free survival</w:t>
            </w:r>
            <w:r w:rsidR="00DA5B82" w:rsidRPr="006124A7">
              <w:rPr>
                <w:rFonts w:ascii="Arial Narrow" w:eastAsiaTheme="majorEastAsia" w:hAnsi="Arial Narrow" w:cs="Times New Roman"/>
                <w:b/>
                <w:iCs/>
                <w:sz w:val="20"/>
                <w:lang w:val="en-US"/>
              </w:rPr>
              <w:t xml:space="preserve"> </w:t>
            </w:r>
            <w:r w:rsidR="00DA5B82" w:rsidRPr="006124A7">
              <w:rPr>
                <w:rFonts w:ascii="Arial Narrow" w:hAnsi="Arial Narrow" w:cs="Times New Roman"/>
                <w:iCs/>
                <w:snapToGrid w:val="0"/>
                <w:sz w:val="20"/>
                <w:vertAlign w:val="superscript"/>
              </w:rPr>
              <w:t>a</w:t>
            </w:r>
          </w:p>
        </w:tc>
      </w:tr>
      <w:tr w:rsidR="00506D17" w:rsidRPr="006124A7" w14:paraId="16E3D1C2" w14:textId="77777777" w:rsidTr="0F1D33A4">
        <w:tc>
          <w:tcPr>
            <w:tcW w:w="2749" w:type="pct"/>
          </w:tcPr>
          <w:p w14:paraId="242C4D78" w14:textId="77777777" w:rsidR="00506D17" w:rsidRPr="006124A7" w:rsidRDefault="00506D17" w:rsidP="00BB42F1">
            <w:pPr>
              <w:keepNext/>
              <w:keepLines/>
              <w:jc w:val="left"/>
              <w:rPr>
                <w:rFonts w:ascii="Arial Narrow" w:hAnsi="Arial Narrow" w:cs="Times New Roman"/>
                <w:iCs/>
                <w:snapToGrid w:val="0"/>
                <w:sz w:val="20"/>
              </w:rPr>
            </w:pPr>
            <w:r w:rsidRPr="006124A7">
              <w:rPr>
                <w:rFonts w:ascii="Arial Narrow" w:hAnsi="Arial Narrow" w:cs="Times New Roman"/>
                <w:iCs/>
                <w:snapToGrid w:val="0"/>
                <w:sz w:val="20"/>
              </w:rPr>
              <w:t>HR (95% CI)</w:t>
            </w:r>
          </w:p>
        </w:tc>
        <w:tc>
          <w:tcPr>
            <w:tcW w:w="2251" w:type="pct"/>
            <w:gridSpan w:val="2"/>
            <w:vAlign w:val="center"/>
          </w:tcPr>
          <w:p w14:paraId="52A4C9F0" w14:textId="77777777" w:rsidR="00506D17" w:rsidRPr="006124A7" w:rsidRDefault="00506D17" w:rsidP="00BB42F1">
            <w:pPr>
              <w:keepNext/>
              <w:keepLines/>
              <w:jc w:val="center"/>
              <w:rPr>
                <w:rFonts w:ascii="Arial Narrow" w:hAnsi="Arial Narrow" w:cs="Times New Roman"/>
                <w:b/>
                <w:bCs/>
                <w:iCs/>
                <w:snapToGrid w:val="0"/>
                <w:sz w:val="20"/>
              </w:rPr>
            </w:pPr>
            <w:r w:rsidRPr="006124A7">
              <w:rPr>
                <w:rFonts w:ascii="Arial Narrow" w:hAnsi="Arial Narrow" w:cs="Times New Roman"/>
                <w:b/>
                <w:bCs/>
                <w:iCs/>
                <w:snapToGrid w:val="0"/>
                <w:sz w:val="20"/>
              </w:rPr>
              <w:t>0.51 (0.40, 0.64)</w:t>
            </w:r>
          </w:p>
        </w:tc>
      </w:tr>
    </w:tbl>
    <w:p w14:paraId="3CF2C396" w14:textId="67D7CB17" w:rsidR="00506D17" w:rsidRPr="006124A7" w:rsidRDefault="00506D17" w:rsidP="00BB42F1">
      <w:pPr>
        <w:keepNext/>
        <w:keepLines/>
        <w:spacing w:after="120"/>
        <w:contextualSpacing/>
        <w:jc w:val="left"/>
        <w:rPr>
          <w:rFonts w:ascii="Arial Narrow" w:hAnsi="Arial Narrow"/>
          <w:iCs/>
          <w:snapToGrid w:val="0"/>
          <w:sz w:val="18"/>
          <w:szCs w:val="22"/>
        </w:rPr>
      </w:pPr>
      <w:r w:rsidRPr="006124A7">
        <w:rPr>
          <w:rFonts w:ascii="Arial Narrow" w:hAnsi="Arial Narrow"/>
          <w:iCs/>
          <w:snapToGrid w:val="0"/>
          <w:sz w:val="18"/>
          <w:szCs w:val="22"/>
        </w:rPr>
        <w:t>Source: Table S7A, supplement to Harrison et al.</w:t>
      </w:r>
      <w:r w:rsidR="000D2D7F" w:rsidRPr="006124A7">
        <w:rPr>
          <w:rFonts w:ascii="Arial Narrow" w:hAnsi="Arial Narrow"/>
          <w:iCs/>
          <w:snapToGrid w:val="0"/>
          <w:sz w:val="18"/>
          <w:szCs w:val="22"/>
        </w:rPr>
        <w:t>,</w:t>
      </w:r>
      <w:r w:rsidRPr="006124A7">
        <w:rPr>
          <w:rFonts w:ascii="Arial Narrow" w:hAnsi="Arial Narrow"/>
          <w:iCs/>
          <w:snapToGrid w:val="0"/>
          <w:sz w:val="18"/>
          <w:szCs w:val="22"/>
        </w:rPr>
        <w:t xml:space="preserve"> 2023, p102 of resubmission and Table 2.18, p103 of resubmission (based on CSR)</w:t>
      </w:r>
    </w:p>
    <w:p w14:paraId="48462F9A" w14:textId="77777777" w:rsidR="00506D17" w:rsidRPr="006124A7" w:rsidRDefault="00506D17" w:rsidP="00BB42F1">
      <w:pPr>
        <w:keepNext/>
        <w:keepLines/>
        <w:spacing w:after="120"/>
        <w:contextualSpacing/>
        <w:jc w:val="left"/>
        <w:rPr>
          <w:rFonts w:ascii="Arial Narrow" w:hAnsi="Arial Narrow"/>
          <w:iCs/>
          <w:snapToGrid w:val="0"/>
          <w:sz w:val="18"/>
          <w:szCs w:val="22"/>
        </w:rPr>
      </w:pPr>
      <w:r w:rsidRPr="006124A7">
        <w:rPr>
          <w:rFonts w:ascii="Arial Narrow" w:hAnsi="Arial Narrow"/>
          <w:iCs/>
          <w:snapToGrid w:val="0"/>
          <w:sz w:val="18"/>
          <w:szCs w:val="22"/>
        </w:rPr>
        <w:t>Abbreviations: BAT, best available therapy; CI, confidence interval; HR, hazard ratio.</w:t>
      </w:r>
    </w:p>
    <w:p w14:paraId="5608F7ED" w14:textId="1E3BBAB1" w:rsidR="00C3122B" w:rsidRPr="006124A7" w:rsidRDefault="00817CFC" w:rsidP="00BB42F1">
      <w:pPr>
        <w:keepNext/>
        <w:keepLines/>
        <w:spacing w:after="120"/>
        <w:contextualSpacing/>
        <w:jc w:val="left"/>
        <w:rPr>
          <w:rFonts w:ascii="Arial Narrow" w:hAnsi="Arial Narrow"/>
          <w:iCs/>
          <w:snapToGrid w:val="0"/>
          <w:sz w:val="18"/>
          <w:szCs w:val="22"/>
        </w:rPr>
      </w:pPr>
      <w:r w:rsidRPr="006124A7">
        <w:rPr>
          <w:rFonts w:ascii="Arial Narrow" w:hAnsi="Arial Narrow"/>
          <w:iCs/>
          <w:snapToGrid w:val="0"/>
          <w:sz w:val="18"/>
          <w:szCs w:val="22"/>
          <w:vertAlign w:val="superscript"/>
        </w:rPr>
        <w:t>a</w:t>
      </w:r>
      <w:r w:rsidR="00C3122B" w:rsidRPr="006124A7">
        <w:rPr>
          <w:rFonts w:ascii="Arial Narrow" w:hAnsi="Arial Narrow"/>
          <w:iCs/>
          <w:snapToGrid w:val="0"/>
          <w:sz w:val="18"/>
          <w:szCs w:val="22"/>
        </w:rPr>
        <w:t xml:space="preserve"> Based on </w:t>
      </w:r>
      <w:r w:rsidR="007620A1" w:rsidRPr="006124A7">
        <w:rPr>
          <w:rFonts w:ascii="Arial Narrow" w:hAnsi="Arial Narrow"/>
          <w:iCs/>
          <w:snapToGrid w:val="0"/>
          <w:sz w:val="18"/>
          <w:szCs w:val="22"/>
        </w:rPr>
        <w:t>MAJIC CSR</w:t>
      </w:r>
    </w:p>
    <w:p w14:paraId="1C3781F8" w14:textId="383D72CA" w:rsidR="007620A1" w:rsidRPr="006124A7" w:rsidRDefault="00817CFC" w:rsidP="00BB42F1">
      <w:pPr>
        <w:keepNext/>
        <w:keepLines/>
        <w:spacing w:after="120"/>
        <w:contextualSpacing/>
        <w:jc w:val="left"/>
        <w:rPr>
          <w:rFonts w:ascii="Arial Narrow" w:hAnsi="Arial Narrow"/>
          <w:iCs/>
          <w:snapToGrid w:val="0"/>
          <w:sz w:val="18"/>
          <w:szCs w:val="22"/>
        </w:rPr>
      </w:pPr>
      <w:r w:rsidRPr="006124A7">
        <w:rPr>
          <w:rFonts w:ascii="Arial Narrow" w:hAnsi="Arial Narrow"/>
          <w:iCs/>
          <w:snapToGrid w:val="0"/>
          <w:sz w:val="18"/>
          <w:szCs w:val="22"/>
          <w:vertAlign w:val="superscript"/>
        </w:rPr>
        <w:t>b</w:t>
      </w:r>
      <w:r w:rsidR="007620A1" w:rsidRPr="006124A7">
        <w:rPr>
          <w:rFonts w:ascii="Arial Narrow" w:hAnsi="Arial Narrow"/>
          <w:iCs/>
          <w:snapToGrid w:val="0"/>
          <w:sz w:val="18"/>
          <w:szCs w:val="22"/>
        </w:rPr>
        <w:t xml:space="preserve"> Based on H</w:t>
      </w:r>
      <w:r w:rsidR="001B16B9" w:rsidRPr="006124A7">
        <w:rPr>
          <w:rFonts w:ascii="Arial Narrow" w:hAnsi="Arial Narrow"/>
          <w:iCs/>
          <w:snapToGrid w:val="0"/>
          <w:sz w:val="18"/>
          <w:szCs w:val="22"/>
        </w:rPr>
        <w:t>a</w:t>
      </w:r>
      <w:r w:rsidR="007620A1" w:rsidRPr="006124A7">
        <w:rPr>
          <w:rFonts w:ascii="Arial Narrow" w:hAnsi="Arial Narrow"/>
          <w:iCs/>
          <w:snapToGrid w:val="0"/>
          <w:sz w:val="18"/>
          <w:szCs w:val="22"/>
        </w:rPr>
        <w:t>rrison</w:t>
      </w:r>
      <w:r w:rsidR="001B16B9" w:rsidRPr="006124A7">
        <w:rPr>
          <w:rFonts w:ascii="Arial Narrow" w:hAnsi="Arial Narrow"/>
          <w:iCs/>
          <w:snapToGrid w:val="0"/>
          <w:sz w:val="18"/>
          <w:szCs w:val="22"/>
        </w:rPr>
        <w:t xml:space="preserve"> et al</w:t>
      </w:r>
      <w:r w:rsidRPr="006124A7">
        <w:rPr>
          <w:rFonts w:ascii="Arial Narrow" w:hAnsi="Arial Narrow"/>
          <w:iCs/>
          <w:snapToGrid w:val="0"/>
          <w:sz w:val="18"/>
          <w:szCs w:val="22"/>
        </w:rPr>
        <w:t>. 2023.</w:t>
      </w:r>
    </w:p>
    <w:p w14:paraId="1C8F4CD6" w14:textId="2E6B06B4" w:rsidR="00506D17" w:rsidRPr="00946411" w:rsidRDefault="00506D17" w:rsidP="0F1D33A4">
      <w:pPr>
        <w:pStyle w:val="3-BodyText"/>
      </w:pPr>
      <w:r w:rsidRPr="0F1D33A4">
        <w:t xml:space="preserve">The number of venesections during treatment </w:t>
      </w:r>
      <w:r w:rsidR="00D31C20" w:rsidRPr="0F1D33A4">
        <w:t>(based on Harrison et al.</w:t>
      </w:r>
      <w:r w:rsidR="000D2D7F" w:rsidRPr="0F1D33A4">
        <w:t>,</w:t>
      </w:r>
      <w:r w:rsidR="00D31C20" w:rsidRPr="0F1D33A4">
        <w:t xml:space="preserve"> 2023)</w:t>
      </w:r>
      <w:r w:rsidRPr="0F1D33A4">
        <w:t xml:space="preserve"> </w:t>
      </w:r>
      <w:r w:rsidR="008A276B" w:rsidRPr="0F1D33A4">
        <w:t xml:space="preserve">and </w:t>
      </w:r>
      <w:r w:rsidR="00F0653B" w:rsidRPr="0F1D33A4">
        <w:t>the proportion</w:t>
      </w:r>
      <w:r w:rsidR="008A276B" w:rsidRPr="0F1D33A4">
        <w:t xml:space="preserve"> of patients who received at least one venesection </w:t>
      </w:r>
      <w:r w:rsidR="00D31C20" w:rsidRPr="0F1D33A4">
        <w:t>(based on MAJIC CSR)</w:t>
      </w:r>
      <w:r w:rsidR="008A276B" w:rsidRPr="0F1D33A4">
        <w:t xml:space="preserve"> were</w:t>
      </w:r>
      <w:r w:rsidRPr="0F1D33A4">
        <w:t xml:space="preserve"> substantially higher in the BAT arm compared with the ruxolitinib arm (298 vs 77</w:t>
      </w:r>
      <w:r w:rsidR="00F0653B" w:rsidRPr="0F1D33A4">
        <w:t xml:space="preserve"> and </w:t>
      </w:r>
      <w:r w:rsidR="007704BA" w:rsidRPr="0F1D33A4">
        <w:t>56.3% vs 32.3%, respectively</w:t>
      </w:r>
      <w:r w:rsidRPr="0F1D33A4">
        <w:t>). There was a significant difference in the VFS with ruxolitinib compared with BAT (HR 0.51; 95% CI: 0.40, 0.64)</w:t>
      </w:r>
      <w:r w:rsidR="009A1218" w:rsidRPr="0F1D33A4">
        <w:t xml:space="preserve"> (based on MAJIC CSR</w:t>
      </w:r>
      <w:r w:rsidRPr="0F1D33A4">
        <w:t xml:space="preserve">). </w:t>
      </w:r>
      <w:r w:rsidR="00950113" w:rsidRPr="00946411">
        <w:t>The ESC noted that the number of venesections was not a pre-specified outcome</w:t>
      </w:r>
      <w:r w:rsidR="00F41034" w:rsidRPr="00946411">
        <w:t xml:space="preserve"> of the MAJIC trial</w:t>
      </w:r>
      <w:r w:rsidR="00950113" w:rsidRPr="00946411">
        <w:t xml:space="preserve">, but </w:t>
      </w:r>
      <w:r w:rsidR="001B4288" w:rsidRPr="00946411">
        <w:t>considered</w:t>
      </w:r>
      <w:r w:rsidR="00950113" w:rsidRPr="00946411">
        <w:t xml:space="preserve"> that </w:t>
      </w:r>
      <w:r w:rsidR="0096670B" w:rsidRPr="00946411">
        <w:t>a</w:t>
      </w:r>
      <w:r w:rsidR="001B4288" w:rsidRPr="00946411">
        <w:t xml:space="preserve"> reduction in venesections </w:t>
      </w:r>
      <w:r w:rsidR="00BA479C" w:rsidRPr="00946411">
        <w:t>may be clinically relevant for some patients.</w:t>
      </w:r>
    </w:p>
    <w:p w14:paraId="2CC07E18" w14:textId="2CC7323C" w:rsidR="000C4898" w:rsidRPr="006124A7" w:rsidRDefault="000C4898" w:rsidP="00382A1C">
      <w:pPr>
        <w:pStyle w:val="3-BodyText"/>
        <w:rPr>
          <w:iCs/>
          <w:color w:val="0066FF"/>
        </w:rPr>
      </w:pPr>
      <w:r w:rsidRPr="006124A7">
        <w:rPr>
          <w:iCs/>
        </w:rPr>
        <w:t xml:space="preserve">Updated results of patient-reported symptom scores from the </w:t>
      </w:r>
      <w:r w:rsidR="00BD3D66" w:rsidRPr="006124A7">
        <w:rPr>
          <w:iCs/>
        </w:rPr>
        <w:t>Myeloproliferative Neoplasms Symptom Assessment Form (</w:t>
      </w:r>
      <w:r w:rsidRPr="006124A7">
        <w:rPr>
          <w:iCs/>
        </w:rPr>
        <w:t>MPN-SAF</w:t>
      </w:r>
      <w:r w:rsidR="00BD3D66" w:rsidRPr="006124A7">
        <w:rPr>
          <w:iCs/>
        </w:rPr>
        <w:t>)</w:t>
      </w:r>
      <w:r w:rsidRPr="006124A7">
        <w:rPr>
          <w:iCs/>
        </w:rPr>
        <w:t xml:space="preserve"> based on Harrison et al.</w:t>
      </w:r>
      <w:r w:rsidR="000D2D7F" w:rsidRPr="006124A7">
        <w:rPr>
          <w:iCs/>
        </w:rPr>
        <w:t>,</w:t>
      </w:r>
      <w:r w:rsidRPr="006124A7">
        <w:rPr>
          <w:iCs/>
        </w:rPr>
        <w:t xml:space="preserve"> 2023 are presented in </w:t>
      </w:r>
      <w:r w:rsidRPr="006124A7">
        <w:rPr>
          <w:iCs/>
        </w:rPr>
        <w:fldChar w:fldCharType="begin" w:fldLock="1"/>
      </w:r>
      <w:r w:rsidRPr="006124A7">
        <w:rPr>
          <w:iCs/>
        </w:rPr>
        <w:instrText xml:space="preserve"> REF _Ref184806331 \h </w:instrText>
      </w:r>
      <w:r w:rsidR="00794E3F" w:rsidRPr="006124A7">
        <w:rPr>
          <w:iCs/>
        </w:rPr>
        <w:instrText xml:space="preserve"> \* MERGEFORMAT </w:instrText>
      </w:r>
      <w:r w:rsidRPr="006124A7">
        <w:rPr>
          <w:iCs/>
        </w:rPr>
      </w:r>
      <w:r w:rsidRPr="006124A7">
        <w:rPr>
          <w:iCs/>
        </w:rPr>
        <w:fldChar w:fldCharType="separate"/>
      </w:r>
      <w:r w:rsidR="0096555B" w:rsidRPr="006124A7">
        <w:rPr>
          <w:iCs/>
        </w:rPr>
        <w:t>Figure 5</w:t>
      </w:r>
      <w:r w:rsidRPr="006124A7">
        <w:rPr>
          <w:iCs/>
        </w:rPr>
        <w:fldChar w:fldCharType="end"/>
      </w:r>
      <w:r w:rsidRPr="006124A7">
        <w:rPr>
          <w:iCs/>
        </w:rPr>
        <w:t>.</w:t>
      </w:r>
    </w:p>
    <w:p w14:paraId="6FB220E1" w14:textId="02261893" w:rsidR="000C4898" w:rsidRPr="006124A7" w:rsidRDefault="000C4898" w:rsidP="000C4898">
      <w:pPr>
        <w:keepNext/>
        <w:keepLines/>
        <w:rPr>
          <w:rFonts w:ascii="Arial Narrow" w:hAnsi="Arial Narrow"/>
          <w:b/>
          <w:bCs/>
          <w:iCs/>
          <w:sz w:val="20"/>
          <w:szCs w:val="18"/>
        </w:rPr>
      </w:pPr>
      <w:bookmarkStart w:id="55" w:name="_Ref184806331"/>
      <w:r w:rsidRPr="006124A7">
        <w:rPr>
          <w:rFonts w:ascii="Arial Narrow" w:hAnsi="Arial Narrow"/>
          <w:b/>
          <w:bCs/>
          <w:iCs/>
          <w:sz w:val="20"/>
          <w:szCs w:val="18"/>
        </w:rPr>
        <w:t xml:space="preserve">Figure </w:t>
      </w:r>
      <w:r w:rsidRPr="006124A7">
        <w:rPr>
          <w:rFonts w:ascii="Arial Narrow" w:hAnsi="Arial Narrow"/>
          <w:b/>
          <w:bCs/>
          <w:iCs/>
          <w:sz w:val="20"/>
          <w:szCs w:val="18"/>
        </w:rPr>
        <w:fldChar w:fldCharType="begin" w:fldLock="1"/>
      </w:r>
      <w:r w:rsidRPr="006124A7">
        <w:rPr>
          <w:rFonts w:ascii="Arial Narrow" w:hAnsi="Arial Narrow"/>
          <w:b/>
          <w:bCs/>
          <w:iCs/>
          <w:sz w:val="20"/>
          <w:szCs w:val="18"/>
        </w:rPr>
        <w:instrText xml:space="preserve"> SEQ Figure \* ARABIC </w:instrText>
      </w:r>
      <w:r w:rsidRPr="006124A7">
        <w:rPr>
          <w:rFonts w:ascii="Arial Narrow" w:hAnsi="Arial Narrow"/>
          <w:b/>
          <w:bCs/>
          <w:iCs/>
          <w:sz w:val="20"/>
          <w:szCs w:val="18"/>
        </w:rPr>
        <w:fldChar w:fldCharType="separate"/>
      </w:r>
      <w:r w:rsidR="0096555B" w:rsidRPr="006124A7">
        <w:rPr>
          <w:rFonts w:ascii="Arial Narrow" w:hAnsi="Arial Narrow"/>
          <w:b/>
          <w:bCs/>
          <w:iCs/>
          <w:noProof/>
          <w:sz w:val="20"/>
          <w:szCs w:val="18"/>
        </w:rPr>
        <w:t>5</w:t>
      </w:r>
      <w:r w:rsidRPr="006124A7">
        <w:rPr>
          <w:rFonts w:ascii="Arial Narrow" w:hAnsi="Arial Narrow"/>
          <w:b/>
          <w:bCs/>
          <w:iCs/>
          <w:noProof/>
          <w:sz w:val="20"/>
          <w:szCs w:val="18"/>
        </w:rPr>
        <w:fldChar w:fldCharType="end"/>
      </w:r>
      <w:bookmarkEnd w:id="55"/>
      <w:r w:rsidRPr="006124A7">
        <w:rPr>
          <w:rFonts w:ascii="Arial Narrow" w:hAnsi="Arial Narrow"/>
          <w:b/>
          <w:bCs/>
          <w:iCs/>
          <w:sz w:val="20"/>
          <w:szCs w:val="18"/>
        </w:rPr>
        <w:t>: Symptom responses: change in total symptom scores based on MPN-SAF in MAJIC</w:t>
      </w:r>
    </w:p>
    <w:p w14:paraId="1FA4407E" w14:textId="77777777" w:rsidR="000C4898" w:rsidRPr="006124A7" w:rsidRDefault="000C4898" w:rsidP="000C4898">
      <w:pPr>
        <w:spacing w:before="60" w:after="60"/>
        <w:rPr>
          <w:rFonts w:asciiTheme="minorHAnsi" w:eastAsiaTheme="minorHAnsi" w:hAnsiTheme="minorHAnsi" w:cstheme="minorBidi"/>
          <w:iCs/>
          <w:color w:val="0066FF"/>
          <w:szCs w:val="22"/>
        </w:rPr>
      </w:pPr>
      <w:r w:rsidRPr="006124A7">
        <w:rPr>
          <w:rFonts w:asciiTheme="minorHAnsi" w:eastAsiaTheme="minorHAnsi" w:hAnsiTheme="minorHAnsi" w:cstheme="minorBidi"/>
          <w:iCs/>
          <w:noProof/>
          <w:szCs w:val="22"/>
        </w:rPr>
        <w:drawing>
          <wp:inline distT="0" distB="0" distL="0" distR="0" wp14:anchorId="6291664E" wp14:editId="1028E9C8">
            <wp:extent cx="3325568" cy="2562037"/>
            <wp:effectExtent l="0" t="0" r="8255" b="0"/>
            <wp:docPr id="1498670826" name="Picture 1" descr="Figure 5: Symptom responses: change in total symptom scores based on MPN-SAF in MAJ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670826" name="Picture 1" descr="Figure 5: Symptom responses: change in total symptom scores based on MPN-SAF in MAJIC"/>
                    <pic:cNvPicPr/>
                  </pic:nvPicPr>
                  <pic:blipFill>
                    <a:blip r:embed="rId18"/>
                    <a:stretch>
                      <a:fillRect/>
                    </a:stretch>
                  </pic:blipFill>
                  <pic:spPr>
                    <a:xfrm>
                      <a:off x="0" y="0"/>
                      <a:ext cx="3325568" cy="2562037"/>
                    </a:xfrm>
                    <a:prstGeom prst="rect">
                      <a:avLst/>
                    </a:prstGeom>
                  </pic:spPr>
                </pic:pic>
              </a:graphicData>
            </a:graphic>
          </wp:inline>
        </w:drawing>
      </w:r>
    </w:p>
    <w:p w14:paraId="7B4AD2D9" w14:textId="13C00540" w:rsidR="000C4898" w:rsidRPr="006124A7" w:rsidRDefault="000C4898" w:rsidP="000C4898">
      <w:pPr>
        <w:keepLines/>
        <w:spacing w:after="120"/>
        <w:contextualSpacing/>
        <w:jc w:val="left"/>
        <w:rPr>
          <w:rFonts w:ascii="Arial Narrow" w:hAnsi="Arial Narrow"/>
          <w:iCs/>
          <w:snapToGrid w:val="0"/>
          <w:sz w:val="18"/>
          <w:szCs w:val="22"/>
        </w:rPr>
      </w:pPr>
      <w:r w:rsidRPr="006124A7">
        <w:rPr>
          <w:rFonts w:ascii="Arial Narrow" w:hAnsi="Arial Narrow"/>
          <w:iCs/>
          <w:snapToGrid w:val="0"/>
          <w:sz w:val="18"/>
          <w:szCs w:val="22"/>
        </w:rPr>
        <w:t>Source: Figure 2.24, p107 of resubmission</w:t>
      </w:r>
      <w:r w:rsidR="0037509B" w:rsidRPr="006124A7">
        <w:rPr>
          <w:rFonts w:ascii="Arial Narrow" w:hAnsi="Arial Narrow"/>
          <w:iCs/>
          <w:snapToGrid w:val="0"/>
          <w:sz w:val="18"/>
          <w:szCs w:val="22"/>
        </w:rPr>
        <w:t xml:space="preserve"> (based on Harrison et al.</w:t>
      </w:r>
      <w:r w:rsidR="000D2D7F" w:rsidRPr="006124A7">
        <w:rPr>
          <w:rFonts w:ascii="Arial Narrow" w:hAnsi="Arial Narrow"/>
          <w:iCs/>
          <w:snapToGrid w:val="0"/>
          <w:sz w:val="18"/>
          <w:szCs w:val="22"/>
        </w:rPr>
        <w:t>,</w:t>
      </w:r>
      <w:r w:rsidR="0037509B" w:rsidRPr="006124A7">
        <w:rPr>
          <w:rFonts w:ascii="Arial Narrow" w:hAnsi="Arial Narrow"/>
          <w:iCs/>
          <w:snapToGrid w:val="0"/>
          <w:sz w:val="18"/>
          <w:szCs w:val="22"/>
        </w:rPr>
        <w:t xml:space="preserve"> 2023)</w:t>
      </w:r>
    </w:p>
    <w:p w14:paraId="0087CE11" w14:textId="77777777" w:rsidR="000C4898" w:rsidRPr="006124A7" w:rsidRDefault="000C4898" w:rsidP="0910F2D2">
      <w:pPr>
        <w:keepLines/>
        <w:spacing w:after="120"/>
        <w:contextualSpacing/>
        <w:jc w:val="left"/>
        <w:rPr>
          <w:rFonts w:ascii="Arial Narrow" w:hAnsi="Arial Narrow"/>
          <w:snapToGrid w:val="0"/>
          <w:sz w:val="18"/>
          <w:szCs w:val="18"/>
        </w:rPr>
      </w:pPr>
      <w:r w:rsidRPr="0910F2D2">
        <w:rPr>
          <w:rFonts w:ascii="Arial Narrow" w:hAnsi="Arial Narrow"/>
          <w:snapToGrid w:val="0"/>
          <w:sz w:val="18"/>
          <w:szCs w:val="18"/>
        </w:rPr>
        <w:t>Abbreviations: BAT, best available therapy; CI, confidence interval; MPN-SAF, Myeloproliferative Neoplasms Symptom Assessment Form; RUX, ruxolitinib.</w:t>
      </w:r>
    </w:p>
    <w:p w14:paraId="74F8FFC5" w14:textId="77777777" w:rsidR="000C4898" w:rsidRPr="006124A7" w:rsidRDefault="000C4898" w:rsidP="0F1D33A4">
      <w:pPr>
        <w:keepLines/>
        <w:spacing w:after="120"/>
        <w:contextualSpacing/>
        <w:jc w:val="left"/>
        <w:rPr>
          <w:rFonts w:ascii="Arial Narrow" w:hAnsi="Arial Narrow"/>
          <w:snapToGrid w:val="0"/>
          <w:sz w:val="18"/>
          <w:szCs w:val="18"/>
        </w:rPr>
      </w:pPr>
      <w:r w:rsidRPr="0F1D33A4">
        <w:rPr>
          <w:rFonts w:ascii="Arial Narrow" w:hAnsi="Arial Narrow"/>
          <w:snapToGrid w:val="0"/>
          <w:sz w:val="18"/>
          <w:szCs w:val="18"/>
        </w:rPr>
        <w:t>Note: Shaded areas indicate 95% CIs.</w:t>
      </w:r>
    </w:p>
    <w:p w14:paraId="0F791F1C" w14:textId="0CBB58A6" w:rsidR="000C4898" w:rsidRPr="006124A7" w:rsidRDefault="000C4898" w:rsidP="00382A1C">
      <w:pPr>
        <w:pStyle w:val="3-BodyText"/>
      </w:pPr>
      <w:r w:rsidRPr="0F1D33A4">
        <w:lastRenderedPageBreak/>
        <w:t>Of the 115 patients with MPN-SAF total symptom score (TSS) scores at baseline and at least one additional time point, a significantly greater proportion of patients in the ruxolitinib arm (61%) had TSS reduction of 50% or greater in at least one time point compared to the BAT arm (30%) (p=0.001). Regarding specific symptoms, there was statistically significant symptom reduction for ruxolitinib compared with BAT at more than five time points for fatigue, early satiety, night-sweats, itching, bone pain, and weight loss (p&lt;0.05). This aligns with the MPN-SAF results presented in the previous submission, which also reported significant differences in the specified symptoms which are likely to be patient relevant. However, minimum clinically important differences (MCIDs) were not nominated for these outcomes. No EuroQol-5 Dimensions (EQ-5D) data from MAJIC were reported in either Harrison et al</w:t>
      </w:r>
      <w:r w:rsidR="000D2D7F" w:rsidRPr="0F1D33A4">
        <w:t>.,</w:t>
      </w:r>
      <w:r w:rsidRPr="0F1D33A4">
        <w:t xml:space="preserve"> 2023 or MAJIC CSR.</w:t>
      </w:r>
    </w:p>
    <w:p w14:paraId="4A555891" w14:textId="293676A8" w:rsidR="005151EE" w:rsidRPr="006124A7" w:rsidRDefault="00476F5A" w:rsidP="00952624">
      <w:pPr>
        <w:rPr>
          <w:b/>
          <w:bCs/>
          <w:iCs/>
        </w:rPr>
      </w:pPr>
      <w:r w:rsidRPr="006124A7">
        <w:rPr>
          <w:b/>
          <w:bCs/>
          <w:iCs/>
        </w:rPr>
        <w:t>RESPONSE and RESPONSE-2 results</w:t>
      </w:r>
    </w:p>
    <w:p w14:paraId="59CBA6FF" w14:textId="55F13C10" w:rsidR="00F5723E" w:rsidRPr="006124A7" w:rsidRDefault="0073718A" w:rsidP="0054688F">
      <w:pPr>
        <w:pStyle w:val="3-BodyText"/>
      </w:pPr>
      <w:r w:rsidRPr="0F1D33A4">
        <w:t xml:space="preserve">The </w:t>
      </w:r>
      <w:r w:rsidR="005D6026" w:rsidRPr="0F1D33A4">
        <w:t xml:space="preserve">primary outcomes of </w:t>
      </w:r>
      <w:r w:rsidRPr="0F1D33A4">
        <w:t xml:space="preserve">response in </w:t>
      </w:r>
      <w:r w:rsidR="00EF27E1" w:rsidRPr="0F1D33A4">
        <w:t xml:space="preserve">the </w:t>
      </w:r>
      <w:r w:rsidRPr="0F1D33A4">
        <w:t xml:space="preserve">RESPONSE and RESPONSE-2 </w:t>
      </w:r>
      <w:r w:rsidR="00EF27E1" w:rsidRPr="0F1D33A4">
        <w:t xml:space="preserve">trials </w:t>
      </w:r>
      <w:r w:rsidRPr="0F1D33A4">
        <w:t xml:space="preserve">are summarised in </w:t>
      </w:r>
      <w:r w:rsidR="008E123C" w:rsidRPr="006124A7">
        <w:rPr>
          <w:iCs/>
        </w:rPr>
        <w:fldChar w:fldCharType="begin" w:fldLock="1"/>
      </w:r>
      <w:r w:rsidR="008E123C" w:rsidRPr="006124A7">
        <w:rPr>
          <w:iCs/>
        </w:rPr>
        <w:instrText xml:space="preserve"> REF _Ref186375316 \h  \* MERGEFORMAT </w:instrText>
      </w:r>
      <w:r w:rsidR="008E123C" w:rsidRPr="006124A7">
        <w:rPr>
          <w:iCs/>
        </w:rPr>
      </w:r>
      <w:r w:rsidR="008E123C" w:rsidRPr="006124A7">
        <w:rPr>
          <w:iCs/>
        </w:rPr>
        <w:fldChar w:fldCharType="separate"/>
      </w:r>
      <w:r w:rsidR="008E123C" w:rsidRPr="0F1D33A4">
        <w:t>Table 9</w:t>
      </w:r>
      <w:r w:rsidR="008E123C" w:rsidRPr="006124A7">
        <w:rPr>
          <w:iCs/>
        </w:rPr>
        <w:fldChar w:fldCharType="end"/>
      </w:r>
      <w:r w:rsidRPr="0F1D33A4">
        <w:t>. The number and proportion of responses in each arm have not changed since previous submission. Calculations of OR, risk ratio (RR) and risk difference (RD) have slightly changed likely due to differences in analytical approaches, but these remain very similar to those previously considered by PBAC</w:t>
      </w:r>
      <w:r w:rsidR="002A6D18" w:rsidRPr="0F1D33A4">
        <w:t xml:space="preserve"> which were also stati</w:t>
      </w:r>
      <w:r w:rsidR="001D1BAB" w:rsidRPr="0F1D33A4">
        <w:t>stically significant</w:t>
      </w:r>
      <w:r w:rsidRPr="0F1D33A4">
        <w:t>.</w:t>
      </w:r>
    </w:p>
    <w:p w14:paraId="42EADC8A" w14:textId="75B109EB" w:rsidR="0073718A" w:rsidRPr="006124A7" w:rsidRDefault="0073718A" w:rsidP="0073718A">
      <w:pPr>
        <w:keepNext/>
        <w:keepLines/>
        <w:rPr>
          <w:rFonts w:ascii="Arial Narrow" w:hAnsi="Arial Narrow"/>
          <w:b/>
          <w:bCs/>
          <w:iCs/>
          <w:sz w:val="20"/>
          <w:szCs w:val="18"/>
        </w:rPr>
      </w:pPr>
      <w:bookmarkStart w:id="56" w:name="_Ref186375316"/>
      <w:r w:rsidRPr="006124A7">
        <w:rPr>
          <w:rFonts w:ascii="Arial Narrow" w:hAnsi="Arial Narrow"/>
          <w:b/>
          <w:bCs/>
          <w:iCs/>
          <w:sz w:val="20"/>
          <w:szCs w:val="18"/>
        </w:rPr>
        <w:t xml:space="preserve">Table </w:t>
      </w:r>
      <w:r w:rsidRPr="006124A7">
        <w:rPr>
          <w:rFonts w:ascii="Arial Narrow" w:hAnsi="Arial Narrow"/>
          <w:b/>
          <w:bCs/>
          <w:iCs/>
          <w:sz w:val="20"/>
          <w:szCs w:val="18"/>
        </w:rPr>
        <w:fldChar w:fldCharType="begin" w:fldLock="1"/>
      </w:r>
      <w:r w:rsidRPr="006124A7">
        <w:rPr>
          <w:rFonts w:ascii="Arial Narrow" w:hAnsi="Arial Narrow"/>
          <w:b/>
          <w:bCs/>
          <w:iCs/>
          <w:sz w:val="20"/>
          <w:szCs w:val="18"/>
        </w:rPr>
        <w:instrText xml:space="preserve"> SEQ Table \* ARABIC </w:instrText>
      </w:r>
      <w:r w:rsidRPr="006124A7">
        <w:rPr>
          <w:rFonts w:ascii="Arial Narrow" w:hAnsi="Arial Narrow"/>
          <w:b/>
          <w:bCs/>
          <w:iCs/>
          <w:sz w:val="20"/>
          <w:szCs w:val="18"/>
        </w:rPr>
        <w:fldChar w:fldCharType="separate"/>
      </w:r>
      <w:r w:rsidR="001F427F">
        <w:rPr>
          <w:rFonts w:ascii="Arial Narrow" w:hAnsi="Arial Narrow"/>
          <w:b/>
          <w:bCs/>
          <w:iCs/>
          <w:noProof/>
          <w:sz w:val="20"/>
          <w:szCs w:val="18"/>
        </w:rPr>
        <w:t>9</w:t>
      </w:r>
      <w:r w:rsidRPr="006124A7">
        <w:rPr>
          <w:rFonts w:ascii="Arial Narrow" w:hAnsi="Arial Narrow"/>
          <w:b/>
          <w:bCs/>
          <w:iCs/>
          <w:noProof/>
          <w:sz w:val="20"/>
          <w:szCs w:val="18"/>
        </w:rPr>
        <w:fldChar w:fldCharType="end"/>
      </w:r>
      <w:bookmarkEnd w:id="56"/>
      <w:r w:rsidRPr="006124A7">
        <w:rPr>
          <w:rFonts w:ascii="Arial Narrow" w:hAnsi="Arial Narrow"/>
          <w:b/>
          <w:bCs/>
          <w:iCs/>
          <w:sz w:val="20"/>
          <w:szCs w:val="18"/>
        </w:rPr>
        <w:t>: Primary outcomes of response in RESPONSE at week 32 and RESPONSE-2 at week 28</w:t>
      </w:r>
    </w:p>
    <w:tbl>
      <w:tblPr>
        <w:tblStyle w:val="Summarybox4"/>
        <w:tblW w:w="5000" w:type="pct"/>
        <w:tblCellMar>
          <w:left w:w="28" w:type="dxa"/>
          <w:right w:w="28" w:type="dxa"/>
        </w:tblCellMar>
        <w:tblLook w:val="04A0" w:firstRow="1" w:lastRow="0" w:firstColumn="1" w:lastColumn="0" w:noHBand="0" w:noVBand="1"/>
        <w:tblCaption w:val="Table 9: Primary outcomes of response in RESPONSE at week 32 and RESPONSE-2 at week 28"/>
      </w:tblPr>
      <w:tblGrid>
        <w:gridCol w:w="1823"/>
        <w:gridCol w:w="1632"/>
        <w:gridCol w:w="1075"/>
        <w:gridCol w:w="1562"/>
        <w:gridCol w:w="1650"/>
        <w:gridCol w:w="1275"/>
      </w:tblGrid>
      <w:tr w:rsidR="0073718A" w:rsidRPr="006124A7" w14:paraId="5D643976" w14:textId="77777777" w:rsidTr="0F1D33A4">
        <w:trPr>
          <w:trHeight w:val="57"/>
        </w:trPr>
        <w:tc>
          <w:tcPr>
            <w:tcW w:w="1011" w:type="pct"/>
            <w:shd w:val="clear" w:color="auto" w:fill="B8CCE4" w:themeFill="accent1" w:themeFillTint="66"/>
            <w:vAlign w:val="center"/>
          </w:tcPr>
          <w:p w14:paraId="471B7AB7" w14:textId="77777777" w:rsidR="0073718A" w:rsidRPr="006124A7" w:rsidRDefault="0073718A" w:rsidP="0073718A">
            <w:pPr>
              <w:jc w:val="left"/>
              <w:rPr>
                <w:rFonts w:ascii="Arial Narrow" w:hAnsi="Arial Narrow" w:cs="Times New Roman"/>
                <w:b/>
                <w:bCs/>
                <w:iCs/>
                <w:snapToGrid w:val="0"/>
                <w:sz w:val="20"/>
              </w:rPr>
            </w:pPr>
            <w:r w:rsidRPr="006124A7">
              <w:rPr>
                <w:rFonts w:ascii="Arial Narrow" w:hAnsi="Arial Narrow" w:cs="Times New Roman"/>
                <w:b/>
                <w:bCs/>
                <w:iCs/>
                <w:snapToGrid w:val="0"/>
                <w:sz w:val="20"/>
              </w:rPr>
              <w:t>Outcome</w:t>
            </w:r>
          </w:p>
        </w:tc>
        <w:tc>
          <w:tcPr>
            <w:tcW w:w="905" w:type="pct"/>
            <w:shd w:val="clear" w:color="auto" w:fill="B8CCE4" w:themeFill="accent1" w:themeFillTint="66"/>
            <w:vAlign w:val="center"/>
          </w:tcPr>
          <w:p w14:paraId="043F9D7E" w14:textId="77777777" w:rsidR="0073718A" w:rsidRPr="006124A7" w:rsidRDefault="0073718A" w:rsidP="0F1D33A4">
            <w:pPr>
              <w:jc w:val="left"/>
              <w:rPr>
                <w:rFonts w:ascii="Arial Narrow" w:hAnsi="Arial Narrow" w:cs="Times New Roman"/>
                <w:b/>
                <w:bCs/>
                <w:snapToGrid w:val="0"/>
                <w:sz w:val="20"/>
                <w:szCs w:val="20"/>
              </w:rPr>
            </w:pPr>
            <w:r w:rsidRPr="0F1D33A4">
              <w:rPr>
                <w:rFonts w:ascii="Arial Narrow" w:hAnsi="Arial Narrow" w:cs="Times New Roman"/>
                <w:b/>
                <w:bCs/>
                <w:snapToGrid w:val="0"/>
                <w:sz w:val="20"/>
                <w:szCs w:val="20"/>
              </w:rPr>
              <w:t>Ruxolitinib, n/N(%)</w:t>
            </w:r>
          </w:p>
        </w:tc>
        <w:tc>
          <w:tcPr>
            <w:tcW w:w="596" w:type="pct"/>
            <w:shd w:val="clear" w:color="auto" w:fill="B8CCE4" w:themeFill="accent1" w:themeFillTint="66"/>
            <w:vAlign w:val="center"/>
          </w:tcPr>
          <w:p w14:paraId="1789AA8A" w14:textId="77777777" w:rsidR="0073718A" w:rsidRPr="006124A7" w:rsidRDefault="0073718A" w:rsidP="0F1D33A4">
            <w:pPr>
              <w:jc w:val="left"/>
              <w:rPr>
                <w:rFonts w:ascii="Arial Narrow" w:hAnsi="Arial Narrow" w:cs="Times New Roman"/>
                <w:b/>
                <w:bCs/>
                <w:snapToGrid w:val="0"/>
                <w:sz w:val="20"/>
                <w:szCs w:val="20"/>
              </w:rPr>
            </w:pPr>
            <w:r w:rsidRPr="0F1D33A4">
              <w:rPr>
                <w:rFonts w:ascii="Arial Narrow" w:hAnsi="Arial Narrow" w:cs="Times New Roman"/>
                <w:b/>
                <w:bCs/>
                <w:snapToGrid w:val="0"/>
                <w:sz w:val="20"/>
                <w:szCs w:val="20"/>
              </w:rPr>
              <w:t>BAT, n/N(%)</w:t>
            </w:r>
          </w:p>
        </w:tc>
        <w:tc>
          <w:tcPr>
            <w:tcW w:w="866" w:type="pct"/>
            <w:shd w:val="clear" w:color="auto" w:fill="B8CCE4" w:themeFill="accent1" w:themeFillTint="66"/>
            <w:vAlign w:val="center"/>
          </w:tcPr>
          <w:p w14:paraId="176039B7" w14:textId="77777777" w:rsidR="0073718A" w:rsidRPr="006124A7" w:rsidRDefault="0073718A" w:rsidP="0F1D33A4">
            <w:pPr>
              <w:jc w:val="left"/>
              <w:rPr>
                <w:rFonts w:ascii="Arial Narrow" w:hAnsi="Arial Narrow" w:cs="Times New Roman"/>
                <w:b/>
                <w:bCs/>
                <w:snapToGrid w:val="0"/>
                <w:sz w:val="20"/>
                <w:szCs w:val="20"/>
              </w:rPr>
            </w:pPr>
            <w:r w:rsidRPr="0F1D33A4">
              <w:rPr>
                <w:rFonts w:ascii="Arial Narrow" w:hAnsi="Arial Narrow" w:cs="Times New Roman"/>
                <w:b/>
                <w:bCs/>
                <w:snapToGrid w:val="0"/>
                <w:sz w:val="20"/>
                <w:szCs w:val="20"/>
              </w:rPr>
              <w:t>OR</w:t>
            </w:r>
            <w:r w:rsidRPr="0F1D33A4">
              <w:rPr>
                <w:rFonts w:ascii="Arial Narrow" w:hAnsi="Arial Narrow" w:cs="Times New Roman"/>
                <w:b/>
                <w:bCs/>
                <w:snapToGrid w:val="0"/>
                <w:sz w:val="20"/>
                <w:szCs w:val="20"/>
                <w:vertAlign w:val="superscript"/>
              </w:rPr>
              <w:t>a</w:t>
            </w:r>
            <w:r w:rsidRPr="0F1D33A4">
              <w:rPr>
                <w:rFonts w:ascii="Arial Narrow" w:hAnsi="Arial Narrow" w:cs="Times New Roman"/>
                <w:b/>
                <w:bCs/>
                <w:snapToGrid w:val="0"/>
                <w:sz w:val="20"/>
                <w:szCs w:val="20"/>
              </w:rPr>
              <w:t xml:space="preserve"> (95% CI)</w:t>
            </w:r>
          </w:p>
        </w:tc>
        <w:tc>
          <w:tcPr>
            <w:tcW w:w="915" w:type="pct"/>
            <w:shd w:val="clear" w:color="auto" w:fill="B8CCE4" w:themeFill="accent1" w:themeFillTint="66"/>
            <w:vAlign w:val="center"/>
          </w:tcPr>
          <w:p w14:paraId="6192E331" w14:textId="77777777" w:rsidR="0073718A" w:rsidRPr="006124A7" w:rsidRDefault="0073718A" w:rsidP="0F1D33A4">
            <w:pPr>
              <w:jc w:val="left"/>
              <w:rPr>
                <w:rFonts w:ascii="Arial Narrow" w:hAnsi="Arial Narrow" w:cs="Times New Roman"/>
                <w:b/>
                <w:bCs/>
                <w:snapToGrid w:val="0"/>
                <w:sz w:val="20"/>
                <w:szCs w:val="20"/>
              </w:rPr>
            </w:pPr>
            <w:r w:rsidRPr="0F1D33A4">
              <w:rPr>
                <w:rFonts w:ascii="Arial Narrow" w:hAnsi="Arial Narrow" w:cs="Times New Roman"/>
                <w:b/>
                <w:bCs/>
                <w:snapToGrid w:val="0"/>
                <w:sz w:val="20"/>
                <w:szCs w:val="20"/>
              </w:rPr>
              <w:t>RR</w:t>
            </w:r>
            <w:r w:rsidRPr="0F1D33A4">
              <w:rPr>
                <w:rFonts w:ascii="Arial Narrow" w:hAnsi="Arial Narrow" w:cs="Times New Roman"/>
                <w:b/>
                <w:bCs/>
                <w:snapToGrid w:val="0"/>
                <w:sz w:val="20"/>
                <w:szCs w:val="20"/>
                <w:vertAlign w:val="superscript"/>
              </w:rPr>
              <w:t>a</w:t>
            </w:r>
            <w:r w:rsidRPr="0F1D33A4">
              <w:rPr>
                <w:rFonts w:ascii="Arial Narrow" w:hAnsi="Arial Narrow" w:cs="Times New Roman"/>
                <w:b/>
                <w:bCs/>
                <w:snapToGrid w:val="0"/>
                <w:sz w:val="20"/>
                <w:szCs w:val="20"/>
              </w:rPr>
              <w:t xml:space="preserve"> (95% CI)</w:t>
            </w:r>
          </w:p>
        </w:tc>
        <w:tc>
          <w:tcPr>
            <w:tcW w:w="707" w:type="pct"/>
            <w:shd w:val="clear" w:color="auto" w:fill="B8CCE4" w:themeFill="accent1" w:themeFillTint="66"/>
            <w:vAlign w:val="center"/>
          </w:tcPr>
          <w:p w14:paraId="5B22B41A" w14:textId="77777777" w:rsidR="0073718A" w:rsidRPr="006124A7" w:rsidRDefault="0073718A" w:rsidP="0F1D33A4">
            <w:pPr>
              <w:jc w:val="left"/>
              <w:rPr>
                <w:rFonts w:ascii="Arial Narrow" w:hAnsi="Arial Narrow" w:cs="Times New Roman"/>
                <w:b/>
                <w:bCs/>
                <w:snapToGrid w:val="0"/>
                <w:sz w:val="20"/>
                <w:szCs w:val="20"/>
              </w:rPr>
            </w:pPr>
            <w:r w:rsidRPr="0F1D33A4">
              <w:rPr>
                <w:rFonts w:ascii="Arial Narrow" w:hAnsi="Arial Narrow" w:cs="Times New Roman"/>
                <w:b/>
                <w:bCs/>
                <w:snapToGrid w:val="0"/>
                <w:sz w:val="20"/>
                <w:szCs w:val="20"/>
              </w:rPr>
              <w:t>RD</w:t>
            </w:r>
            <w:r w:rsidRPr="0F1D33A4">
              <w:rPr>
                <w:rFonts w:ascii="Arial Narrow" w:hAnsi="Arial Narrow" w:cs="Times New Roman"/>
                <w:b/>
                <w:bCs/>
                <w:snapToGrid w:val="0"/>
                <w:sz w:val="20"/>
                <w:szCs w:val="20"/>
                <w:vertAlign w:val="superscript"/>
              </w:rPr>
              <w:t xml:space="preserve">a </w:t>
            </w:r>
            <w:r w:rsidRPr="0F1D33A4">
              <w:rPr>
                <w:rFonts w:ascii="Arial Narrow" w:hAnsi="Arial Narrow" w:cs="Times New Roman"/>
                <w:b/>
                <w:bCs/>
                <w:snapToGrid w:val="0"/>
                <w:sz w:val="20"/>
                <w:szCs w:val="20"/>
              </w:rPr>
              <w:t>(95% CI)</w:t>
            </w:r>
          </w:p>
        </w:tc>
      </w:tr>
      <w:tr w:rsidR="0073718A" w:rsidRPr="006124A7" w14:paraId="596295D3" w14:textId="77777777" w:rsidTr="0F1D33A4">
        <w:trPr>
          <w:trHeight w:val="57"/>
        </w:trPr>
        <w:tc>
          <w:tcPr>
            <w:tcW w:w="5000" w:type="pct"/>
            <w:gridSpan w:val="6"/>
            <w:shd w:val="clear" w:color="auto" w:fill="B8CCE4" w:themeFill="accent1" w:themeFillTint="66"/>
            <w:vAlign w:val="center"/>
          </w:tcPr>
          <w:p w14:paraId="68FD52E9" w14:textId="77777777" w:rsidR="0073718A" w:rsidRPr="006124A7" w:rsidRDefault="0073718A" w:rsidP="0073718A">
            <w:pPr>
              <w:jc w:val="left"/>
              <w:rPr>
                <w:rFonts w:ascii="Arial Narrow" w:hAnsi="Arial Narrow" w:cs="Times New Roman"/>
                <w:b/>
                <w:bCs/>
                <w:iCs/>
                <w:snapToGrid w:val="0"/>
                <w:sz w:val="20"/>
              </w:rPr>
            </w:pPr>
            <w:r w:rsidRPr="006124A7">
              <w:rPr>
                <w:rFonts w:ascii="Arial Narrow" w:hAnsi="Arial Narrow" w:cs="Times New Roman"/>
                <w:b/>
                <w:bCs/>
                <w:iCs/>
                <w:snapToGrid w:val="0"/>
                <w:sz w:val="20"/>
              </w:rPr>
              <w:t>RESPONSE</w:t>
            </w:r>
          </w:p>
        </w:tc>
      </w:tr>
      <w:tr w:rsidR="0073718A" w:rsidRPr="006124A7" w14:paraId="6EFE540A" w14:textId="77777777" w:rsidTr="0F1D33A4">
        <w:trPr>
          <w:trHeight w:val="57"/>
        </w:trPr>
        <w:tc>
          <w:tcPr>
            <w:tcW w:w="1011" w:type="pct"/>
            <w:shd w:val="clear" w:color="auto" w:fill="B8CCE4" w:themeFill="accent1" w:themeFillTint="66"/>
            <w:vAlign w:val="center"/>
          </w:tcPr>
          <w:p w14:paraId="361AB00C" w14:textId="77777777" w:rsidR="0073718A" w:rsidRPr="006124A7" w:rsidRDefault="0073718A" w:rsidP="0073718A">
            <w:pPr>
              <w:jc w:val="left"/>
              <w:rPr>
                <w:rFonts w:ascii="Arial Narrow" w:hAnsi="Arial Narrow" w:cs="Times New Roman"/>
                <w:iCs/>
                <w:snapToGrid w:val="0"/>
                <w:sz w:val="20"/>
              </w:rPr>
            </w:pPr>
            <w:r w:rsidRPr="006124A7">
              <w:rPr>
                <w:rFonts w:ascii="Arial Narrow" w:hAnsi="Arial Narrow" w:cs="Times New Roman"/>
                <w:iCs/>
                <w:snapToGrid w:val="0"/>
                <w:sz w:val="20"/>
              </w:rPr>
              <w:t>Primary composite outcome (spleen + HCT) at week 32</w:t>
            </w:r>
          </w:p>
        </w:tc>
        <w:tc>
          <w:tcPr>
            <w:tcW w:w="905" w:type="pct"/>
            <w:shd w:val="clear" w:color="auto" w:fill="B8CCE4" w:themeFill="accent1" w:themeFillTint="66"/>
            <w:vAlign w:val="center"/>
          </w:tcPr>
          <w:p w14:paraId="38E08185" w14:textId="77777777" w:rsidR="0073718A" w:rsidRPr="006124A7" w:rsidRDefault="0073718A" w:rsidP="0073718A">
            <w:pPr>
              <w:jc w:val="center"/>
              <w:rPr>
                <w:rFonts w:ascii="Arial Narrow" w:hAnsi="Arial Narrow" w:cs="Times New Roman"/>
                <w:iCs/>
                <w:snapToGrid w:val="0"/>
                <w:sz w:val="20"/>
              </w:rPr>
            </w:pPr>
            <w:r w:rsidRPr="006124A7">
              <w:rPr>
                <w:rFonts w:ascii="Arial Narrow" w:hAnsi="Arial Narrow" w:cs="Times New Roman"/>
                <w:iCs/>
                <w:snapToGrid w:val="0"/>
                <w:sz w:val="20"/>
              </w:rPr>
              <w:t>25/110 (22.7)</w:t>
            </w:r>
          </w:p>
        </w:tc>
        <w:tc>
          <w:tcPr>
            <w:tcW w:w="596" w:type="pct"/>
            <w:shd w:val="clear" w:color="auto" w:fill="B8CCE4" w:themeFill="accent1" w:themeFillTint="66"/>
            <w:vAlign w:val="center"/>
          </w:tcPr>
          <w:p w14:paraId="17D597E5" w14:textId="77777777" w:rsidR="0073718A" w:rsidRPr="006124A7" w:rsidRDefault="0073718A" w:rsidP="0073718A">
            <w:pPr>
              <w:jc w:val="center"/>
              <w:rPr>
                <w:rFonts w:ascii="Arial Narrow" w:hAnsi="Arial Narrow" w:cs="Times New Roman"/>
                <w:iCs/>
                <w:snapToGrid w:val="0"/>
                <w:sz w:val="20"/>
              </w:rPr>
            </w:pPr>
            <w:r w:rsidRPr="006124A7">
              <w:rPr>
                <w:rFonts w:ascii="Arial Narrow" w:hAnsi="Arial Narrow" w:cs="Times New Roman"/>
                <w:iCs/>
                <w:snapToGrid w:val="0"/>
                <w:sz w:val="20"/>
              </w:rPr>
              <w:t>1/112 (0.9)</w:t>
            </w:r>
          </w:p>
        </w:tc>
        <w:tc>
          <w:tcPr>
            <w:tcW w:w="866" w:type="pct"/>
            <w:vAlign w:val="center"/>
          </w:tcPr>
          <w:p w14:paraId="7830F817" w14:textId="77777777" w:rsidR="0073718A" w:rsidRPr="006124A7" w:rsidRDefault="0073718A" w:rsidP="0073718A">
            <w:pPr>
              <w:jc w:val="center"/>
              <w:rPr>
                <w:rFonts w:ascii="Arial Narrow" w:hAnsi="Arial Narrow" w:cs="Times New Roman"/>
                <w:b/>
                <w:bCs/>
                <w:iCs/>
                <w:snapToGrid w:val="0"/>
                <w:sz w:val="20"/>
              </w:rPr>
            </w:pPr>
            <w:r w:rsidRPr="006124A7">
              <w:rPr>
                <w:rFonts w:ascii="Arial Narrow" w:hAnsi="Arial Narrow" w:cs="Times New Roman"/>
                <w:b/>
                <w:bCs/>
                <w:iCs/>
                <w:snapToGrid w:val="0"/>
                <w:sz w:val="20"/>
              </w:rPr>
              <w:t>32.65 (4.34, 245.77)</w:t>
            </w:r>
          </w:p>
        </w:tc>
        <w:tc>
          <w:tcPr>
            <w:tcW w:w="915" w:type="pct"/>
            <w:vAlign w:val="center"/>
          </w:tcPr>
          <w:p w14:paraId="09AA8AA3" w14:textId="77777777" w:rsidR="0073718A" w:rsidRPr="006124A7" w:rsidRDefault="0073718A" w:rsidP="0073718A">
            <w:pPr>
              <w:jc w:val="center"/>
              <w:rPr>
                <w:rFonts w:ascii="Arial Narrow" w:hAnsi="Arial Narrow" w:cs="Times New Roman"/>
                <w:b/>
                <w:bCs/>
                <w:iCs/>
                <w:snapToGrid w:val="0"/>
                <w:sz w:val="20"/>
              </w:rPr>
            </w:pPr>
            <w:r w:rsidRPr="006124A7">
              <w:rPr>
                <w:rFonts w:ascii="Arial Narrow" w:hAnsi="Arial Narrow" w:cs="Times New Roman"/>
                <w:b/>
                <w:bCs/>
                <w:iCs/>
                <w:snapToGrid w:val="0"/>
                <w:sz w:val="20"/>
              </w:rPr>
              <w:t>25.45 (3.51, 184.62)</w:t>
            </w:r>
          </w:p>
        </w:tc>
        <w:tc>
          <w:tcPr>
            <w:tcW w:w="707" w:type="pct"/>
            <w:vAlign w:val="center"/>
          </w:tcPr>
          <w:p w14:paraId="6E95417D" w14:textId="77777777" w:rsidR="0073718A" w:rsidRPr="006124A7" w:rsidRDefault="0073718A" w:rsidP="0073718A">
            <w:pPr>
              <w:jc w:val="center"/>
              <w:rPr>
                <w:rFonts w:ascii="Arial Narrow" w:hAnsi="Arial Narrow" w:cs="Times New Roman"/>
                <w:b/>
                <w:bCs/>
                <w:iCs/>
                <w:snapToGrid w:val="0"/>
                <w:sz w:val="20"/>
              </w:rPr>
            </w:pPr>
            <w:r w:rsidRPr="006124A7">
              <w:rPr>
                <w:rFonts w:ascii="Arial Narrow" w:hAnsi="Arial Narrow" w:cs="Times New Roman"/>
                <w:b/>
                <w:bCs/>
                <w:iCs/>
                <w:snapToGrid w:val="0"/>
                <w:sz w:val="20"/>
              </w:rPr>
              <w:t>0.22 (0.14, 0.30)</w:t>
            </w:r>
          </w:p>
        </w:tc>
      </w:tr>
      <w:tr w:rsidR="0073718A" w:rsidRPr="006124A7" w14:paraId="41797431" w14:textId="77777777" w:rsidTr="0F1D33A4">
        <w:trPr>
          <w:trHeight w:val="57"/>
        </w:trPr>
        <w:tc>
          <w:tcPr>
            <w:tcW w:w="1011" w:type="pct"/>
            <w:shd w:val="clear" w:color="auto" w:fill="B8CCE4" w:themeFill="accent1" w:themeFillTint="66"/>
            <w:vAlign w:val="center"/>
          </w:tcPr>
          <w:p w14:paraId="2DEAF8BF" w14:textId="77777777" w:rsidR="0073718A" w:rsidRPr="006124A7" w:rsidRDefault="0073718A" w:rsidP="0073718A">
            <w:pPr>
              <w:jc w:val="left"/>
              <w:rPr>
                <w:rFonts w:ascii="Arial Narrow" w:hAnsi="Arial Narrow" w:cs="Times New Roman"/>
                <w:iCs/>
                <w:snapToGrid w:val="0"/>
                <w:sz w:val="20"/>
              </w:rPr>
            </w:pPr>
            <w:r w:rsidRPr="006124A7">
              <w:rPr>
                <w:rFonts w:ascii="Arial Narrow" w:hAnsi="Arial Narrow" w:cs="Times New Roman"/>
                <w:iCs/>
                <w:snapToGrid w:val="0"/>
                <w:sz w:val="20"/>
              </w:rPr>
              <w:t>≥35% spleen volume reduction at week 32</w:t>
            </w:r>
          </w:p>
        </w:tc>
        <w:tc>
          <w:tcPr>
            <w:tcW w:w="905" w:type="pct"/>
            <w:shd w:val="clear" w:color="auto" w:fill="B8CCE4" w:themeFill="accent1" w:themeFillTint="66"/>
            <w:vAlign w:val="center"/>
          </w:tcPr>
          <w:p w14:paraId="2A558DA1" w14:textId="77777777" w:rsidR="0073718A" w:rsidRPr="006124A7" w:rsidRDefault="0073718A" w:rsidP="0073718A">
            <w:pPr>
              <w:jc w:val="center"/>
              <w:rPr>
                <w:rFonts w:ascii="Arial Narrow" w:hAnsi="Arial Narrow" w:cs="Times New Roman"/>
                <w:iCs/>
                <w:snapToGrid w:val="0"/>
                <w:sz w:val="20"/>
              </w:rPr>
            </w:pPr>
            <w:r w:rsidRPr="006124A7">
              <w:rPr>
                <w:rFonts w:ascii="Arial Narrow" w:hAnsi="Arial Narrow" w:cs="Times New Roman"/>
                <w:iCs/>
                <w:snapToGrid w:val="0"/>
                <w:sz w:val="20"/>
              </w:rPr>
              <w:t>44/110 (40.0)</w:t>
            </w:r>
          </w:p>
        </w:tc>
        <w:tc>
          <w:tcPr>
            <w:tcW w:w="596" w:type="pct"/>
            <w:shd w:val="clear" w:color="auto" w:fill="B8CCE4" w:themeFill="accent1" w:themeFillTint="66"/>
            <w:vAlign w:val="center"/>
          </w:tcPr>
          <w:p w14:paraId="2F2735F3" w14:textId="77777777" w:rsidR="0073718A" w:rsidRPr="006124A7" w:rsidRDefault="0073718A" w:rsidP="0073718A">
            <w:pPr>
              <w:jc w:val="center"/>
              <w:rPr>
                <w:rFonts w:ascii="Arial Narrow" w:hAnsi="Arial Narrow" w:cs="Times New Roman"/>
                <w:iCs/>
                <w:snapToGrid w:val="0"/>
                <w:sz w:val="20"/>
              </w:rPr>
            </w:pPr>
            <w:r w:rsidRPr="006124A7">
              <w:rPr>
                <w:rFonts w:ascii="Arial Narrow" w:hAnsi="Arial Narrow" w:cs="Times New Roman"/>
                <w:iCs/>
                <w:snapToGrid w:val="0"/>
                <w:sz w:val="20"/>
              </w:rPr>
              <w:t>1/112 (0.9)</w:t>
            </w:r>
          </w:p>
        </w:tc>
        <w:tc>
          <w:tcPr>
            <w:tcW w:w="866" w:type="pct"/>
            <w:vAlign w:val="center"/>
          </w:tcPr>
          <w:p w14:paraId="0E4D8AAA" w14:textId="77777777" w:rsidR="0073718A" w:rsidRPr="006124A7" w:rsidRDefault="0073718A" w:rsidP="0073718A">
            <w:pPr>
              <w:jc w:val="center"/>
              <w:rPr>
                <w:rFonts w:ascii="Arial Narrow" w:hAnsi="Arial Narrow" w:cs="Times New Roman"/>
                <w:b/>
                <w:bCs/>
                <w:iCs/>
                <w:snapToGrid w:val="0"/>
                <w:sz w:val="20"/>
              </w:rPr>
            </w:pPr>
            <w:r w:rsidRPr="006124A7">
              <w:rPr>
                <w:rFonts w:ascii="Arial Narrow" w:hAnsi="Arial Narrow" w:cs="Times New Roman"/>
                <w:b/>
                <w:bCs/>
                <w:iCs/>
                <w:snapToGrid w:val="0"/>
                <w:sz w:val="20"/>
              </w:rPr>
              <w:t>74.0 (9.96, 549.74)</w:t>
            </w:r>
          </w:p>
        </w:tc>
        <w:tc>
          <w:tcPr>
            <w:tcW w:w="915" w:type="pct"/>
            <w:vAlign w:val="center"/>
          </w:tcPr>
          <w:p w14:paraId="4FCD5800" w14:textId="77777777" w:rsidR="0073718A" w:rsidRPr="006124A7" w:rsidRDefault="0073718A" w:rsidP="0073718A">
            <w:pPr>
              <w:jc w:val="center"/>
              <w:rPr>
                <w:rFonts w:ascii="Arial Narrow" w:hAnsi="Arial Narrow" w:cs="Times New Roman"/>
                <w:b/>
                <w:bCs/>
                <w:iCs/>
                <w:snapToGrid w:val="0"/>
                <w:sz w:val="20"/>
              </w:rPr>
            </w:pPr>
            <w:r w:rsidRPr="006124A7">
              <w:rPr>
                <w:rFonts w:ascii="Arial Narrow" w:hAnsi="Arial Narrow" w:cs="Times New Roman"/>
                <w:b/>
                <w:bCs/>
                <w:iCs/>
                <w:snapToGrid w:val="0"/>
                <w:sz w:val="20"/>
              </w:rPr>
              <w:t>44.8 (6.28, 319.51)</w:t>
            </w:r>
          </w:p>
        </w:tc>
        <w:tc>
          <w:tcPr>
            <w:tcW w:w="707" w:type="pct"/>
            <w:vAlign w:val="center"/>
          </w:tcPr>
          <w:p w14:paraId="13B5D357" w14:textId="77777777" w:rsidR="0073718A" w:rsidRPr="006124A7" w:rsidRDefault="0073718A" w:rsidP="0073718A">
            <w:pPr>
              <w:jc w:val="center"/>
              <w:rPr>
                <w:rFonts w:ascii="Arial Narrow" w:hAnsi="Arial Narrow" w:cs="Times New Roman"/>
                <w:b/>
                <w:bCs/>
                <w:iCs/>
                <w:snapToGrid w:val="0"/>
                <w:sz w:val="20"/>
              </w:rPr>
            </w:pPr>
            <w:r w:rsidRPr="006124A7">
              <w:rPr>
                <w:rFonts w:ascii="Arial Narrow" w:hAnsi="Arial Narrow" w:cs="Times New Roman"/>
                <w:b/>
                <w:bCs/>
                <w:iCs/>
                <w:snapToGrid w:val="0"/>
                <w:sz w:val="20"/>
              </w:rPr>
              <w:t>0.39 (0.30, 0.48)</w:t>
            </w:r>
          </w:p>
        </w:tc>
      </w:tr>
      <w:tr w:rsidR="0073718A" w:rsidRPr="006124A7" w14:paraId="20722F9A" w14:textId="77777777" w:rsidTr="0F1D33A4">
        <w:trPr>
          <w:trHeight w:val="57"/>
        </w:trPr>
        <w:tc>
          <w:tcPr>
            <w:tcW w:w="1011" w:type="pct"/>
            <w:shd w:val="clear" w:color="auto" w:fill="B8CCE4" w:themeFill="accent1" w:themeFillTint="66"/>
            <w:vAlign w:val="center"/>
          </w:tcPr>
          <w:p w14:paraId="6B6B4F7E" w14:textId="77777777" w:rsidR="0073718A" w:rsidRPr="006124A7" w:rsidRDefault="0073718A" w:rsidP="0073718A">
            <w:pPr>
              <w:jc w:val="left"/>
              <w:rPr>
                <w:rFonts w:ascii="Arial Narrow" w:hAnsi="Arial Narrow" w:cs="Times New Roman"/>
                <w:iCs/>
                <w:snapToGrid w:val="0"/>
                <w:sz w:val="20"/>
              </w:rPr>
            </w:pPr>
            <w:r w:rsidRPr="006124A7">
              <w:rPr>
                <w:rFonts w:ascii="Arial Narrow" w:hAnsi="Arial Narrow" w:cs="Times New Roman"/>
                <w:iCs/>
                <w:snapToGrid w:val="0"/>
                <w:sz w:val="20"/>
              </w:rPr>
              <w:t>HCT &lt;45% at week 32</w:t>
            </w:r>
          </w:p>
        </w:tc>
        <w:tc>
          <w:tcPr>
            <w:tcW w:w="905" w:type="pct"/>
            <w:shd w:val="clear" w:color="auto" w:fill="B8CCE4" w:themeFill="accent1" w:themeFillTint="66"/>
            <w:vAlign w:val="center"/>
          </w:tcPr>
          <w:p w14:paraId="0ED590DC" w14:textId="77777777" w:rsidR="0073718A" w:rsidRPr="006124A7" w:rsidRDefault="0073718A" w:rsidP="0073718A">
            <w:pPr>
              <w:jc w:val="center"/>
              <w:rPr>
                <w:rFonts w:ascii="Arial Narrow" w:hAnsi="Arial Narrow" w:cs="Times New Roman"/>
                <w:iCs/>
                <w:snapToGrid w:val="0"/>
                <w:sz w:val="20"/>
              </w:rPr>
            </w:pPr>
            <w:r w:rsidRPr="006124A7">
              <w:rPr>
                <w:rFonts w:ascii="Arial Narrow" w:hAnsi="Arial Narrow" w:cs="Times New Roman"/>
                <w:iCs/>
                <w:snapToGrid w:val="0"/>
                <w:sz w:val="20"/>
              </w:rPr>
              <w:t>66/110 (60.0)</w:t>
            </w:r>
          </w:p>
        </w:tc>
        <w:tc>
          <w:tcPr>
            <w:tcW w:w="596" w:type="pct"/>
            <w:shd w:val="clear" w:color="auto" w:fill="B8CCE4" w:themeFill="accent1" w:themeFillTint="66"/>
            <w:vAlign w:val="center"/>
          </w:tcPr>
          <w:p w14:paraId="3222F39B" w14:textId="77777777" w:rsidR="0073718A" w:rsidRPr="006124A7" w:rsidRDefault="0073718A" w:rsidP="0073718A">
            <w:pPr>
              <w:jc w:val="center"/>
              <w:rPr>
                <w:rFonts w:ascii="Arial Narrow" w:hAnsi="Arial Narrow" w:cs="Times New Roman"/>
                <w:iCs/>
                <w:snapToGrid w:val="0"/>
                <w:sz w:val="20"/>
              </w:rPr>
            </w:pPr>
            <w:r w:rsidRPr="006124A7">
              <w:rPr>
                <w:rFonts w:ascii="Arial Narrow" w:hAnsi="Arial Narrow" w:cs="Times New Roman"/>
                <w:iCs/>
                <w:snapToGrid w:val="0"/>
                <w:sz w:val="20"/>
              </w:rPr>
              <w:t>22/112 (19.6)</w:t>
            </w:r>
          </w:p>
        </w:tc>
        <w:tc>
          <w:tcPr>
            <w:tcW w:w="866" w:type="pct"/>
            <w:vAlign w:val="center"/>
          </w:tcPr>
          <w:p w14:paraId="01E8572E" w14:textId="77777777" w:rsidR="0073718A" w:rsidRPr="006124A7" w:rsidRDefault="0073718A" w:rsidP="0073718A">
            <w:pPr>
              <w:jc w:val="center"/>
              <w:rPr>
                <w:rFonts w:ascii="Arial Narrow" w:hAnsi="Arial Narrow" w:cs="Times New Roman"/>
                <w:b/>
                <w:bCs/>
                <w:iCs/>
                <w:snapToGrid w:val="0"/>
                <w:sz w:val="20"/>
              </w:rPr>
            </w:pPr>
            <w:r w:rsidRPr="006124A7">
              <w:rPr>
                <w:rFonts w:ascii="Arial Narrow" w:hAnsi="Arial Narrow" w:cs="Times New Roman"/>
                <w:b/>
                <w:bCs/>
                <w:iCs/>
                <w:snapToGrid w:val="0"/>
                <w:sz w:val="20"/>
              </w:rPr>
              <w:t>6.14 (3.36, 11.21)</w:t>
            </w:r>
          </w:p>
        </w:tc>
        <w:tc>
          <w:tcPr>
            <w:tcW w:w="915" w:type="pct"/>
            <w:vAlign w:val="center"/>
          </w:tcPr>
          <w:p w14:paraId="49653955" w14:textId="77777777" w:rsidR="0073718A" w:rsidRPr="006124A7" w:rsidRDefault="0073718A" w:rsidP="0073718A">
            <w:pPr>
              <w:jc w:val="center"/>
              <w:rPr>
                <w:rFonts w:ascii="Arial Narrow" w:hAnsi="Arial Narrow" w:cs="Times New Roman"/>
                <w:b/>
                <w:bCs/>
                <w:iCs/>
                <w:snapToGrid w:val="0"/>
                <w:sz w:val="20"/>
              </w:rPr>
            </w:pPr>
            <w:r w:rsidRPr="006124A7">
              <w:rPr>
                <w:rFonts w:ascii="Arial Narrow" w:hAnsi="Arial Narrow" w:cs="Times New Roman"/>
                <w:b/>
                <w:bCs/>
                <w:iCs/>
                <w:snapToGrid w:val="0"/>
                <w:sz w:val="20"/>
              </w:rPr>
              <w:t>3.05 (2.04, 4.58)</w:t>
            </w:r>
          </w:p>
        </w:tc>
        <w:tc>
          <w:tcPr>
            <w:tcW w:w="707" w:type="pct"/>
            <w:vAlign w:val="center"/>
          </w:tcPr>
          <w:p w14:paraId="4B553F82" w14:textId="77777777" w:rsidR="0073718A" w:rsidRPr="006124A7" w:rsidRDefault="0073718A" w:rsidP="0073718A">
            <w:pPr>
              <w:jc w:val="center"/>
              <w:rPr>
                <w:rFonts w:ascii="Arial Narrow" w:hAnsi="Arial Narrow" w:cs="Times New Roman"/>
                <w:b/>
                <w:bCs/>
                <w:iCs/>
                <w:snapToGrid w:val="0"/>
                <w:sz w:val="20"/>
              </w:rPr>
            </w:pPr>
            <w:r w:rsidRPr="006124A7">
              <w:rPr>
                <w:rFonts w:ascii="Arial Narrow" w:hAnsi="Arial Narrow" w:cs="Times New Roman"/>
                <w:b/>
                <w:bCs/>
                <w:iCs/>
                <w:snapToGrid w:val="0"/>
                <w:sz w:val="20"/>
              </w:rPr>
              <w:t>0.40 (0.29, 0.52)</w:t>
            </w:r>
          </w:p>
        </w:tc>
      </w:tr>
      <w:tr w:rsidR="0073718A" w:rsidRPr="006124A7" w14:paraId="6230B17D" w14:textId="77777777" w:rsidTr="0F1D33A4">
        <w:trPr>
          <w:trHeight w:val="57"/>
        </w:trPr>
        <w:tc>
          <w:tcPr>
            <w:tcW w:w="1011" w:type="pct"/>
            <w:shd w:val="clear" w:color="auto" w:fill="B8CCE4" w:themeFill="accent1" w:themeFillTint="66"/>
            <w:vAlign w:val="center"/>
          </w:tcPr>
          <w:p w14:paraId="5798E476" w14:textId="77777777" w:rsidR="0073718A" w:rsidRPr="006124A7" w:rsidRDefault="0073718A" w:rsidP="0073718A">
            <w:pPr>
              <w:jc w:val="left"/>
              <w:rPr>
                <w:rFonts w:ascii="Arial Narrow" w:hAnsi="Arial Narrow" w:cs="Times New Roman"/>
                <w:b/>
                <w:bCs/>
                <w:iCs/>
                <w:snapToGrid w:val="0"/>
                <w:sz w:val="20"/>
              </w:rPr>
            </w:pPr>
            <w:r w:rsidRPr="006124A7">
              <w:rPr>
                <w:rFonts w:ascii="Arial Narrow" w:hAnsi="Arial Narrow" w:cs="Times New Roman"/>
                <w:b/>
                <w:bCs/>
                <w:iCs/>
                <w:snapToGrid w:val="0"/>
                <w:sz w:val="20"/>
              </w:rPr>
              <w:t>RESPONSE-2</w:t>
            </w:r>
          </w:p>
        </w:tc>
        <w:tc>
          <w:tcPr>
            <w:tcW w:w="905" w:type="pct"/>
            <w:shd w:val="clear" w:color="auto" w:fill="B8CCE4" w:themeFill="accent1" w:themeFillTint="66"/>
            <w:vAlign w:val="center"/>
          </w:tcPr>
          <w:p w14:paraId="1F816194" w14:textId="77777777" w:rsidR="0073718A" w:rsidRPr="006124A7" w:rsidRDefault="0073718A" w:rsidP="0073718A">
            <w:pPr>
              <w:jc w:val="center"/>
              <w:rPr>
                <w:rFonts w:ascii="Arial Narrow" w:hAnsi="Arial Narrow" w:cs="Times New Roman"/>
                <w:iCs/>
                <w:snapToGrid w:val="0"/>
                <w:sz w:val="20"/>
              </w:rPr>
            </w:pPr>
          </w:p>
        </w:tc>
        <w:tc>
          <w:tcPr>
            <w:tcW w:w="596" w:type="pct"/>
            <w:shd w:val="clear" w:color="auto" w:fill="B8CCE4" w:themeFill="accent1" w:themeFillTint="66"/>
            <w:vAlign w:val="center"/>
          </w:tcPr>
          <w:p w14:paraId="41893505" w14:textId="77777777" w:rsidR="0073718A" w:rsidRPr="006124A7" w:rsidRDefault="0073718A" w:rsidP="0073718A">
            <w:pPr>
              <w:jc w:val="center"/>
              <w:rPr>
                <w:rFonts w:ascii="Arial Narrow" w:hAnsi="Arial Narrow" w:cs="Times New Roman"/>
                <w:iCs/>
                <w:snapToGrid w:val="0"/>
                <w:sz w:val="20"/>
              </w:rPr>
            </w:pPr>
          </w:p>
        </w:tc>
        <w:tc>
          <w:tcPr>
            <w:tcW w:w="866" w:type="pct"/>
            <w:vAlign w:val="center"/>
          </w:tcPr>
          <w:p w14:paraId="47C3DAE1" w14:textId="77777777" w:rsidR="0073718A" w:rsidRPr="006124A7" w:rsidRDefault="0073718A" w:rsidP="0073718A">
            <w:pPr>
              <w:jc w:val="center"/>
              <w:rPr>
                <w:rFonts w:ascii="Arial Narrow" w:hAnsi="Arial Narrow" w:cs="Times New Roman"/>
                <w:iCs/>
                <w:snapToGrid w:val="0"/>
                <w:sz w:val="20"/>
              </w:rPr>
            </w:pPr>
          </w:p>
        </w:tc>
        <w:tc>
          <w:tcPr>
            <w:tcW w:w="915" w:type="pct"/>
            <w:vAlign w:val="center"/>
          </w:tcPr>
          <w:p w14:paraId="3FB0D051" w14:textId="77777777" w:rsidR="0073718A" w:rsidRPr="006124A7" w:rsidRDefault="0073718A" w:rsidP="0073718A">
            <w:pPr>
              <w:jc w:val="center"/>
              <w:rPr>
                <w:rFonts w:ascii="Arial Narrow" w:hAnsi="Arial Narrow" w:cs="Times New Roman"/>
                <w:iCs/>
                <w:snapToGrid w:val="0"/>
                <w:sz w:val="20"/>
              </w:rPr>
            </w:pPr>
          </w:p>
        </w:tc>
        <w:tc>
          <w:tcPr>
            <w:tcW w:w="707" w:type="pct"/>
            <w:vAlign w:val="center"/>
          </w:tcPr>
          <w:p w14:paraId="7D348073" w14:textId="77777777" w:rsidR="0073718A" w:rsidRPr="006124A7" w:rsidRDefault="0073718A" w:rsidP="0073718A">
            <w:pPr>
              <w:jc w:val="center"/>
              <w:rPr>
                <w:rFonts w:ascii="Arial Narrow" w:hAnsi="Arial Narrow" w:cs="Times New Roman"/>
                <w:iCs/>
                <w:snapToGrid w:val="0"/>
                <w:sz w:val="20"/>
              </w:rPr>
            </w:pPr>
          </w:p>
        </w:tc>
      </w:tr>
      <w:tr w:rsidR="0073718A" w:rsidRPr="006124A7" w14:paraId="09902C04" w14:textId="77777777" w:rsidTr="0F1D33A4">
        <w:trPr>
          <w:trHeight w:val="57"/>
        </w:trPr>
        <w:tc>
          <w:tcPr>
            <w:tcW w:w="1011" w:type="pct"/>
            <w:shd w:val="clear" w:color="auto" w:fill="B8CCE4" w:themeFill="accent1" w:themeFillTint="66"/>
            <w:vAlign w:val="center"/>
          </w:tcPr>
          <w:p w14:paraId="0115F00A" w14:textId="77777777" w:rsidR="0073718A" w:rsidRPr="006124A7" w:rsidRDefault="0073718A" w:rsidP="0073718A">
            <w:pPr>
              <w:jc w:val="left"/>
              <w:rPr>
                <w:rFonts w:ascii="Arial Narrow" w:hAnsi="Arial Narrow" w:cs="Times New Roman"/>
                <w:iCs/>
                <w:snapToGrid w:val="0"/>
                <w:sz w:val="20"/>
              </w:rPr>
            </w:pPr>
            <w:r w:rsidRPr="006124A7">
              <w:rPr>
                <w:rFonts w:ascii="Arial Narrow" w:hAnsi="Arial Narrow" w:cs="Times New Roman"/>
                <w:iCs/>
                <w:snapToGrid w:val="0"/>
                <w:sz w:val="20"/>
                <w:szCs w:val="18"/>
              </w:rPr>
              <w:t>HCT &lt;45% at Week 28</w:t>
            </w:r>
          </w:p>
        </w:tc>
        <w:tc>
          <w:tcPr>
            <w:tcW w:w="905" w:type="pct"/>
            <w:shd w:val="clear" w:color="auto" w:fill="B8CCE4" w:themeFill="accent1" w:themeFillTint="66"/>
            <w:vAlign w:val="center"/>
          </w:tcPr>
          <w:p w14:paraId="41A66B20" w14:textId="77777777" w:rsidR="0073718A" w:rsidRPr="006124A7" w:rsidRDefault="0073718A" w:rsidP="0073718A">
            <w:pPr>
              <w:jc w:val="center"/>
              <w:rPr>
                <w:rFonts w:ascii="Arial Narrow" w:hAnsi="Arial Narrow" w:cs="Times New Roman"/>
                <w:iCs/>
                <w:snapToGrid w:val="0"/>
                <w:sz w:val="20"/>
              </w:rPr>
            </w:pPr>
            <w:r w:rsidRPr="006124A7">
              <w:rPr>
                <w:rFonts w:ascii="Arial Narrow" w:hAnsi="Arial Narrow" w:cs="Times New Roman"/>
                <w:iCs/>
                <w:snapToGrid w:val="0"/>
                <w:sz w:val="20"/>
                <w:szCs w:val="18"/>
              </w:rPr>
              <w:t>46/74 (62.2)</w:t>
            </w:r>
          </w:p>
        </w:tc>
        <w:tc>
          <w:tcPr>
            <w:tcW w:w="596" w:type="pct"/>
            <w:shd w:val="clear" w:color="auto" w:fill="B8CCE4" w:themeFill="accent1" w:themeFillTint="66"/>
            <w:vAlign w:val="center"/>
          </w:tcPr>
          <w:p w14:paraId="28688D02" w14:textId="77777777" w:rsidR="0073718A" w:rsidRPr="006124A7" w:rsidRDefault="0073718A" w:rsidP="0073718A">
            <w:pPr>
              <w:jc w:val="center"/>
              <w:rPr>
                <w:rFonts w:ascii="Arial Narrow" w:hAnsi="Arial Narrow" w:cs="Times New Roman"/>
                <w:iCs/>
                <w:snapToGrid w:val="0"/>
                <w:sz w:val="20"/>
              </w:rPr>
            </w:pPr>
            <w:r w:rsidRPr="006124A7">
              <w:rPr>
                <w:rFonts w:ascii="Arial Narrow" w:hAnsi="Arial Narrow" w:cs="Times New Roman"/>
                <w:iCs/>
                <w:snapToGrid w:val="0"/>
                <w:sz w:val="20"/>
                <w:szCs w:val="18"/>
              </w:rPr>
              <w:t>14/75 (18.7)</w:t>
            </w:r>
          </w:p>
        </w:tc>
        <w:tc>
          <w:tcPr>
            <w:tcW w:w="866" w:type="pct"/>
            <w:vAlign w:val="center"/>
          </w:tcPr>
          <w:p w14:paraId="4DF6579F" w14:textId="77777777" w:rsidR="0073718A" w:rsidRPr="006124A7" w:rsidRDefault="0073718A" w:rsidP="0073718A">
            <w:pPr>
              <w:jc w:val="center"/>
              <w:rPr>
                <w:rFonts w:ascii="Arial Narrow" w:hAnsi="Arial Narrow" w:cs="Times New Roman"/>
                <w:iCs/>
                <w:snapToGrid w:val="0"/>
                <w:sz w:val="20"/>
              </w:rPr>
            </w:pPr>
            <w:r w:rsidRPr="006124A7">
              <w:rPr>
                <w:rFonts w:ascii="Arial Narrow" w:hAnsi="Arial Narrow" w:cs="Times New Roman"/>
                <w:b/>
                <w:iCs/>
                <w:snapToGrid w:val="0"/>
                <w:sz w:val="20"/>
                <w:szCs w:val="18"/>
              </w:rPr>
              <w:t>7.16 (3.39, 15.11)</w:t>
            </w:r>
          </w:p>
        </w:tc>
        <w:tc>
          <w:tcPr>
            <w:tcW w:w="915" w:type="pct"/>
            <w:vAlign w:val="center"/>
          </w:tcPr>
          <w:p w14:paraId="7E8C5D0D" w14:textId="77777777" w:rsidR="0073718A" w:rsidRPr="006124A7" w:rsidRDefault="0073718A" w:rsidP="0073718A">
            <w:pPr>
              <w:jc w:val="center"/>
              <w:rPr>
                <w:rFonts w:ascii="Arial Narrow" w:hAnsi="Arial Narrow" w:cs="Times New Roman"/>
                <w:iCs/>
                <w:snapToGrid w:val="0"/>
                <w:sz w:val="20"/>
              </w:rPr>
            </w:pPr>
            <w:r w:rsidRPr="006124A7">
              <w:rPr>
                <w:rFonts w:ascii="Arial Narrow" w:hAnsi="Arial Narrow" w:cs="Times New Roman"/>
                <w:b/>
                <w:iCs/>
                <w:snapToGrid w:val="0"/>
                <w:sz w:val="20"/>
                <w:szCs w:val="18"/>
              </w:rPr>
              <w:t>3.33 (2.01, 5.52)</w:t>
            </w:r>
          </w:p>
        </w:tc>
        <w:tc>
          <w:tcPr>
            <w:tcW w:w="707" w:type="pct"/>
            <w:vAlign w:val="center"/>
          </w:tcPr>
          <w:p w14:paraId="69DACA4F" w14:textId="77777777" w:rsidR="0073718A" w:rsidRPr="006124A7" w:rsidRDefault="0073718A" w:rsidP="0073718A">
            <w:pPr>
              <w:jc w:val="center"/>
              <w:rPr>
                <w:rFonts w:ascii="Arial Narrow" w:hAnsi="Arial Narrow" w:cs="Times New Roman"/>
                <w:iCs/>
                <w:snapToGrid w:val="0"/>
                <w:sz w:val="20"/>
              </w:rPr>
            </w:pPr>
            <w:r w:rsidRPr="006124A7">
              <w:rPr>
                <w:rFonts w:ascii="Arial Narrow" w:hAnsi="Arial Narrow" w:cs="Times New Roman"/>
                <w:b/>
                <w:iCs/>
                <w:snapToGrid w:val="0"/>
                <w:sz w:val="20"/>
                <w:szCs w:val="18"/>
              </w:rPr>
              <w:t>0.43 (0.29, 0.58)</w:t>
            </w:r>
          </w:p>
        </w:tc>
      </w:tr>
    </w:tbl>
    <w:p w14:paraId="7AF55DD5" w14:textId="77777777" w:rsidR="0073718A" w:rsidRPr="006124A7" w:rsidRDefault="0073718A" w:rsidP="0073718A">
      <w:pPr>
        <w:rPr>
          <w:rFonts w:ascii="Arial Narrow" w:hAnsi="Arial Narrow"/>
          <w:iCs/>
          <w:sz w:val="18"/>
          <w:szCs w:val="20"/>
        </w:rPr>
      </w:pPr>
      <w:r w:rsidRPr="006124A7">
        <w:rPr>
          <w:rFonts w:ascii="Arial Narrow" w:hAnsi="Arial Narrow"/>
          <w:iCs/>
          <w:sz w:val="18"/>
          <w:szCs w:val="20"/>
        </w:rPr>
        <w:t>Source: Table 2.19, p108 and Table 2.20, p116 of resubmission.</w:t>
      </w:r>
    </w:p>
    <w:p w14:paraId="321DA00D" w14:textId="1FDBFC12" w:rsidR="0073718A" w:rsidRPr="006124A7" w:rsidRDefault="0073718A" w:rsidP="0F1D33A4">
      <w:pPr>
        <w:keepLines/>
        <w:spacing w:after="120"/>
        <w:contextualSpacing/>
        <w:jc w:val="left"/>
        <w:rPr>
          <w:rFonts w:ascii="Arial Narrow" w:hAnsi="Arial Narrow"/>
          <w:snapToGrid w:val="0"/>
          <w:sz w:val="18"/>
          <w:szCs w:val="18"/>
        </w:rPr>
      </w:pPr>
      <w:r w:rsidRPr="0F1D33A4">
        <w:rPr>
          <w:rFonts w:ascii="Arial Narrow" w:hAnsi="Arial Narrow"/>
          <w:snapToGrid w:val="0"/>
          <w:sz w:val="18"/>
          <w:szCs w:val="18"/>
        </w:rPr>
        <w:t>Abbreviations: BAT, best available therapy; CI, confidence interval; HCT, haematocrit; OR, odds ratio; RD, risk difference; RR, risk ratio</w:t>
      </w:r>
      <w:r w:rsidR="00F87B86">
        <w:rPr>
          <w:rFonts w:ascii="Arial Narrow" w:hAnsi="Arial Narrow"/>
          <w:snapToGrid w:val="0"/>
          <w:sz w:val="18"/>
          <w:szCs w:val="18"/>
        </w:rPr>
        <w:t xml:space="preserve"> </w:t>
      </w:r>
    </w:p>
    <w:p w14:paraId="3591ED50" w14:textId="2A858A01" w:rsidR="0073718A" w:rsidRPr="006124A7" w:rsidRDefault="0073718A" w:rsidP="0F1D33A4">
      <w:pPr>
        <w:keepLines/>
        <w:spacing w:after="120"/>
        <w:contextualSpacing/>
        <w:jc w:val="left"/>
        <w:rPr>
          <w:rFonts w:ascii="Arial Narrow" w:hAnsi="Arial Narrow"/>
          <w:snapToGrid w:val="0"/>
          <w:sz w:val="18"/>
          <w:szCs w:val="18"/>
        </w:rPr>
      </w:pPr>
      <w:r w:rsidRPr="0F1D33A4">
        <w:rPr>
          <w:rFonts w:ascii="Arial Narrow" w:hAnsi="Arial Narrow"/>
          <w:snapToGrid w:val="0"/>
          <w:sz w:val="18"/>
          <w:szCs w:val="18"/>
          <w:vertAlign w:val="superscript"/>
        </w:rPr>
        <w:t>a</w:t>
      </w:r>
      <w:r w:rsidRPr="0F1D33A4">
        <w:rPr>
          <w:rFonts w:ascii="Arial Narrow" w:hAnsi="Arial Narrow"/>
          <w:snapToGrid w:val="0"/>
          <w:sz w:val="18"/>
          <w:szCs w:val="18"/>
        </w:rPr>
        <w:t xml:space="preserve"> Calculated for the resubmission using the Mantel-Haenszel statistical method with a fixed effect model.</w:t>
      </w:r>
      <w:r w:rsidR="00F87B86">
        <w:rPr>
          <w:rFonts w:ascii="Arial Narrow" w:hAnsi="Arial Narrow"/>
          <w:snapToGrid w:val="0"/>
          <w:sz w:val="18"/>
          <w:szCs w:val="18"/>
        </w:rPr>
        <w:t xml:space="preserve"> </w:t>
      </w:r>
      <w:r w:rsidRPr="0F1D33A4">
        <w:rPr>
          <w:rFonts w:ascii="Arial Narrow" w:hAnsi="Arial Narrow"/>
          <w:snapToGrid w:val="0"/>
          <w:sz w:val="18"/>
          <w:szCs w:val="18"/>
        </w:rPr>
        <w:t>Previous submission calculation used Statsdirect. There were very small differences in the point estimates and 95% CI from previous submission.</w:t>
      </w:r>
    </w:p>
    <w:p w14:paraId="3A49E0B1" w14:textId="77777777" w:rsidR="0073718A" w:rsidRPr="006124A7" w:rsidRDefault="0073718A" w:rsidP="0F1D33A4">
      <w:pPr>
        <w:keepLines/>
        <w:spacing w:after="120"/>
        <w:contextualSpacing/>
        <w:jc w:val="left"/>
        <w:rPr>
          <w:rFonts w:ascii="Arial Narrow" w:hAnsi="Arial Narrow"/>
          <w:snapToGrid w:val="0"/>
          <w:sz w:val="18"/>
          <w:szCs w:val="18"/>
        </w:rPr>
      </w:pPr>
      <w:r w:rsidRPr="0F1D33A4">
        <w:rPr>
          <w:rFonts w:ascii="Arial Narrow" w:hAnsi="Arial Narrow"/>
          <w:snapToGrid w:val="0"/>
          <w:sz w:val="18"/>
          <w:szCs w:val="18"/>
        </w:rPr>
        <w:t xml:space="preserve">Note: Results in </w:t>
      </w:r>
      <w:r w:rsidRPr="0F1D33A4">
        <w:rPr>
          <w:rFonts w:ascii="Arial Narrow" w:hAnsi="Arial Narrow"/>
          <w:b/>
          <w:bCs/>
          <w:snapToGrid w:val="0"/>
          <w:sz w:val="18"/>
          <w:szCs w:val="18"/>
        </w:rPr>
        <w:t>bold</w:t>
      </w:r>
      <w:r w:rsidRPr="0F1D33A4">
        <w:rPr>
          <w:rFonts w:ascii="Arial Narrow" w:hAnsi="Arial Narrow"/>
          <w:snapToGrid w:val="0"/>
          <w:sz w:val="18"/>
          <w:szCs w:val="18"/>
        </w:rPr>
        <w:t xml:space="preserve"> indicate statistically significant difference (p&lt;0.05) </w:t>
      </w:r>
    </w:p>
    <w:p w14:paraId="3F3DBCD8" w14:textId="77777777" w:rsidR="0073718A" w:rsidRPr="006124A7" w:rsidRDefault="0073718A" w:rsidP="0F1D33A4">
      <w:pPr>
        <w:keepLines/>
        <w:spacing w:after="120"/>
        <w:contextualSpacing/>
        <w:jc w:val="left"/>
        <w:rPr>
          <w:rFonts w:ascii="Arial Narrow" w:hAnsi="Arial Narrow"/>
          <w:snapToGrid w:val="0"/>
          <w:sz w:val="18"/>
          <w:szCs w:val="18"/>
        </w:rPr>
      </w:pPr>
      <w:r w:rsidRPr="0F1D33A4">
        <w:rPr>
          <w:rFonts w:ascii="Arial Narrow" w:hAnsi="Arial Narrow"/>
          <w:snapToGrid w:val="0"/>
          <w:sz w:val="18"/>
          <w:szCs w:val="18"/>
        </w:rPr>
        <w:t>Text in italics indicate values calculated during evaluation of previous submission.</w:t>
      </w:r>
    </w:p>
    <w:p w14:paraId="3E827C71" w14:textId="77777777" w:rsidR="0073718A" w:rsidRPr="006124A7" w:rsidRDefault="0073718A" w:rsidP="0F1D33A4">
      <w:pPr>
        <w:keepLines/>
        <w:spacing w:after="120"/>
        <w:contextualSpacing/>
        <w:jc w:val="left"/>
        <w:rPr>
          <w:rFonts w:ascii="Arial Narrow" w:hAnsi="Arial Narrow"/>
          <w:snapToGrid w:val="0"/>
          <w:sz w:val="18"/>
          <w:szCs w:val="18"/>
        </w:rPr>
      </w:pPr>
      <w:r w:rsidRPr="0F1D33A4">
        <w:rPr>
          <w:rFonts w:ascii="Arial Narrow" w:eastAsiaTheme="majorEastAsia" w:hAnsi="Arial Narrow" w:cstheme="majorBidi"/>
          <w:sz w:val="18"/>
          <w:szCs w:val="18"/>
          <w:shd w:val="clear" w:color="auto" w:fill="B8CCE4" w:themeFill="accent1" w:themeFillTint="66"/>
        </w:rPr>
        <w:t>Blue shading</w:t>
      </w:r>
      <w:r w:rsidRPr="0F1D33A4">
        <w:rPr>
          <w:rFonts w:ascii="Arial Narrow" w:hAnsi="Arial Narrow"/>
          <w:snapToGrid w:val="0"/>
          <w:sz w:val="18"/>
          <w:szCs w:val="18"/>
        </w:rPr>
        <w:t xml:space="preserve"> indicates data previously seen by the PBAC.</w:t>
      </w:r>
    </w:p>
    <w:p w14:paraId="2EECC9F4" w14:textId="5389FD6A" w:rsidR="0073718A" w:rsidRPr="006124A7" w:rsidRDefault="0073718A" w:rsidP="0073718A">
      <w:pPr>
        <w:pStyle w:val="3-BodyText"/>
      </w:pPr>
      <w:r w:rsidRPr="0F1D33A4">
        <w:t>Statistically significantly more patients treated with ruxolitinib responded with reduction in spleen volume and/or HCT &lt;45% in both RESPONSE and RESPONSE-2 compared to patients treated with BAT at up to Week 32 (RESPONSE) or Week 28 (RESPONSE-2). This aligns with the complete response results from MAJIC at 12 months, however it is inconsistent with the partial response and overall response results from MAJIC, in which no statistically significant differences were observed between treatment arms (</w:t>
      </w:r>
      <w:r w:rsidRPr="006124A7">
        <w:rPr>
          <w:iCs/>
        </w:rPr>
        <w:fldChar w:fldCharType="begin" w:fldLock="1"/>
      </w:r>
      <w:r w:rsidRPr="006124A7">
        <w:rPr>
          <w:iCs/>
        </w:rPr>
        <w:instrText xml:space="preserve"> REF _Ref184741655 \h  \* MERGEFORMAT </w:instrText>
      </w:r>
      <w:r w:rsidRPr="006124A7">
        <w:rPr>
          <w:iCs/>
        </w:rPr>
      </w:r>
      <w:r w:rsidRPr="006124A7">
        <w:rPr>
          <w:iCs/>
        </w:rPr>
        <w:fldChar w:fldCharType="separate"/>
      </w:r>
      <w:r w:rsidR="00CF6E5F" w:rsidRPr="00CF6E5F">
        <w:t xml:space="preserve">Table </w:t>
      </w:r>
      <w:r w:rsidR="00CF6E5F" w:rsidRPr="00CF6E5F">
        <w:rPr>
          <w:noProof/>
        </w:rPr>
        <w:t>5</w:t>
      </w:r>
      <w:r w:rsidRPr="006124A7">
        <w:rPr>
          <w:iCs/>
        </w:rPr>
        <w:fldChar w:fldCharType="end"/>
      </w:r>
      <w:r w:rsidRPr="0F1D33A4">
        <w:t xml:space="preserve">). The inconsistency of results between trials was previously noted by PBAC in the November 2019 meeting who considered this could be due to differences in the BAT arm, as RESPONSE and RESPONSE-2 included ‘watch </w:t>
      </w:r>
      <w:r w:rsidRPr="0F1D33A4">
        <w:lastRenderedPageBreak/>
        <w:t>and wait’ as a BAT option whereas all patients in MAJIC received active treatments (according to protocol) (para 7.9, ruxolitinib, PSD, November 2019 PBAC meeting).</w:t>
      </w:r>
    </w:p>
    <w:p w14:paraId="4D0C5362" w14:textId="4B19071E" w:rsidR="0073718A" w:rsidRPr="006124A7" w:rsidRDefault="0073718A" w:rsidP="0073718A">
      <w:pPr>
        <w:pStyle w:val="3-BodyText"/>
      </w:pPr>
      <w:r w:rsidRPr="0F1D33A4">
        <w:t>The resubmission presented 5-year follow up results of secondary outcomes of RESPONSE and RESPONSE-2 trials predominately for the ruxolitinib group only, due to all patients being assigned to the BAT arm crossing over to ruxolitinib or discontinuing by Week 80 for both trials</w:t>
      </w:r>
      <w:r w:rsidR="00565431" w:rsidRPr="0F1D33A4">
        <w:t xml:space="preserve"> (</w:t>
      </w:r>
      <w:r>
        <w:fldChar w:fldCharType="begin" w:fldLock="1"/>
      </w:r>
      <w:r>
        <w:instrText xml:space="preserve"> REF _Ref184808370 \h  \* MERGEFORMAT </w:instrText>
      </w:r>
      <w:r>
        <w:fldChar w:fldCharType="separate"/>
      </w:r>
      <w:r w:rsidR="0096555B" w:rsidRPr="0F1D33A4">
        <w:t xml:space="preserve">Table </w:t>
      </w:r>
      <w:r w:rsidR="0096555B" w:rsidRPr="0F1D33A4">
        <w:rPr>
          <w:noProof/>
        </w:rPr>
        <w:t>10</w:t>
      </w:r>
      <w:r>
        <w:fldChar w:fldCharType="end"/>
      </w:r>
      <w:r w:rsidR="00565431" w:rsidRPr="0F1D33A4">
        <w:t>)</w:t>
      </w:r>
      <w:r w:rsidRPr="0F1D33A4">
        <w:t>.</w:t>
      </w:r>
      <w:r w:rsidR="00F87B86">
        <w:t xml:space="preserve"> </w:t>
      </w:r>
    </w:p>
    <w:p w14:paraId="0D85C674" w14:textId="2B3DB56F" w:rsidR="0073718A" w:rsidRPr="006124A7" w:rsidRDefault="0073718A" w:rsidP="0910F2D2">
      <w:pPr>
        <w:jc w:val="left"/>
        <w:rPr>
          <w:rFonts w:ascii="Arial Narrow" w:hAnsi="Arial Narrow"/>
          <w:b/>
          <w:bCs/>
          <w:sz w:val="20"/>
          <w:szCs w:val="20"/>
        </w:rPr>
      </w:pPr>
      <w:bookmarkStart w:id="57" w:name="_Ref184808370"/>
      <w:r w:rsidRPr="0910F2D2">
        <w:rPr>
          <w:rFonts w:ascii="Arial Narrow" w:hAnsi="Arial Narrow"/>
          <w:b/>
          <w:bCs/>
          <w:sz w:val="20"/>
          <w:szCs w:val="20"/>
        </w:rPr>
        <w:t xml:space="preserve">Table </w:t>
      </w:r>
      <w:r w:rsidRPr="0910F2D2">
        <w:rPr>
          <w:rFonts w:ascii="Arial Narrow" w:hAnsi="Arial Narrow"/>
          <w:b/>
          <w:bCs/>
          <w:sz w:val="20"/>
          <w:szCs w:val="20"/>
        </w:rPr>
        <w:fldChar w:fldCharType="begin" w:fldLock="1"/>
      </w:r>
      <w:r w:rsidRPr="0910F2D2">
        <w:rPr>
          <w:rFonts w:ascii="Arial Narrow" w:hAnsi="Arial Narrow"/>
          <w:b/>
          <w:bCs/>
          <w:sz w:val="20"/>
          <w:szCs w:val="20"/>
        </w:rPr>
        <w:instrText xml:space="preserve"> SEQ Table \* ARABIC </w:instrText>
      </w:r>
      <w:r w:rsidRPr="0910F2D2">
        <w:rPr>
          <w:rFonts w:ascii="Arial Narrow" w:hAnsi="Arial Narrow"/>
          <w:b/>
          <w:bCs/>
          <w:sz w:val="20"/>
          <w:szCs w:val="20"/>
        </w:rPr>
        <w:fldChar w:fldCharType="separate"/>
      </w:r>
      <w:r w:rsidR="001F427F">
        <w:rPr>
          <w:rFonts w:ascii="Arial Narrow" w:hAnsi="Arial Narrow"/>
          <w:b/>
          <w:bCs/>
          <w:noProof/>
          <w:sz w:val="20"/>
          <w:szCs w:val="20"/>
        </w:rPr>
        <w:t>10</w:t>
      </w:r>
      <w:r w:rsidRPr="0910F2D2">
        <w:rPr>
          <w:rFonts w:ascii="Arial Narrow" w:hAnsi="Arial Narrow"/>
          <w:b/>
          <w:bCs/>
          <w:noProof/>
          <w:sz w:val="20"/>
          <w:szCs w:val="20"/>
        </w:rPr>
        <w:fldChar w:fldCharType="end"/>
      </w:r>
      <w:bookmarkEnd w:id="57"/>
      <w:r w:rsidRPr="0910F2D2">
        <w:rPr>
          <w:rFonts w:ascii="Arial Narrow" w:hAnsi="Arial Narrow"/>
          <w:b/>
          <w:bCs/>
          <w:sz w:val="20"/>
          <w:szCs w:val="20"/>
        </w:rPr>
        <w:t>: Summary of response rate of ruxolitinib at 5 years of follow up in RESPONSE and RESPONSE-2- trials</w:t>
      </w:r>
    </w:p>
    <w:tbl>
      <w:tblPr>
        <w:tblStyle w:val="Summarybox4"/>
        <w:tblW w:w="5000" w:type="pct"/>
        <w:tblCellMar>
          <w:left w:w="28" w:type="dxa"/>
          <w:right w:w="28" w:type="dxa"/>
        </w:tblCellMar>
        <w:tblLook w:val="04A0" w:firstRow="1" w:lastRow="0" w:firstColumn="1" w:lastColumn="0" w:noHBand="0" w:noVBand="1"/>
        <w:tblCaption w:val="Table 10: Summary of response rate of ruxolitinib at 5 years of follow up in RESPONSE and RESPONSE-2- trials"/>
      </w:tblPr>
      <w:tblGrid>
        <w:gridCol w:w="6658"/>
        <w:gridCol w:w="2359"/>
      </w:tblGrid>
      <w:tr w:rsidR="0073718A" w:rsidRPr="006124A7" w14:paraId="23184FBE" w14:textId="77777777" w:rsidTr="0F1D33A4">
        <w:trPr>
          <w:trHeight w:val="20"/>
          <w:tblHeader/>
        </w:trPr>
        <w:tc>
          <w:tcPr>
            <w:tcW w:w="3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1B051D" w14:textId="77777777" w:rsidR="0073718A" w:rsidRPr="006124A7" w:rsidRDefault="0073718A" w:rsidP="0073718A">
            <w:pPr>
              <w:jc w:val="left"/>
              <w:rPr>
                <w:rFonts w:ascii="Arial Narrow" w:hAnsi="Arial Narrow" w:cs="Times New Roman"/>
                <w:b/>
                <w:bCs/>
                <w:iCs/>
                <w:snapToGrid w:val="0"/>
                <w:sz w:val="20"/>
              </w:rPr>
            </w:pP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A0137D" w14:textId="77777777" w:rsidR="0073718A" w:rsidRPr="006124A7" w:rsidRDefault="0073718A" w:rsidP="0073718A">
            <w:pPr>
              <w:jc w:val="center"/>
              <w:rPr>
                <w:rFonts w:ascii="Arial Narrow" w:hAnsi="Arial Narrow" w:cs="Times New Roman"/>
                <w:b/>
                <w:bCs/>
                <w:iCs/>
                <w:snapToGrid w:val="0"/>
                <w:sz w:val="20"/>
              </w:rPr>
            </w:pPr>
            <w:r w:rsidRPr="006124A7">
              <w:rPr>
                <w:rFonts w:ascii="Arial Narrow" w:hAnsi="Arial Narrow" w:cs="Times New Roman"/>
                <w:b/>
                <w:bCs/>
                <w:iCs/>
                <w:snapToGrid w:val="0"/>
                <w:sz w:val="20"/>
              </w:rPr>
              <w:t>Response rate, % (95% CI)</w:t>
            </w:r>
          </w:p>
        </w:tc>
      </w:tr>
      <w:tr w:rsidR="0073718A" w:rsidRPr="006124A7" w14:paraId="6867907B" w14:textId="77777777" w:rsidTr="0F1D33A4">
        <w:trPr>
          <w:trHeight w:val="20"/>
          <w:tblHeader/>
        </w:trPr>
        <w:tc>
          <w:tcPr>
            <w:tcW w:w="3692" w:type="pct"/>
            <w:tcBorders>
              <w:top w:val="single" w:sz="4" w:space="0" w:color="auto"/>
              <w:left w:val="single" w:sz="4" w:space="0" w:color="auto"/>
              <w:bottom w:val="single" w:sz="4" w:space="0" w:color="auto"/>
              <w:right w:val="single" w:sz="4" w:space="0" w:color="auto"/>
            </w:tcBorders>
            <w:shd w:val="clear" w:color="auto" w:fill="auto"/>
            <w:vAlign w:val="center"/>
          </w:tcPr>
          <w:p w14:paraId="76B801BD" w14:textId="77777777" w:rsidR="0073718A" w:rsidRPr="006124A7" w:rsidRDefault="0073718A" w:rsidP="0073718A">
            <w:pPr>
              <w:jc w:val="left"/>
              <w:rPr>
                <w:rFonts w:ascii="Arial Narrow" w:hAnsi="Arial Narrow" w:cs="Times New Roman"/>
                <w:b/>
                <w:bCs/>
                <w:iCs/>
                <w:snapToGrid w:val="0"/>
                <w:sz w:val="20"/>
              </w:rPr>
            </w:pPr>
            <w:r w:rsidRPr="006124A7">
              <w:rPr>
                <w:rFonts w:ascii="Arial Narrow" w:hAnsi="Arial Narrow" w:cs="Times New Roman"/>
                <w:b/>
                <w:bCs/>
                <w:iCs/>
                <w:snapToGrid w:val="0"/>
                <w:sz w:val="20"/>
              </w:rPr>
              <w:t>RESPONSE (at Week 224)</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0C27A813" w14:textId="77777777" w:rsidR="0073718A" w:rsidRPr="006124A7" w:rsidRDefault="0073718A" w:rsidP="0910F2D2">
            <w:pPr>
              <w:jc w:val="center"/>
              <w:rPr>
                <w:rFonts w:ascii="Arial Narrow" w:hAnsi="Arial Narrow" w:cs="Times New Roman"/>
                <w:b/>
                <w:bCs/>
                <w:snapToGrid w:val="0"/>
                <w:sz w:val="20"/>
                <w:szCs w:val="20"/>
              </w:rPr>
            </w:pPr>
            <w:r w:rsidRPr="0910F2D2">
              <w:rPr>
                <w:rFonts w:ascii="Arial Narrow" w:hAnsi="Arial Narrow" w:cs="Times New Roman"/>
                <w:b/>
                <w:bCs/>
                <w:snapToGrid w:val="0"/>
                <w:sz w:val="20"/>
                <w:szCs w:val="20"/>
              </w:rPr>
              <w:t>Ruxolitinib (N=110)</w:t>
            </w:r>
          </w:p>
        </w:tc>
      </w:tr>
      <w:tr w:rsidR="0073718A" w:rsidRPr="006124A7" w14:paraId="78919EF3" w14:textId="77777777" w:rsidTr="0F1D33A4">
        <w:trPr>
          <w:trHeight w:val="20"/>
        </w:trPr>
        <w:tc>
          <w:tcPr>
            <w:tcW w:w="3692" w:type="pct"/>
            <w:tcBorders>
              <w:top w:val="single" w:sz="4" w:space="0" w:color="auto"/>
              <w:left w:val="single" w:sz="4" w:space="0" w:color="auto"/>
              <w:right w:val="single" w:sz="4" w:space="0" w:color="auto"/>
            </w:tcBorders>
            <w:vAlign w:val="center"/>
            <w:hideMark/>
          </w:tcPr>
          <w:p w14:paraId="681EA5A2" w14:textId="77777777" w:rsidR="0073718A" w:rsidRPr="006124A7" w:rsidRDefault="0073718A" w:rsidP="0073718A">
            <w:pPr>
              <w:jc w:val="left"/>
              <w:rPr>
                <w:rFonts w:ascii="Arial Narrow" w:hAnsi="Arial Narrow" w:cs="Times New Roman"/>
                <w:iCs/>
                <w:snapToGrid w:val="0"/>
                <w:sz w:val="20"/>
              </w:rPr>
            </w:pPr>
            <w:r w:rsidRPr="006124A7">
              <w:rPr>
                <w:rFonts w:ascii="Arial Narrow" w:hAnsi="Arial Narrow" w:cs="Times New Roman"/>
                <w:iCs/>
                <w:snapToGrid w:val="0"/>
                <w:sz w:val="20"/>
              </w:rPr>
              <w:t xml:space="preserve">Primary composite outcome (spleen + HCT) </w:t>
            </w:r>
          </w:p>
        </w:tc>
        <w:tc>
          <w:tcPr>
            <w:tcW w:w="1308" w:type="pct"/>
            <w:tcBorders>
              <w:top w:val="single" w:sz="4" w:space="0" w:color="auto"/>
              <w:left w:val="single" w:sz="4" w:space="0" w:color="auto"/>
              <w:right w:val="single" w:sz="4" w:space="0" w:color="auto"/>
            </w:tcBorders>
            <w:vAlign w:val="center"/>
            <w:hideMark/>
          </w:tcPr>
          <w:p w14:paraId="7AC527B7" w14:textId="77777777" w:rsidR="0073718A" w:rsidRPr="006124A7" w:rsidRDefault="0073718A" w:rsidP="0073718A">
            <w:pPr>
              <w:jc w:val="center"/>
              <w:rPr>
                <w:rFonts w:ascii="Arial Narrow" w:hAnsi="Arial Narrow" w:cs="Times New Roman"/>
                <w:iCs/>
                <w:snapToGrid w:val="0"/>
                <w:sz w:val="20"/>
              </w:rPr>
            </w:pPr>
            <w:r w:rsidRPr="006124A7">
              <w:rPr>
                <w:rFonts w:ascii="Arial Narrow" w:hAnsi="Arial Narrow" w:cs="Times New Roman"/>
                <w:iCs/>
                <w:snapToGrid w:val="0"/>
                <w:sz w:val="20"/>
              </w:rPr>
              <w:t>74 (51, 88)</w:t>
            </w:r>
          </w:p>
        </w:tc>
      </w:tr>
      <w:tr w:rsidR="0073718A" w:rsidRPr="006124A7" w14:paraId="68B02D8E" w14:textId="77777777" w:rsidTr="0F1D33A4">
        <w:trPr>
          <w:trHeight w:val="20"/>
        </w:trPr>
        <w:tc>
          <w:tcPr>
            <w:tcW w:w="3692" w:type="pct"/>
            <w:tcBorders>
              <w:top w:val="single" w:sz="4" w:space="0" w:color="auto"/>
              <w:left w:val="single" w:sz="4" w:space="0" w:color="auto"/>
              <w:bottom w:val="single" w:sz="4" w:space="0" w:color="auto"/>
              <w:right w:val="single" w:sz="4" w:space="0" w:color="auto"/>
            </w:tcBorders>
            <w:vAlign w:val="center"/>
          </w:tcPr>
          <w:p w14:paraId="058BB9B5" w14:textId="77777777" w:rsidR="0073718A" w:rsidRPr="006124A7" w:rsidRDefault="0073718A" w:rsidP="0073718A">
            <w:pPr>
              <w:jc w:val="left"/>
              <w:rPr>
                <w:rFonts w:ascii="Arial Narrow" w:hAnsi="Arial Narrow" w:cs="Times New Roman"/>
                <w:iCs/>
                <w:snapToGrid w:val="0"/>
                <w:sz w:val="20"/>
              </w:rPr>
            </w:pPr>
            <w:r w:rsidRPr="006124A7">
              <w:rPr>
                <w:rFonts w:ascii="Arial Narrow" w:hAnsi="Arial Narrow" w:cs="Times New Roman"/>
                <w:iCs/>
                <w:snapToGrid w:val="0"/>
                <w:sz w:val="20"/>
              </w:rPr>
              <w:t>≥35% spleen volume reduction</w:t>
            </w:r>
          </w:p>
        </w:tc>
        <w:tc>
          <w:tcPr>
            <w:tcW w:w="1308" w:type="pct"/>
            <w:tcBorders>
              <w:top w:val="single" w:sz="4" w:space="0" w:color="auto"/>
              <w:left w:val="single" w:sz="4" w:space="0" w:color="auto"/>
              <w:bottom w:val="single" w:sz="4" w:space="0" w:color="auto"/>
              <w:right w:val="single" w:sz="4" w:space="0" w:color="auto"/>
            </w:tcBorders>
            <w:vAlign w:val="center"/>
          </w:tcPr>
          <w:p w14:paraId="5C5FF7BE" w14:textId="77777777" w:rsidR="0073718A" w:rsidRPr="006124A7" w:rsidRDefault="0073718A" w:rsidP="0073718A">
            <w:pPr>
              <w:jc w:val="center"/>
              <w:rPr>
                <w:rFonts w:ascii="Arial Narrow" w:hAnsi="Arial Narrow" w:cs="Times New Roman"/>
                <w:iCs/>
                <w:snapToGrid w:val="0"/>
                <w:sz w:val="20"/>
              </w:rPr>
            </w:pPr>
            <w:r w:rsidRPr="006124A7">
              <w:rPr>
                <w:rFonts w:ascii="Arial Narrow" w:hAnsi="Arial Narrow" w:cs="Times New Roman"/>
                <w:iCs/>
                <w:snapToGrid w:val="0"/>
                <w:sz w:val="20"/>
              </w:rPr>
              <w:t>72 (34, 91)</w:t>
            </w:r>
          </w:p>
        </w:tc>
      </w:tr>
      <w:tr w:rsidR="0073718A" w:rsidRPr="006124A7" w14:paraId="28B1AEB0" w14:textId="77777777" w:rsidTr="0F1D33A4">
        <w:trPr>
          <w:trHeight w:val="20"/>
        </w:trPr>
        <w:tc>
          <w:tcPr>
            <w:tcW w:w="3692" w:type="pct"/>
            <w:tcBorders>
              <w:top w:val="single" w:sz="4" w:space="0" w:color="auto"/>
              <w:left w:val="single" w:sz="4" w:space="0" w:color="auto"/>
              <w:bottom w:val="single" w:sz="4" w:space="0" w:color="auto"/>
              <w:right w:val="single" w:sz="4" w:space="0" w:color="auto"/>
            </w:tcBorders>
            <w:vAlign w:val="center"/>
          </w:tcPr>
          <w:p w14:paraId="49D09240" w14:textId="77777777" w:rsidR="0073718A" w:rsidRPr="006124A7" w:rsidRDefault="0073718A" w:rsidP="0073718A">
            <w:pPr>
              <w:jc w:val="left"/>
              <w:rPr>
                <w:rFonts w:ascii="Arial Narrow" w:hAnsi="Arial Narrow" w:cs="Times New Roman"/>
                <w:iCs/>
                <w:snapToGrid w:val="0"/>
                <w:sz w:val="20"/>
              </w:rPr>
            </w:pPr>
            <w:r w:rsidRPr="006124A7">
              <w:rPr>
                <w:rFonts w:ascii="Arial Narrow" w:hAnsi="Arial Narrow" w:cs="Times New Roman"/>
                <w:iCs/>
                <w:snapToGrid w:val="0"/>
                <w:sz w:val="20"/>
              </w:rPr>
              <w:t>HCT &lt;45%</w:t>
            </w:r>
          </w:p>
        </w:tc>
        <w:tc>
          <w:tcPr>
            <w:tcW w:w="1308" w:type="pct"/>
            <w:tcBorders>
              <w:top w:val="single" w:sz="4" w:space="0" w:color="auto"/>
              <w:left w:val="single" w:sz="4" w:space="0" w:color="auto"/>
              <w:bottom w:val="single" w:sz="4" w:space="0" w:color="auto"/>
              <w:right w:val="single" w:sz="4" w:space="0" w:color="auto"/>
            </w:tcBorders>
            <w:vAlign w:val="center"/>
          </w:tcPr>
          <w:p w14:paraId="61879024" w14:textId="77777777" w:rsidR="0073718A" w:rsidRPr="006124A7" w:rsidRDefault="0073718A" w:rsidP="0073718A">
            <w:pPr>
              <w:jc w:val="center"/>
              <w:rPr>
                <w:rFonts w:ascii="Arial Narrow" w:hAnsi="Arial Narrow" w:cs="Times New Roman"/>
                <w:iCs/>
                <w:snapToGrid w:val="0"/>
                <w:sz w:val="20"/>
              </w:rPr>
            </w:pPr>
            <w:r w:rsidRPr="006124A7">
              <w:rPr>
                <w:rFonts w:ascii="Arial Narrow" w:hAnsi="Arial Narrow" w:cs="Times New Roman"/>
                <w:iCs/>
                <w:snapToGrid w:val="0"/>
                <w:sz w:val="20"/>
              </w:rPr>
              <w:t>73 (60, 83)</w:t>
            </w:r>
          </w:p>
        </w:tc>
      </w:tr>
      <w:tr w:rsidR="0073718A" w:rsidRPr="006124A7" w14:paraId="1F62742A" w14:textId="77777777" w:rsidTr="0F1D33A4">
        <w:trPr>
          <w:trHeight w:val="20"/>
        </w:trPr>
        <w:tc>
          <w:tcPr>
            <w:tcW w:w="3692" w:type="pct"/>
            <w:tcBorders>
              <w:top w:val="single" w:sz="4" w:space="0" w:color="auto"/>
              <w:left w:val="single" w:sz="4" w:space="0" w:color="auto"/>
              <w:bottom w:val="single" w:sz="4" w:space="0" w:color="auto"/>
              <w:right w:val="single" w:sz="4" w:space="0" w:color="auto"/>
            </w:tcBorders>
            <w:vAlign w:val="center"/>
          </w:tcPr>
          <w:p w14:paraId="43876835" w14:textId="77777777" w:rsidR="0073718A" w:rsidRPr="006124A7" w:rsidRDefault="0073718A" w:rsidP="0073718A">
            <w:pPr>
              <w:jc w:val="left"/>
              <w:rPr>
                <w:rFonts w:ascii="Arial Narrow" w:hAnsi="Arial Narrow" w:cs="Times New Roman"/>
                <w:iCs/>
                <w:snapToGrid w:val="0"/>
                <w:sz w:val="20"/>
              </w:rPr>
            </w:pPr>
            <w:r w:rsidRPr="006124A7">
              <w:rPr>
                <w:rFonts w:ascii="Arial Narrow" w:hAnsi="Arial Narrow" w:cs="Times New Roman"/>
                <w:iCs/>
                <w:snapToGrid w:val="0"/>
                <w:sz w:val="20"/>
              </w:rPr>
              <w:t>Complete haematological remission</w:t>
            </w:r>
          </w:p>
        </w:tc>
        <w:tc>
          <w:tcPr>
            <w:tcW w:w="1308" w:type="pct"/>
            <w:tcBorders>
              <w:top w:val="single" w:sz="4" w:space="0" w:color="auto"/>
              <w:left w:val="single" w:sz="4" w:space="0" w:color="auto"/>
              <w:bottom w:val="single" w:sz="4" w:space="0" w:color="auto"/>
              <w:right w:val="single" w:sz="4" w:space="0" w:color="auto"/>
            </w:tcBorders>
            <w:vAlign w:val="center"/>
          </w:tcPr>
          <w:p w14:paraId="3CB5A407" w14:textId="77777777" w:rsidR="0073718A" w:rsidRPr="006124A7" w:rsidRDefault="0073718A" w:rsidP="0073718A">
            <w:pPr>
              <w:jc w:val="center"/>
              <w:rPr>
                <w:rFonts w:ascii="Arial Narrow" w:hAnsi="Arial Narrow" w:cs="Times New Roman"/>
                <w:iCs/>
                <w:snapToGrid w:val="0"/>
                <w:sz w:val="20"/>
              </w:rPr>
            </w:pPr>
            <w:r w:rsidRPr="006124A7">
              <w:rPr>
                <w:rFonts w:ascii="Arial Narrow" w:hAnsi="Arial Narrow" w:cs="Times New Roman"/>
                <w:iCs/>
                <w:snapToGrid w:val="0"/>
                <w:sz w:val="20"/>
              </w:rPr>
              <w:t>55 (32, 73)</w:t>
            </w:r>
          </w:p>
        </w:tc>
      </w:tr>
      <w:tr w:rsidR="0073718A" w:rsidRPr="006124A7" w14:paraId="47BE2EAF" w14:textId="77777777" w:rsidTr="0F1D33A4">
        <w:trPr>
          <w:trHeight w:val="20"/>
        </w:trPr>
        <w:tc>
          <w:tcPr>
            <w:tcW w:w="3692" w:type="pct"/>
            <w:tcBorders>
              <w:top w:val="single" w:sz="4" w:space="0" w:color="auto"/>
              <w:left w:val="single" w:sz="4" w:space="0" w:color="auto"/>
              <w:bottom w:val="single" w:sz="4" w:space="0" w:color="auto"/>
              <w:right w:val="single" w:sz="4" w:space="0" w:color="auto"/>
            </w:tcBorders>
            <w:vAlign w:val="center"/>
          </w:tcPr>
          <w:p w14:paraId="1F0F3E03" w14:textId="77777777" w:rsidR="0073718A" w:rsidRPr="006124A7" w:rsidRDefault="0073718A" w:rsidP="0F1D33A4">
            <w:pPr>
              <w:jc w:val="left"/>
              <w:rPr>
                <w:rFonts w:ascii="Arial Narrow" w:hAnsi="Arial Narrow" w:cs="Times New Roman"/>
                <w:snapToGrid w:val="0"/>
                <w:sz w:val="20"/>
                <w:szCs w:val="20"/>
              </w:rPr>
            </w:pPr>
            <w:r w:rsidRPr="0F1D33A4">
              <w:rPr>
                <w:rFonts w:ascii="Arial Narrow" w:hAnsi="Arial Narrow" w:cs="Times New Roman"/>
                <w:snapToGrid w:val="0"/>
                <w:sz w:val="20"/>
                <w:szCs w:val="20"/>
              </w:rPr>
              <w:t>Clinico-haematological response</w:t>
            </w:r>
          </w:p>
        </w:tc>
        <w:tc>
          <w:tcPr>
            <w:tcW w:w="1308" w:type="pct"/>
            <w:tcBorders>
              <w:top w:val="single" w:sz="4" w:space="0" w:color="auto"/>
              <w:left w:val="single" w:sz="4" w:space="0" w:color="auto"/>
              <w:bottom w:val="single" w:sz="4" w:space="0" w:color="auto"/>
              <w:right w:val="single" w:sz="4" w:space="0" w:color="auto"/>
            </w:tcBorders>
            <w:vAlign w:val="center"/>
          </w:tcPr>
          <w:p w14:paraId="26CAA8E5" w14:textId="77777777" w:rsidR="0073718A" w:rsidRPr="006124A7" w:rsidRDefault="0073718A" w:rsidP="0073718A">
            <w:pPr>
              <w:jc w:val="center"/>
              <w:rPr>
                <w:rFonts w:ascii="Arial Narrow" w:hAnsi="Arial Narrow" w:cs="Times New Roman"/>
                <w:iCs/>
                <w:snapToGrid w:val="0"/>
                <w:sz w:val="20"/>
              </w:rPr>
            </w:pPr>
            <w:r w:rsidRPr="006124A7">
              <w:rPr>
                <w:rFonts w:ascii="Arial Narrow" w:hAnsi="Arial Narrow" w:cs="Times New Roman"/>
                <w:iCs/>
                <w:snapToGrid w:val="0"/>
                <w:sz w:val="20"/>
              </w:rPr>
              <w:t>67 (54, 77)</w:t>
            </w:r>
          </w:p>
        </w:tc>
      </w:tr>
      <w:tr w:rsidR="0073718A" w:rsidRPr="006124A7" w14:paraId="05104F00" w14:textId="77777777" w:rsidTr="0F1D33A4">
        <w:trPr>
          <w:trHeight w:val="20"/>
        </w:trPr>
        <w:tc>
          <w:tcPr>
            <w:tcW w:w="3692" w:type="pct"/>
            <w:tcBorders>
              <w:top w:val="single" w:sz="4" w:space="0" w:color="auto"/>
              <w:left w:val="single" w:sz="4" w:space="0" w:color="auto"/>
              <w:bottom w:val="single" w:sz="4" w:space="0" w:color="auto"/>
              <w:right w:val="single" w:sz="4" w:space="0" w:color="auto"/>
            </w:tcBorders>
            <w:vAlign w:val="center"/>
          </w:tcPr>
          <w:p w14:paraId="6611D314" w14:textId="77777777" w:rsidR="0073718A" w:rsidRPr="006124A7" w:rsidRDefault="0073718A" w:rsidP="0073718A">
            <w:pPr>
              <w:jc w:val="left"/>
              <w:rPr>
                <w:rFonts w:ascii="Arial Narrow" w:hAnsi="Arial Narrow" w:cs="Times New Roman"/>
                <w:b/>
                <w:iCs/>
                <w:snapToGrid w:val="0"/>
                <w:sz w:val="20"/>
              </w:rPr>
            </w:pPr>
            <w:r w:rsidRPr="006124A7">
              <w:rPr>
                <w:rFonts w:ascii="Arial Narrow" w:hAnsi="Arial Narrow" w:cs="Times New Roman"/>
                <w:b/>
                <w:iCs/>
                <w:snapToGrid w:val="0"/>
                <w:sz w:val="20"/>
              </w:rPr>
              <w:t>RESPONSE-2 (at Week 260)</w:t>
            </w:r>
          </w:p>
        </w:tc>
        <w:tc>
          <w:tcPr>
            <w:tcW w:w="1308" w:type="pct"/>
            <w:tcBorders>
              <w:top w:val="single" w:sz="4" w:space="0" w:color="auto"/>
              <w:left w:val="single" w:sz="4" w:space="0" w:color="auto"/>
              <w:bottom w:val="single" w:sz="4" w:space="0" w:color="auto"/>
              <w:right w:val="single" w:sz="4" w:space="0" w:color="auto"/>
            </w:tcBorders>
            <w:vAlign w:val="center"/>
          </w:tcPr>
          <w:p w14:paraId="54DB887F" w14:textId="77777777" w:rsidR="0073718A" w:rsidRPr="006124A7" w:rsidRDefault="0073718A" w:rsidP="0910F2D2">
            <w:pPr>
              <w:jc w:val="center"/>
              <w:rPr>
                <w:rFonts w:ascii="Arial Narrow" w:hAnsi="Arial Narrow" w:cs="Times New Roman"/>
                <w:snapToGrid w:val="0"/>
                <w:sz w:val="20"/>
                <w:szCs w:val="20"/>
              </w:rPr>
            </w:pPr>
            <w:r w:rsidRPr="0910F2D2">
              <w:rPr>
                <w:rFonts w:ascii="Arial Narrow" w:hAnsi="Arial Narrow" w:cs="Times New Roman"/>
                <w:b/>
                <w:bCs/>
                <w:snapToGrid w:val="0"/>
                <w:sz w:val="20"/>
                <w:szCs w:val="20"/>
              </w:rPr>
              <w:t>Ruxolitinib (N=74)</w:t>
            </w:r>
          </w:p>
        </w:tc>
      </w:tr>
      <w:tr w:rsidR="0073718A" w:rsidRPr="006124A7" w14:paraId="3750FB12" w14:textId="77777777" w:rsidTr="0F1D33A4">
        <w:trPr>
          <w:trHeight w:val="20"/>
        </w:trPr>
        <w:tc>
          <w:tcPr>
            <w:tcW w:w="3692" w:type="pct"/>
            <w:tcBorders>
              <w:top w:val="single" w:sz="4" w:space="0" w:color="auto"/>
              <w:left w:val="single" w:sz="4" w:space="0" w:color="auto"/>
              <w:bottom w:val="single" w:sz="4" w:space="0" w:color="auto"/>
              <w:right w:val="single" w:sz="4" w:space="0" w:color="auto"/>
            </w:tcBorders>
            <w:vAlign w:val="center"/>
          </w:tcPr>
          <w:p w14:paraId="5DB364D3" w14:textId="77777777" w:rsidR="0073718A" w:rsidRPr="006124A7" w:rsidRDefault="0073718A" w:rsidP="0073718A">
            <w:pPr>
              <w:jc w:val="left"/>
              <w:rPr>
                <w:rFonts w:ascii="Arial Narrow" w:hAnsi="Arial Narrow" w:cs="Times New Roman"/>
                <w:iCs/>
                <w:snapToGrid w:val="0"/>
                <w:sz w:val="20"/>
              </w:rPr>
            </w:pPr>
            <w:r w:rsidRPr="006124A7">
              <w:rPr>
                <w:rFonts w:ascii="Arial Narrow" w:hAnsi="Arial Narrow" w:cs="Times New Roman"/>
                <w:iCs/>
                <w:snapToGrid w:val="0"/>
                <w:sz w:val="20"/>
              </w:rPr>
              <w:t>HCT &lt;45%</w:t>
            </w:r>
          </w:p>
        </w:tc>
        <w:tc>
          <w:tcPr>
            <w:tcW w:w="1308" w:type="pct"/>
            <w:tcBorders>
              <w:top w:val="single" w:sz="4" w:space="0" w:color="auto"/>
              <w:left w:val="single" w:sz="4" w:space="0" w:color="auto"/>
              <w:bottom w:val="single" w:sz="4" w:space="0" w:color="auto"/>
              <w:right w:val="single" w:sz="4" w:space="0" w:color="auto"/>
            </w:tcBorders>
            <w:vAlign w:val="center"/>
          </w:tcPr>
          <w:p w14:paraId="462FEAD6" w14:textId="77777777" w:rsidR="0073718A" w:rsidRPr="006124A7" w:rsidRDefault="0073718A" w:rsidP="0073718A">
            <w:pPr>
              <w:jc w:val="center"/>
              <w:rPr>
                <w:rFonts w:ascii="Arial Narrow" w:hAnsi="Arial Narrow" w:cs="Times New Roman"/>
                <w:bCs/>
                <w:iCs/>
                <w:snapToGrid w:val="0"/>
                <w:sz w:val="20"/>
              </w:rPr>
            </w:pPr>
            <w:r w:rsidRPr="006124A7">
              <w:rPr>
                <w:rFonts w:ascii="Arial Narrow" w:hAnsi="Arial Narrow" w:cs="Times New Roman"/>
                <w:bCs/>
                <w:iCs/>
                <w:snapToGrid w:val="0"/>
                <w:sz w:val="20"/>
              </w:rPr>
              <w:t>22 (13, 33)</w:t>
            </w:r>
          </w:p>
        </w:tc>
      </w:tr>
      <w:tr w:rsidR="0073718A" w:rsidRPr="006124A7" w14:paraId="43D5AC02" w14:textId="77777777" w:rsidTr="0F1D33A4">
        <w:trPr>
          <w:trHeight w:val="20"/>
        </w:trPr>
        <w:tc>
          <w:tcPr>
            <w:tcW w:w="3692" w:type="pct"/>
            <w:tcBorders>
              <w:top w:val="single" w:sz="4" w:space="0" w:color="auto"/>
              <w:left w:val="single" w:sz="4" w:space="0" w:color="auto"/>
              <w:bottom w:val="single" w:sz="4" w:space="0" w:color="auto"/>
              <w:right w:val="single" w:sz="4" w:space="0" w:color="auto"/>
            </w:tcBorders>
            <w:vAlign w:val="center"/>
          </w:tcPr>
          <w:p w14:paraId="38BCA786" w14:textId="77777777" w:rsidR="0073718A" w:rsidRPr="006124A7" w:rsidRDefault="0073718A" w:rsidP="0073718A">
            <w:pPr>
              <w:jc w:val="left"/>
              <w:rPr>
                <w:rFonts w:ascii="Arial Narrow" w:hAnsi="Arial Narrow" w:cs="Times New Roman"/>
                <w:iCs/>
                <w:snapToGrid w:val="0"/>
                <w:sz w:val="20"/>
              </w:rPr>
            </w:pPr>
            <w:r w:rsidRPr="006124A7">
              <w:rPr>
                <w:rFonts w:ascii="Arial Narrow" w:hAnsi="Arial Narrow" w:cs="Times New Roman"/>
                <w:iCs/>
                <w:snapToGrid w:val="0"/>
                <w:sz w:val="20"/>
              </w:rPr>
              <w:t>Complete haematological remission</w:t>
            </w:r>
          </w:p>
        </w:tc>
        <w:tc>
          <w:tcPr>
            <w:tcW w:w="1308" w:type="pct"/>
            <w:tcBorders>
              <w:top w:val="single" w:sz="4" w:space="0" w:color="auto"/>
              <w:left w:val="single" w:sz="4" w:space="0" w:color="auto"/>
              <w:bottom w:val="single" w:sz="4" w:space="0" w:color="auto"/>
              <w:right w:val="single" w:sz="4" w:space="0" w:color="auto"/>
            </w:tcBorders>
            <w:vAlign w:val="center"/>
          </w:tcPr>
          <w:p w14:paraId="38738C2F" w14:textId="77777777" w:rsidR="0073718A" w:rsidRPr="006124A7" w:rsidRDefault="0073718A" w:rsidP="0073718A">
            <w:pPr>
              <w:jc w:val="center"/>
              <w:rPr>
                <w:rFonts w:ascii="Arial Narrow" w:hAnsi="Arial Narrow" w:cs="Times New Roman"/>
                <w:bCs/>
                <w:iCs/>
                <w:snapToGrid w:val="0"/>
                <w:sz w:val="20"/>
              </w:rPr>
            </w:pPr>
            <w:r w:rsidRPr="006124A7">
              <w:rPr>
                <w:rFonts w:ascii="Arial Narrow" w:hAnsi="Arial Narrow" w:cs="Times New Roman"/>
                <w:bCs/>
                <w:iCs/>
                <w:snapToGrid w:val="0"/>
                <w:sz w:val="20"/>
              </w:rPr>
              <w:t>12 (6, 22)</w:t>
            </w:r>
          </w:p>
        </w:tc>
      </w:tr>
    </w:tbl>
    <w:p w14:paraId="7734A6C2" w14:textId="5903D8B9" w:rsidR="0073718A" w:rsidRPr="006124A7" w:rsidRDefault="0073718A" w:rsidP="0F1D33A4">
      <w:pPr>
        <w:rPr>
          <w:rFonts w:ascii="Arial Narrow" w:hAnsi="Arial Narrow"/>
          <w:sz w:val="18"/>
          <w:szCs w:val="18"/>
        </w:rPr>
      </w:pPr>
      <w:r w:rsidRPr="0F1D33A4">
        <w:rPr>
          <w:rFonts w:ascii="Arial Narrow" w:hAnsi="Arial Narrow"/>
          <w:sz w:val="18"/>
          <w:szCs w:val="18"/>
        </w:rPr>
        <w:t xml:space="preserve">Source: </w:t>
      </w:r>
      <w:r w:rsidRPr="0F1D33A4">
        <w:rPr>
          <w:rFonts w:ascii="Arial Narrow" w:eastAsia="SimSun" w:hAnsi="Arial Narrow"/>
          <w:sz w:val="18"/>
          <w:szCs w:val="18"/>
        </w:rPr>
        <w:t>Sections 2.5.1.2 and 2.5.1.3 of resubmission, Kiladjan et al.</w:t>
      </w:r>
      <w:r w:rsidR="000D2D7F" w:rsidRPr="0F1D33A4">
        <w:rPr>
          <w:rFonts w:ascii="Arial Narrow" w:eastAsia="SimSun" w:hAnsi="Arial Narrow"/>
          <w:sz w:val="18"/>
          <w:szCs w:val="18"/>
        </w:rPr>
        <w:t>,</w:t>
      </w:r>
      <w:r w:rsidRPr="0F1D33A4">
        <w:rPr>
          <w:rFonts w:ascii="Arial Narrow" w:eastAsia="SimSun" w:hAnsi="Arial Narrow"/>
          <w:sz w:val="18"/>
          <w:szCs w:val="18"/>
        </w:rPr>
        <w:t xml:space="preserve"> 2020 and Passamonti et al.</w:t>
      </w:r>
      <w:r w:rsidR="000D2D7F" w:rsidRPr="0F1D33A4">
        <w:rPr>
          <w:rFonts w:ascii="Arial Narrow" w:eastAsia="SimSun" w:hAnsi="Arial Narrow"/>
          <w:sz w:val="18"/>
          <w:szCs w:val="18"/>
        </w:rPr>
        <w:t>,</w:t>
      </w:r>
      <w:r w:rsidRPr="0F1D33A4">
        <w:rPr>
          <w:rFonts w:ascii="Arial Narrow" w:eastAsia="SimSun" w:hAnsi="Arial Narrow"/>
          <w:sz w:val="18"/>
          <w:szCs w:val="18"/>
        </w:rPr>
        <w:t xml:space="preserve"> 2022.</w:t>
      </w:r>
    </w:p>
    <w:p w14:paraId="39EE5F1B" w14:textId="77777777" w:rsidR="0073718A" w:rsidRPr="006124A7" w:rsidRDefault="0073718A" w:rsidP="0073718A">
      <w:pPr>
        <w:rPr>
          <w:rFonts w:ascii="Arial Narrow" w:eastAsia="SimSun" w:hAnsi="Arial Narrow"/>
          <w:iCs/>
          <w:sz w:val="18"/>
        </w:rPr>
      </w:pPr>
      <w:r w:rsidRPr="006124A7">
        <w:rPr>
          <w:rFonts w:ascii="Arial Narrow" w:eastAsia="SimSun" w:hAnsi="Arial Narrow"/>
          <w:iCs/>
          <w:sz w:val="18"/>
        </w:rPr>
        <w:t>Abbreviations: CI, confidence interval; HCT, Haematocrit control.</w:t>
      </w:r>
    </w:p>
    <w:p w14:paraId="08C367C1" w14:textId="403DB705" w:rsidR="0073718A" w:rsidRPr="006124A7" w:rsidRDefault="0073718A" w:rsidP="0073718A">
      <w:pPr>
        <w:pStyle w:val="3-BodyText"/>
      </w:pPr>
      <w:r w:rsidRPr="0F1D33A4">
        <w:t>The 5-year follow up results indicate that a large proportion (over 55%) of patients treated with ruxolitinib maintained response by Week 224 in RESPONSE trial. However, a small</w:t>
      </w:r>
      <w:r w:rsidR="009D6A40" w:rsidRPr="0F1D33A4">
        <w:t>er</w:t>
      </w:r>
      <w:r w:rsidRPr="0F1D33A4">
        <w:t xml:space="preserve"> proportion of patients (</w:t>
      </w:r>
      <w:r w:rsidR="00084648" w:rsidRPr="0F1D33A4">
        <w:t>12-</w:t>
      </w:r>
      <w:r w:rsidR="00482381" w:rsidRPr="0F1D33A4">
        <w:t>22%</w:t>
      </w:r>
      <w:r w:rsidRPr="0F1D33A4">
        <w:t>) maintained response by Week 260 in the RESPONSE-2 trial. This suggests that PV patients with splenomegaly (included in RESPONSE) may have a better sustained response than those without splenomegaly (included in RESPONSE-2) in the long term. Overall, there is no comparative evidence to suggest any differences in response between patients treated with ruxolitinib and BAT in the RESPONSE trials after week 80.</w:t>
      </w:r>
    </w:p>
    <w:p w14:paraId="61CFE411" w14:textId="2BD66CAA" w:rsidR="0073718A" w:rsidRPr="006124A7" w:rsidRDefault="0073718A" w:rsidP="0073718A">
      <w:pPr>
        <w:pStyle w:val="3-BodyText"/>
      </w:pPr>
      <w:r w:rsidRPr="0F1D33A4">
        <w:t xml:space="preserve">No statistically significant differences in OS were observed between the treatment arms in RESPONSE and RESPONSE-2 trials. This aligns with results from MAJIC trial (para </w:t>
      </w:r>
      <w:r w:rsidRPr="006124A7">
        <w:rPr>
          <w:iCs/>
        </w:rPr>
        <w:fldChar w:fldCharType="begin" w:fldLock="1"/>
      </w:r>
      <w:r w:rsidRPr="006124A7">
        <w:rPr>
          <w:iCs/>
        </w:rPr>
        <w:instrText xml:space="preserve"> REF _Ref184970556 \n \h </w:instrText>
      </w:r>
      <w:r w:rsidR="006124A7" w:rsidRPr="006124A7">
        <w:rPr>
          <w:iCs/>
        </w:rPr>
        <w:instrText xml:space="preserve"> \* MERGEFORMAT </w:instrText>
      </w:r>
      <w:r w:rsidRPr="006124A7">
        <w:rPr>
          <w:iCs/>
        </w:rPr>
      </w:r>
      <w:r w:rsidRPr="006124A7">
        <w:rPr>
          <w:iCs/>
        </w:rPr>
        <w:fldChar w:fldCharType="separate"/>
      </w:r>
      <w:r w:rsidR="0072202A" w:rsidRPr="0072202A">
        <w:t>6.26</w:t>
      </w:r>
      <w:r w:rsidRPr="006124A7">
        <w:rPr>
          <w:iCs/>
        </w:rPr>
        <w:fldChar w:fldCharType="end"/>
      </w:r>
      <w:r w:rsidRPr="0F1D33A4">
        <w:t>).</w:t>
      </w:r>
      <w:r w:rsidR="00F87B86">
        <w:t xml:space="preserve"> </w:t>
      </w:r>
    </w:p>
    <w:p w14:paraId="7F6D3E5B" w14:textId="41590C51" w:rsidR="0073718A" w:rsidRPr="006124A7" w:rsidRDefault="0073718A" w:rsidP="0073718A">
      <w:pPr>
        <w:pStyle w:val="3-BodyText"/>
      </w:pPr>
      <w:r w:rsidRPr="0F1D33A4">
        <w:t xml:space="preserve">The KM curves of EFS in </w:t>
      </w:r>
      <w:r w:rsidR="000302E6" w:rsidRPr="0F1D33A4">
        <w:t xml:space="preserve">the </w:t>
      </w:r>
      <w:r w:rsidRPr="0F1D33A4">
        <w:t xml:space="preserve">RESPONSE 2 trial </w:t>
      </w:r>
      <w:r w:rsidR="000302E6" w:rsidRPr="0F1D33A4">
        <w:t>are</w:t>
      </w:r>
      <w:r w:rsidRPr="0F1D33A4">
        <w:t xml:space="preserve"> presented in </w:t>
      </w:r>
      <w:r w:rsidR="001B14D2" w:rsidRPr="006124A7">
        <w:rPr>
          <w:iCs/>
        </w:rPr>
        <w:fldChar w:fldCharType="begin" w:fldLock="1"/>
      </w:r>
      <w:r w:rsidR="001B14D2" w:rsidRPr="006124A7">
        <w:rPr>
          <w:iCs/>
        </w:rPr>
        <w:instrText xml:space="preserve"> REF _Ref186377138 \h  \* MERGEFORMAT </w:instrText>
      </w:r>
      <w:r w:rsidR="001B14D2" w:rsidRPr="006124A7">
        <w:rPr>
          <w:iCs/>
        </w:rPr>
      </w:r>
      <w:r w:rsidR="001B14D2" w:rsidRPr="006124A7">
        <w:rPr>
          <w:iCs/>
        </w:rPr>
        <w:fldChar w:fldCharType="separate"/>
      </w:r>
      <w:r w:rsidR="0096555B" w:rsidRPr="0F1D33A4">
        <w:t>Figure 6</w:t>
      </w:r>
      <w:r w:rsidR="001B14D2" w:rsidRPr="006124A7">
        <w:rPr>
          <w:iCs/>
        </w:rPr>
        <w:fldChar w:fldCharType="end"/>
      </w:r>
      <w:r w:rsidRPr="0F1D33A4">
        <w:t>.</w:t>
      </w:r>
      <w:r w:rsidRPr="0F1D33A4" w:rsidDel="004907D8">
        <w:t xml:space="preserve"> </w:t>
      </w:r>
      <w:r w:rsidRPr="0F1D33A4">
        <w:t>EFS was not analysed in the RESPONSE trial. Rates of transformation to MF and AML for RESPONSE trial were presented as description only in Kiladjian et al.</w:t>
      </w:r>
      <w:r w:rsidR="000D2D7F" w:rsidRPr="0F1D33A4">
        <w:t>,</w:t>
      </w:r>
      <w:r w:rsidRPr="0F1D33A4">
        <w:t xml:space="preserve"> 2020.</w:t>
      </w:r>
    </w:p>
    <w:p w14:paraId="1CFE35A0" w14:textId="605C9F41" w:rsidR="0073718A" w:rsidRPr="006124A7" w:rsidRDefault="0073718A" w:rsidP="0073718A">
      <w:pPr>
        <w:keepNext/>
        <w:keepLines/>
        <w:rPr>
          <w:rFonts w:ascii="Arial Narrow" w:hAnsi="Arial Narrow"/>
          <w:b/>
          <w:bCs/>
          <w:iCs/>
          <w:sz w:val="20"/>
          <w:szCs w:val="18"/>
        </w:rPr>
      </w:pPr>
      <w:bookmarkStart w:id="58" w:name="_Ref186377138"/>
      <w:r w:rsidRPr="006124A7">
        <w:rPr>
          <w:rFonts w:ascii="Arial Narrow" w:hAnsi="Arial Narrow"/>
          <w:b/>
          <w:bCs/>
          <w:iCs/>
          <w:sz w:val="20"/>
          <w:szCs w:val="18"/>
        </w:rPr>
        <w:lastRenderedPageBreak/>
        <w:t xml:space="preserve">Figure </w:t>
      </w:r>
      <w:r w:rsidRPr="006124A7">
        <w:rPr>
          <w:rFonts w:ascii="Arial Narrow" w:hAnsi="Arial Narrow"/>
          <w:b/>
          <w:bCs/>
          <w:iCs/>
          <w:sz w:val="20"/>
          <w:szCs w:val="18"/>
        </w:rPr>
        <w:fldChar w:fldCharType="begin" w:fldLock="1"/>
      </w:r>
      <w:r w:rsidRPr="006124A7">
        <w:rPr>
          <w:rFonts w:ascii="Arial Narrow" w:hAnsi="Arial Narrow"/>
          <w:b/>
          <w:bCs/>
          <w:iCs/>
          <w:sz w:val="20"/>
          <w:szCs w:val="18"/>
        </w:rPr>
        <w:instrText xml:space="preserve"> SEQ Figure \* ARABIC </w:instrText>
      </w:r>
      <w:r w:rsidRPr="006124A7">
        <w:rPr>
          <w:rFonts w:ascii="Arial Narrow" w:hAnsi="Arial Narrow"/>
          <w:b/>
          <w:bCs/>
          <w:iCs/>
          <w:sz w:val="20"/>
          <w:szCs w:val="18"/>
        </w:rPr>
        <w:fldChar w:fldCharType="separate"/>
      </w:r>
      <w:r w:rsidR="0096555B" w:rsidRPr="006124A7">
        <w:rPr>
          <w:rFonts w:ascii="Arial Narrow" w:hAnsi="Arial Narrow"/>
          <w:b/>
          <w:bCs/>
          <w:iCs/>
          <w:noProof/>
          <w:sz w:val="20"/>
          <w:szCs w:val="18"/>
        </w:rPr>
        <w:t>6</w:t>
      </w:r>
      <w:r w:rsidRPr="006124A7">
        <w:rPr>
          <w:rFonts w:ascii="Arial Narrow" w:hAnsi="Arial Narrow"/>
          <w:b/>
          <w:bCs/>
          <w:iCs/>
          <w:noProof/>
          <w:sz w:val="20"/>
          <w:szCs w:val="18"/>
        </w:rPr>
        <w:fldChar w:fldCharType="end"/>
      </w:r>
      <w:bookmarkEnd w:id="58"/>
      <w:r w:rsidRPr="006124A7">
        <w:rPr>
          <w:rFonts w:ascii="Arial Narrow" w:hAnsi="Arial Narrow"/>
          <w:b/>
          <w:bCs/>
          <w:iCs/>
          <w:sz w:val="20"/>
          <w:szCs w:val="18"/>
        </w:rPr>
        <w:t>: Event-free survival in in the RESPONSE-2 trial (full set analysis)</w:t>
      </w:r>
    </w:p>
    <w:p w14:paraId="5F5C0BAC" w14:textId="77777777" w:rsidR="0073718A" w:rsidRPr="006124A7" w:rsidRDefault="0073718A" w:rsidP="0073718A">
      <w:pPr>
        <w:spacing w:before="60" w:after="60"/>
        <w:rPr>
          <w:rFonts w:asciiTheme="minorHAnsi" w:eastAsiaTheme="minorHAnsi" w:hAnsiTheme="minorHAnsi" w:cstheme="minorBidi"/>
          <w:iCs/>
          <w:szCs w:val="22"/>
        </w:rPr>
      </w:pPr>
      <w:r w:rsidRPr="006124A7">
        <w:rPr>
          <w:rFonts w:asciiTheme="minorHAnsi" w:eastAsiaTheme="minorHAnsi" w:hAnsiTheme="minorHAnsi" w:cstheme="minorBidi"/>
          <w:iCs/>
          <w:noProof/>
          <w:sz w:val="20"/>
          <w:szCs w:val="18"/>
        </w:rPr>
        <w:drawing>
          <wp:inline distT="0" distB="0" distL="0" distR="0" wp14:anchorId="25D5CF66" wp14:editId="23433405">
            <wp:extent cx="5194300" cy="2815799"/>
            <wp:effectExtent l="0" t="0" r="6350" b="3810"/>
            <wp:docPr id="36307875" name="Picture 1" descr="Figure 6: Event-free survival in in the RESPONSE-2 trial (full se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07875" name="Picture 1" descr="Figure 6: Event-free survival in in the RESPONSE-2 trial (full set analysis)"/>
                    <pic:cNvPicPr/>
                  </pic:nvPicPr>
                  <pic:blipFill>
                    <a:blip r:embed="rId19"/>
                    <a:stretch>
                      <a:fillRect/>
                    </a:stretch>
                  </pic:blipFill>
                  <pic:spPr>
                    <a:xfrm>
                      <a:off x="0" y="0"/>
                      <a:ext cx="5201026" cy="2819445"/>
                    </a:xfrm>
                    <a:prstGeom prst="rect">
                      <a:avLst/>
                    </a:prstGeom>
                  </pic:spPr>
                </pic:pic>
              </a:graphicData>
            </a:graphic>
          </wp:inline>
        </w:drawing>
      </w:r>
    </w:p>
    <w:p w14:paraId="6938A970" w14:textId="77777777" w:rsidR="0073718A" w:rsidRPr="006124A7" w:rsidRDefault="0073718A" w:rsidP="0073718A">
      <w:pPr>
        <w:keepLines/>
        <w:spacing w:after="120"/>
        <w:contextualSpacing/>
        <w:jc w:val="left"/>
        <w:rPr>
          <w:rFonts w:ascii="Arial Narrow" w:hAnsi="Arial Narrow"/>
          <w:iCs/>
          <w:snapToGrid w:val="0"/>
          <w:sz w:val="18"/>
          <w:szCs w:val="22"/>
        </w:rPr>
      </w:pPr>
      <w:r w:rsidRPr="006124A7">
        <w:rPr>
          <w:rFonts w:ascii="Arial Narrow" w:hAnsi="Arial Narrow"/>
          <w:iCs/>
          <w:snapToGrid w:val="0"/>
          <w:sz w:val="18"/>
          <w:szCs w:val="22"/>
        </w:rPr>
        <w:t>Source: Figure 2.38, p121 of resubmission.</w:t>
      </w:r>
    </w:p>
    <w:p w14:paraId="3DC9135E" w14:textId="77777777" w:rsidR="0073718A" w:rsidRPr="006124A7" w:rsidRDefault="0073718A" w:rsidP="0073718A">
      <w:pPr>
        <w:keepLines/>
        <w:spacing w:after="120"/>
        <w:contextualSpacing/>
        <w:jc w:val="left"/>
        <w:rPr>
          <w:rFonts w:ascii="Arial Narrow" w:hAnsi="Arial Narrow"/>
          <w:iCs/>
          <w:snapToGrid w:val="0"/>
          <w:sz w:val="18"/>
          <w:szCs w:val="22"/>
        </w:rPr>
      </w:pPr>
      <w:r w:rsidRPr="006124A7">
        <w:rPr>
          <w:rFonts w:ascii="Arial Narrow" w:hAnsi="Arial Narrow"/>
          <w:iCs/>
          <w:snapToGrid w:val="0"/>
          <w:sz w:val="18"/>
          <w:szCs w:val="22"/>
        </w:rPr>
        <w:t>Abbreviations: CI, confidence interval; NR, not reached.</w:t>
      </w:r>
    </w:p>
    <w:p w14:paraId="65F8C348" w14:textId="77777777" w:rsidR="0073718A" w:rsidRPr="006124A7" w:rsidRDefault="0073718A" w:rsidP="0073718A">
      <w:pPr>
        <w:keepLines/>
        <w:spacing w:after="120"/>
        <w:contextualSpacing/>
        <w:jc w:val="left"/>
        <w:rPr>
          <w:rFonts w:ascii="Arial Narrow" w:hAnsi="Arial Narrow"/>
          <w:iCs/>
          <w:snapToGrid w:val="0"/>
          <w:sz w:val="18"/>
          <w:szCs w:val="22"/>
        </w:rPr>
      </w:pPr>
      <w:r w:rsidRPr="006124A7">
        <w:rPr>
          <w:rFonts w:ascii="Arial Narrow" w:hAnsi="Arial Narrow"/>
          <w:iCs/>
          <w:snapToGrid w:val="0"/>
          <w:sz w:val="18"/>
          <w:szCs w:val="22"/>
        </w:rPr>
        <w:t>Note: Median follow-up for event free survival was 19.5 months (interquartile range (IQR): 7.5–60.8).</w:t>
      </w:r>
    </w:p>
    <w:p w14:paraId="13687B99" w14:textId="7AAB280D" w:rsidR="0073718A" w:rsidRPr="006124A7" w:rsidRDefault="0073718A" w:rsidP="0073718A">
      <w:pPr>
        <w:pStyle w:val="3-BodyText"/>
      </w:pPr>
      <w:r w:rsidRPr="0910F2D2">
        <w:t>In the RESPONSE-2 trial, of the 74 patients in the ruxolitinib group, 4 patients (5%) had an event of MF, AML, or death by week 260 (5 years), compared with 3 patients (4%) in the BAT group at Week 80. Median duration of EFS was not reached in the ruxolitinib, BAT, or crossover groups. Among patients in the ruxolitinib group, EFS at 260 weeks was 94% (95% CI: 85%</w:t>
      </w:r>
      <w:r w:rsidR="009F7D91">
        <w:t>,</w:t>
      </w:r>
      <w:r w:rsidRPr="0910F2D2">
        <w:t xml:space="preserve"> 98%). Patients in the BAT group at Week 80 were not eligible to enter the extended treatment period and hence EFS at 260 weeks was not assessed. In the RESPONSE trial, the rates of transformation to MF and AML (per 100 patient-years) at 5-year of follow up were 2.1 and 0.2 in the ruxolitinib group, 1.8 and 0.6 in the crossover population, and 1.4 and 0.0 in the BAT group, respectively. Overall, there was limited comparative evidence to suggest any difference in EFS or transformation between patients treated with ruxolitinib and BAT.</w:t>
      </w:r>
    </w:p>
    <w:p w14:paraId="043F669A" w14:textId="42F6C67C" w:rsidR="00F71435" w:rsidRPr="006124A7" w:rsidRDefault="00F71435" w:rsidP="00F71435">
      <w:pPr>
        <w:pStyle w:val="3-BodyText"/>
      </w:pPr>
      <w:r w:rsidRPr="0F1D33A4">
        <w:t xml:space="preserve">The number of </w:t>
      </w:r>
      <w:r w:rsidR="000D287B" w:rsidRPr="0F1D33A4">
        <w:t>venesections</w:t>
      </w:r>
      <w:r w:rsidRPr="0F1D33A4">
        <w:t xml:space="preserve"> were reported for the ruxolitinib arm in the RESPONSE trial and for both arms in the RESPONSE-2 trial. In RESPONSE, 78 (83%) of 94</w:t>
      </w:r>
      <w:r w:rsidR="001B411D" w:rsidRPr="0F1D33A4">
        <w:t xml:space="preserve"> of the evaluable</w:t>
      </w:r>
      <w:r w:rsidRPr="0F1D33A4">
        <w:t xml:space="preserve"> patients treated with ruxolitinib required no </w:t>
      </w:r>
      <w:r w:rsidR="000D287B" w:rsidRPr="0F1D33A4">
        <w:t>venesections</w:t>
      </w:r>
      <w:r w:rsidRPr="0F1D33A4">
        <w:t xml:space="preserve"> and only 6 (6%) patients needed three or more after week 80 up until the Week 256 visit. In </w:t>
      </w:r>
      <w:r w:rsidR="00060659" w:rsidRPr="0F1D33A4">
        <w:t>the</w:t>
      </w:r>
      <w:r w:rsidRPr="0F1D33A4">
        <w:t xml:space="preserve"> RESPONSE-2 trial, fewer </w:t>
      </w:r>
      <w:r w:rsidR="003A1560" w:rsidRPr="0F1D33A4">
        <w:t>venesections</w:t>
      </w:r>
      <w:r w:rsidRPr="0F1D33A4">
        <w:t xml:space="preserve"> from baseline were required in the ruxolitinib arm compared to BAT arm (36 vs 106, respectively) at Week 80 ( RESPONSE-2 CSR). </w:t>
      </w:r>
    </w:p>
    <w:p w14:paraId="777E99C3" w14:textId="0C40C9E8" w:rsidR="00D04CF2" w:rsidRPr="00D04CF2" w:rsidRDefault="0073718A" w:rsidP="00D04CF2">
      <w:pPr>
        <w:pStyle w:val="3-BodyText"/>
      </w:pPr>
      <w:r w:rsidRPr="0F1D33A4">
        <w:t xml:space="preserve">In </w:t>
      </w:r>
      <w:r w:rsidR="00AB4CB0" w:rsidRPr="0F1D33A4">
        <w:t xml:space="preserve">the </w:t>
      </w:r>
      <w:r w:rsidRPr="0F1D33A4">
        <w:t>RESPONSE and RESPONSE-2 trials, a Pruritus Symptom Impact Scale and the MPN-SAF TSS was used to assess the severity of the symptoms. In both trials, improvements in pruritus were reported by a higher proportion of patients in the ruxolitinib group than the BAT group and these improvements were maintained with ruxolitinib by the end of treatment</w:t>
      </w:r>
      <w:r w:rsidR="000F6D4F" w:rsidRPr="0F1D33A4">
        <w:t>.</w:t>
      </w:r>
      <w:r w:rsidRPr="0F1D33A4">
        <w:t xml:space="preserve"> </w:t>
      </w:r>
      <w:r w:rsidR="00AF118E" w:rsidRPr="0F1D33A4">
        <w:t>In the RESPONSE-2 trial t</w:t>
      </w:r>
      <w:r w:rsidRPr="0F1D33A4">
        <w:t xml:space="preserve">here were significantly more patients treated with ruxolitinib who reported at least 50% improvement in the </w:t>
      </w:r>
      <w:r w:rsidRPr="0F1D33A4">
        <w:lastRenderedPageBreak/>
        <w:t>MPN-SAF TSS compared to patients treated with BAT (</w:t>
      </w:r>
      <w:r w:rsidR="00AF118E" w:rsidRPr="0F1D33A4">
        <w:t xml:space="preserve">45% vs </w:t>
      </w:r>
      <w:r w:rsidRPr="0F1D33A4">
        <w:t>16%</w:t>
      </w:r>
      <w:r w:rsidR="00AF118E" w:rsidRPr="0F1D33A4">
        <w:t>;</w:t>
      </w:r>
      <w:r w:rsidR="00645E8F" w:rsidRPr="0F1D33A4">
        <w:t xml:space="preserve"> </w:t>
      </w:r>
      <w:r w:rsidR="00AF118E" w:rsidRPr="0F1D33A4">
        <w:t>OR: 4.36; 95% CI: 1.88, 10.12</w:t>
      </w:r>
      <w:r w:rsidRPr="0F1D33A4">
        <w:t xml:space="preserve">). </w:t>
      </w:r>
    </w:p>
    <w:p w14:paraId="671FB136" w14:textId="06D410E4" w:rsidR="0073718A" w:rsidRPr="00532B40" w:rsidRDefault="00D04CF2" w:rsidP="00532B40">
      <w:pPr>
        <w:pStyle w:val="3-BodyText"/>
      </w:pPr>
      <w:r w:rsidRPr="0910F2D2">
        <w:t>QoL data were collected using the European Organization for the Research and Treatment of Cancer quality of life questionnaire (EORTC QLQ-C30) in RESPONSE and the EuroQol-5 Dimension-5 levels (EQ-5D-5L) in RESPONSE-2</w:t>
      </w:r>
      <w:r w:rsidR="00FF6DF2" w:rsidRPr="0910F2D2">
        <w:t xml:space="preserve">. </w:t>
      </w:r>
      <w:r w:rsidR="00B8269B" w:rsidRPr="0910F2D2">
        <w:t xml:space="preserve">In RESPONSE, the improvements in EORTC QLQ-C30 </w:t>
      </w:r>
      <w:r w:rsidR="009971DE" w:rsidRPr="0910F2D2">
        <w:t xml:space="preserve">scores </w:t>
      </w:r>
      <w:r w:rsidR="00B8269B" w:rsidRPr="0910F2D2">
        <w:t xml:space="preserve">were sustained in some patients by Week 256 with a mean improvement from baseline of +9.49. </w:t>
      </w:r>
      <w:r w:rsidR="0073718A" w:rsidRPr="0910F2D2">
        <w:t xml:space="preserve">In </w:t>
      </w:r>
      <w:r w:rsidR="008F0E5B" w:rsidRPr="0910F2D2">
        <w:t>RESPONSE</w:t>
      </w:r>
      <w:r w:rsidR="00F46CA4" w:rsidRPr="0910F2D2">
        <w:t>-</w:t>
      </w:r>
      <w:r w:rsidR="008F0E5B" w:rsidRPr="0910F2D2">
        <w:t>2 the change from baseline in the EQ-5D-5L Visual Analogue Scale (VAS) scores showed numerical improvement in ruxolitinib arm compared with BAT arm, while the change from baseline in the EQ-5D-5L health index scores were similar between the ruxolitinib and BAT arms</w:t>
      </w:r>
      <w:r w:rsidR="0073718A" w:rsidRPr="0910F2D2">
        <w:t>.</w:t>
      </w:r>
      <w:r w:rsidR="00FB2E0D" w:rsidRPr="0910F2D2">
        <w:t xml:space="preserve"> The differences reported were not statistically significant.</w:t>
      </w:r>
    </w:p>
    <w:p w14:paraId="192C2C7E" w14:textId="5F286A47" w:rsidR="00461AE3" w:rsidRPr="006124A7" w:rsidRDefault="00461AE3" w:rsidP="00952624">
      <w:pPr>
        <w:rPr>
          <w:b/>
          <w:bCs/>
          <w:iCs/>
        </w:rPr>
      </w:pPr>
      <w:r w:rsidRPr="006124A7">
        <w:rPr>
          <w:b/>
          <w:bCs/>
          <w:iCs/>
        </w:rPr>
        <w:t>Systematic Review and meta-analysis (Rocca Mora et al.</w:t>
      </w:r>
      <w:r w:rsidR="000D2D7F" w:rsidRPr="006124A7">
        <w:rPr>
          <w:b/>
          <w:bCs/>
          <w:iCs/>
        </w:rPr>
        <w:t>,</w:t>
      </w:r>
      <w:r w:rsidRPr="006124A7">
        <w:rPr>
          <w:b/>
          <w:bCs/>
          <w:iCs/>
        </w:rPr>
        <w:t xml:space="preserve"> 2024)</w:t>
      </w:r>
    </w:p>
    <w:p w14:paraId="1A0388AA" w14:textId="17850A5B" w:rsidR="00CE0091" w:rsidRPr="006124A7" w:rsidRDefault="003E4026" w:rsidP="00CE0091">
      <w:pPr>
        <w:pStyle w:val="3-BodyText"/>
      </w:pPr>
      <w:bookmarkStart w:id="59" w:name="_Ref184916025"/>
      <w:r w:rsidRPr="0F1D33A4">
        <w:t>The efficacy findings of patients resistant or intolerant to HC/HU presented in the systematic review and meta-analysis (Rocca Mora et al</w:t>
      </w:r>
      <w:r w:rsidR="000D2D7F" w:rsidRPr="0F1D33A4">
        <w:t>.,</w:t>
      </w:r>
      <w:r w:rsidRPr="0F1D33A4">
        <w:t xml:space="preserve"> 2024)</w:t>
      </w:r>
      <w:r w:rsidRPr="0F1D33A4">
        <w:rPr>
          <w:vertAlign w:val="superscript"/>
        </w:rPr>
        <w:footnoteReference w:id="8"/>
      </w:r>
      <w:r w:rsidRPr="0F1D33A4">
        <w:t xml:space="preserve"> showed that patients treated with ruxolitinib achieved a significantly higher rate of </w:t>
      </w:r>
      <w:r w:rsidR="00CA0434" w:rsidRPr="0F1D33A4">
        <w:t>complete haematological response</w:t>
      </w:r>
      <w:r w:rsidR="00D25B21" w:rsidRPr="0F1D33A4" w:rsidDel="00D25B21">
        <w:t xml:space="preserve"> </w:t>
      </w:r>
      <w:r w:rsidRPr="0F1D33A4">
        <w:t>(RR 2.28; 95% CI</w:t>
      </w:r>
      <w:r w:rsidR="009F7D91">
        <w:t>:</w:t>
      </w:r>
      <w:r w:rsidRPr="0F1D33A4">
        <w:t xml:space="preserve"> 1.36</w:t>
      </w:r>
      <w:r w:rsidR="009F7D91">
        <w:t>,</w:t>
      </w:r>
      <w:r w:rsidRPr="0F1D33A4">
        <w:t xml:space="preserve"> 3.84; p &lt; 0.01; I2 = 45%), and a significant improvement of </w:t>
      </w:r>
      <w:r w:rsidR="00D25B21" w:rsidRPr="0F1D33A4">
        <w:t xml:space="preserve">MPN-SAF </w:t>
      </w:r>
      <w:r w:rsidRPr="0F1D33A4">
        <w:t>score reduction of &gt;50% (RR 3.19; 95% CI</w:t>
      </w:r>
      <w:r w:rsidR="009F7D91">
        <w:t>:</w:t>
      </w:r>
      <w:r w:rsidRPr="0F1D33A4">
        <w:t xml:space="preserve"> 1.21</w:t>
      </w:r>
      <w:r w:rsidR="009F7D91">
        <w:t xml:space="preserve">, </w:t>
      </w:r>
      <w:r w:rsidRPr="0F1D33A4">
        <w:t xml:space="preserve">8.46; p = 0.02; I2 = 77%) and </w:t>
      </w:r>
      <w:r w:rsidR="00D25B21" w:rsidRPr="0F1D33A4">
        <w:t>Patient Global Impression of Change (PGIC)</w:t>
      </w:r>
      <w:r w:rsidR="00683708" w:rsidRPr="0F1D33A4">
        <w:t xml:space="preserve"> </w:t>
      </w:r>
      <w:r w:rsidRPr="0F1D33A4">
        <w:t>score (RR 6.86; 95% CI</w:t>
      </w:r>
      <w:r w:rsidR="009F7D91">
        <w:t>:</w:t>
      </w:r>
      <w:r w:rsidRPr="0F1D33A4">
        <w:t xml:space="preserve"> 3.45</w:t>
      </w:r>
      <w:r w:rsidR="009F7D91">
        <w:t xml:space="preserve">, </w:t>
      </w:r>
      <w:r w:rsidRPr="0F1D33A4">
        <w:t>13.63; p &lt; 0.01; I2 = 41%) when compared to BAT. There were no significant differences between groups in the rates of death (RR 0.48; 95% CI</w:t>
      </w:r>
      <w:r w:rsidR="00F611AC">
        <w:t>:</w:t>
      </w:r>
      <w:r w:rsidRPr="0F1D33A4">
        <w:t xml:space="preserve"> 0.20</w:t>
      </w:r>
      <w:r w:rsidR="00F611AC">
        <w:t xml:space="preserve">, </w:t>
      </w:r>
      <w:r w:rsidRPr="0F1D33A4">
        <w:t>1.11; p = 0.09; I2 = 59%) progression to MF (RR 0.60; 95% CI</w:t>
      </w:r>
      <w:r w:rsidR="00F611AC">
        <w:t>:</w:t>
      </w:r>
      <w:r w:rsidRPr="0F1D33A4">
        <w:t xml:space="preserve"> 0.32</w:t>
      </w:r>
      <w:r w:rsidR="00F611AC">
        <w:t xml:space="preserve">, </w:t>
      </w:r>
      <w:r w:rsidRPr="0F1D33A4">
        <w:t>1.12; p = 0.11; I2 = 12%), progression to AML (RR 1.46; 95% CI</w:t>
      </w:r>
      <w:r w:rsidR="00F611AC">
        <w:t>:</w:t>
      </w:r>
      <w:r w:rsidRPr="0F1D33A4">
        <w:t xml:space="preserve"> 0.12</w:t>
      </w:r>
      <w:r w:rsidR="00F611AC">
        <w:t>,</w:t>
      </w:r>
      <w:r w:rsidRPr="0F1D33A4">
        <w:t xml:space="preserve"> 17.96; p = 0.77; I2 = 53%), and pruritus (RR 0.83; 95% CI</w:t>
      </w:r>
      <w:r w:rsidR="00F611AC">
        <w:t>:</w:t>
      </w:r>
      <w:r w:rsidRPr="0F1D33A4">
        <w:t xml:space="preserve"> 0.3</w:t>
      </w:r>
      <w:r w:rsidR="00F611AC">
        <w:t>,</w:t>
      </w:r>
      <w:r w:rsidRPr="0F1D33A4">
        <w:t xml:space="preserve"> 2.25; p = 0.71; I2 = 69%). Overall, the efficacy results from Rocca Mora et al</w:t>
      </w:r>
      <w:r w:rsidR="00F330E2" w:rsidRPr="0F1D33A4">
        <w:t>.</w:t>
      </w:r>
      <w:r w:rsidR="000D2D7F" w:rsidRPr="0F1D33A4">
        <w:t>,</w:t>
      </w:r>
      <w:r w:rsidRPr="0F1D33A4">
        <w:t xml:space="preserve"> 2024 were broadly consistent with the results observed in the included trials.</w:t>
      </w:r>
      <w:bookmarkEnd w:id="59"/>
    </w:p>
    <w:p w14:paraId="5DB4C239" w14:textId="45A81A45" w:rsidR="00CE0091" w:rsidRDefault="00CE0091" w:rsidP="00CE0091">
      <w:pPr>
        <w:pStyle w:val="4-SubsectionHeading"/>
      </w:pPr>
      <w:bookmarkStart w:id="60" w:name="_Toc22897642"/>
      <w:bookmarkStart w:id="61" w:name="_Toc184797844"/>
      <w:bookmarkStart w:id="62" w:name="_Toc188348788"/>
      <w:r w:rsidRPr="0098262F">
        <w:t>Comparative harm</w:t>
      </w:r>
      <w:bookmarkEnd w:id="60"/>
      <w:bookmarkEnd w:id="61"/>
      <w:r w:rsidR="003312A5">
        <w:t>s</w:t>
      </w:r>
      <w:bookmarkEnd w:id="62"/>
    </w:p>
    <w:p w14:paraId="7DEEA442" w14:textId="52F7389F" w:rsidR="008975CB" w:rsidRDefault="008975CB" w:rsidP="008975CB">
      <w:pPr>
        <w:pStyle w:val="3-BodyText"/>
      </w:pPr>
      <w:r w:rsidRPr="0910F2D2">
        <w:t xml:space="preserve">The resubmission presented safety data assessed at the final 5-year follow-up in MAJIC, RESPONSE and RESPONSE-2. Due to significant crossover in RESPONSE and RESPONSE-2, safety data were presented as exposure-adjusted rates to account for the different durations of exposure to ruxolitinib and BAT. A summary of AEs and transformation from MAJIC are presented in </w:t>
      </w:r>
      <w:r w:rsidRPr="0910F2D2">
        <w:fldChar w:fldCharType="begin" w:fldLock="1"/>
      </w:r>
      <w:r w:rsidRPr="0910F2D2">
        <w:instrText xml:space="preserve"> REF _Ref184830173 \h </w:instrText>
      </w:r>
      <w:r w:rsidR="003A61E6" w:rsidRPr="0910F2D2">
        <w:instrText xml:space="preserve"> \* MERGEFORMAT </w:instrText>
      </w:r>
      <w:r w:rsidRPr="0910F2D2">
        <w:fldChar w:fldCharType="separate"/>
      </w:r>
      <w:r w:rsidR="0096555B" w:rsidRPr="0910F2D2">
        <w:t xml:space="preserve">Table </w:t>
      </w:r>
      <w:r w:rsidR="0096555B" w:rsidRPr="0910F2D2">
        <w:rPr>
          <w:noProof/>
        </w:rPr>
        <w:t>11</w:t>
      </w:r>
      <w:r w:rsidRPr="0910F2D2">
        <w:fldChar w:fldCharType="end"/>
      </w:r>
      <w:r w:rsidRPr="0910F2D2">
        <w:t>.</w:t>
      </w:r>
    </w:p>
    <w:p w14:paraId="4720611A" w14:textId="3E84C9D8" w:rsidR="008975CB" w:rsidRPr="008975CB" w:rsidRDefault="008975CB" w:rsidP="00D74B63">
      <w:pPr>
        <w:keepNext/>
        <w:keepLines/>
        <w:rPr>
          <w:rFonts w:ascii="Arial Narrow" w:hAnsi="Arial Narrow"/>
          <w:b/>
          <w:bCs/>
          <w:sz w:val="20"/>
          <w:szCs w:val="18"/>
        </w:rPr>
      </w:pPr>
      <w:bookmarkStart w:id="63" w:name="_Ref184830173"/>
      <w:r w:rsidRPr="008975CB">
        <w:rPr>
          <w:rFonts w:ascii="Arial Narrow" w:hAnsi="Arial Narrow"/>
          <w:b/>
          <w:bCs/>
          <w:sz w:val="20"/>
          <w:szCs w:val="18"/>
        </w:rPr>
        <w:lastRenderedPageBreak/>
        <w:t xml:space="preserve">Table </w:t>
      </w:r>
      <w:r w:rsidRPr="008975CB">
        <w:rPr>
          <w:rFonts w:ascii="Arial Narrow" w:hAnsi="Arial Narrow"/>
          <w:b/>
          <w:bCs/>
          <w:sz w:val="20"/>
          <w:szCs w:val="18"/>
        </w:rPr>
        <w:fldChar w:fldCharType="begin" w:fldLock="1"/>
      </w:r>
      <w:r w:rsidRPr="008975CB">
        <w:rPr>
          <w:rFonts w:ascii="Arial Narrow" w:hAnsi="Arial Narrow"/>
          <w:b/>
          <w:bCs/>
          <w:sz w:val="20"/>
          <w:szCs w:val="18"/>
        </w:rPr>
        <w:instrText xml:space="preserve"> SEQ Table \* ARABIC </w:instrText>
      </w:r>
      <w:r w:rsidRPr="008975CB">
        <w:rPr>
          <w:rFonts w:ascii="Arial Narrow" w:hAnsi="Arial Narrow"/>
          <w:b/>
          <w:bCs/>
          <w:sz w:val="20"/>
          <w:szCs w:val="18"/>
        </w:rPr>
        <w:fldChar w:fldCharType="separate"/>
      </w:r>
      <w:r w:rsidR="001F427F">
        <w:rPr>
          <w:rFonts w:ascii="Arial Narrow" w:hAnsi="Arial Narrow"/>
          <w:b/>
          <w:bCs/>
          <w:noProof/>
          <w:sz w:val="20"/>
          <w:szCs w:val="18"/>
        </w:rPr>
        <w:t>11</w:t>
      </w:r>
      <w:r w:rsidRPr="008975CB">
        <w:rPr>
          <w:rFonts w:ascii="Arial Narrow" w:hAnsi="Arial Narrow"/>
          <w:b/>
          <w:bCs/>
          <w:noProof/>
          <w:sz w:val="20"/>
          <w:szCs w:val="18"/>
        </w:rPr>
        <w:fldChar w:fldCharType="end"/>
      </w:r>
      <w:bookmarkEnd w:id="63"/>
      <w:r w:rsidRPr="008975CB">
        <w:rPr>
          <w:rFonts w:ascii="Arial Narrow" w:hAnsi="Arial Narrow"/>
          <w:b/>
          <w:bCs/>
          <w:sz w:val="20"/>
          <w:szCs w:val="18"/>
        </w:rPr>
        <w:t>: Summary of adverse events and transformation in MAJIC</w:t>
      </w:r>
    </w:p>
    <w:tbl>
      <w:tblPr>
        <w:tblStyle w:val="TableGrid"/>
        <w:tblW w:w="5000" w:type="pct"/>
        <w:tblLook w:val="04A0" w:firstRow="1" w:lastRow="0" w:firstColumn="1" w:lastColumn="0" w:noHBand="0" w:noVBand="1"/>
        <w:tblCaption w:val="Table 11: Summary of adverse events and transformation in MAJIC"/>
        <w:tblDescription w:val="New information being considered by PBAC:&#10;Adverse events reported at 5 year follow up&#10;Transformation reported at 5 year follow up"/>
      </w:tblPr>
      <w:tblGrid>
        <w:gridCol w:w="1696"/>
        <w:gridCol w:w="1417"/>
        <w:gridCol w:w="1134"/>
        <w:gridCol w:w="1558"/>
        <w:gridCol w:w="1558"/>
        <w:gridCol w:w="1654"/>
      </w:tblGrid>
      <w:tr w:rsidR="008975CB" w:rsidRPr="008975CB" w14:paraId="55E8EF04" w14:textId="77777777" w:rsidTr="0F1D33A4">
        <w:tc>
          <w:tcPr>
            <w:tcW w:w="940" w:type="pct"/>
          </w:tcPr>
          <w:p w14:paraId="4039F64A" w14:textId="77777777" w:rsidR="008975CB" w:rsidRPr="008975CB" w:rsidRDefault="008975CB" w:rsidP="00D74B63">
            <w:pPr>
              <w:keepNext/>
              <w:keepLines/>
              <w:jc w:val="left"/>
              <w:rPr>
                <w:rFonts w:ascii="Arial Narrow" w:hAnsi="Arial Narrow" w:cs="Times New Roman"/>
                <w:b/>
                <w:bCs/>
                <w:snapToGrid w:val="0"/>
                <w:sz w:val="20"/>
              </w:rPr>
            </w:pPr>
          </w:p>
        </w:tc>
        <w:tc>
          <w:tcPr>
            <w:tcW w:w="786" w:type="pct"/>
          </w:tcPr>
          <w:p w14:paraId="0AAA588B" w14:textId="77777777" w:rsidR="008975CB" w:rsidRPr="008975CB" w:rsidRDefault="008975CB" w:rsidP="0910F2D2">
            <w:pPr>
              <w:keepNext/>
              <w:keepLines/>
              <w:jc w:val="left"/>
              <w:rPr>
                <w:rFonts w:ascii="Arial Narrow" w:hAnsi="Arial Narrow" w:cs="Times New Roman"/>
                <w:b/>
                <w:bCs/>
                <w:snapToGrid w:val="0"/>
                <w:sz w:val="20"/>
                <w:szCs w:val="20"/>
              </w:rPr>
            </w:pPr>
            <w:r w:rsidRPr="0910F2D2">
              <w:rPr>
                <w:rFonts w:ascii="Arial Narrow" w:hAnsi="Arial Narrow" w:cs="Times New Roman"/>
                <w:b/>
                <w:bCs/>
                <w:snapToGrid w:val="0"/>
                <w:sz w:val="20"/>
                <w:szCs w:val="20"/>
              </w:rPr>
              <w:t>Ruxolitinib N=93, n (%)</w:t>
            </w:r>
          </w:p>
        </w:tc>
        <w:tc>
          <w:tcPr>
            <w:tcW w:w="629" w:type="pct"/>
          </w:tcPr>
          <w:p w14:paraId="44136FF0" w14:textId="77777777" w:rsidR="008975CB" w:rsidRPr="008975CB" w:rsidRDefault="008975CB" w:rsidP="00D74B63">
            <w:pPr>
              <w:keepNext/>
              <w:keepLines/>
              <w:jc w:val="left"/>
              <w:rPr>
                <w:rFonts w:ascii="Arial Narrow" w:hAnsi="Arial Narrow" w:cs="Times New Roman"/>
                <w:b/>
                <w:snapToGrid w:val="0"/>
                <w:sz w:val="20"/>
              </w:rPr>
            </w:pPr>
            <w:r w:rsidRPr="008975CB">
              <w:rPr>
                <w:rFonts w:ascii="Arial Narrow" w:hAnsi="Arial Narrow" w:cs="Times New Roman"/>
                <w:b/>
                <w:snapToGrid w:val="0"/>
                <w:sz w:val="20"/>
              </w:rPr>
              <w:t>BAT N=87, n (%)</w:t>
            </w:r>
          </w:p>
        </w:tc>
        <w:tc>
          <w:tcPr>
            <w:tcW w:w="864" w:type="pct"/>
          </w:tcPr>
          <w:p w14:paraId="38BA20CE" w14:textId="77777777" w:rsidR="008975CB" w:rsidRPr="008975CB" w:rsidRDefault="008975CB" w:rsidP="00D74B63">
            <w:pPr>
              <w:keepNext/>
              <w:keepLines/>
              <w:jc w:val="left"/>
              <w:rPr>
                <w:rFonts w:ascii="Arial Narrow" w:hAnsi="Arial Narrow" w:cs="Times New Roman"/>
                <w:b/>
                <w:snapToGrid w:val="0"/>
                <w:sz w:val="20"/>
              </w:rPr>
            </w:pPr>
            <w:r w:rsidRPr="008975CB">
              <w:rPr>
                <w:rFonts w:ascii="Arial Narrow" w:hAnsi="Arial Narrow" w:cs="Times New Roman"/>
                <w:b/>
                <w:snapToGrid w:val="0"/>
                <w:sz w:val="20"/>
              </w:rPr>
              <w:t xml:space="preserve">OR </w:t>
            </w:r>
            <w:r w:rsidRPr="008975CB">
              <w:rPr>
                <w:rFonts w:ascii="Arial Narrow" w:hAnsi="Arial Narrow" w:cs="Times New Roman"/>
                <w:b/>
                <w:snapToGrid w:val="0"/>
                <w:sz w:val="20"/>
                <w:vertAlign w:val="superscript"/>
              </w:rPr>
              <w:t>a</w:t>
            </w:r>
            <w:r w:rsidRPr="008975CB">
              <w:rPr>
                <w:rFonts w:ascii="Arial Narrow" w:hAnsi="Arial Narrow" w:cs="Times New Roman"/>
                <w:b/>
                <w:snapToGrid w:val="0"/>
                <w:sz w:val="20"/>
              </w:rPr>
              <w:t xml:space="preserve"> (95%CI)</w:t>
            </w:r>
          </w:p>
        </w:tc>
        <w:tc>
          <w:tcPr>
            <w:tcW w:w="864" w:type="pct"/>
          </w:tcPr>
          <w:p w14:paraId="578957C6" w14:textId="77777777" w:rsidR="008975CB" w:rsidRPr="008975CB" w:rsidRDefault="008975CB" w:rsidP="00D74B63">
            <w:pPr>
              <w:keepNext/>
              <w:keepLines/>
              <w:jc w:val="left"/>
              <w:rPr>
                <w:rFonts w:ascii="Arial Narrow" w:hAnsi="Arial Narrow" w:cs="Times New Roman"/>
                <w:b/>
                <w:snapToGrid w:val="0"/>
                <w:sz w:val="20"/>
              </w:rPr>
            </w:pPr>
            <w:r w:rsidRPr="008975CB">
              <w:rPr>
                <w:rFonts w:ascii="Arial Narrow" w:hAnsi="Arial Narrow" w:cs="Times New Roman"/>
                <w:b/>
                <w:snapToGrid w:val="0"/>
                <w:sz w:val="20"/>
              </w:rPr>
              <w:t>RR</w:t>
            </w:r>
            <w:r w:rsidRPr="008975CB">
              <w:rPr>
                <w:rFonts w:ascii="Arial Narrow" w:hAnsi="Arial Narrow" w:cs="Times New Roman"/>
                <w:b/>
                <w:snapToGrid w:val="0"/>
                <w:sz w:val="20"/>
                <w:vertAlign w:val="superscript"/>
              </w:rPr>
              <w:t xml:space="preserve"> a</w:t>
            </w:r>
            <w:r w:rsidRPr="008975CB">
              <w:rPr>
                <w:rFonts w:ascii="Arial Narrow" w:hAnsi="Arial Narrow" w:cs="Times New Roman"/>
                <w:b/>
                <w:snapToGrid w:val="0"/>
                <w:sz w:val="20"/>
              </w:rPr>
              <w:t xml:space="preserve"> (95%CI)</w:t>
            </w:r>
          </w:p>
        </w:tc>
        <w:tc>
          <w:tcPr>
            <w:tcW w:w="917" w:type="pct"/>
          </w:tcPr>
          <w:p w14:paraId="4AF93812" w14:textId="77777777" w:rsidR="008975CB" w:rsidRPr="008975CB" w:rsidRDefault="008975CB" w:rsidP="00D74B63">
            <w:pPr>
              <w:keepNext/>
              <w:keepLines/>
              <w:jc w:val="left"/>
              <w:rPr>
                <w:rFonts w:ascii="Arial Narrow" w:hAnsi="Arial Narrow" w:cs="Times New Roman"/>
                <w:b/>
                <w:snapToGrid w:val="0"/>
                <w:sz w:val="20"/>
              </w:rPr>
            </w:pPr>
            <w:r w:rsidRPr="008975CB">
              <w:rPr>
                <w:rFonts w:ascii="Arial Narrow" w:hAnsi="Arial Narrow" w:cs="Times New Roman"/>
                <w:b/>
                <w:snapToGrid w:val="0"/>
                <w:sz w:val="20"/>
              </w:rPr>
              <w:t>RD</w:t>
            </w:r>
            <w:r w:rsidRPr="008975CB">
              <w:rPr>
                <w:rFonts w:ascii="Arial Narrow" w:hAnsi="Arial Narrow" w:cs="Times New Roman"/>
                <w:b/>
                <w:snapToGrid w:val="0"/>
                <w:sz w:val="20"/>
                <w:vertAlign w:val="superscript"/>
              </w:rPr>
              <w:t xml:space="preserve"> a</w:t>
            </w:r>
            <w:r w:rsidRPr="008975CB">
              <w:rPr>
                <w:rFonts w:ascii="Arial Narrow" w:hAnsi="Arial Narrow" w:cs="Times New Roman"/>
                <w:b/>
                <w:snapToGrid w:val="0"/>
                <w:sz w:val="20"/>
              </w:rPr>
              <w:t xml:space="preserve"> (95%CI)</w:t>
            </w:r>
          </w:p>
        </w:tc>
      </w:tr>
      <w:tr w:rsidR="008975CB" w:rsidRPr="008975CB" w14:paraId="2EB93682" w14:textId="77777777" w:rsidTr="0F1D33A4">
        <w:tc>
          <w:tcPr>
            <w:tcW w:w="5000" w:type="pct"/>
            <w:gridSpan w:val="6"/>
          </w:tcPr>
          <w:p w14:paraId="64265C8B" w14:textId="71EC5B1E" w:rsidR="008975CB" w:rsidRPr="008975CB" w:rsidRDefault="008975CB" w:rsidP="00D74B63">
            <w:pPr>
              <w:keepNext/>
              <w:keepLines/>
              <w:jc w:val="left"/>
              <w:rPr>
                <w:rFonts w:ascii="Arial Narrow" w:eastAsiaTheme="majorEastAsia" w:hAnsi="Arial Narrow" w:cs="Times New Roman"/>
                <w:b/>
                <w:sz w:val="20"/>
                <w:lang w:val="en-US"/>
              </w:rPr>
            </w:pPr>
            <w:r w:rsidRPr="008975CB">
              <w:rPr>
                <w:rFonts w:ascii="Arial Narrow" w:eastAsiaTheme="majorEastAsia" w:hAnsi="Arial Narrow" w:cs="Times New Roman"/>
                <w:b/>
                <w:sz w:val="20"/>
                <w:lang w:val="en-US"/>
              </w:rPr>
              <w:t>AEs reported at 5-year follow up</w:t>
            </w:r>
            <w:r w:rsidR="00F87B86">
              <w:rPr>
                <w:rFonts w:ascii="Arial Narrow" w:eastAsiaTheme="majorEastAsia" w:hAnsi="Arial Narrow" w:cs="Times New Roman"/>
                <w:b/>
                <w:sz w:val="20"/>
                <w:lang w:val="en-US"/>
              </w:rPr>
              <w:t xml:space="preserve"> </w:t>
            </w:r>
          </w:p>
        </w:tc>
      </w:tr>
      <w:tr w:rsidR="008975CB" w:rsidRPr="008975CB" w14:paraId="6C8C50F0" w14:textId="77777777" w:rsidTr="0F1D33A4">
        <w:tc>
          <w:tcPr>
            <w:tcW w:w="940" w:type="pct"/>
          </w:tcPr>
          <w:p w14:paraId="126CF64A" w14:textId="77777777" w:rsidR="008975CB" w:rsidRPr="008975CB" w:rsidRDefault="008975CB" w:rsidP="00D74B63">
            <w:pPr>
              <w:keepNext/>
              <w:keepLines/>
              <w:jc w:val="left"/>
              <w:rPr>
                <w:rFonts w:ascii="Arial Narrow" w:hAnsi="Arial Narrow" w:cs="Times New Roman"/>
                <w:snapToGrid w:val="0"/>
                <w:sz w:val="20"/>
              </w:rPr>
            </w:pPr>
            <w:r w:rsidRPr="008975CB">
              <w:rPr>
                <w:rFonts w:ascii="Arial Narrow" w:hAnsi="Arial Narrow" w:cs="Times New Roman"/>
                <w:snapToGrid w:val="0"/>
                <w:sz w:val="20"/>
              </w:rPr>
              <w:t xml:space="preserve">Grade </w:t>
            </w:r>
            <w:r w:rsidRPr="008975CB">
              <w:rPr>
                <w:rFonts w:ascii="Arial Narrow" w:hAnsi="Arial Narrow" w:cs="Calibri"/>
                <w:snapToGrid w:val="0"/>
                <w:sz w:val="20"/>
              </w:rPr>
              <w:t>≥</w:t>
            </w:r>
            <w:r w:rsidRPr="008975CB">
              <w:rPr>
                <w:rFonts w:ascii="Arial Narrow" w:hAnsi="Arial Narrow" w:cs="Times New Roman"/>
                <w:snapToGrid w:val="0"/>
                <w:sz w:val="20"/>
              </w:rPr>
              <w:t>3 AE</w:t>
            </w:r>
          </w:p>
        </w:tc>
        <w:tc>
          <w:tcPr>
            <w:tcW w:w="786" w:type="pct"/>
          </w:tcPr>
          <w:p w14:paraId="79313F49" w14:textId="77777777" w:rsidR="008975CB" w:rsidRPr="008975CB" w:rsidRDefault="008975CB" w:rsidP="00D74B63">
            <w:pPr>
              <w:keepNext/>
              <w:keepLines/>
              <w:jc w:val="center"/>
              <w:rPr>
                <w:rFonts w:ascii="Arial Narrow" w:hAnsi="Arial Narrow" w:cs="Times New Roman"/>
                <w:snapToGrid w:val="0"/>
                <w:sz w:val="20"/>
              </w:rPr>
            </w:pPr>
            <w:r w:rsidRPr="008975CB">
              <w:rPr>
                <w:rFonts w:ascii="Arial Narrow" w:hAnsi="Arial Narrow" w:cs="Times New Roman"/>
                <w:snapToGrid w:val="0"/>
                <w:sz w:val="20"/>
              </w:rPr>
              <w:t>55 (59)</w:t>
            </w:r>
          </w:p>
        </w:tc>
        <w:tc>
          <w:tcPr>
            <w:tcW w:w="629" w:type="pct"/>
          </w:tcPr>
          <w:p w14:paraId="7155BB84" w14:textId="77777777" w:rsidR="008975CB" w:rsidRPr="008975CB" w:rsidRDefault="008975CB" w:rsidP="00D74B63">
            <w:pPr>
              <w:keepNext/>
              <w:keepLines/>
              <w:jc w:val="center"/>
              <w:rPr>
                <w:rFonts w:ascii="Arial Narrow" w:hAnsi="Arial Narrow" w:cs="Times New Roman"/>
                <w:snapToGrid w:val="0"/>
                <w:sz w:val="20"/>
              </w:rPr>
            </w:pPr>
            <w:r w:rsidRPr="008975CB">
              <w:rPr>
                <w:rFonts w:ascii="Arial Narrow" w:hAnsi="Arial Narrow" w:cs="Times New Roman"/>
                <w:snapToGrid w:val="0"/>
                <w:sz w:val="20"/>
              </w:rPr>
              <w:t>45 (52)</w:t>
            </w:r>
          </w:p>
        </w:tc>
        <w:tc>
          <w:tcPr>
            <w:tcW w:w="864" w:type="pct"/>
          </w:tcPr>
          <w:p w14:paraId="0107BBA8" w14:textId="77777777" w:rsidR="008975CB" w:rsidRPr="008975CB" w:rsidRDefault="008975CB" w:rsidP="00D74B63">
            <w:pPr>
              <w:keepNext/>
              <w:keepLines/>
              <w:jc w:val="center"/>
              <w:rPr>
                <w:rFonts w:ascii="Arial Narrow" w:hAnsi="Arial Narrow" w:cs="Times New Roman"/>
                <w:iCs/>
                <w:snapToGrid w:val="0"/>
                <w:sz w:val="20"/>
              </w:rPr>
            </w:pPr>
            <w:r w:rsidRPr="008975CB">
              <w:rPr>
                <w:rFonts w:ascii="Arial Narrow" w:hAnsi="Arial Narrow" w:cs="Times New Roman"/>
                <w:iCs/>
                <w:snapToGrid w:val="0"/>
                <w:sz w:val="20"/>
              </w:rPr>
              <w:t>1.35 (0.75, 2.44)</w:t>
            </w:r>
          </w:p>
        </w:tc>
        <w:tc>
          <w:tcPr>
            <w:tcW w:w="864" w:type="pct"/>
          </w:tcPr>
          <w:p w14:paraId="20B6C385" w14:textId="77777777" w:rsidR="008975CB" w:rsidRPr="008975CB" w:rsidRDefault="008975CB" w:rsidP="00D74B63">
            <w:pPr>
              <w:keepNext/>
              <w:keepLines/>
              <w:jc w:val="center"/>
              <w:rPr>
                <w:rFonts w:ascii="Arial Narrow" w:hAnsi="Arial Narrow" w:cs="Times New Roman"/>
                <w:iCs/>
                <w:snapToGrid w:val="0"/>
                <w:sz w:val="20"/>
              </w:rPr>
            </w:pPr>
            <w:r w:rsidRPr="008975CB">
              <w:rPr>
                <w:rFonts w:ascii="Arial Narrow" w:hAnsi="Arial Narrow" w:cs="Times New Roman"/>
                <w:iCs/>
                <w:snapToGrid w:val="0"/>
                <w:sz w:val="20"/>
              </w:rPr>
              <w:t>1.14 (0.88, 1.49)</w:t>
            </w:r>
          </w:p>
        </w:tc>
        <w:tc>
          <w:tcPr>
            <w:tcW w:w="917" w:type="pct"/>
          </w:tcPr>
          <w:p w14:paraId="1E779498" w14:textId="77777777" w:rsidR="008975CB" w:rsidRPr="008975CB" w:rsidRDefault="008975CB" w:rsidP="00D74B63">
            <w:pPr>
              <w:keepNext/>
              <w:keepLines/>
              <w:jc w:val="center"/>
              <w:rPr>
                <w:rFonts w:ascii="Arial Narrow" w:hAnsi="Arial Narrow" w:cs="Times New Roman"/>
                <w:iCs/>
                <w:snapToGrid w:val="0"/>
                <w:sz w:val="20"/>
              </w:rPr>
            </w:pPr>
            <w:r w:rsidRPr="008975CB">
              <w:rPr>
                <w:rFonts w:ascii="Arial Narrow" w:hAnsi="Arial Narrow" w:cs="Times New Roman"/>
                <w:iCs/>
                <w:snapToGrid w:val="0"/>
                <w:sz w:val="20"/>
              </w:rPr>
              <w:t>0.07 (-0.07, 0.22)</w:t>
            </w:r>
          </w:p>
        </w:tc>
      </w:tr>
      <w:tr w:rsidR="008975CB" w:rsidRPr="006124A7" w14:paraId="1BACC621" w14:textId="77777777" w:rsidTr="0F1D33A4">
        <w:tc>
          <w:tcPr>
            <w:tcW w:w="940" w:type="pct"/>
          </w:tcPr>
          <w:p w14:paraId="5E09F4D8" w14:textId="77777777" w:rsidR="008975CB" w:rsidRPr="006124A7" w:rsidRDefault="008975CB" w:rsidP="00D74B63">
            <w:pPr>
              <w:keepNext/>
              <w:keepLines/>
              <w:jc w:val="left"/>
              <w:rPr>
                <w:rFonts w:ascii="Arial Narrow" w:hAnsi="Arial Narrow" w:cs="Times New Roman"/>
                <w:snapToGrid w:val="0"/>
                <w:sz w:val="20"/>
                <w:vertAlign w:val="superscript"/>
              </w:rPr>
            </w:pPr>
            <w:r w:rsidRPr="006124A7">
              <w:rPr>
                <w:rFonts w:ascii="Arial Narrow" w:hAnsi="Arial Narrow" w:cs="Times New Roman"/>
                <w:snapToGrid w:val="0"/>
                <w:sz w:val="20"/>
              </w:rPr>
              <w:t>Serious AE</w:t>
            </w:r>
          </w:p>
        </w:tc>
        <w:tc>
          <w:tcPr>
            <w:tcW w:w="786" w:type="pct"/>
          </w:tcPr>
          <w:p w14:paraId="3F02E90C" w14:textId="77777777" w:rsidR="008975CB" w:rsidRPr="006124A7" w:rsidRDefault="008975CB" w:rsidP="00D74B63">
            <w:pPr>
              <w:keepNext/>
              <w:keepLines/>
              <w:jc w:val="center"/>
              <w:rPr>
                <w:rFonts w:ascii="Arial Narrow" w:hAnsi="Arial Narrow" w:cs="Times New Roman"/>
                <w:snapToGrid w:val="0"/>
                <w:sz w:val="20"/>
              </w:rPr>
            </w:pPr>
            <w:r w:rsidRPr="006124A7">
              <w:rPr>
                <w:rFonts w:ascii="Arial Narrow" w:hAnsi="Arial Narrow" w:cs="Times New Roman"/>
                <w:snapToGrid w:val="0"/>
                <w:sz w:val="20"/>
              </w:rPr>
              <w:t>54 (58)</w:t>
            </w:r>
          </w:p>
        </w:tc>
        <w:tc>
          <w:tcPr>
            <w:tcW w:w="629" w:type="pct"/>
          </w:tcPr>
          <w:p w14:paraId="6DB33E62" w14:textId="77777777" w:rsidR="008975CB" w:rsidRPr="006124A7" w:rsidRDefault="008975CB" w:rsidP="00D74B63">
            <w:pPr>
              <w:keepNext/>
              <w:keepLines/>
              <w:jc w:val="center"/>
              <w:rPr>
                <w:rFonts w:ascii="Arial Narrow" w:hAnsi="Arial Narrow" w:cs="Times New Roman"/>
                <w:snapToGrid w:val="0"/>
                <w:sz w:val="20"/>
              </w:rPr>
            </w:pPr>
            <w:r w:rsidRPr="006124A7">
              <w:rPr>
                <w:rFonts w:ascii="Arial Narrow" w:hAnsi="Arial Narrow" w:cs="Times New Roman"/>
                <w:snapToGrid w:val="0"/>
                <w:sz w:val="20"/>
              </w:rPr>
              <w:t>48 (55)</w:t>
            </w:r>
          </w:p>
        </w:tc>
        <w:tc>
          <w:tcPr>
            <w:tcW w:w="864" w:type="pct"/>
          </w:tcPr>
          <w:p w14:paraId="106D2B51" w14:textId="77777777" w:rsidR="008975CB" w:rsidRPr="006124A7" w:rsidRDefault="008975CB" w:rsidP="00D74B63">
            <w:pPr>
              <w:keepNext/>
              <w:keepLines/>
              <w:jc w:val="center"/>
              <w:rPr>
                <w:rFonts w:ascii="Arial Narrow" w:hAnsi="Arial Narrow" w:cs="Times New Roman"/>
                <w:snapToGrid w:val="0"/>
                <w:sz w:val="20"/>
              </w:rPr>
            </w:pPr>
            <w:r w:rsidRPr="006124A7">
              <w:rPr>
                <w:rFonts w:ascii="Arial Narrow" w:hAnsi="Arial Narrow" w:cs="Times New Roman"/>
                <w:snapToGrid w:val="0"/>
                <w:sz w:val="20"/>
              </w:rPr>
              <w:t>1.13 (0.62, 2.03)</w:t>
            </w:r>
          </w:p>
        </w:tc>
        <w:tc>
          <w:tcPr>
            <w:tcW w:w="864" w:type="pct"/>
          </w:tcPr>
          <w:p w14:paraId="472383B0" w14:textId="77777777" w:rsidR="008975CB" w:rsidRPr="006124A7" w:rsidRDefault="008975CB" w:rsidP="00D74B63">
            <w:pPr>
              <w:keepNext/>
              <w:keepLines/>
              <w:jc w:val="center"/>
              <w:rPr>
                <w:rFonts w:ascii="Arial Narrow" w:hAnsi="Arial Narrow" w:cs="Times New Roman"/>
                <w:snapToGrid w:val="0"/>
                <w:sz w:val="20"/>
              </w:rPr>
            </w:pPr>
            <w:r w:rsidRPr="006124A7">
              <w:rPr>
                <w:rFonts w:ascii="Arial Narrow" w:hAnsi="Arial Narrow" w:cs="Times New Roman"/>
                <w:snapToGrid w:val="0"/>
                <w:sz w:val="20"/>
              </w:rPr>
              <w:t>1.05 (0.81, 1.36)</w:t>
            </w:r>
          </w:p>
        </w:tc>
        <w:tc>
          <w:tcPr>
            <w:tcW w:w="917" w:type="pct"/>
          </w:tcPr>
          <w:p w14:paraId="387FD8CB" w14:textId="77777777" w:rsidR="008975CB" w:rsidRPr="006124A7" w:rsidRDefault="008975CB" w:rsidP="00D74B63">
            <w:pPr>
              <w:keepNext/>
              <w:keepLines/>
              <w:jc w:val="center"/>
              <w:rPr>
                <w:rFonts w:ascii="Arial Narrow" w:hAnsi="Arial Narrow" w:cs="Times New Roman"/>
                <w:snapToGrid w:val="0"/>
                <w:sz w:val="20"/>
                <w:highlight w:val="yellow"/>
              </w:rPr>
            </w:pPr>
            <w:r w:rsidRPr="006124A7">
              <w:rPr>
                <w:rFonts w:ascii="Arial Narrow" w:hAnsi="Arial Narrow" w:cs="Times New Roman"/>
                <w:snapToGrid w:val="0"/>
                <w:sz w:val="20"/>
              </w:rPr>
              <w:t>0.03 (-0.12, 0.17)</w:t>
            </w:r>
          </w:p>
        </w:tc>
      </w:tr>
      <w:tr w:rsidR="008975CB" w:rsidRPr="006124A7" w14:paraId="2B9805F2" w14:textId="77777777" w:rsidTr="0F1D33A4">
        <w:tc>
          <w:tcPr>
            <w:tcW w:w="940" w:type="pct"/>
          </w:tcPr>
          <w:p w14:paraId="4E39A66C" w14:textId="77777777" w:rsidR="008975CB" w:rsidRPr="006124A7" w:rsidRDefault="008975CB" w:rsidP="00D74B63">
            <w:pPr>
              <w:keepNext/>
              <w:keepLines/>
              <w:jc w:val="left"/>
              <w:rPr>
                <w:rFonts w:ascii="Arial Narrow" w:hAnsi="Arial Narrow" w:cs="Times New Roman"/>
                <w:snapToGrid w:val="0"/>
                <w:sz w:val="20"/>
                <w:vertAlign w:val="superscript"/>
              </w:rPr>
            </w:pPr>
            <w:r w:rsidRPr="006124A7">
              <w:rPr>
                <w:rFonts w:ascii="Arial Narrow" w:hAnsi="Arial Narrow" w:cs="Times New Roman"/>
                <w:snapToGrid w:val="0"/>
                <w:sz w:val="20"/>
              </w:rPr>
              <w:t>Deaths</w:t>
            </w:r>
          </w:p>
        </w:tc>
        <w:tc>
          <w:tcPr>
            <w:tcW w:w="786" w:type="pct"/>
          </w:tcPr>
          <w:p w14:paraId="14B24D30" w14:textId="77777777" w:rsidR="008975CB" w:rsidRPr="006124A7" w:rsidRDefault="008975CB" w:rsidP="00D74B63">
            <w:pPr>
              <w:keepNext/>
              <w:keepLines/>
              <w:jc w:val="center"/>
              <w:rPr>
                <w:rFonts w:ascii="Arial Narrow" w:hAnsi="Arial Narrow" w:cs="Times New Roman"/>
                <w:snapToGrid w:val="0"/>
                <w:sz w:val="20"/>
              </w:rPr>
            </w:pPr>
            <w:r w:rsidRPr="006124A7">
              <w:rPr>
                <w:rFonts w:ascii="Arial Narrow" w:hAnsi="Arial Narrow" w:cs="Times New Roman"/>
                <w:snapToGrid w:val="0"/>
                <w:sz w:val="20"/>
              </w:rPr>
              <w:t>15 (16)</w:t>
            </w:r>
          </w:p>
        </w:tc>
        <w:tc>
          <w:tcPr>
            <w:tcW w:w="629" w:type="pct"/>
          </w:tcPr>
          <w:p w14:paraId="1747D6A6" w14:textId="77777777" w:rsidR="008975CB" w:rsidRPr="006124A7" w:rsidRDefault="008975CB" w:rsidP="00D74B63">
            <w:pPr>
              <w:keepNext/>
              <w:keepLines/>
              <w:jc w:val="center"/>
              <w:rPr>
                <w:rFonts w:ascii="Arial Narrow" w:hAnsi="Arial Narrow" w:cs="Times New Roman"/>
                <w:snapToGrid w:val="0"/>
                <w:sz w:val="20"/>
              </w:rPr>
            </w:pPr>
            <w:r w:rsidRPr="006124A7">
              <w:rPr>
                <w:rFonts w:ascii="Arial Narrow" w:hAnsi="Arial Narrow" w:cs="Times New Roman"/>
                <w:snapToGrid w:val="0"/>
                <w:sz w:val="20"/>
              </w:rPr>
              <w:t>17 (20)</w:t>
            </w:r>
          </w:p>
        </w:tc>
        <w:tc>
          <w:tcPr>
            <w:tcW w:w="864" w:type="pct"/>
          </w:tcPr>
          <w:p w14:paraId="3A02583A" w14:textId="77777777" w:rsidR="008975CB" w:rsidRPr="006124A7" w:rsidRDefault="008975CB" w:rsidP="00D74B63">
            <w:pPr>
              <w:keepNext/>
              <w:keepLines/>
              <w:jc w:val="center"/>
              <w:rPr>
                <w:rFonts w:ascii="Arial Narrow" w:hAnsi="Arial Narrow" w:cs="Times New Roman"/>
                <w:snapToGrid w:val="0"/>
                <w:sz w:val="20"/>
              </w:rPr>
            </w:pPr>
            <w:r w:rsidRPr="006124A7">
              <w:rPr>
                <w:rFonts w:ascii="Arial Narrow" w:hAnsi="Arial Narrow" w:cs="Times New Roman"/>
                <w:snapToGrid w:val="0"/>
                <w:sz w:val="20"/>
              </w:rPr>
              <w:t>0.79 (0.37,1.70)</w:t>
            </w:r>
          </w:p>
        </w:tc>
        <w:tc>
          <w:tcPr>
            <w:tcW w:w="864" w:type="pct"/>
          </w:tcPr>
          <w:p w14:paraId="06FF6C36" w14:textId="77777777" w:rsidR="008975CB" w:rsidRPr="006124A7" w:rsidRDefault="008975CB" w:rsidP="00D74B63">
            <w:pPr>
              <w:keepNext/>
              <w:keepLines/>
              <w:jc w:val="center"/>
              <w:rPr>
                <w:rFonts w:ascii="Arial Narrow" w:hAnsi="Arial Narrow" w:cs="Times New Roman"/>
                <w:snapToGrid w:val="0"/>
                <w:sz w:val="20"/>
              </w:rPr>
            </w:pPr>
            <w:r w:rsidRPr="006124A7">
              <w:rPr>
                <w:rFonts w:ascii="Arial Narrow" w:hAnsi="Arial Narrow" w:cs="Times New Roman"/>
                <w:snapToGrid w:val="0"/>
                <w:sz w:val="20"/>
              </w:rPr>
              <w:t>0.83 (0.44, 1.55)</w:t>
            </w:r>
          </w:p>
        </w:tc>
        <w:tc>
          <w:tcPr>
            <w:tcW w:w="917" w:type="pct"/>
          </w:tcPr>
          <w:p w14:paraId="0FE6FD81" w14:textId="77777777" w:rsidR="008975CB" w:rsidRPr="006124A7" w:rsidRDefault="008975CB" w:rsidP="00D74B63">
            <w:pPr>
              <w:keepNext/>
              <w:keepLines/>
              <w:jc w:val="center"/>
              <w:rPr>
                <w:rFonts w:ascii="Arial Narrow" w:hAnsi="Arial Narrow" w:cs="Times New Roman"/>
                <w:snapToGrid w:val="0"/>
                <w:sz w:val="20"/>
                <w:highlight w:val="yellow"/>
              </w:rPr>
            </w:pPr>
            <w:r w:rsidRPr="006124A7">
              <w:rPr>
                <w:rFonts w:ascii="Arial Narrow" w:hAnsi="Arial Narrow" w:cs="Times New Roman"/>
                <w:snapToGrid w:val="0"/>
                <w:sz w:val="20"/>
              </w:rPr>
              <w:t>-0.03 (-0.14, 0.08)</w:t>
            </w:r>
          </w:p>
        </w:tc>
      </w:tr>
      <w:tr w:rsidR="008975CB" w:rsidRPr="006124A7" w14:paraId="75DB051D" w14:textId="77777777" w:rsidTr="0F1D33A4">
        <w:tc>
          <w:tcPr>
            <w:tcW w:w="5000" w:type="pct"/>
            <w:gridSpan w:val="6"/>
          </w:tcPr>
          <w:p w14:paraId="0228E4B7" w14:textId="5FA69196" w:rsidR="008975CB" w:rsidRPr="006124A7" w:rsidRDefault="008975CB" w:rsidP="00D74B63">
            <w:pPr>
              <w:keepNext/>
              <w:keepLines/>
              <w:ind w:left="-110"/>
              <w:jc w:val="left"/>
              <w:rPr>
                <w:rFonts w:ascii="Arial Narrow" w:hAnsi="Arial Narrow" w:cs="Times New Roman"/>
                <w:b/>
                <w:bCs/>
                <w:snapToGrid w:val="0"/>
                <w:sz w:val="20"/>
              </w:rPr>
            </w:pPr>
            <w:r w:rsidRPr="006124A7">
              <w:rPr>
                <w:rFonts w:ascii="Arial Narrow" w:hAnsi="Arial Narrow" w:cs="Times New Roman"/>
                <w:b/>
                <w:bCs/>
                <w:snapToGrid w:val="0"/>
                <w:sz w:val="20"/>
              </w:rPr>
              <w:t xml:space="preserve"> Transformation reported at 5-year follow up</w:t>
            </w:r>
            <w:r w:rsidR="00F87B86">
              <w:rPr>
                <w:rFonts w:ascii="Arial Narrow" w:hAnsi="Arial Narrow" w:cs="Times New Roman"/>
                <w:b/>
                <w:bCs/>
                <w:snapToGrid w:val="0"/>
                <w:sz w:val="20"/>
              </w:rPr>
              <w:t xml:space="preserve"> </w:t>
            </w:r>
          </w:p>
        </w:tc>
      </w:tr>
      <w:tr w:rsidR="008975CB" w:rsidRPr="006124A7" w14:paraId="4F43DED1" w14:textId="77777777" w:rsidTr="0F1D33A4">
        <w:tc>
          <w:tcPr>
            <w:tcW w:w="940" w:type="pct"/>
            <w:vAlign w:val="center"/>
          </w:tcPr>
          <w:p w14:paraId="6E60120F" w14:textId="77777777" w:rsidR="008975CB" w:rsidRPr="006124A7" w:rsidRDefault="008975CB" w:rsidP="00D74B63">
            <w:pPr>
              <w:keepNext/>
              <w:keepLines/>
              <w:jc w:val="left"/>
              <w:rPr>
                <w:rFonts w:ascii="Arial Narrow" w:hAnsi="Arial Narrow" w:cs="Times New Roman"/>
                <w:snapToGrid w:val="0"/>
                <w:sz w:val="20"/>
              </w:rPr>
            </w:pPr>
            <w:r w:rsidRPr="006124A7">
              <w:rPr>
                <w:rFonts w:ascii="Arial Narrow" w:hAnsi="Arial Narrow" w:cs="Times New Roman"/>
                <w:snapToGrid w:val="0"/>
                <w:sz w:val="20"/>
              </w:rPr>
              <w:t>Any transformation</w:t>
            </w:r>
          </w:p>
        </w:tc>
        <w:tc>
          <w:tcPr>
            <w:tcW w:w="786" w:type="pct"/>
            <w:vAlign w:val="center"/>
          </w:tcPr>
          <w:p w14:paraId="76A1C933" w14:textId="77777777" w:rsidR="008975CB" w:rsidRPr="006124A7" w:rsidRDefault="008975CB" w:rsidP="00D74B63">
            <w:pPr>
              <w:keepNext/>
              <w:keepLines/>
              <w:jc w:val="center"/>
              <w:rPr>
                <w:rFonts w:ascii="Arial Narrow" w:hAnsi="Arial Narrow" w:cs="Times New Roman"/>
                <w:snapToGrid w:val="0"/>
                <w:sz w:val="20"/>
              </w:rPr>
            </w:pPr>
            <w:r w:rsidRPr="006124A7">
              <w:rPr>
                <w:rFonts w:ascii="Arial Narrow" w:hAnsi="Arial Narrow" w:cs="Times New Roman"/>
                <w:snapToGrid w:val="0"/>
                <w:sz w:val="20"/>
              </w:rPr>
              <w:t>9 (10)</w:t>
            </w:r>
          </w:p>
        </w:tc>
        <w:tc>
          <w:tcPr>
            <w:tcW w:w="629" w:type="pct"/>
            <w:vAlign w:val="center"/>
          </w:tcPr>
          <w:p w14:paraId="37B09E31" w14:textId="77777777" w:rsidR="008975CB" w:rsidRPr="006124A7" w:rsidRDefault="008975CB" w:rsidP="00D74B63">
            <w:pPr>
              <w:keepNext/>
              <w:keepLines/>
              <w:jc w:val="center"/>
              <w:rPr>
                <w:rFonts w:ascii="Arial Narrow" w:hAnsi="Arial Narrow" w:cs="Times New Roman"/>
                <w:snapToGrid w:val="0"/>
                <w:sz w:val="20"/>
              </w:rPr>
            </w:pPr>
            <w:r w:rsidRPr="006124A7">
              <w:rPr>
                <w:rFonts w:ascii="Arial Narrow" w:hAnsi="Arial Narrow" w:cs="Times New Roman"/>
                <w:snapToGrid w:val="0"/>
                <w:sz w:val="20"/>
              </w:rPr>
              <w:t>11 (13)</w:t>
            </w:r>
          </w:p>
        </w:tc>
        <w:tc>
          <w:tcPr>
            <w:tcW w:w="864" w:type="pct"/>
            <w:vAlign w:val="center"/>
          </w:tcPr>
          <w:p w14:paraId="0DB1909A" w14:textId="77777777" w:rsidR="008975CB" w:rsidRPr="006124A7" w:rsidRDefault="008975CB" w:rsidP="00D74B63">
            <w:pPr>
              <w:keepNext/>
              <w:keepLines/>
              <w:jc w:val="center"/>
              <w:rPr>
                <w:rFonts w:ascii="Arial Narrow" w:hAnsi="Arial Narrow" w:cs="Times New Roman"/>
                <w:snapToGrid w:val="0"/>
                <w:sz w:val="20"/>
              </w:rPr>
            </w:pPr>
            <w:r w:rsidRPr="006124A7">
              <w:rPr>
                <w:rFonts w:ascii="Arial Narrow" w:hAnsi="Arial Narrow" w:cs="Times New Roman"/>
                <w:snapToGrid w:val="0"/>
                <w:sz w:val="20"/>
              </w:rPr>
              <w:t>0.74 (0.29, 1.88)</w:t>
            </w:r>
          </w:p>
        </w:tc>
        <w:tc>
          <w:tcPr>
            <w:tcW w:w="864" w:type="pct"/>
            <w:vAlign w:val="center"/>
          </w:tcPr>
          <w:p w14:paraId="70050C67" w14:textId="77777777" w:rsidR="008975CB" w:rsidRPr="006124A7" w:rsidRDefault="008975CB" w:rsidP="00D74B63">
            <w:pPr>
              <w:keepNext/>
              <w:keepLines/>
              <w:jc w:val="center"/>
              <w:rPr>
                <w:rFonts w:ascii="Arial Narrow" w:hAnsi="Arial Narrow" w:cs="Times New Roman"/>
                <w:snapToGrid w:val="0"/>
                <w:sz w:val="20"/>
              </w:rPr>
            </w:pPr>
            <w:r w:rsidRPr="006124A7">
              <w:rPr>
                <w:rFonts w:ascii="Arial Narrow" w:hAnsi="Arial Narrow" w:cs="Times New Roman"/>
                <w:snapToGrid w:val="0"/>
                <w:sz w:val="20"/>
              </w:rPr>
              <w:t>0.77 (0.33, 1.76)</w:t>
            </w:r>
          </w:p>
        </w:tc>
        <w:tc>
          <w:tcPr>
            <w:tcW w:w="917" w:type="pct"/>
            <w:vAlign w:val="center"/>
          </w:tcPr>
          <w:p w14:paraId="0CB9CEEC" w14:textId="77777777" w:rsidR="008975CB" w:rsidRPr="006124A7" w:rsidRDefault="008975CB" w:rsidP="00D74B63">
            <w:pPr>
              <w:keepNext/>
              <w:keepLines/>
              <w:jc w:val="center"/>
              <w:rPr>
                <w:rFonts w:ascii="Arial Narrow" w:hAnsi="Arial Narrow" w:cs="Times New Roman"/>
                <w:snapToGrid w:val="0"/>
                <w:sz w:val="20"/>
              </w:rPr>
            </w:pPr>
            <w:r w:rsidRPr="006124A7">
              <w:rPr>
                <w:rFonts w:ascii="Arial Narrow" w:hAnsi="Arial Narrow" w:cs="Times New Roman"/>
                <w:snapToGrid w:val="0"/>
                <w:sz w:val="20"/>
              </w:rPr>
              <w:t>-0.03 (-0.12, 0.06)</w:t>
            </w:r>
          </w:p>
        </w:tc>
      </w:tr>
      <w:tr w:rsidR="008975CB" w:rsidRPr="006124A7" w14:paraId="3FA0FED1" w14:textId="77777777" w:rsidTr="0F1D33A4">
        <w:tc>
          <w:tcPr>
            <w:tcW w:w="940" w:type="pct"/>
            <w:vAlign w:val="center"/>
          </w:tcPr>
          <w:p w14:paraId="79C7E2C5" w14:textId="77777777" w:rsidR="008975CB" w:rsidRPr="006124A7" w:rsidRDefault="008975CB" w:rsidP="00D74B63">
            <w:pPr>
              <w:keepNext/>
              <w:keepLines/>
              <w:jc w:val="left"/>
              <w:rPr>
                <w:rFonts w:ascii="Arial Narrow" w:hAnsi="Arial Narrow" w:cs="Times New Roman"/>
                <w:snapToGrid w:val="0"/>
                <w:sz w:val="20"/>
              </w:rPr>
            </w:pPr>
            <w:r w:rsidRPr="006124A7">
              <w:rPr>
                <w:rFonts w:ascii="Arial Narrow" w:hAnsi="Arial Narrow" w:cs="Times New Roman"/>
                <w:snapToGrid w:val="0"/>
                <w:sz w:val="20"/>
              </w:rPr>
              <w:t>AML</w:t>
            </w:r>
          </w:p>
        </w:tc>
        <w:tc>
          <w:tcPr>
            <w:tcW w:w="786" w:type="pct"/>
            <w:vAlign w:val="center"/>
          </w:tcPr>
          <w:p w14:paraId="0453A086" w14:textId="77777777" w:rsidR="008975CB" w:rsidRPr="006124A7" w:rsidRDefault="008975CB" w:rsidP="00D74B63">
            <w:pPr>
              <w:keepNext/>
              <w:keepLines/>
              <w:jc w:val="center"/>
              <w:rPr>
                <w:rFonts w:ascii="Arial Narrow" w:hAnsi="Arial Narrow" w:cs="Times New Roman"/>
                <w:snapToGrid w:val="0"/>
                <w:sz w:val="20"/>
              </w:rPr>
            </w:pPr>
            <w:r w:rsidRPr="006124A7">
              <w:rPr>
                <w:rFonts w:ascii="Arial Narrow" w:hAnsi="Arial Narrow" w:cs="Times New Roman"/>
                <w:snapToGrid w:val="0"/>
                <w:sz w:val="20"/>
              </w:rPr>
              <w:t>4 (4)</w:t>
            </w:r>
          </w:p>
        </w:tc>
        <w:tc>
          <w:tcPr>
            <w:tcW w:w="629" w:type="pct"/>
            <w:vAlign w:val="center"/>
          </w:tcPr>
          <w:p w14:paraId="1741D906" w14:textId="77777777" w:rsidR="008975CB" w:rsidRPr="006124A7" w:rsidRDefault="008975CB" w:rsidP="00D74B63">
            <w:pPr>
              <w:keepNext/>
              <w:keepLines/>
              <w:jc w:val="center"/>
              <w:rPr>
                <w:rFonts w:ascii="Arial Narrow" w:hAnsi="Arial Narrow" w:cs="Times New Roman"/>
                <w:snapToGrid w:val="0"/>
                <w:sz w:val="20"/>
              </w:rPr>
            </w:pPr>
            <w:r w:rsidRPr="006124A7">
              <w:rPr>
                <w:rFonts w:ascii="Arial Narrow" w:hAnsi="Arial Narrow" w:cs="Times New Roman"/>
                <w:snapToGrid w:val="0"/>
                <w:sz w:val="20"/>
              </w:rPr>
              <w:t>0 (0)</w:t>
            </w:r>
          </w:p>
        </w:tc>
        <w:tc>
          <w:tcPr>
            <w:tcW w:w="864" w:type="pct"/>
            <w:vAlign w:val="center"/>
          </w:tcPr>
          <w:p w14:paraId="542F7253" w14:textId="77777777" w:rsidR="008975CB" w:rsidRPr="006124A7" w:rsidRDefault="008975CB" w:rsidP="00D74B63">
            <w:pPr>
              <w:keepNext/>
              <w:keepLines/>
              <w:jc w:val="center"/>
              <w:rPr>
                <w:rFonts w:ascii="Arial Narrow" w:hAnsi="Arial Narrow" w:cs="Times New Roman"/>
                <w:snapToGrid w:val="0"/>
                <w:sz w:val="20"/>
              </w:rPr>
            </w:pPr>
            <w:r w:rsidRPr="006124A7">
              <w:rPr>
                <w:rFonts w:ascii="Arial Narrow" w:hAnsi="Arial Narrow" w:cs="Times New Roman"/>
                <w:snapToGrid w:val="0"/>
                <w:sz w:val="20"/>
              </w:rPr>
              <w:t>8.80 (0.47, 165.87)</w:t>
            </w:r>
          </w:p>
        </w:tc>
        <w:tc>
          <w:tcPr>
            <w:tcW w:w="864" w:type="pct"/>
            <w:vAlign w:val="center"/>
          </w:tcPr>
          <w:p w14:paraId="3B41CE5E" w14:textId="77777777" w:rsidR="008975CB" w:rsidRPr="006124A7" w:rsidRDefault="008975CB" w:rsidP="00D74B63">
            <w:pPr>
              <w:keepNext/>
              <w:keepLines/>
              <w:jc w:val="center"/>
              <w:rPr>
                <w:rFonts w:ascii="Arial Narrow" w:hAnsi="Arial Narrow" w:cs="Times New Roman"/>
                <w:snapToGrid w:val="0"/>
                <w:sz w:val="20"/>
              </w:rPr>
            </w:pPr>
            <w:r w:rsidRPr="006124A7">
              <w:rPr>
                <w:rFonts w:ascii="Arial Narrow" w:hAnsi="Arial Narrow" w:cs="Times New Roman"/>
                <w:snapToGrid w:val="0"/>
                <w:sz w:val="20"/>
              </w:rPr>
              <w:t>8.43 (0.46, 154.24)</w:t>
            </w:r>
          </w:p>
        </w:tc>
        <w:tc>
          <w:tcPr>
            <w:tcW w:w="917" w:type="pct"/>
          </w:tcPr>
          <w:p w14:paraId="6696BB6C" w14:textId="77777777" w:rsidR="008975CB" w:rsidRPr="006124A7" w:rsidRDefault="008975CB" w:rsidP="00D74B63">
            <w:pPr>
              <w:keepNext/>
              <w:keepLines/>
              <w:jc w:val="center"/>
              <w:rPr>
                <w:rFonts w:ascii="Arial Narrow" w:hAnsi="Arial Narrow" w:cs="Times New Roman"/>
                <w:snapToGrid w:val="0"/>
                <w:sz w:val="20"/>
              </w:rPr>
            </w:pPr>
            <w:r w:rsidRPr="006124A7">
              <w:rPr>
                <w:rFonts w:ascii="Arial Narrow" w:hAnsi="Arial Narrow" w:cs="Times New Roman"/>
                <w:snapToGrid w:val="0"/>
                <w:sz w:val="20"/>
              </w:rPr>
              <w:t>0.04 (-0.00, 0.09)</w:t>
            </w:r>
          </w:p>
        </w:tc>
      </w:tr>
      <w:tr w:rsidR="008975CB" w:rsidRPr="006124A7" w14:paraId="36B52F0B" w14:textId="77777777" w:rsidTr="0F1D33A4">
        <w:tc>
          <w:tcPr>
            <w:tcW w:w="940" w:type="pct"/>
            <w:vAlign w:val="center"/>
          </w:tcPr>
          <w:p w14:paraId="1E5C76F0" w14:textId="77777777" w:rsidR="008975CB" w:rsidRPr="006124A7" w:rsidRDefault="008975CB" w:rsidP="00D74B63">
            <w:pPr>
              <w:keepNext/>
              <w:keepLines/>
              <w:jc w:val="left"/>
              <w:rPr>
                <w:rFonts w:ascii="Arial Narrow" w:hAnsi="Arial Narrow" w:cs="Times New Roman"/>
                <w:snapToGrid w:val="0"/>
                <w:sz w:val="20"/>
              </w:rPr>
            </w:pPr>
            <w:r w:rsidRPr="006124A7">
              <w:rPr>
                <w:rFonts w:ascii="Arial Narrow" w:hAnsi="Arial Narrow" w:cs="Times New Roman"/>
                <w:snapToGrid w:val="0"/>
                <w:sz w:val="20"/>
              </w:rPr>
              <w:t>Myelodysplastic Syndrome</w:t>
            </w:r>
          </w:p>
        </w:tc>
        <w:tc>
          <w:tcPr>
            <w:tcW w:w="786" w:type="pct"/>
            <w:vAlign w:val="center"/>
          </w:tcPr>
          <w:p w14:paraId="5C4B94F3" w14:textId="77777777" w:rsidR="008975CB" w:rsidRPr="006124A7" w:rsidRDefault="008975CB" w:rsidP="00D74B63">
            <w:pPr>
              <w:keepNext/>
              <w:keepLines/>
              <w:jc w:val="center"/>
              <w:rPr>
                <w:rFonts w:ascii="Arial Narrow" w:hAnsi="Arial Narrow" w:cs="Times New Roman"/>
                <w:snapToGrid w:val="0"/>
                <w:sz w:val="20"/>
              </w:rPr>
            </w:pPr>
            <w:r w:rsidRPr="006124A7">
              <w:rPr>
                <w:rFonts w:ascii="Arial Narrow" w:hAnsi="Arial Narrow" w:cs="Times New Roman"/>
                <w:snapToGrid w:val="0"/>
                <w:sz w:val="20"/>
              </w:rPr>
              <w:t>0 (0)</w:t>
            </w:r>
          </w:p>
        </w:tc>
        <w:tc>
          <w:tcPr>
            <w:tcW w:w="629" w:type="pct"/>
            <w:vAlign w:val="center"/>
          </w:tcPr>
          <w:p w14:paraId="5A9E1E38" w14:textId="77777777" w:rsidR="008975CB" w:rsidRPr="006124A7" w:rsidRDefault="008975CB" w:rsidP="00D74B63">
            <w:pPr>
              <w:keepNext/>
              <w:keepLines/>
              <w:jc w:val="center"/>
              <w:rPr>
                <w:rFonts w:ascii="Arial Narrow" w:hAnsi="Arial Narrow" w:cs="Times New Roman"/>
                <w:snapToGrid w:val="0"/>
                <w:sz w:val="20"/>
              </w:rPr>
            </w:pPr>
            <w:r w:rsidRPr="006124A7">
              <w:rPr>
                <w:rFonts w:ascii="Arial Narrow" w:hAnsi="Arial Narrow" w:cs="Times New Roman"/>
                <w:snapToGrid w:val="0"/>
                <w:sz w:val="20"/>
              </w:rPr>
              <w:t>1 (1)</w:t>
            </w:r>
          </w:p>
        </w:tc>
        <w:tc>
          <w:tcPr>
            <w:tcW w:w="864" w:type="pct"/>
            <w:vAlign w:val="center"/>
          </w:tcPr>
          <w:p w14:paraId="7EFA326A" w14:textId="77777777" w:rsidR="008975CB" w:rsidRPr="006124A7" w:rsidRDefault="008975CB" w:rsidP="00D74B63">
            <w:pPr>
              <w:keepNext/>
              <w:keepLines/>
              <w:jc w:val="center"/>
              <w:rPr>
                <w:rFonts w:ascii="Arial Narrow" w:hAnsi="Arial Narrow" w:cs="Times New Roman"/>
                <w:snapToGrid w:val="0"/>
                <w:sz w:val="20"/>
              </w:rPr>
            </w:pPr>
            <w:r w:rsidRPr="006124A7">
              <w:rPr>
                <w:rFonts w:ascii="Arial Narrow" w:hAnsi="Arial Narrow" w:cs="Times New Roman"/>
                <w:snapToGrid w:val="0"/>
                <w:sz w:val="20"/>
              </w:rPr>
              <w:t>0.31 (0.01, 7.67)</w:t>
            </w:r>
          </w:p>
        </w:tc>
        <w:tc>
          <w:tcPr>
            <w:tcW w:w="864" w:type="pct"/>
            <w:vAlign w:val="center"/>
          </w:tcPr>
          <w:p w14:paraId="5F6D182C" w14:textId="77777777" w:rsidR="008975CB" w:rsidRPr="006124A7" w:rsidRDefault="008975CB" w:rsidP="00D74B63">
            <w:pPr>
              <w:keepNext/>
              <w:keepLines/>
              <w:jc w:val="center"/>
              <w:rPr>
                <w:rFonts w:ascii="Arial Narrow" w:hAnsi="Arial Narrow" w:cs="Times New Roman"/>
                <w:snapToGrid w:val="0"/>
                <w:sz w:val="20"/>
              </w:rPr>
            </w:pPr>
            <w:r w:rsidRPr="006124A7">
              <w:rPr>
                <w:rFonts w:ascii="Arial Narrow" w:hAnsi="Arial Narrow" w:cs="Times New Roman"/>
                <w:snapToGrid w:val="0"/>
                <w:sz w:val="20"/>
              </w:rPr>
              <w:t>0.31 (0.01, 7.56)</w:t>
            </w:r>
          </w:p>
        </w:tc>
        <w:tc>
          <w:tcPr>
            <w:tcW w:w="917" w:type="pct"/>
          </w:tcPr>
          <w:p w14:paraId="77454000" w14:textId="77777777" w:rsidR="008975CB" w:rsidRPr="006124A7" w:rsidRDefault="008975CB" w:rsidP="00D74B63">
            <w:pPr>
              <w:keepNext/>
              <w:keepLines/>
              <w:jc w:val="center"/>
              <w:rPr>
                <w:rFonts w:ascii="Arial Narrow" w:hAnsi="Arial Narrow" w:cs="Times New Roman"/>
                <w:snapToGrid w:val="0"/>
                <w:sz w:val="20"/>
              </w:rPr>
            </w:pPr>
            <w:r w:rsidRPr="006124A7">
              <w:rPr>
                <w:rFonts w:ascii="Arial Narrow" w:hAnsi="Arial Narrow" w:cs="Times New Roman"/>
                <w:snapToGrid w:val="0"/>
                <w:sz w:val="20"/>
              </w:rPr>
              <w:t>-0.01 (-0.04, 0.02)</w:t>
            </w:r>
          </w:p>
        </w:tc>
      </w:tr>
      <w:tr w:rsidR="008975CB" w:rsidRPr="006124A7" w14:paraId="04C24E98" w14:textId="77777777" w:rsidTr="0F1D33A4">
        <w:tc>
          <w:tcPr>
            <w:tcW w:w="940" w:type="pct"/>
            <w:vAlign w:val="center"/>
          </w:tcPr>
          <w:p w14:paraId="5FDA9A54" w14:textId="77777777" w:rsidR="008975CB" w:rsidRPr="006124A7" w:rsidRDefault="008975CB" w:rsidP="00D74B63">
            <w:pPr>
              <w:keepNext/>
              <w:keepLines/>
              <w:jc w:val="left"/>
              <w:rPr>
                <w:rFonts w:ascii="Arial Narrow" w:hAnsi="Arial Narrow" w:cs="Times New Roman"/>
                <w:snapToGrid w:val="0"/>
                <w:sz w:val="20"/>
              </w:rPr>
            </w:pPr>
            <w:r w:rsidRPr="006124A7">
              <w:rPr>
                <w:rFonts w:ascii="Arial Narrow" w:hAnsi="Arial Narrow" w:cs="Times New Roman"/>
                <w:snapToGrid w:val="0"/>
                <w:sz w:val="20"/>
              </w:rPr>
              <w:t>MF</w:t>
            </w:r>
          </w:p>
        </w:tc>
        <w:tc>
          <w:tcPr>
            <w:tcW w:w="786" w:type="pct"/>
            <w:vAlign w:val="center"/>
          </w:tcPr>
          <w:p w14:paraId="605F607B" w14:textId="77777777" w:rsidR="008975CB" w:rsidRPr="006124A7" w:rsidRDefault="008975CB" w:rsidP="00D74B63">
            <w:pPr>
              <w:keepNext/>
              <w:keepLines/>
              <w:jc w:val="center"/>
              <w:rPr>
                <w:rFonts w:ascii="Arial Narrow" w:hAnsi="Arial Narrow" w:cs="Times New Roman"/>
                <w:snapToGrid w:val="0"/>
                <w:sz w:val="20"/>
              </w:rPr>
            </w:pPr>
            <w:r w:rsidRPr="006124A7">
              <w:rPr>
                <w:rFonts w:ascii="Arial Narrow" w:hAnsi="Arial Narrow" w:cs="Times New Roman"/>
                <w:snapToGrid w:val="0"/>
                <w:sz w:val="20"/>
              </w:rPr>
              <w:t>5 (5)</w:t>
            </w:r>
          </w:p>
        </w:tc>
        <w:tc>
          <w:tcPr>
            <w:tcW w:w="629" w:type="pct"/>
            <w:vAlign w:val="center"/>
          </w:tcPr>
          <w:p w14:paraId="460531F7" w14:textId="77777777" w:rsidR="008975CB" w:rsidRPr="006124A7" w:rsidRDefault="008975CB" w:rsidP="00D74B63">
            <w:pPr>
              <w:keepNext/>
              <w:keepLines/>
              <w:jc w:val="center"/>
              <w:rPr>
                <w:rFonts w:ascii="Arial Narrow" w:hAnsi="Arial Narrow" w:cs="Times New Roman"/>
                <w:snapToGrid w:val="0"/>
                <w:sz w:val="20"/>
              </w:rPr>
            </w:pPr>
            <w:r w:rsidRPr="006124A7">
              <w:rPr>
                <w:rFonts w:ascii="Arial Narrow" w:hAnsi="Arial Narrow" w:cs="Times New Roman"/>
                <w:snapToGrid w:val="0"/>
                <w:sz w:val="20"/>
              </w:rPr>
              <w:t>10 (11)</w:t>
            </w:r>
          </w:p>
        </w:tc>
        <w:tc>
          <w:tcPr>
            <w:tcW w:w="864" w:type="pct"/>
            <w:vAlign w:val="center"/>
          </w:tcPr>
          <w:p w14:paraId="505A9E0E" w14:textId="77777777" w:rsidR="008975CB" w:rsidRPr="006124A7" w:rsidRDefault="008975CB" w:rsidP="00D74B63">
            <w:pPr>
              <w:keepNext/>
              <w:keepLines/>
              <w:jc w:val="center"/>
              <w:rPr>
                <w:rFonts w:ascii="Arial Narrow" w:hAnsi="Arial Narrow" w:cs="Times New Roman"/>
                <w:snapToGrid w:val="0"/>
                <w:sz w:val="20"/>
              </w:rPr>
            </w:pPr>
            <w:r w:rsidRPr="006124A7">
              <w:rPr>
                <w:rFonts w:ascii="Arial Narrow" w:hAnsi="Arial Narrow" w:cs="Times New Roman"/>
                <w:snapToGrid w:val="0"/>
                <w:sz w:val="20"/>
              </w:rPr>
              <w:t>0.44 (0.14, 1.34)</w:t>
            </w:r>
          </w:p>
        </w:tc>
        <w:tc>
          <w:tcPr>
            <w:tcW w:w="864" w:type="pct"/>
            <w:vAlign w:val="center"/>
          </w:tcPr>
          <w:p w14:paraId="3F6E6A4F" w14:textId="77777777" w:rsidR="008975CB" w:rsidRPr="006124A7" w:rsidRDefault="008975CB" w:rsidP="00D74B63">
            <w:pPr>
              <w:keepNext/>
              <w:keepLines/>
              <w:jc w:val="center"/>
              <w:rPr>
                <w:rFonts w:ascii="Arial Narrow" w:hAnsi="Arial Narrow" w:cs="Times New Roman"/>
                <w:snapToGrid w:val="0"/>
                <w:sz w:val="20"/>
              </w:rPr>
            </w:pPr>
            <w:r w:rsidRPr="006124A7">
              <w:rPr>
                <w:rFonts w:ascii="Arial Narrow" w:hAnsi="Arial Narrow" w:cs="Times New Roman"/>
                <w:snapToGrid w:val="0"/>
                <w:sz w:val="20"/>
              </w:rPr>
              <w:t>0.47 (0.17, 1.31)</w:t>
            </w:r>
          </w:p>
        </w:tc>
        <w:tc>
          <w:tcPr>
            <w:tcW w:w="917" w:type="pct"/>
            <w:vAlign w:val="center"/>
          </w:tcPr>
          <w:p w14:paraId="09F12FC5" w14:textId="77777777" w:rsidR="008975CB" w:rsidRPr="006124A7" w:rsidRDefault="008975CB" w:rsidP="00D74B63">
            <w:pPr>
              <w:keepNext/>
              <w:keepLines/>
              <w:jc w:val="center"/>
              <w:rPr>
                <w:rFonts w:ascii="Arial Narrow" w:hAnsi="Arial Narrow" w:cs="Times New Roman"/>
                <w:snapToGrid w:val="0"/>
                <w:sz w:val="20"/>
              </w:rPr>
            </w:pPr>
            <w:r w:rsidRPr="006124A7">
              <w:rPr>
                <w:rFonts w:ascii="Arial Narrow" w:hAnsi="Arial Narrow" w:cs="Times New Roman"/>
                <w:snapToGrid w:val="0"/>
                <w:sz w:val="20"/>
              </w:rPr>
              <w:t>-0.06 (-0.14, 0.02)</w:t>
            </w:r>
          </w:p>
        </w:tc>
      </w:tr>
      <w:tr w:rsidR="008975CB" w:rsidRPr="006124A7" w14:paraId="1D1570CC" w14:textId="77777777" w:rsidTr="0F1D33A4">
        <w:tblPrEx>
          <w:tblCellMar>
            <w:left w:w="28" w:type="dxa"/>
            <w:right w:w="28" w:type="dxa"/>
          </w:tblCellMar>
        </w:tblPrEx>
        <w:tc>
          <w:tcPr>
            <w:tcW w:w="5000" w:type="pct"/>
            <w:gridSpan w:val="6"/>
            <w:shd w:val="clear" w:color="auto" w:fill="B8CCE4" w:themeFill="accent1" w:themeFillTint="66"/>
            <w:vAlign w:val="center"/>
          </w:tcPr>
          <w:p w14:paraId="2D4DCF46" w14:textId="77777777" w:rsidR="008975CB" w:rsidRPr="006124A7" w:rsidRDefault="008975CB" w:rsidP="00D74B63">
            <w:pPr>
              <w:keepNext/>
              <w:keepLines/>
              <w:jc w:val="left"/>
              <w:rPr>
                <w:rFonts w:ascii="Arial Narrow" w:hAnsi="Arial Narrow"/>
                <w:b/>
                <w:sz w:val="20"/>
                <w:szCs w:val="18"/>
              </w:rPr>
            </w:pPr>
            <w:r w:rsidRPr="006124A7">
              <w:rPr>
                <w:rFonts w:ascii="Arial Narrow" w:hAnsi="Arial Narrow"/>
                <w:b/>
                <w:sz w:val="20"/>
                <w:szCs w:val="18"/>
              </w:rPr>
              <w:t>AEs reported at 1 year follow up</w:t>
            </w:r>
          </w:p>
        </w:tc>
      </w:tr>
      <w:tr w:rsidR="008975CB" w:rsidRPr="006124A7" w14:paraId="610E2649" w14:textId="77777777" w:rsidTr="0F1D33A4">
        <w:tblPrEx>
          <w:tblCellMar>
            <w:left w:w="28" w:type="dxa"/>
            <w:right w:w="28" w:type="dxa"/>
          </w:tblCellMar>
        </w:tblPrEx>
        <w:tc>
          <w:tcPr>
            <w:tcW w:w="940" w:type="pct"/>
            <w:shd w:val="clear" w:color="auto" w:fill="B8CCE4" w:themeFill="accent1" w:themeFillTint="66"/>
            <w:vAlign w:val="center"/>
          </w:tcPr>
          <w:p w14:paraId="5A94F6B5" w14:textId="77777777" w:rsidR="008975CB" w:rsidRPr="006124A7" w:rsidRDefault="008975CB" w:rsidP="00D74B63">
            <w:pPr>
              <w:keepNext/>
              <w:keepLines/>
              <w:jc w:val="left"/>
              <w:rPr>
                <w:rFonts w:ascii="Arial Narrow" w:hAnsi="Arial Narrow"/>
                <w:sz w:val="20"/>
                <w:szCs w:val="18"/>
              </w:rPr>
            </w:pPr>
          </w:p>
        </w:tc>
        <w:tc>
          <w:tcPr>
            <w:tcW w:w="786" w:type="pct"/>
            <w:shd w:val="clear" w:color="auto" w:fill="B8CCE4" w:themeFill="accent1" w:themeFillTint="66"/>
            <w:vAlign w:val="center"/>
          </w:tcPr>
          <w:p w14:paraId="1FC96B3A" w14:textId="77777777" w:rsidR="008975CB" w:rsidRPr="006124A7" w:rsidRDefault="008975CB" w:rsidP="0F1D33A4">
            <w:pPr>
              <w:keepNext/>
              <w:keepLines/>
              <w:jc w:val="left"/>
              <w:rPr>
                <w:rFonts w:ascii="Arial Narrow" w:hAnsi="Arial Narrow"/>
                <w:b/>
                <w:bCs/>
                <w:sz w:val="20"/>
                <w:szCs w:val="20"/>
              </w:rPr>
            </w:pPr>
            <w:r w:rsidRPr="0F1D33A4">
              <w:rPr>
                <w:rFonts w:ascii="Arial Narrow" w:hAnsi="Arial Narrow"/>
                <w:b/>
                <w:bCs/>
                <w:sz w:val="20"/>
                <w:szCs w:val="20"/>
              </w:rPr>
              <w:t>Ruxolitinib, n/N(%)</w:t>
            </w:r>
          </w:p>
        </w:tc>
        <w:tc>
          <w:tcPr>
            <w:tcW w:w="629" w:type="pct"/>
            <w:shd w:val="clear" w:color="auto" w:fill="B8CCE4" w:themeFill="accent1" w:themeFillTint="66"/>
            <w:vAlign w:val="center"/>
          </w:tcPr>
          <w:p w14:paraId="0D235203" w14:textId="77777777" w:rsidR="008975CB" w:rsidRPr="006124A7" w:rsidRDefault="008975CB" w:rsidP="0F1D33A4">
            <w:pPr>
              <w:keepNext/>
              <w:keepLines/>
              <w:jc w:val="left"/>
              <w:rPr>
                <w:rFonts w:ascii="Arial Narrow" w:hAnsi="Arial Narrow"/>
                <w:b/>
                <w:bCs/>
                <w:sz w:val="20"/>
                <w:szCs w:val="20"/>
              </w:rPr>
            </w:pPr>
            <w:r w:rsidRPr="0F1D33A4">
              <w:rPr>
                <w:rFonts w:ascii="Arial Narrow" w:hAnsi="Arial Narrow"/>
                <w:b/>
                <w:bCs/>
                <w:sz w:val="20"/>
                <w:szCs w:val="20"/>
              </w:rPr>
              <w:t>BAT, n/N(%)</w:t>
            </w:r>
          </w:p>
        </w:tc>
        <w:tc>
          <w:tcPr>
            <w:tcW w:w="864" w:type="pct"/>
            <w:shd w:val="clear" w:color="auto" w:fill="B8CCE4" w:themeFill="accent1" w:themeFillTint="66"/>
            <w:vAlign w:val="center"/>
          </w:tcPr>
          <w:p w14:paraId="1F0DEA93" w14:textId="77777777" w:rsidR="008975CB" w:rsidRPr="006124A7" w:rsidRDefault="008975CB" w:rsidP="00D74B63">
            <w:pPr>
              <w:keepNext/>
              <w:keepLines/>
              <w:jc w:val="left"/>
              <w:rPr>
                <w:rFonts w:ascii="Arial Narrow" w:hAnsi="Arial Narrow"/>
                <w:b/>
                <w:sz w:val="20"/>
                <w:szCs w:val="18"/>
              </w:rPr>
            </w:pPr>
            <w:r w:rsidRPr="006124A7">
              <w:rPr>
                <w:rFonts w:ascii="Arial Narrow" w:hAnsi="Arial Narrow"/>
                <w:b/>
                <w:sz w:val="20"/>
                <w:szCs w:val="18"/>
              </w:rPr>
              <w:t>OR (95%CI)</w:t>
            </w:r>
          </w:p>
        </w:tc>
        <w:tc>
          <w:tcPr>
            <w:tcW w:w="864" w:type="pct"/>
            <w:shd w:val="clear" w:color="auto" w:fill="B8CCE4" w:themeFill="accent1" w:themeFillTint="66"/>
            <w:vAlign w:val="center"/>
          </w:tcPr>
          <w:p w14:paraId="73ECC6B1" w14:textId="77777777" w:rsidR="008975CB" w:rsidRPr="006124A7" w:rsidRDefault="008975CB" w:rsidP="00D74B63">
            <w:pPr>
              <w:keepNext/>
              <w:keepLines/>
              <w:jc w:val="left"/>
              <w:rPr>
                <w:rFonts w:ascii="Arial Narrow" w:hAnsi="Arial Narrow"/>
                <w:b/>
                <w:sz w:val="20"/>
                <w:szCs w:val="18"/>
              </w:rPr>
            </w:pPr>
            <w:r w:rsidRPr="006124A7">
              <w:rPr>
                <w:rFonts w:ascii="Arial Narrow" w:hAnsi="Arial Narrow"/>
                <w:b/>
                <w:sz w:val="20"/>
                <w:szCs w:val="18"/>
              </w:rPr>
              <w:t>RR (95%CI)</w:t>
            </w:r>
          </w:p>
        </w:tc>
        <w:tc>
          <w:tcPr>
            <w:tcW w:w="917" w:type="pct"/>
            <w:shd w:val="clear" w:color="auto" w:fill="B8CCE4" w:themeFill="accent1" w:themeFillTint="66"/>
            <w:vAlign w:val="center"/>
          </w:tcPr>
          <w:p w14:paraId="5D8F6478" w14:textId="77777777" w:rsidR="008975CB" w:rsidRPr="006124A7" w:rsidRDefault="008975CB" w:rsidP="00D74B63">
            <w:pPr>
              <w:keepNext/>
              <w:keepLines/>
              <w:jc w:val="left"/>
              <w:rPr>
                <w:rFonts w:ascii="Arial Narrow" w:hAnsi="Arial Narrow"/>
                <w:b/>
                <w:sz w:val="20"/>
                <w:szCs w:val="18"/>
              </w:rPr>
            </w:pPr>
            <w:r w:rsidRPr="006124A7">
              <w:rPr>
                <w:rFonts w:ascii="Arial Narrow" w:hAnsi="Arial Narrow"/>
                <w:b/>
                <w:sz w:val="20"/>
                <w:szCs w:val="18"/>
              </w:rPr>
              <w:t>RD (95%CI)</w:t>
            </w:r>
          </w:p>
        </w:tc>
      </w:tr>
      <w:tr w:rsidR="008975CB" w:rsidRPr="006124A7" w14:paraId="66BD9D50" w14:textId="77777777" w:rsidTr="0F1D33A4">
        <w:tblPrEx>
          <w:tblCellMar>
            <w:left w:w="28" w:type="dxa"/>
            <w:right w:w="28" w:type="dxa"/>
          </w:tblCellMar>
        </w:tblPrEx>
        <w:tc>
          <w:tcPr>
            <w:tcW w:w="940" w:type="pct"/>
            <w:shd w:val="clear" w:color="auto" w:fill="B8CCE4" w:themeFill="accent1" w:themeFillTint="66"/>
            <w:vAlign w:val="center"/>
          </w:tcPr>
          <w:p w14:paraId="76DF9E6D" w14:textId="7BF6151A" w:rsidR="008975CB" w:rsidRPr="006124A7" w:rsidRDefault="00F87B86" w:rsidP="00D74B63">
            <w:pPr>
              <w:keepNext/>
              <w:keepLines/>
              <w:jc w:val="left"/>
              <w:rPr>
                <w:rFonts w:ascii="Arial Narrow" w:hAnsi="Arial Narrow"/>
                <w:sz w:val="20"/>
                <w:szCs w:val="18"/>
              </w:rPr>
            </w:pPr>
            <w:r>
              <w:rPr>
                <w:rFonts w:ascii="Arial Narrow" w:hAnsi="Arial Narrow"/>
                <w:sz w:val="20"/>
                <w:szCs w:val="18"/>
              </w:rPr>
              <w:t xml:space="preserve"> </w:t>
            </w:r>
            <w:r w:rsidR="008975CB" w:rsidRPr="006124A7">
              <w:rPr>
                <w:rFonts w:ascii="Arial Narrow" w:hAnsi="Arial Narrow"/>
                <w:sz w:val="20"/>
                <w:szCs w:val="18"/>
              </w:rPr>
              <w:t>Grade 3 Anaemia</w:t>
            </w:r>
          </w:p>
        </w:tc>
        <w:tc>
          <w:tcPr>
            <w:tcW w:w="786" w:type="pct"/>
            <w:shd w:val="clear" w:color="auto" w:fill="B8CCE4" w:themeFill="accent1" w:themeFillTint="66"/>
            <w:vAlign w:val="center"/>
          </w:tcPr>
          <w:p w14:paraId="7BCDA89D" w14:textId="77777777" w:rsidR="008975CB" w:rsidRPr="006124A7" w:rsidRDefault="008975CB" w:rsidP="00D74B63">
            <w:pPr>
              <w:keepNext/>
              <w:keepLines/>
              <w:jc w:val="center"/>
              <w:rPr>
                <w:rFonts w:ascii="Arial Narrow" w:hAnsi="Arial Narrow"/>
                <w:sz w:val="20"/>
                <w:szCs w:val="18"/>
              </w:rPr>
            </w:pPr>
            <w:r w:rsidRPr="006124A7">
              <w:rPr>
                <w:rFonts w:ascii="Arial Narrow" w:hAnsi="Arial Narrow"/>
                <w:sz w:val="20"/>
                <w:szCs w:val="18"/>
              </w:rPr>
              <w:t>6/93 (6.5)</w:t>
            </w:r>
          </w:p>
        </w:tc>
        <w:tc>
          <w:tcPr>
            <w:tcW w:w="629" w:type="pct"/>
            <w:shd w:val="clear" w:color="auto" w:fill="B8CCE4" w:themeFill="accent1" w:themeFillTint="66"/>
            <w:vAlign w:val="center"/>
          </w:tcPr>
          <w:p w14:paraId="1BCA9A54" w14:textId="77777777" w:rsidR="008975CB" w:rsidRPr="006124A7" w:rsidRDefault="008975CB" w:rsidP="00D74B63">
            <w:pPr>
              <w:keepNext/>
              <w:keepLines/>
              <w:jc w:val="center"/>
              <w:rPr>
                <w:rFonts w:ascii="Arial Narrow" w:hAnsi="Arial Narrow"/>
                <w:sz w:val="20"/>
                <w:szCs w:val="18"/>
              </w:rPr>
            </w:pPr>
            <w:r w:rsidRPr="006124A7">
              <w:rPr>
                <w:rFonts w:ascii="Arial Narrow" w:hAnsi="Arial Narrow"/>
                <w:sz w:val="20"/>
                <w:szCs w:val="18"/>
              </w:rPr>
              <w:t>1/89 (1.1)</w:t>
            </w:r>
          </w:p>
        </w:tc>
        <w:tc>
          <w:tcPr>
            <w:tcW w:w="864" w:type="pct"/>
            <w:shd w:val="clear" w:color="auto" w:fill="B8CCE4" w:themeFill="accent1" w:themeFillTint="66"/>
            <w:vAlign w:val="center"/>
          </w:tcPr>
          <w:p w14:paraId="468F55C4" w14:textId="77777777" w:rsidR="008975CB" w:rsidRPr="006124A7" w:rsidRDefault="008975CB" w:rsidP="00D74B63">
            <w:pPr>
              <w:keepNext/>
              <w:keepLines/>
              <w:jc w:val="center"/>
              <w:rPr>
                <w:rFonts w:ascii="Arial Narrow" w:hAnsi="Arial Narrow"/>
                <w:sz w:val="20"/>
                <w:szCs w:val="18"/>
              </w:rPr>
            </w:pPr>
            <w:r w:rsidRPr="006124A7">
              <w:rPr>
                <w:rFonts w:ascii="Arial Narrow" w:hAnsi="Arial Narrow"/>
                <w:sz w:val="20"/>
                <w:szCs w:val="18"/>
              </w:rPr>
              <w:t>6.07 (0.71, 282)</w:t>
            </w:r>
          </w:p>
        </w:tc>
        <w:tc>
          <w:tcPr>
            <w:tcW w:w="864" w:type="pct"/>
            <w:shd w:val="clear" w:color="auto" w:fill="B8CCE4" w:themeFill="accent1" w:themeFillTint="66"/>
            <w:vAlign w:val="center"/>
          </w:tcPr>
          <w:p w14:paraId="03DA2476" w14:textId="77777777" w:rsidR="008975CB" w:rsidRPr="006124A7" w:rsidRDefault="008975CB" w:rsidP="00D74B63">
            <w:pPr>
              <w:keepNext/>
              <w:keepLines/>
              <w:jc w:val="center"/>
              <w:rPr>
                <w:rFonts w:ascii="Arial Narrow" w:hAnsi="Arial Narrow"/>
                <w:sz w:val="20"/>
                <w:szCs w:val="18"/>
              </w:rPr>
            </w:pPr>
            <w:r w:rsidRPr="006124A7">
              <w:rPr>
                <w:rFonts w:ascii="Arial Narrow" w:hAnsi="Arial Narrow"/>
                <w:sz w:val="20"/>
                <w:szCs w:val="18"/>
              </w:rPr>
              <w:t>5.74 (0.93, 36.0)</w:t>
            </w:r>
          </w:p>
        </w:tc>
        <w:tc>
          <w:tcPr>
            <w:tcW w:w="917" w:type="pct"/>
            <w:shd w:val="clear" w:color="auto" w:fill="B8CCE4" w:themeFill="accent1" w:themeFillTint="66"/>
            <w:vAlign w:val="center"/>
          </w:tcPr>
          <w:p w14:paraId="62B577B1" w14:textId="77777777" w:rsidR="008975CB" w:rsidRPr="006124A7" w:rsidRDefault="008975CB" w:rsidP="00D74B63">
            <w:pPr>
              <w:keepNext/>
              <w:keepLines/>
              <w:jc w:val="center"/>
              <w:rPr>
                <w:rFonts w:ascii="Arial Narrow" w:hAnsi="Arial Narrow"/>
                <w:sz w:val="20"/>
                <w:szCs w:val="18"/>
              </w:rPr>
            </w:pPr>
            <w:r w:rsidRPr="006124A7">
              <w:rPr>
                <w:rFonts w:ascii="Arial Narrow" w:hAnsi="Arial Narrow"/>
                <w:sz w:val="20"/>
                <w:szCs w:val="18"/>
              </w:rPr>
              <w:t>0.05 (-0.004, 0.12)</w:t>
            </w:r>
          </w:p>
        </w:tc>
      </w:tr>
      <w:tr w:rsidR="008975CB" w:rsidRPr="006124A7" w14:paraId="1ADAACA7" w14:textId="77777777" w:rsidTr="0F1D33A4">
        <w:tblPrEx>
          <w:tblCellMar>
            <w:left w:w="28" w:type="dxa"/>
            <w:right w:w="28" w:type="dxa"/>
          </w:tblCellMar>
        </w:tblPrEx>
        <w:tc>
          <w:tcPr>
            <w:tcW w:w="940" w:type="pct"/>
            <w:shd w:val="clear" w:color="auto" w:fill="B8CCE4" w:themeFill="accent1" w:themeFillTint="66"/>
            <w:vAlign w:val="center"/>
          </w:tcPr>
          <w:p w14:paraId="1348E201" w14:textId="1DA28FC7" w:rsidR="008975CB" w:rsidRPr="006124A7" w:rsidRDefault="00F87B86" w:rsidP="00D74B63">
            <w:pPr>
              <w:keepNext/>
              <w:keepLines/>
              <w:jc w:val="left"/>
              <w:rPr>
                <w:rFonts w:ascii="Arial Narrow" w:hAnsi="Arial Narrow"/>
                <w:sz w:val="20"/>
                <w:szCs w:val="18"/>
              </w:rPr>
            </w:pPr>
            <w:r>
              <w:rPr>
                <w:rFonts w:ascii="Arial Narrow" w:hAnsi="Arial Narrow"/>
                <w:sz w:val="20"/>
                <w:szCs w:val="18"/>
              </w:rPr>
              <w:t xml:space="preserve"> </w:t>
            </w:r>
            <w:r w:rsidR="008975CB" w:rsidRPr="006124A7">
              <w:rPr>
                <w:rFonts w:ascii="Arial Narrow" w:hAnsi="Arial Narrow"/>
                <w:sz w:val="20"/>
                <w:szCs w:val="18"/>
              </w:rPr>
              <w:t>Grade 4</w:t>
            </w:r>
          </w:p>
          <w:p w14:paraId="6E12EEF7" w14:textId="44927817" w:rsidR="008975CB" w:rsidRPr="006124A7" w:rsidRDefault="00F87B86" w:rsidP="00D74B63">
            <w:pPr>
              <w:keepNext/>
              <w:keepLines/>
              <w:jc w:val="left"/>
              <w:rPr>
                <w:rFonts w:ascii="Arial Narrow" w:hAnsi="Arial Narrow"/>
                <w:sz w:val="20"/>
                <w:szCs w:val="18"/>
              </w:rPr>
            </w:pPr>
            <w:r>
              <w:rPr>
                <w:rFonts w:ascii="Arial Narrow" w:hAnsi="Arial Narrow"/>
                <w:sz w:val="20"/>
                <w:szCs w:val="18"/>
              </w:rPr>
              <w:t xml:space="preserve"> </w:t>
            </w:r>
            <w:r w:rsidR="008975CB" w:rsidRPr="006124A7">
              <w:rPr>
                <w:rFonts w:ascii="Arial Narrow" w:hAnsi="Arial Narrow"/>
                <w:sz w:val="20"/>
                <w:szCs w:val="18"/>
              </w:rPr>
              <w:t>thrombocytopenia</w:t>
            </w:r>
          </w:p>
        </w:tc>
        <w:tc>
          <w:tcPr>
            <w:tcW w:w="786" w:type="pct"/>
            <w:shd w:val="clear" w:color="auto" w:fill="B8CCE4" w:themeFill="accent1" w:themeFillTint="66"/>
            <w:vAlign w:val="center"/>
          </w:tcPr>
          <w:p w14:paraId="6766792E" w14:textId="77777777" w:rsidR="008975CB" w:rsidRPr="006124A7" w:rsidRDefault="008975CB" w:rsidP="00D74B63">
            <w:pPr>
              <w:keepNext/>
              <w:keepLines/>
              <w:jc w:val="center"/>
              <w:rPr>
                <w:rFonts w:ascii="Arial Narrow" w:hAnsi="Arial Narrow"/>
                <w:sz w:val="20"/>
                <w:szCs w:val="18"/>
              </w:rPr>
            </w:pPr>
            <w:r w:rsidRPr="006124A7">
              <w:rPr>
                <w:rFonts w:ascii="Arial Narrow" w:hAnsi="Arial Narrow"/>
                <w:sz w:val="20"/>
                <w:szCs w:val="18"/>
              </w:rPr>
              <w:t>1/93 (1.1)</w:t>
            </w:r>
          </w:p>
        </w:tc>
        <w:tc>
          <w:tcPr>
            <w:tcW w:w="629" w:type="pct"/>
            <w:shd w:val="clear" w:color="auto" w:fill="B8CCE4" w:themeFill="accent1" w:themeFillTint="66"/>
            <w:vAlign w:val="center"/>
          </w:tcPr>
          <w:p w14:paraId="6143D8DD" w14:textId="77777777" w:rsidR="008975CB" w:rsidRPr="006124A7" w:rsidRDefault="008975CB" w:rsidP="00D74B63">
            <w:pPr>
              <w:keepNext/>
              <w:keepLines/>
              <w:jc w:val="center"/>
              <w:rPr>
                <w:rFonts w:ascii="Arial Narrow" w:hAnsi="Arial Narrow"/>
                <w:sz w:val="20"/>
                <w:szCs w:val="18"/>
              </w:rPr>
            </w:pPr>
            <w:r w:rsidRPr="006124A7">
              <w:rPr>
                <w:rFonts w:ascii="Arial Narrow" w:hAnsi="Arial Narrow"/>
                <w:sz w:val="20"/>
                <w:szCs w:val="18"/>
              </w:rPr>
              <w:t>0/89 (0)</w:t>
            </w:r>
          </w:p>
        </w:tc>
        <w:tc>
          <w:tcPr>
            <w:tcW w:w="864" w:type="pct"/>
            <w:shd w:val="clear" w:color="auto" w:fill="B8CCE4" w:themeFill="accent1" w:themeFillTint="66"/>
            <w:vAlign w:val="center"/>
          </w:tcPr>
          <w:p w14:paraId="02E3797F" w14:textId="77777777" w:rsidR="008975CB" w:rsidRPr="006124A7" w:rsidRDefault="008975CB" w:rsidP="00D74B63">
            <w:pPr>
              <w:keepNext/>
              <w:keepLines/>
              <w:jc w:val="center"/>
              <w:rPr>
                <w:rFonts w:ascii="Arial Narrow" w:hAnsi="Arial Narrow"/>
                <w:sz w:val="20"/>
                <w:szCs w:val="18"/>
              </w:rPr>
            </w:pPr>
            <w:r w:rsidRPr="006124A7">
              <w:rPr>
                <w:rFonts w:ascii="Arial Narrow" w:hAnsi="Arial Narrow"/>
                <w:sz w:val="20"/>
                <w:szCs w:val="18"/>
              </w:rPr>
              <w:t>2.90 (0.18, Inf)</w:t>
            </w:r>
          </w:p>
        </w:tc>
        <w:tc>
          <w:tcPr>
            <w:tcW w:w="864" w:type="pct"/>
            <w:shd w:val="clear" w:color="auto" w:fill="B8CCE4" w:themeFill="accent1" w:themeFillTint="66"/>
            <w:vAlign w:val="center"/>
          </w:tcPr>
          <w:p w14:paraId="6BB89D21" w14:textId="77777777" w:rsidR="008975CB" w:rsidRPr="006124A7" w:rsidRDefault="008975CB" w:rsidP="00D74B63">
            <w:pPr>
              <w:keepNext/>
              <w:keepLines/>
              <w:jc w:val="center"/>
              <w:rPr>
                <w:rFonts w:ascii="Arial Narrow" w:hAnsi="Arial Narrow"/>
                <w:sz w:val="20"/>
                <w:szCs w:val="18"/>
              </w:rPr>
            </w:pPr>
            <w:r w:rsidRPr="006124A7">
              <w:rPr>
                <w:rFonts w:ascii="Arial Narrow" w:hAnsi="Arial Narrow"/>
                <w:sz w:val="20"/>
                <w:szCs w:val="18"/>
              </w:rPr>
              <w:t>2.87 (0.25, inf)</w:t>
            </w:r>
          </w:p>
        </w:tc>
        <w:tc>
          <w:tcPr>
            <w:tcW w:w="917" w:type="pct"/>
            <w:shd w:val="clear" w:color="auto" w:fill="B8CCE4" w:themeFill="accent1" w:themeFillTint="66"/>
            <w:vAlign w:val="center"/>
          </w:tcPr>
          <w:p w14:paraId="2470EA56" w14:textId="77777777" w:rsidR="008975CB" w:rsidRPr="006124A7" w:rsidRDefault="008975CB" w:rsidP="00D74B63">
            <w:pPr>
              <w:keepNext/>
              <w:keepLines/>
              <w:jc w:val="center"/>
              <w:rPr>
                <w:rFonts w:ascii="Arial Narrow" w:hAnsi="Arial Narrow"/>
                <w:sz w:val="20"/>
                <w:szCs w:val="18"/>
              </w:rPr>
            </w:pPr>
            <w:r w:rsidRPr="006124A7">
              <w:rPr>
                <w:rFonts w:ascii="Arial Narrow" w:hAnsi="Arial Narrow"/>
                <w:sz w:val="20"/>
                <w:szCs w:val="18"/>
              </w:rPr>
              <w:t>0.011 (-0.031, 0.059)</w:t>
            </w:r>
          </w:p>
        </w:tc>
      </w:tr>
      <w:tr w:rsidR="008975CB" w:rsidRPr="006124A7" w14:paraId="5BE1CA73" w14:textId="77777777" w:rsidTr="0F1D33A4">
        <w:tblPrEx>
          <w:tblCellMar>
            <w:left w:w="28" w:type="dxa"/>
            <w:right w:w="28" w:type="dxa"/>
          </w:tblCellMar>
        </w:tblPrEx>
        <w:tc>
          <w:tcPr>
            <w:tcW w:w="940" w:type="pct"/>
            <w:shd w:val="clear" w:color="auto" w:fill="B8CCE4" w:themeFill="accent1" w:themeFillTint="66"/>
            <w:vAlign w:val="center"/>
          </w:tcPr>
          <w:p w14:paraId="521E3A1D" w14:textId="5B7E9F35" w:rsidR="008975CB" w:rsidRPr="006124A7" w:rsidRDefault="00F87B86" w:rsidP="00D74B63">
            <w:pPr>
              <w:keepNext/>
              <w:keepLines/>
              <w:jc w:val="left"/>
              <w:rPr>
                <w:rFonts w:ascii="Arial Narrow" w:hAnsi="Arial Narrow"/>
                <w:sz w:val="20"/>
                <w:szCs w:val="18"/>
              </w:rPr>
            </w:pPr>
            <w:r>
              <w:rPr>
                <w:rFonts w:ascii="Arial Narrow" w:hAnsi="Arial Narrow"/>
                <w:sz w:val="20"/>
                <w:szCs w:val="18"/>
              </w:rPr>
              <w:t xml:space="preserve"> </w:t>
            </w:r>
            <w:r w:rsidR="008975CB" w:rsidRPr="006124A7">
              <w:rPr>
                <w:rFonts w:ascii="Arial Narrow" w:hAnsi="Arial Narrow"/>
                <w:sz w:val="20"/>
                <w:szCs w:val="18"/>
              </w:rPr>
              <w:t>Grade 3 infection</w:t>
            </w:r>
          </w:p>
        </w:tc>
        <w:tc>
          <w:tcPr>
            <w:tcW w:w="786" w:type="pct"/>
            <w:shd w:val="clear" w:color="auto" w:fill="B8CCE4" w:themeFill="accent1" w:themeFillTint="66"/>
            <w:vAlign w:val="center"/>
          </w:tcPr>
          <w:p w14:paraId="6CA85442" w14:textId="77777777" w:rsidR="008975CB" w:rsidRPr="006124A7" w:rsidRDefault="008975CB" w:rsidP="00D74B63">
            <w:pPr>
              <w:keepNext/>
              <w:keepLines/>
              <w:jc w:val="center"/>
              <w:rPr>
                <w:rFonts w:ascii="Arial Narrow" w:hAnsi="Arial Narrow"/>
                <w:sz w:val="20"/>
                <w:szCs w:val="18"/>
              </w:rPr>
            </w:pPr>
            <w:r w:rsidRPr="006124A7">
              <w:rPr>
                <w:rFonts w:ascii="Arial Narrow" w:hAnsi="Arial Narrow"/>
                <w:sz w:val="20"/>
                <w:szCs w:val="18"/>
              </w:rPr>
              <w:t>8/93 (8.6)</w:t>
            </w:r>
          </w:p>
        </w:tc>
        <w:tc>
          <w:tcPr>
            <w:tcW w:w="629" w:type="pct"/>
            <w:shd w:val="clear" w:color="auto" w:fill="B8CCE4" w:themeFill="accent1" w:themeFillTint="66"/>
            <w:vAlign w:val="center"/>
          </w:tcPr>
          <w:p w14:paraId="10B54D22" w14:textId="77777777" w:rsidR="008975CB" w:rsidRPr="006124A7" w:rsidRDefault="008975CB" w:rsidP="00D74B63">
            <w:pPr>
              <w:keepNext/>
              <w:keepLines/>
              <w:jc w:val="center"/>
              <w:rPr>
                <w:rFonts w:ascii="Arial Narrow" w:hAnsi="Arial Narrow"/>
                <w:sz w:val="20"/>
                <w:szCs w:val="18"/>
              </w:rPr>
            </w:pPr>
            <w:r w:rsidRPr="006124A7">
              <w:rPr>
                <w:rFonts w:ascii="Arial Narrow" w:hAnsi="Arial Narrow"/>
                <w:sz w:val="20"/>
                <w:szCs w:val="18"/>
              </w:rPr>
              <w:t>2/89 (2.2)</w:t>
            </w:r>
          </w:p>
        </w:tc>
        <w:tc>
          <w:tcPr>
            <w:tcW w:w="864" w:type="pct"/>
            <w:shd w:val="clear" w:color="auto" w:fill="B8CCE4" w:themeFill="accent1" w:themeFillTint="66"/>
            <w:vAlign w:val="center"/>
          </w:tcPr>
          <w:p w14:paraId="165CCD39" w14:textId="77777777" w:rsidR="008975CB" w:rsidRPr="006124A7" w:rsidRDefault="008975CB" w:rsidP="00D74B63">
            <w:pPr>
              <w:keepNext/>
              <w:keepLines/>
              <w:jc w:val="center"/>
              <w:rPr>
                <w:rFonts w:ascii="Arial Narrow" w:hAnsi="Arial Narrow"/>
                <w:sz w:val="20"/>
                <w:szCs w:val="18"/>
              </w:rPr>
            </w:pPr>
            <w:r w:rsidRPr="006124A7">
              <w:rPr>
                <w:rFonts w:ascii="Arial Narrow" w:hAnsi="Arial Narrow"/>
                <w:sz w:val="20"/>
                <w:szCs w:val="18"/>
              </w:rPr>
              <w:t>4.09 (0.78, 40.4)</w:t>
            </w:r>
          </w:p>
        </w:tc>
        <w:tc>
          <w:tcPr>
            <w:tcW w:w="864" w:type="pct"/>
            <w:shd w:val="clear" w:color="auto" w:fill="B8CCE4" w:themeFill="accent1" w:themeFillTint="66"/>
            <w:vAlign w:val="center"/>
          </w:tcPr>
          <w:p w14:paraId="0139BC35" w14:textId="77777777" w:rsidR="008975CB" w:rsidRPr="006124A7" w:rsidRDefault="008975CB" w:rsidP="00D74B63">
            <w:pPr>
              <w:keepNext/>
              <w:keepLines/>
              <w:jc w:val="center"/>
              <w:rPr>
                <w:rFonts w:ascii="Arial Narrow" w:hAnsi="Arial Narrow"/>
                <w:sz w:val="20"/>
                <w:szCs w:val="18"/>
              </w:rPr>
            </w:pPr>
            <w:r w:rsidRPr="006124A7">
              <w:rPr>
                <w:rFonts w:ascii="Arial Narrow" w:hAnsi="Arial Narrow"/>
                <w:sz w:val="20"/>
                <w:szCs w:val="18"/>
              </w:rPr>
              <w:t>3.83 (0.95, 15.68)</w:t>
            </w:r>
          </w:p>
        </w:tc>
        <w:tc>
          <w:tcPr>
            <w:tcW w:w="917" w:type="pct"/>
            <w:shd w:val="clear" w:color="auto" w:fill="B8CCE4" w:themeFill="accent1" w:themeFillTint="66"/>
            <w:vAlign w:val="center"/>
          </w:tcPr>
          <w:p w14:paraId="1EF5EF15" w14:textId="77777777" w:rsidR="008975CB" w:rsidRPr="006124A7" w:rsidRDefault="008975CB" w:rsidP="00D74B63">
            <w:pPr>
              <w:keepNext/>
              <w:keepLines/>
              <w:jc w:val="center"/>
              <w:rPr>
                <w:rFonts w:ascii="Arial Narrow" w:hAnsi="Arial Narrow"/>
                <w:sz w:val="20"/>
                <w:szCs w:val="18"/>
              </w:rPr>
            </w:pPr>
            <w:r w:rsidRPr="006124A7">
              <w:rPr>
                <w:rFonts w:ascii="Arial Narrow" w:hAnsi="Arial Narrow"/>
                <w:sz w:val="20"/>
                <w:szCs w:val="18"/>
              </w:rPr>
              <w:t>0.064 (-0.003, 0.142)</w:t>
            </w:r>
          </w:p>
        </w:tc>
      </w:tr>
      <w:tr w:rsidR="008975CB" w:rsidRPr="006124A7" w14:paraId="158902C7" w14:textId="77777777" w:rsidTr="0F1D33A4">
        <w:tblPrEx>
          <w:tblCellMar>
            <w:left w:w="28" w:type="dxa"/>
            <w:right w:w="28" w:type="dxa"/>
          </w:tblCellMar>
        </w:tblPrEx>
        <w:tc>
          <w:tcPr>
            <w:tcW w:w="940" w:type="pct"/>
            <w:shd w:val="clear" w:color="auto" w:fill="B8CCE4" w:themeFill="accent1" w:themeFillTint="66"/>
            <w:vAlign w:val="center"/>
          </w:tcPr>
          <w:p w14:paraId="0020909C" w14:textId="7A8280E8" w:rsidR="008975CB" w:rsidRPr="006124A7" w:rsidRDefault="00F87B86" w:rsidP="00D74B63">
            <w:pPr>
              <w:keepNext/>
              <w:keepLines/>
              <w:jc w:val="left"/>
              <w:rPr>
                <w:rFonts w:ascii="Arial Narrow" w:hAnsi="Arial Narrow"/>
                <w:sz w:val="20"/>
                <w:szCs w:val="18"/>
              </w:rPr>
            </w:pPr>
            <w:r>
              <w:rPr>
                <w:rFonts w:ascii="Arial Narrow" w:hAnsi="Arial Narrow"/>
                <w:sz w:val="20"/>
                <w:szCs w:val="18"/>
              </w:rPr>
              <w:t xml:space="preserve"> </w:t>
            </w:r>
            <w:r w:rsidR="008975CB" w:rsidRPr="006124A7">
              <w:rPr>
                <w:rFonts w:ascii="Arial Narrow" w:hAnsi="Arial Narrow"/>
                <w:sz w:val="20"/>
                <w:szCs w:val="18"/>
              </w:rPr>
              <w:t>Grade 4 infection</w:t>
            </w:r>
          </w:p>
        </w:tc>
        <w:tc>
          <w:tcPr>
            <w:tcW w:w="786" w:type="pct"/>
            <w:shd w:val="clear" w:color="auto" w:fill="B8CCE4" w:themeFill="accent1" w:themeFillTint="66"/>
            <w:vAlign w:val="center"/>
          </w:tcPr>
          <w:p w14:paraId="7C585EF9" w14:textId="77777777" w:rsidR="008975CB" w:rsidRPr="006124A7" w:rsidRDefault="008975CB" w:rsidP="00D74B63">
            <w:pPr>
              <w:keepNext/>
              <w:keepLines/>
              <w:jc w:val="center"/>
              <w:rPr>
                <w:rFonts w:ascii="Arial Narrow" w:hAnsi="Arial Narrow"/>
                <w:sz w:val="20"/>
                <w:szCs w:val="18"/>
              </w:rPr>
            </w:pPr>
            <w:r w:rsidRPr="006124A7">
              <w:rPr>
                <w:rFonts w:ascii="Arial Narrow" w:hAnsi="Arial Narrow"/>
                <w:sz w:val="20"/>
                <w:szCs w:val="18"/>
              </w:rPr>
              <w:t>2/93 (2.2)</w:t>
            </w:r>
          </w:p>
        </w:tc>
        <w:tc>
          <w:tcPr>
            <w:tcW w:w="629" w:type="pct"/>
            <w:shd w:val="clear" w:color="auto" w:fill="B8CCE4" w:themeFill="accent1" w:themeFillTint="66"/>
            <w:vAlign w:val="center"/>
          </w:tcPr>
          <w:p w14:paraId="65408066" w14:textId="77777777" w:rsidR="008975CB" w:rsidRPr="006124A7" w:rsidRDefault="008975CB" w:rsidP="00D74B63">
            <w:pPr>
              <w:keepNext/>
              <w:keepLines/>
              <w:jc w:val="center"/>
              <w:rPr>
                <w:rFonts w:ascii="Arial Narrow" w:hAnsi="Arial Narrow"/>
                <w:sz w:val="20"/>
                <w:szCs w:val="18"/>
              </w:rPr>
            </w:pPr>
            <w:r w:rsidRPr="006124A7">
              <w:rPr>
                <w:rFonts w:ascii="Arial Narrow" w:hAnsi="Arial Narrow"/>
                <w:sz w:val="20"/>
                <w:szCs w:val="18"/>
              </w:rPr>
              <w:t>3/89 (3.4)</w:t>
            </w:r>
          </w:p>
        </w:tc>
        <w:tc>
          <w:tcPr>
            <w:tcW w:w="864" w:type="pct"/>
            <w:shd w:val="clear" w:color="auto" w:fill="B8CCE4" w:themeFill="accent1" w:themeFillTint="66"/>
            <w:vAlign w:val="center"/>
          </w:tcPr>
          <w:p w14:paraId="768AC0B6" w14:textId="77777777" w:rsidR="008975CB" w:rsidRPr="006124A7" w:rsidRDefault="008975CB" w:rsidP="00D74B63">
            <w:pPr>
              <w:keepNext/>
              <w:keepLines/>
              <w:jc w:val="center"/>
              <w:rPr>
                <w:rFonts w:ascii="Arial Narrow" w:hAnsi="Arial Narrow"/>
                <w:sz w:val="20"/>
                <w:szCs w:val="18"/>
              </w:rPr>
            </w:pPr>
            <w:r w:rsidRPr="006124A7">
              <w:rPr>
                <w:rFonts w:ascii="Arial Narrow" w:hAnsi="Arial Narrow"/>
                <w:sz w:val="20"/>
                <w:szCs w:val="18"/>
              </w:rPr>
              <w:t>0.63 (0.05, 5.65)</w:t>
            </w:r>
          </w:p>
        </w:tc>
        <w:tc>
          <w:tcPr>
            <w:tcW w:w="864" w:type="pct"/>
            <w:shd w:val="clear" w:color="auto" w:fill="B8CCE4" w:themeFill="accent1" w:themeFillTint="66"/>
            <w:vAlign w:val="center"/>
          </w:tcPr>
          <w:p w14:paraId="44100964" w14:textId="77777777" w:rsidR="008975CB" w:rsidRPr="006124A7" w:rsidRDefault="008975CB" w:rsidP="00D74B63">
            <w:pPr>
              <w:keepNext/>
              <w:keepLines/>
              <w:jc w:val="center"/>
              <w:rPr>
                <w:rFonts w:ascii="Arial Narrow" w:hAnsi="Arial Narrow"/>
                <w:sz w:val="20"/>
                <w:szCs w:val="18"/>
              </w:rPr>
            </w:pPr>
            <w:r w:rsidRPr="006124A7">
              <w:rPr>
                <w:rFonts w:ascii="Arial Narrow" w:hAnsi="Arial Narrow"/>
                <w:sz w:val="20"/>
                <w:szCs w:val="18"/>
              </w:rPr>
              <w:t>0.64 (0.13, 3.13)</w:t>
            </w:r>
          </w:p>
        </w:tc>
        <w:tc>
          <w:tcPr>
            <w:tcW w:w="917" w:type="pct"/>
            <w:shd w:val="clear" w:color="auto" w:fill="B8CCE4" w:themeFill="accent1" w:themeFillTint="66"/>
            <w:vAlign w:val="center"/>
          </w:tcPr>
          <w:p w14:paraId="36452429" w14:textId="77777777" w:rsidR="008975CB" w:rsidRPr="006124A7" w:rsidRDefault="008975CB" w:rsidP="00D74B63">
            <w:pPr>
              <w:keepNext/>
              <w:keepLines/>
              <w:jc w:val="center"/>
              <w:rPr>
                <w:rFonts w:ascii="Arial Narrow" w:hAnsi="Arial Narrow"/>
                <w:sz w:val="20"/>
                <w:szCs w:val="18"/>
              </w:rPr>
            </w:pPr>
            <w:r w:rsidRPr="006124A7">
              <w:rPr>
                <w:rFonts w:ascii="Arial Narrow" w:hAnsi="Arial Narrow"/>
                <w:sz w:val="20"/>
                <w:szCs w:val="18"/>
              </w:rPr>
              <w:t>-0.012 (-0.076, 0.046)</w:t>
            </w:r>
          </w:p>
        </w:tc>
      </w:tr>
    </w:tbl>
    <w:p w14:paraId="443C4384" w14:textId="72D7CAF2" w:rsidR="008975CB" w:rsidRPr="006124A7" w:rsidRDefault="008975CB" w:rsidP="0F1D33A4">
      <w:pPr>
        <w:keepNext/>
        <w:keepLines/>
        <w:spacing w:after="120"/>
        <w:contextualSpacing/>
        <w:jc w:val="left"/>
        <w:rPr>
          <w:rFonts w:ascii="Arial Narrow" w:hAnsi="Arial Narrow"/>
          <w:snapToGrid w:val="0"/>
          <w:sz w:val="18"/>
          <w:szCs w:val="18"/>
        </w:rPr>
      </w:pPr>
      <w:r w:rsidRPr="0F1D33A4">
        <w:rPr>
          <w:rFonts w:ascii="Arial Narrow" w:hAnsi="Arial Narrow"/>
          <w:snapToGrid w:val="0"/>
          <w:sz w:val="18"/>
          <w:szCs w:val="18"/>
        </w:rPr>
        <w:t>Source: Table 2.21, p126 of resubmission, Table 2.22, p127 of resubmission, Harrison et al</w:t>
      </w:r>
      <w:r w:rsidR="000D2D7F" w:rsidRPr="0F1D33A4">
        <w:rPr>
          <w:rFonts w:ascii="Arial Narrow" w:hAnsi="Arial Narrow"/>
          <w:snapToGrid w:val="0"/>
          <w:sz w:val="18"/>
          <w:szCs w:val="18"/>
        </w:rPr>
        <w:t>.,</w:t>
      </w:r>
      <w:r w:rsidRPr="0F1D33A4">
        <w:rPr>
          <w:rFonts w:ascii="Arial Narrow" w:hAnsi="Arial Narrow"/>
          <w:snapToGrid w:val="0"/>
          <w:sz w:val="18"/>
          <w:szCs w:val="18"/>
        </w:rPr>
        <w:t xml:space="preserve"> 2023 and p97 of previous submission</w:t>
      </w:r>
    </w:p>
    <w:p w14:paraId="56F6F3C5" w14:textId="77777777" w:rsidR="008975CB" w:rsidRPr="006124A7" w:rsidRDefault="008975CB" w:rsidP="0F1D33A4">
      <w:pPr>
        <w:keepNext/>
        <w:keepLines/>
        <w:spacing w:after="120"/>
        <w:contextualSpacing/>
        <w:jc w:val="left"/>
        <w:rPr>
          <w:rFonts w:ascii="Arial Narrow" w:hAnsi="Arial Narrow"/>
          <w:snapToGrid w:val="0"/>
          <w:sz w:val="18"/>
          <w:szCs w:val="18"/>
        </w:rPr>
      </w:pPr>
      <w:r w:rsidRPr="0F1D33A4">
        <w:rPr>
          <w:rFonts w:ascii="Arial Narrow" w:hAnsi="Arial Narrow"/>
          <w:snapToGrid w:val="0"/>
          <w:sz w:val="18"/>
          <w:szCs w:val="18"/>
        </w:rPr>
        <w:t>Abbreviations: AE, adverse event; AML, acute myeloid leukaemia; BAT, best available therapy; CI, confidence interval; Inf, infinity; MF, Myelofibrosis; OR, odds ratio; RD, risk difference; RR, risk ratio.</w:t>
      </w:r>
    </w:p>
    <w:p w14:paraId="5AF2BE15" w14:textId="77777777" w:rsidR="008975CB" w:rsidRPr="006124A7" w:rsidRDefault="008975CB" w:rsidP="00D74B63">
      <w:pPr>
        <w:keepNext/>
        <w:keepLines/>
        <w:spacing w:after="120"/>
        <w:contextualSpacing/>
        <w:jc w:val="left"/>
        <w:rPr>
          <w:rFonts w:ascii="Arial Narrow" w:hAnsi="Arial Narrow"/>
          <w:snapToGrid w:val="0"/>
          <w:sz w:val="18"/>
          <w:szCs w:val="22"/>
        </w:rPr>
      </w:pPr>
      <w:r w:rsidRPr="006124A7">
        <w:rPr>
          <w:rFonts w:ascii="Arial Narrow" w:hAnsi="Arial Narrow"/>
          <w:snapToGrid w:val="0"/>
          <w:sz w:val="18"/>
          <w:szCs w:val="22"/>
          <w:vertAlign w:val="superscript"/>
        </w:rPr>
        <w:t>a</w:t>
      </w:r>
      <w:r w:rsidRPr="006124A7">
        <w:rPr>
          <w:rFonts w:ascii="Arial Narrow" w:hAnsi="Arial Narrow"/>
          <w:snapToGrid w:val="0"/>
          <w:sz w:val="18"/>
          <w:szCs w:val="22"/>
        </w:rPr>
        <w:t xml:space="preserve"> Calculated for the resubmission using the Mantel-Haenszel statistical method with a fixed effect model.</w:t>
      </w:r>
    </w:p>
    <w:p w14:paraId="2D730C96" w14:textId="77777777" w:rsidR="008975CB" w:rsidRPr="006124A7" w:rsidRDefault="008975CB" w:rsidP="0F1D33A4">
      <w:pPr>
        <w:keepNext/>
        <w:keepLines/>
        <w:spacing w:after="120"/>
        <w:contextualSpacing/>
        <w:jc w:val="left"/>
        <w:rPr>
          <w:rFonts w:ascii="Arial Narrow" w:hAnsi="Arial Narrow"/>
          <w:snapToGrid w:val="0"/>
          <w:sz w:val="18"/>
          <w:szCs w:val="18"/>
        </w:rPr>
      </w:pPr>
      <w:r w:rsidRPr="0F1D33A4">
        <w:rPr>
          <w:rFonts w:ascii="Arial Narrow" w:hAnsi="Arial Narrow"/>
          <w:snapToGrid w:val="0"/>
          <w:sz w:val="18"/>
          <w:szCs w:val="18"/>
        </w:rPr>
        <w:t>Note: Text in italics indicate values calculated with statsdirect during evaluation of previous submission.</w:t>
      </w:r>
    </w:p>
    <w:p w14:paraId="31B6B1FB" w14:textId="77777777" w:rsidR="008975CB" w:rsidRPr="006124A7" w:rsidRDefault="008975CB" w:rsidP="0F1D33A4">
      <w:pPr>
        <w:keepNext/>
        <w:keepLines/>
        <w:spacing w:after="120"/>
        <w:contextualSpacing/>
        <w:jc w:val="left"/>
        <w:rPr>
          <w:rFonts w:ascii="Arial Narrow" w:hAnsi="Arial Narrow"/>
          <w:snapToGrid w:val="0"/>
          <w:sz w:val="18"/>
          <w:szCs w:val="18"/>
        </w:rPr>
      </w:pPr>
      <w:r w:rsidRPr="0F1D33A4">
        <w:rPr>
          <w:rFonts w:ascii="Arial Narrow" w:hAnsi="Arial Narrow"/>
          <w:snapToGrid w:val="0"/>
          <w:sz w:val="18"/>
          <w:szCs w:val="18"/>
          <w:shd w:val="clear" w:color="auto" w:fill="B8CCE4" w:themeFill="accent1" w:themeFillTint="66"/>
        </w:rPr>
        <w:t>Blue shading</w:t>
      </w:r>
      <w:r w:rsidRPr="0F1D33A4">
        <w:rPr>
          <w:rFonts w:ascii="Arial Narrow" w:hAnsi="Arial Narrow"/>
          <w:snapToGrid w:val="0"/>
          <w:sz w:val="18"/>
          <w:szCs w:val="18"/>
        </w:rPr>
        <w:t xml:space="preserve"> indicated values previously seen by PBAC.</w:t>
      </w:r>
    </w:p>
    <w:p w14:paraId="48D6BBB5" w14:textId="03AD93BB" w:rsidR="008975CB" w:rsidRPr="006124A7" w:rsidRDefault="008975CB" w:rsidP="00201BA7">
      <w:pPr>
        <w:pStyle w:val="3-BodyText"/>
      </w:pPr>
      <w:r w:rsidRPr="008975CB">
        <w:t xml:space="preserve">By </w:t>
      </w:r>
      <w:r w:rsidRPr="006124A7">
        <w:t>the end of the 5-year follow up period, more than half of the patients in the safety population experienced a Grade 3-5 AE and serious adverse event (SAE) in each treatment group in MAJIC. The proportion</w:t>
      </w:r>
      <w:r w:rsidR="00BF1C62">
        <w:t>s</w:t>
      </w:r>
      <w:r w:rsidRPr="006124A7">
        <w:t xml:space="preserve"> of patients who either experienced a Grade 3-5 AEs, SAE or death were similar across arms with no significant differences. </w:t>
      </w:r>
    </w:p>
    <w:p w14:paraId="231EF9B9" w14:textId="77777777" w:rsidR="008975CB" w:rsidRPr="006124A7" w:rsidRDefault="008975CB" w:rsidP="00201BA7">
      <w:pPr>
        <w:pStyle w:val="3-BodyText"/>
      </w:pPr>
      <w:r w:rsidRPr="0910F2D2">
        <w:t>Whilst overall the percentage of transformations in the two treatment groups in MAJIC were similar (10% in ruxolitinib vs 13% in BAT), a higher percentage of BAT patients experienced myelofibrosis (11% vs 5%), and for the ruxolitinib-arm, AML was more prevalent (4% vs 0%).</w:t>
      </w:r>
    </w:p>
    <w:p w14:paraId="765EF95B" w14:textId="51CF4DDC" w:rsidR="008975CB" w:rsidRPr="008975CB" w:rsidRDefault="008975CB" w:rsidP="00201BA7">
      <w:pPr>
        <w:pStyle w:val="3-BodyText"/>
      </w:pPr>
      <w:r w:rsidRPr="008975CB">
        <w:t xml:space="preserve">The key adverse events in RESPONSE and RESPONSE-2 are summarised in </w:t>
      </w:r>
      <w:r w:rsidRPr="0037415F">
        <w:rPr>
          <w:rFonts w:cstheme="minorHAnsi"/>
          <w:szCs w:val="24"/>
        </w:rPr>
        <w:fldChar w:fldCharType="begin" w:fldLock="1"/>
      </w:r>
      <w:r w:rsidRPr="0037415F">
        <w:rPr>
          <w:rFonts w:cstheme="minorHAnsi"/>
          <w:szCs w:val="24"/>
        </w:rPr>
        <w:instrText xml:space="preserve"> REF _Ref184830717 \h </w:instrText>
      </w:r>
      <w:r w:rsidR="0037415F" w:rsidRPr="0037415F">
        <w:rPr>
          <w:rFonts w:cstheme="minorHAnsi"/>
          <w:szCs w:val="24"/>
        </w:rPr>
        <w:instrText xml:space="preserve"> \* MERGEFORMAT </w:instrText>
      </w:r>
      <w:r w:rsidRPr="0037415F">
        <w:rPr>
          <w:rFonts w:cstheme="minorHAnsi"/>
          <w:szCs w:val="24"/>
        </w:rPr>
      </w:r>
      <w:r w:rsidRPr="0037415F">
        <w:rPr>
          <w:rFonts w:cstheme="minorHAnsi"/>
          <w:szCs w:val="24"/>
        </w:rPr>
        <w:fldChar w:fldCharType="separate"/>
      </w:r>
      <w:r w:rsidR="0096555B" w:rsidRPr="0037415F">
        <w:rPr>
          <w:rFonts w:cstheme="minorHAnsi"/>
          <w:szCs w:val="24"/>
        </w:rPr>
        <w:t xml:space="preserve">Table </w:t>
      </w:r>
      <w:r w:rsidR="0096555B" w:rsidRPr="0037415F">
        <w:rPr>
          <w:rFonts w:cstheme="minorHAnsi"/>
          <w:noProof/>
          <w:szCs w:val="24"/>
        </w:rPr>
        <w:t>12</w:t>
      </w:r>
      <w:r w:rsidRPr="0037415F">
        <w:rPr>
          <w:rFonts w:cstheme="minorHAnsi"/>
          <w:szCs w:val="24"/>
        </w:rPr>
        <w:fldChar w:fldCharType="end"/>
      </w:r>
      <w:r w:rsidRPr="0037415F">
        <w:rPr>
          <w:rFonts w:cstheme="minorHAnsi"/>
          <w:szCs w:val="24"/>
        </w:rPr>
        <w:t>.</w:t>
      </w:r>
      <w:r w:rsidRPr="008975CB">
        <w:t xml:space="preserve"> </w:t>
      </w:r>
    </w:p>
    <w:p w14:paraId="34911F61" w14:textId="778EEF10" w:rsidR="008975CB" w:rsidRPr="008975CB" w:rsidRDefault="008975CB" w:rsidP="00E7458B">
      <w:pPr>
        <w:keepNext/>
        <w:keepLines/>
        <w:rPr>
          <w:rFonts w:ascii="Arial Narrow" w:hAnsi="Arial Narrow"/>
          <w:b/>
          <w:bCs/>
          <w:sz w:val="20"/>
          <w:szCs w:val="18"/>
        </w:rPr>
      </w:pPr>
      <w:bookmarkStart w:id="64" w:name="_Ref184830717"/>
      <w:r w:rsidRPr="008975CB">
        <w:rPr>
          <w:rFonts w:ascii="Arial Narrow" w:hAnsi="Arial Narrow"/>
          <w:b/>
          <w:bCs/>
          <w:sz w:val="20"/>
          <w:szCs w:val="18"/>
        </w:rPr>
        <w:lastRenderedPageBreak/>
        <w:t xml:space="preserve">Table </w:t>
      </w:r>
      <w:r w:rsidRPr="008975CB">
        <w:rPr>
          <w:rFonts w:ascii="Arial Narrow" w:hAnsi="Arial Narrow"/>
          <w:b/>
          <w:bCs/>
          <w:sz w:val="20"/>
          <w:szCs w:val="18"/>
        </w:rPr>
        <w:fldChar w:fldCharType="begin" w:fldLock="1"/>
      </w:r>
      <w:r w:rsidRPr="008975CB">
        <w:rPr>
          <w:rFonts w:ascii="Arial Narrow" w:hAnsi="Arial Narrow"/>
          <w:b/>
          <w:bCs/>
          <w:sz w:val="20"/>
          <w:szCs w:val="18"/>
        </w:rPr>
        <w:instrText xml:space="preserve"> SEQ Table \* ARABIC </w:instrText>
      </w:r>
      <w:r w:rsidRPr="008975CB">
        <w:rPr>
          <w:rFonts w:ascii="Arial Narrow" w:hAnsi="Arial Narrow"/>
          <w:b/>
          <w:bCs/>
          <w:sz w:val="20"/>
          <w:szCs w:val="18"/>
        </w:rPr>
        <w:fldChar w:fldCharType="separate"/>
      </w:r>
      <w:r w:rsidR="001F427F">
        <w:rPr>
          <w:rFonts w:ascii="Arial Narrow" w:hAnsi="Arial Narrow"/>
          <w:b/>
          <w:bCs/>
          <w:noProof/>
          <w:sz w:val="20"/>
          <w:szCs w:val="18"/>
        </w:rPr>
        <w:t>12</w:t>
      </w:r>
      <w:r w:rsidRPr="008975CB">
        <w:rPr>
          <w:rFonts w:ascii="Arial Narrow" w:hAnsi="Arial Narrow"/>
          <w:b/>
          <w:bCs/>
          <w:noProof/>
          <w:sz w:val="20"/>
          <w:szCs w:val="18"/>
        </w:rPr>
        <w:fldChar w:fldCharType="end"/>
      </w:r>
      <w:bookmarkEnd w:id="64"/>
      <w:r w:rsidRPr="008975CB">
        <w:rPr>
          <w:rFonts w:ascii="Arial Narrow" w:hAnsi="Arial Narrow"/>
          <w:b/>
          <w:bCs/>
          <w:sz w:val="20"/>
          <w:szCs w:val="18"/>
        </w:rPr>
        <w:t>: Summary of adverse events in RESPONSE and RESPONSE-2</w:t>
      </w:r>
    </w:p>
    <w:tbl>
      <w:tblPr>
        <w:tblStyle w:val="TableGrid"/>
        <w:tblW w:w="5000" w:type="pct"/>
        <w:tblLook w:val="04A0" w:firstRow="1" w:lastRow="0" w:firstColumn="1" w:lastColumn="0" w:noHBand="0" w:noVBand="1"/>
        <w:tblCaption w:val="Table 12: Summary of adverse events in RESPONSE and RESPONSE-2"/>
        <w:tblDescription w:val="New evidence considered by PBAC in the resubmission:&#10;Adjusted adverse events per 100 patient-years in both studies"/>
      </w:tblPr>
      <w:tblGrid>
        <w:gridCol w:w="1838"/>
        <w:gridCol w:w="1605"/>
        <w:gridCol w:w="96"/>
        <w:gridCol w:w="1277"/>
        <w:gridCol w:w="1417"/>
        <w:gridCol w:w="1417"/>
        <w:gridCol w:w="1367"/>
      </w:tblGrid>
      <w:tr w:rsidR="008975CB" w:rsidRPr="008975CB" w14:paraId="59B49EDB" w14:textId="77777777" w:rsidTr="0F1D33A4">
        <w:trPr>
          <w:trHeight w:val="249"/>
        </w:trPr>
        <w:tc>
          <w:tcPr>
            <w:tcW w:w="1909" w:type="pct"/>
            <w:gridSpan w:val="2"/>
            <w:tcBorders>
              <w:bottom w:val="single" w:sz="4" w:space="0" w:color="auto"/>
            </w:tcBorders>
          </w:tcPr>
          <w:p w14:paraId="3E6DA7E0" w14:textId="77777777" w:rsidR="008975CB" w:rsidRPr="008975CB" w:rsidRDefault="008975CB" w:rsidP="00E7458B">
            <w:pPr>
              <w:keepNext/>
              <w:keepLines/>
              <w:jc w:val="left"/>
              <w:rPr>
                <w:rFonts w:ascii="Arial Narrow" w:hAnsi="Arial Narrow"/>
                <w:b/>
                <w:bCs/>
                <w:sz w:val="20"/>
                <w:szCs w:val="18"/>
              </w:rPr>
            </w:pPr>
            <w:r w:rsidRPr="008975CB">
              <w:rPr>
                <w:rFonts w:ascii="Arial Narrow" w:hAnsi="Arial Narrow"/>
                <w:b/>
                <w:bCs/>
                <w:sz w:val="20"/>
                <w:szCs w:val="18"/>
              </w:rPr>
              <w:t>AEs</w:t>
            </w:r>
          </w:p>
        </w:tc>
        <w:tc>
          <w:tcPr>
            <w:tcW w:w="1547" w:type="pct"/>
            <w:gridSpan w:val="3"/>
            <w:tcBorders>
              <w:bottom w:val="single" w:sz="4" w:space="0" w:color="auto"/>
            </w:tcBorders>
          </w:tcPr>
          <w:p w14:paraId="0FCE1BD6" w14:textId="77777777" w:rsidR="008975CB" w:rsidRPr="008975CB" w:rsidRDefault="008975CB" w:rsidP="0910F2D2">
            <w:pPr>
              <w:keepNext/>
              <w:keepLines/>
              <w:jc w:val="left"/>
              <w:rPr>
                <w:rFonts w:ascii="Arial Narrow" w:hAnsi="Arial Narrow"/>
                <w:b/>
                <w:bCs/>
                <w:sz w:val="20"/>
                <w:szCs w:val="20"/>
              </w:rPr>
            </w:pPr>
            <w:r w:rsidRPr="0910F2D2">
              <w:rPr>
                <w:rFonts w:ascii="Arial Narrow" w:hAnsi="Arial Narrow"/>
                <w:b/>
                <w:bCs/>
                <w:sz w:val="20"/>
                <w:szCs w:val="20"/>
              </w:rPr>
              <w:t>Ruxolitinib (%)</w:t>
            </w:r>
          </w:p>
        </w:tc>
        <w:tc>
          <w:tcPr>
            <w:tcW w:w="1544" w:type="pct"/>
            <w:gridSpan w:val="2"/>
            <w:tcBorders>
              <w:bottom w:val="single" w:sz="4" w:space="0" w:color="auto"/>
            </w:tcBorders>
          </w:tcPr>
          <w:p w14:paraId="710EA3F3" w14:textId="77777777" w:rsidR="008975CB" w:rsidRPr="008975CB" w:rsidRDefault="008975CB" w:rsidP="00E7458B">
            <w:pPr>
              <w:keepNext/>
              <w:keepLines/>
              <w:jc w:val="left"/>
              <w:rPr>
                <w:rFonts w:ascii="Arial Narrow" w:hAnsi="Arial Narrow"/>
                <w:b/>
                <w:sz w:val="20"/>
                <w:szCs w:val="18"/>
              </w:rPr>
            </w:pPr>
            <w:r w:rsidRPr="008975CB">
              <w:rPr>
                <w:rFonts w:ascii="Arial Narrow" w:hAnsi="Arial Narrow"/>
                <w:b/>
                <w:sz w:val="20"/>
                <w:szCs w:val="18"/>
              </w:rPr>
              <w:t>BAT (%)</w:t>
            </w:r>
          </w:p>
        </w:tc>
      </w:tr>
      <w:tr w:rsidR="008975CB" w:rsidRPr="008975CB" w14:paraId="6E03AB46" w14:textId="77777777" w:rsidTr="0F1D33A4">
        <w:trPr>
          <w:trHeight w:val="249"/>
        </w:trPr>
        <w:tc>
          <w:tcPr>
            <w:tcW w:w="5000" w:type="pct"/>
            <w:gridSpan w:val="7"/>
            <w:tcBorders>
              <w:top w:val="single" w:sz="4" w:space="0" w:color="auto"/>
              <w:left w:val="single" w:sz="4" w:space="0" w:color="auto"/>
              <w:bottom w:val="single" w:sz="4" w:space="0" w:color="auto"/>
              <w:right w:val="single" w:sz="4" w:space="0" w:color="auto"/>
            </w:tcBorders>
          </w:tcPr>
          <w:p w14:paraId="013F21E3" w14:textId="77777777" w:rsidR="008975CB" w:rsidRPr="008975CB" w:rsidRDefault="008975CB" w:rsidP="00E7458B">
            <w:pPr>
              <w:keepNext/>
              <w:keepLines/>
              <w:jc w:val="left"/>
              <w:rPr>
                <w:rFonts w:ascii="Arial Narrow" w:hAnsi="Arial Narrow"/>
                <w:b/>
                <w:bCs/>
                <w:sz w:val="20"/>
                <w:szCs w:val="18"/>
              </w:rPr>
            </w:pPr>
            <w:r w:rsidRPr="008975CB">
              <w:rPr>
                <w:rFonts w:ascii="Arial Narrow" w:hAnsi="Arial Narrow"/>
                <w:b/>
                <w:sz w:val="20"/>
                <w:szCs w:val="18"/>
              </w:rPr>
              <w:t>New evidence presented in the resubmission- Adjusted AEs per 100 patient-years</w:t>
            </w:r>
          </w:p>
        </w:tc>
      </w:tr>
      <w:tr w:rsidR="008975CB" w:rsidRPr="008975CB" w14:paraId="16A73AD1" w14:textId="77777777" w:rsidTr="0F1D33A4">
        <w:trPr>
          <w:trHeight w:val="249"/>
        </w:trPr>
        <w:tc>
          <w:tcPr>
            <w:tcW w:w="5000" w:type="pct"/>
            <w:gridSpan w:val="7"/>
            <w:tcBorders>
              <w:top w:val="single" w:sz="4" w:space="0" w:color="auto"/>
              <w:left w:val="single" w:sz="4" w:space="0" w:color="auto"/>
              <w:bottom w:val="single" w:sz="4" w:space="0" w:color="auto"/>
              <w:right w:val="single" w:sz="4" w:space="0" w:color="auto"/>
            </w:tcBorders>
          </w:tcPr>
          <w:p w14:paraId="1DCE83E9" w14:textId="77777777" w:rsidR="008975CB" w:rsidRPr="008975CB" w:rsidRDefault="008975CB" w:rsidP="00E7458B">
            <w:pPr>
              <w:keepNext/>
              <w:keepLines/>
              <w:jc w:val="left"/>
              <w:rPr>
                <w:rFonts w:ascii="Arial Narrow" w:hAnsi="Arial Narrow"/>
                <w:sz w:val="20"/>
                <w:szCs w:val="18"/>
              </w:rPr>
            </w:pPr>
            <w:r w:rsidRPr="008975CB">
              <w:rPr>
                <w:rFonts w:ascii="Arial Narrow" w:hAnsi="Arial Narrow"/>
                <w:b/>
                <w:bCs/>
                <w:sz w:val="20"/>
                <w:szCs w:val="18"/>
              </w:rPr>
              <w:t xml:space="preserve">RESPONSE </w:t>
            </w:r>
            <w:r w:rsidRPr="008975CB">
              <w:rPr>
                <w:rFonts w:ascii="Arial Narrow" w:hAnsi="Arial Narrow"/>
                <w:b/>
                <w:bCs/>
                <w:sz w:val="20"/>
                <w:szCs w:val="18"/>
                <w:vertAlign w:val="superscript"/>
              </w:rPr>
              <w:t>a</w:t>
            </w:r>
          </w:p>
        </w:tc>
      </w:tr>
      <w:tr w:rsidR="008975CB" w:rsidRPr="008975CB" w14:paraId="7856160C" w14:textId="77777777" w:rsidTr="0F1D33A4">
        <w:trPr>
          <w:trHeight w:val="249"/>
        </w:trPr>
        <w:tc>
          <w:tcPr>
            <w:tcW w:w="1909" w:type="pct"/>
            <w:gridSpan w:val="2"/>
            <w:tcBorders>
              <w:top w:val="single" w:sz="4" w:space="0" w:color="auto"/>
              <w:left w:val="single" w:sz="4" w:space="0" w:color="auto"/>
              <w:bottom w:val="single" w:sz="4" w:space="0" w:color="auto"/>
              <w:right w:val="single" w:sz="4" w:space="0" w:color="auto"/>
            </w:tcBorders>
          </w:tcPr>
          <w:p w14:paraId="28882E1B" w14:textId="77777777" w:rsidR="008975CB" w:rsidRPr="008975CB" w:rsidRDefault="008975CB" w:rsidP="00E7458B">
            <w:pPr>
              <w:keepNext/>
              <w:keepLines/>
              <w:jc w:val="left"/>
              <w:rPr>
                <w:rFonts w:ascii="Arial Narrow" w:hAnsi="Arial Narrow"/>
                <w:sz w:val="20"/>
                <w:szCs w:val="18"/>
              </w:rPr>
            </w:pPr>
            <w:r w:rsidRPr="008975CB">
              <w:rPr>
                <w:rFonts w:ascii="Arial Narrow" w:hAnsi="Arial Narrow"/>
                <w:sz w:val="20"/>
                <w:szCs w:val="18"/>
              </w:rPr>
              <w:t>Anaemia all grades</w:t>
            </w:r>
          </w:p>
        </w:tc>
        <w:tc>
          <w:tcPr>
            <w:tcW w:w="1547" w:type="pct"/>
            <w:gridSpan w:val="3"/>
            <w:tcBorders>
              <w:top w:val="single" w:sz="4" w:space="0" w:color="auto"/>
              <w:left w:val="single" w:sz="4" w:space="0" w:color="auto"/>
              <w:bottom w:val="single" w:sz="4" w:space="0" w:color="auto"/>
              <w:right w:val="single" w:sz="4" w:space="0" w:color="auto"/>
            </w:tcBorders>
          </w:tcPr>
          <w:p w14:paraId="0B5D94E8"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 xml:space="preserve"> 8.9</w:t>
            </w:r>
          </w:p>
        </w:tc>
        <w:tc>
          <w:tcPr>
            <w:tcW w:w="1544" w:type="pct"/>
            <w:gridSpan w:val="2"/>
            <w:tcBorders>
              <w:top w:val="single" w:sz="4" w:space="0" w:color="auto"/>
              <w:left w:val="single" w:sz="4" w:space="0" w:color="auto"/>
              <w:bottom w:val="single" w:sz="4" w:space="0" w:color="auto"/>
              <w:right w:val="single" w:sz="4" w:space="0" w:color="auto"/>
            </w:tcBorders>
          </w:tcPr>
          <w:p w14:paraId="20264C9E"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5.4</w:t>
            </w:r>
          </w:p>
        </w:tc>
      </w:tr>
      <w:tr w:rsidR="008975CB" w:rsidRPr="008975CB" w14:paraId="12ED6157" w14:textId="77777777" w:rsidTr="0F1D33A4">
        <w:trPr>
          <w:trHeight w:val="249"/>
        </w:trPr>
        <w:tc>
          <w:tcPr>
            <w:tcW w:w="1909" w:type="pct"/>
            <w:gridSpan w:val="2"/>
            <w:tcBorders>
              <w:top w:val="single" w:sz="4" w:space="0" w:color="auto"/>
              <w:left w:val="single" w:sz="4" w:space="0" w:color="auto"/>
              <w:bottom w:val="single" w:sz="4" w:space="0" w:color="auto"/>
              <w:right w:val="single" w:sz="4" w:space="0" w:color="auto"/>
            </w:tcBorders>
          </w:tcPr>
          <w:p w14:paraId="1998C399" w14:textId="77777777" w:rsidR="008975CB" w:rsidRPr="008975CB" w:rsidRDefault="008975CB" w:rsidP="00E7458B">
            <w:pPr>
              <w:keepNext/>
              <w:keepLines/>
              <w:jc w:val="left"/>
              <w:rPr>
                <w:rFonts w:ascii="Arial Narrow" w:hAnsi="Arial Narrow"/>
                <w:sz w:val="20"/>
                <w:szCs w:val="18"/>
              </w:rPr>
            </w:pPr>
            <w:r w:rsidRPr="008975CB">
              <w:rPr>
                <w:rFonts w:ascii="Arial Narrow" w:hAnsi="Arial Narrow"/>
                <w:sz w:val="20"/>
                <w:szCs w:val="18"/>
              </w:rPr>
              <w:t>Dizziness all grades</w:t>
            </w:r>
          </w:p>
        </w:tc>
        <w:tc>
          <w:tcPr>
            <w:tcW w:w="1547" w:type="pct"/>
            <w:gridSpan w:val="3"/>
            <w:tcBorders>
              <w:top w:val="single" w:sz="4" w:space="0" w:color="auto"/>
              <w:left w:val="single" w:sz="4" w:space="0" w:color="auto"/>
              <w:bottom w:val="single" w:sz="4" w:space="0" w:color="auto"/>
              <w:right w:val="single" w:sz="4" w:space="0" w:color="auto"/>
            </w:tcBorders>
          </w:tcPr>
          <w:p w14:paraId="1494742A"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4.0</w:t>
            </w:r>
          </w:p>
        </w:tc>
        <w:tc>
          <w:tcPr>
            <w:tcW w:w="1544" w:type="pct"/>
            <w:gridSpan w:val="2"/>
            <w:tcBorders>
              <w:top w:val="single" w:sz="4" w:space="0" w:color="auto"/>
              <w:left w:val="single" w:sz="4" w:space="0" w:color="auto"/>
              <w:bottom w:val="single" w:sz="4" w:space="0" w:color="auto"/>
              <w:right w:val="single" w:sz="4" w:space="0" w:color="auto"/>
            </w:tcBorders>
          </w:tcPr>
          <w:p w14:paraId="1E392FD9"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15.0</w:t>
            </w:r>
          </w:p>
        </w:tc>
      </w:tr>
      <w:tr w:rsidR="008975CB" w:rsidRPr="008975CB" w14:paraId="2372E9AE" w14:textId="77777777" w:rsidTr="0F1D33A4">
        <w:trPr>
          <w:trHeight w:val="249"/>
        </w:trPr>
        <w:tc>
          <w:tcPr>
            <w:tcW w:w="1909" w:type="pct"/>
            <w:gridSpan w:val="2"/>
            <w:tcBorders>
              <w:top w:val="single" w:sz="4" w:space="0" w:color="auto"/>
              <w:left w:val="single" w:sz="4" w:space="0" w:color="auto"/>
              <w:bottom w:val="single" w:sz="4" w:space="0" w:color="auto"/>
              <w:right w:val="single" w:sz="4" w:space="0" w:color="auto"/>
            </w:tcBorders>
          </w:tcPr>
          <w:p w14:paraId="37BC015A" w14:textId="77777777" w:rsidR="008975CB" w:rsidRPr="008975CB" w:rsidRDefault="008975CB" w:rsidP="00E7458B">
            <w:pPr>
              <w:keepNext/>
              <w:keepLines/>
              <w:jc w:val="left"/>
              <w:rPr>
                <w:rFonts w:ascii="Arial Narrow" w:hAnsi="Arial Narrow"/>
                <w:sz w:val="20"/>
                <w:szCs w:val="18"/>
              </w:rPr>
            </w:pPr>
            <w:r w:rsidRPr="008975CB">
              <w:rPr>
                <w:rFonts w:ascii="Arial Narrow" w:hAnsi="Arial Narrow"/>
                <w:sz w:val="20"/>
                <w:szCs w:val="18"/>
              </w:rPr>
              <w:t>Headache all grades</w:t>
            </w:r>
          </w:p>
        </w:tc>
        <w:tc>
          <w:tcPr>
            <w:tcW w:w="1547" w:type="pct"/>
            <w:gridSpan w:val="3"/>
            <w:tcBorders>
              <w:top w:val="single" w:sz="4" w:space="0" w:color="auto"/>
              <w:left w:val="single" w:sz="4" w:space="0" w:color="auto"/>
              <w:bottom w:val="single" w:sz="4" w:space="0" w:color="auto"/>
              <w:right w:val="single" w:sz="4" w:space="0" w:color="auto"/>
            </w:tcBorders>
          </w:tcPr>
          <w:p w14:paraId="428C9CC2"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5.8</w:t>
            </w:r>
          </w:p>
        </w:tc>
        <w:tc>
          <w:tcPr>
            <w:tcW w:w="1544" w:type="pct"/>
            <w:gridSpan w:val="2"/>
            <w:tcBorders>
              <w:top w:val="single" w:sz="4" w:space="0" w:color="auto"/>
              <w:left w:val="single" w:sz="4" w:space="0" w:color="auto"/>
              <w:bottom w:val="single" w:sz="4" w:space="0" w:color="auto"/>
              <w:right w:val="single" w:sz="4" w:space="0" w:color="auto"/>
            </w:tcBorders>
          </w:tcPr>
          <w:p w14:paraId="276687C2"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 xml:space="preserve"> 28.5</w:t>
            </w:r>
          </w:p>
        </w:tc>
      </w:tr>
      <w:tr w:rsidR="008975CB" w:rsidRPr="008975CB" w14:paraId="46F8B1AB" w14:textId="77777777" w:rsidTr="0F1D33A4">
        <w:trPr>
          <w:trHeight w:val="249"/>
        </w:trPr>
        <w:tc>
          <w:tcPr>
            <w:tcW w:w="1909" w:type="pct"/>
            <w:gridSpan w:val="2"/>
            <w:tcBorders>
              <w:top w:val="single" w:sz="4" w:space="0" w:color="auto"/>
              <w:left w:val="single" w:sz="4" w:space="0" w:color="auto"/>
              <w:bottom w:val="single" w:sz="4" w:space="0" w:color="auto"/>
              <w:right w:val="single" w:sz="4" w:space="0" w:color="auto"/>
            </w:tcBorders>
          </w:tcPr>
          <w:p w14:paraId="0A7B87A3" w14:textId="77777777" w:rsidR="008975CB" w:rsidRPr="008975CB" w:rsidRDefault="008975CB" w:rsidP="00E7458B">
            <w:pPr>
              <w:keepNext/>
              <w:keepLines/>
              <w:jc w:val="left"/>
              <w:rPr>
                <w:rFonts w:ascii="Arial Narrow" w:hAnsi="Arial Narrow"/>
                <w:sz w:val="20"/>
                <w:szCs w:val="18"/>
              </w:rPr>
            </w:pPr>
            <w:r w:rsidRPr="008975CB">
              <w:rPr>
                <w:rFonts w:ascii="Arial Narrow" w:hAnsi="Arial Narrow"/>
                <w:sz w:val="20"/>
                <w:szCs w:val="18"/>
              </w:rPr>
              <w:t>Anaemia Grade 3-4</w:t>
            </w:r>
          </w:p>
        </w:tc>
        <w:tc>
          <w:tcPr>
            <w:tcW w:w="1547" w:type="pct"/>
            <w:gridSpan w:val="3"/>
            <w:tcBorders>
              <w:top w:val="single" w:sz="4" w:space="0" w:color="auto"/>
              <w:left w:val="single" w:sz="4" w:space="0" w:color="auto"/>
              <w:bottom w:val="single" w:sz="4" w:space="0" w:color="auto"/>
              <w:right w:val="single" w:sz="4" w:space="0" w:color="auto"/>
            </w:tcBorders>
          </w:tcPr>
          <w:p w14:paraId="400F405F"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0.9</w:t>
            </w:r>
          </w:p>
        </w:tc>
        <w:tc>
          <w:tcPr>
            <w:tcW w:w="1544" w:type="pct"/>
            <w:gridSpan w:val="2"/>
            <w:tcBorders>
              <w:top w:val="single" w:sz="4" w:space="0" w:color="auto"/>
              <w:left w:val="single" w:sz="4" w:space="0" w:color="auto"/>
              <w:bottom w:val="single" w:sz="4" w:space="0" w:color="auto"/>
              <w:right w:val="single" w:sz="4" w:space="0" w:color="auto"/>
            </w:tcBorders>
          </w:tcPr>
          <w:p w14:paraId="24255348"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0.0</w:t>
            </w:r>
          </w:p>
        </w:tc>
      </w:tr>
      <w:tr w:rsidR="008975CB" w:rsidRPr="008975CB" w14:paraId="32224729" w14:textId="77777777" w:rsidTr="0F1D33A4">
        <w:trPr>
          <w:trHeight w:val="249"/>
        </w:trPr>
        <w:tc>
          <w:tcPr>
            <w:tcW w:w="1909" w:type="pct"/>
            <w:gridSpan w:val="2"/>
            <w:tcBorders>
              <w:top w:val="single" w:sz="4" w:space="0" w:color="auto"/>
              <w:left w:val="single" w:sz="4" w:space="0" w:color="auto"/>
              <w:bottom w:val="single" w:sz="4" w:space="0" w:color="auto"/>
              <w:right w:val="single" w:sz="4" w:space="0" w:color="auto"/>
            </w:tcBorders>
          </w:tcPr>
          <w:p w14:paraId="4DC4D605" w14:textId="77777777" w:rsidR="008975CB" w:rsidRPr="008975CB" w:rsidRDefault="008975CB" w:rsidP="00E7458B">
            <w:pPr>
              <w:keepNext/>
              <w:keepLines/>
              <w:jc w:val="left"/>
              <w:rPr>
                <w:rFonts w:ascii="Arial Narrow" w:hAnsi="Arial Narrow"/>
                <w:sz w:val="20"/>
                <w:szCs w:val="18"/>
              </w:rPr>
            </w:pPr>
            <w:r w:rsidRPr="008975CB">
              <w:rPr>
                <w:rFonts w:ascii="Arial Narrow" w:hAnsi="Arial Narrow"/>
                <w:sz w:val="20"/>
                <w:szCs w:val="18"/>
              </w:rPr>
              <w:t>Infections all grades</w:t>
            </w:r>
          </w:p>
        </w:tc>
        <w:tc>
          <w:tcPr>
            <w:tcW w:w="1547" w:type="pct"/>
            <w:gridSpan w:val="3"/>
            <w:tcBorders>
              <w:top w:val="single" w:sz="4" w:space="0" w:color="auto"/>
              <w:left w:val="single" w:sz="4" w:space="0" w:color="auto"/>
              <w:bottom w:val="single" w:sz="4" w:space="0" w:color="auto"/>
              <w:right w:val="single" w:sz="4" w:space="0" w:color="auto"/>
            </w:tcBorders>
          </w:tcPr>
          <w:p w14:paraId="1353630C"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18.9</w:t>
            </w:r>
          </w:p>
        </w:tc>
        <w:tc>
          <w:tcPr>
            <w:tcW w:w="1544" w:type="pct"/>
            <w:gridSpan w:val="2"/>
            <w:tcBorders>
              <w:top w:val="single" w:sz="4" w:space="0" w:color="auto"/>
              <w:left w:val="single" w:sz="4" w:space="0" w:color="auto"/>
              <w:bottom w:val="single" w:sz="4" w:space="0" w:color="auto"/>
              <w:right w:val="single" w:sz="4" w:space="0" w:color="auto"/>
            </w:tcBorders>
          </w:tcPr>
          <w:p w14:paraId="010B860D"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59.8</w:t>
            </w:r>
          </w:p>
        </w:tc>
      </w:tr>
      <w:tr w:rsidR="008975CB" w:rsidRPr="008975CB" w14:paraId="64031D48" w14:textId="77777777" w:rsidTr="0F1D33A4">
        <w:trPr>
          <w:trHeight w:val="249"/>
        </w:trPr>
        <w:tc>
          <w:tcPr>
            <w:tcW w:w="1909" w:type="pct"/>
            <w:gridSpan w:val="2"/>
            <w:tcBorders>
              <w:top w:val="single" w:sz="4" w:space="0" w:color="auto"/>
              <w:left w:val="single" w:sz="4" w:space="0" w:color="auto"/>
              <w:bottom w:val="single" w:sz="4" w:space="0" w:color="auto"/>
              <w:right w:val="single" w:sz="4" w:space="0" w:color="auto"/>
            </w:tcBorders>
          </w:tcPr>
          <w:p w14:paraId="6810D0B3" w14:textId="77777777" w:rsidR="008975CB" w:rsidRPr="008975CB" w:rsidRDefault="008975CB" w:rsidP="00E7458B">
            <w:pPr>
              <w:keepNext/>
              <w:keepLines/>
              <w:jc w:val="left"/>
              <w:rPr>
                <w:rFonts w:ascii="Arial Narrow" w:hAnsi="Arial Narrow"/>
                <w:sz w:val="20"/>
                <w:szCs w:val="18"/>
              </w:rPr>
            </w:pPr>
            <w:r w:rsidRPr="008975CB">
              <w:rPr>
                <w:rFonts w:ascii="Arial Narrow" w:hAnsi="Arial Narrow"/>
                <w:sz w:val="20"/>
                <w:szCs w:val="18"/>
              </w:rPr>
              <w:t>Infection Grade 3-4</w:t>
            </w:r>
          </w:p>
        </w:tc>
        <w:tc>
          <w:tcPr>
            <w:tcW w:w="1547" w:type="pct"/>
            <w:gridSpan w:val="3"/>
            <w:tcBorders>
              <w:top w:val="single" w:sz="4" w:space="0" w:color="auto"/>
              <w:left w:val="single" w:sz="4" w:space="0" w:color="auto"/>
              <w:bottom w:val="single" w:sz="4" w:space="0" w:color="auto"/>
              <w:right w:val="single" w:sz="4" w:space="0" w:color="auto"/>
            </w:tcBorders>
          </w:tcPr>
          <w:p w14:paraId="68236271"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3.5</w:t>
            </w:r>
          </w:p>
        </w:tc>
        <w:tc>
          <w:tcPr>
            <w:tcW w:w="1544" w:type="pct"/>
            <w:gridSpan w:val="2"/>
            <w:tcBorders>
              <w:top w:val="single" w:sz="4" w:space="0" w:color="auto"/>
              <w:left w:val="single" w:sz="4" w:space="0" w:color="auto"/>
              <w:bottom w:val="single" w:sz="4" w:space="0" w:color="auto"/>
              <w:right w:val="single" w:sz="4" w:space="0" w:color="auto"/>
            </w:tcBorders>
          </w:tcPr>
          <w:p w14:paraId="30847181"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4.1</w:t>
            </w:r>
          </w:p>
        </w:tc>
      </w:tr>
      <w:tr w:rsidR="008975CB" w:rsidRPr="008975CB" w14:paraId="4167E8FD" w14:textId="77777777" w:rsidTr="0F1D33A4">
        <w:trPr>
          <w:trHeight w:val="249"/>
        </w:trPr>
        <w:tc>
          <w:tcPr>
            <w:tcW w:w="1909" w:type="pct"/>
            <w:gridSpan w:val="2"/>
            <w:tcBorders>
              <w:top w:val="single" w:sz="4" w:space="0" w:color="auto"/>
              <w:left w:val="single" w:sz="4" w:space="0" w:color="auto"/>
              <w:bottom w:val="single" w:sz="4" w:space="0" w:color="auto"/>
              <w:right w:val="single" w:sz="4" w:space="0" w:color="auto"/>
            </w:tcBorders>
          </w:tcPr>
          <w:p w14:paraId="66872E91" w14:textId="77777777" w:rsidR="008975CB" w:rsidRPr="008975CB" w:rsidRDefault="008975CB" w:rsidP="00E7458B">
            <w:pPr>
              <w:keepNext/>
              <w:keepLines/>
              <w:jc w:val="left"/>
              <w:rPr>
                <w:rFonts w:ascii="Arial Narrow" w:hAnsi="Arial Narrow"/>
                <w:sz w:val="20"/>
                <w:szCs w:val="18"/>
              </w:rPr>
            </w:pPr>
            <w:r w:rsidRPr="008975CB">
              <w:rPr>
                <w:rFonts w:ascii="Arial Narrow" w:hAnsi="Arial Narrow"/>
                <w:sz w:val="20"/>
                <w:szCs w:val="18"/>
              </w:rPr>
              <w:t>Transformation to MF</w:t>
            </w:r>
          </w:p>
        </w:tc>
        <w:tc>
          <w:tcPr>
            <w:tcW w:w="1547" w:type="pct"/>
            <w:gridSpan w:val="3"/>
            <w:tcBorders>
              <w:top w:val="single" w:sz="4" w:space="0" w:color="auto"/>
              <w:left w:val="single" w:sz="4" w:space="0" w:color="auto"/>
              <w:bottom w:val="single" w:sz="4" w:space="0" w:color="auto"/>
              <w:right w:val="single" w:sz="4" w:space="0" w:color="auto"/>
            </w:tcBorders>
          </w:tcPr>
          <w:p w14:paraId="6B126197"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2.1</w:t>
            </w:r>
          </w:p>
        </w:tc>
        <w:tc>
          <w:tcPr>
            <w:tcW w:w="1544" w:type="pct"/>
            <w:gridSpan w:val="2"/>
            <w:tcBorders>
              <w:top w:val="single" w:sz="4" w:space="0" w:color="auto"/>
              <w:left w:val="single" w:sz="4" w:space="0" w:color="auto"/>
              <w:bottom w:val="single" w:sz="4" w:space="0" w:color="auto"/>
              <w:right w:val="single" w:sz="4" w:space="0" w:color="auto"/>
            </w:tcBorders>
          </w:tcPr>
          <w:p w14:paraId="3B36D3CB"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1.4</w:t>
            </w:r>
          </w:p>
        </w:tc>
      </w:tr>
      <w:tr w:rsidR="008975CB" w:rsidRPr="008975CB" w14:paraId="05F46D73" w14:textId="77777777" w:rsidTr="0F1D33A4">
        <w:trPr>
          <w:trHeight w:val="249"/>
        </w:trPr>
        <w:tc>
          <w:tcPr>
            <w:tcW w:w="1909" w:type="pct"/>
            <w:gridSpan w:val="2"/>
            <w:tcBorders>
              <w:top w:val="single" w:sz="4" w:space="0" w:color="auto"/>
              <w:left w:val="single" w:sz="4" w:space="0" w:color="auto"/>
              <w:bottom w:val="single" w:sz="4" w:space="0" w:color="auto"/>
              <w:right w:val="single" w:sz="4" w:space="0" w:color="auto"/>
            </w:tcBorders>
          </w:tcPr>
          <w:p w14:paraId="4A620E5F" w14:textId="77777777" w:rsidR="008975CB" w:rsidRPr="008975CB" w:rsidRDefault="008975CB" w:rsidP="00E7458B">
            <w:pPr>
              <w:keepNext/>
              <w:keepLines/>
              <w:jc w:val="left"/>
              <w:rPr>
                <w:rFonts w:ascii="Arial Narrow" w:hAnsi="Arial Narrow"/>
                <w:sz w:val="20"/>
                <w:szCs w:val="18"/>
              </w:rPr>
            </w:pPr>
            <w:r w:rsidRPr="008975CB">
              <w:rPr>
                <w:rFonts w:ascii="Arial Narrow" w:hAnsi="Arial Narrow"/>
                <w:sz w:val="20"/>
                <w:szCs w:val="18"/>
              </w:rPr>
              <w:t>Transformation to AML</w:t>
            </w:r>
          </w:p>
        </w:tc>
        <w:tc>
          <w:tcPr>
            <w:tcW w:w="1547" w:type="pct"/>
            <w:gridSpan w:val="3"/>
            <w:tcBorders>
              <w:top w:val="single" w:sz="4" w:space="0" w:color="auto"/>
              <w:left w:val="single" w:sz="4" w:space="0" w:color="auto"/>
              <w:bottom w:val="single" w:sz="4" w:space="0" w:color="auto"/>
              <w:right w:val="single" w:sz="4" w:space="0" w:color="auto"/>
            </w:tcBorders>
          </w:tcPr>
          <w:p w14:paraId="2ECE31E6"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0.2</w:t>
            </w:r>
          </w:p>
        </w:tc>
        <w:tc>
          <w:tcPr>
            <w:tcW w:w="1544" w:type="pct"/>
            <w:gridSpan w:val="2"/>
            <w:tcBorders>
              <w:top w:val="single" w:sz="4" w:space="0" w:color="auto"/>
              <w:left w:val="single" w:sz="4" w:space="0" w:color="auto"/>
              <w:bottom w:val="single" w:sz="4" w:space="0" w:color="auto"/>
              <w:right w:val="single" w:sz="4" w:space="0" w:color="auto"/>
            </w:tcBorders>
          </w:tcPr>
          <w:p w14:paraId="375D00CC"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0.0</w:t>
            </w:r>
          </w:p>
        </w:tc>
      </w:tr>
      <w:tr w:rsidR="008975CB" w:rsidRPr="008975CB" w14:paraId="5D3CFB7B" w14:textId="77777777" w:rsidTr="0F1D33A4">
        <w:trPr>
          <w:trHeight w:val="249"/>
        </w:trPr>
        <w:tc>
          <w:tcPr>
            <w:tcW w:w="5000" w:type="pct"/>
            <w:gridSpan w:val="7"/>
            <w:tcBorders>
              <w:top w:val="single" w:sz="4" w:space="0" w:color="auto"/>
              <w:left w:val="single" w:sz="4" w:space="0" w:color="auto"/>
              <w:bottom w:val="single" w:sz="4" w:space="0" w:color="auto"/>
              <w:right w:val="single" w:sz="4" w:space="0" w:color="auto"/>
            </w:tcBorders>
          </w:tcPr>
          <w:p w14:paraId="0D17985E" w14:textId="77777777" w:rsidR="008975CB" w:rsidRPr="008975CB" w:rsidRDefault="008975CB" w:rsidP="00E7458B">
            <w:pPr>
              <w:keepNext/>
              <w:keepLines/>
              <w:jc w:val="left"/>
              <w:rPr>
                <w:rFonts w:ascii="Arial Narrow" w:hAnsi="Arial Narrow"/>
                <w:sz w:val="20"/>
                <w:szCs w:val="18"/>
              </w:rPr>
            </w:pPr>
            <w:r w:rsidRPr="008975CB">
              <w:rPr>
                <w:rFonts w:ascii="Arial Narrow" w:hAnsi="Arial Narrow"/>
                <w:b/>
                <w:bCs/>
                <w:sz w:val="20"/>
                <w:szCs w:val="18"/>
              </w:rPr>
              <w:t xml:space="preserve">RESPONSE-2 </w:t>
            </w:r>
            <w:r w:rsidRPr="008975CB">
              <w:rPr>
                <w:rFonts w:ascii="Arial Narrow" w:hAnsi="Arial Narrow"/>
                <w:b/>
                <w:bCs/>
                <w:sz w:val="20"/>
                <w:szCs w:val="18"/>
                <w:vertAlign w:val="superscript"/>
              </w:rPr>
              <w:t>b</w:t>
            </w:r>
          </w:p>
        </w:tc>
      </w:tr>
      <w:tr w:rsidR="008975CB" w:rsidRPr="008975CB" w14:paraId="2F450611" w14:textId="77777777" w:rsidTr="0F1D33A4">
        <w:trPr>
          <w:trHeight w:val="249"/>
        </w:trPr>
        <w:tc>
          <w:tcPr>
            <w:tcW w:w="1909" w:type="pct"/>
            <w:gridSpan w:val="2"/>
            <w:tcBorders>
              <w:top w:val="single" w:sz="4" w:space="0" w:color="auto"/>
              <w:left w:val="single" w:sz="4" w:space="0" w:color="auto"/>
              <w:bottom w:val="single" w:sz="4" w:space="0" w:color="auto"/>
              <w:right w:val="single" w:sz="4" w:space="0" w:color="auto"/>
            </w:tcBorders>
          </w:tcPr>
          <w:p w14:paraId="07887368" w14:textId="77777777" w:rsidR="008975CB" w:rsidRPr="008975CB" w:rsidRDefault="008975CB" w:rsidP="00E7458B">
            <w:pPr>
              <w:keepNext/>
              <w:keepLines/>
              <w:jc w:val="left"/>
              <w:rPr>
                <w:rFonts w:ascii="Arial Narrow" w:hAnsi="Arial Narrow"/>
                <w:sz w:val="20"/>
                <w:szCs w:val="18"/>
              </w:rPr>
            </w:pPr>
            <w:r w:rsidRPr="008975CB">
              <w:rPr>
                <w:rFonts w:ascii="Arial Narrow" w:hAnsi="Arial Narrow"/>
                <w:sz w:val="20"/>
                <w:szCs w:val="18"/>
              </w:rPr>
              <w:t>Anaemia all grades</w:t>
            </w:r>
          </w:p>
        </w:tc>
        <w:tc>
          <w:tcPr>
            <w:tcW w:w="1547" w:type="pct"/>
            <w:gridSpan w:val="3"/>
            <w:tcBorders>
              <w:top w:val="single" w:sz="4" w:space="0" w:color="auto"/>
              <w:left w:val="single" w:sz="4" w:space="0" w:color="auto"/>
              <w:bottom w:val="single" w:sz="4" w:space="0" w:color="auto"/>
              <w:right w:val="single" w:sz="4" w:space="0" w:color="auto"/>
            </w:tcBorders>
          </w:tcPr>
          <w:p w14:paraId="18C00878"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8.7</w:t>
            </w:r>
          </w:p>
        </w:tc>
        <w:tc>
          <w:tcPr>
            <w:tcW w:w="1544" w:type="pct"/>
            <w:gridSpan w:val="2"/>
            <w:tcBorders>
              <w:top w:val="single" w:sz="4" w:space="0" w:color="auto"/>
              <w:left w:val="single" w:sz="4" w:space="0" w:color="auto"/>
              <w:bottom w:val="single" w:sz="4" w:space="0" w:color="auto"/>
              <w:right w:val="single" w:sz="4" w:space="0" w:color="auto"/>
            </w:tcBorders>
          </w:tcPr>
          <w:p w14:paraId="1A11931A"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5.6</w:t>
            </w:r>
          </w:p>
        </w:tc>
      </w:tr>
      <w:tr w:rsidR="008975CB" w:rsidRPr="008975CB" w14:paraId="2DA62EA1" w14:textId="77777777" w:rsidTr="0F1D33A4">
        <w:trPr>
          <w:trHeight w:val="249"/>
        </w:trPr>
        <w:tc>
          <w:tcPr>
            <w:tcW w:w="1909" w:type="pct"/>
            <w:gridSpan w:val="2"/>
            <w:tcBorders>
              <w:top w:val="single" w:sz="4" w:space="0" w:color="auto"/>
              <w:left w:val="single" w:sz="4" w:space="0" w:color="auto"/>
              <w:bottom w:val="single" w:sz="4" w:space="0" w:color="auto"/>
              <w:right w:val="single" w:sz="4" w:space="0" w:color="auto"/>
            </w:tcBorders>
          </w:tcPr>
          <w:p w14:paraId="060687CE" w14:textId="77777777" w:rsidR="008975CB" w:rsidRPr="008975CB" w:rsidRDefault="008975CB" w:rsidP="00E7458B">
            <w:pPr>
              <w:keepNext/>
              <w:keepLines/>
              <w:jc w:val="left"/>
              <w:rPr>
                <w:rFonts w:ascii="Arial Narrow" w:hAnsi="Arial Narrow"/>
                <w:sz w:val="20"/>
                <w:szCs w:val="18"/>
              </w:rPr>
            </w:pPr>
            <w:r w:rsidRPr="008975CB">
              <w:rPr>
                <w:rFonts w:ascii="Arial Narrow" w:hAnsi="Arial Narrow"/>
                <w:sz w:val="20"/>
                <w:szCs w:val="18"/>
              </w:rPr>
              <w:t>Weight increased</w:t>
            </w:r>
          </w:p>
        </w:tc>
        <w:tc>
          <w:tcPr>
            <w:tcW w:w="1547" w:type="pct"/>
            <w:gridSpan w:val="3"/>
            <w:tcBorders>
              <w:top w:val="single" w:sz="4" w:space="0" w:color="auto"/>
              <w:left w:val="single" w:sz="4" w:space="0" w:color="auto"/>
              <w:bottom w:val="single" w:sz="4" w:space="0" w:color="auto"/>
              <w:right w:val="single" w:sz="4" w:space="0" w:color="auto"/>
            </w:tcBorders>
          </w:tcPr>
          <w:p w14:paraId="4394A435"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5.7</w:t>
            </w:r>
          </w:p>
        </w:tc>
        <w:tc>
          <w:tcPr>
            <w:tcW w:w="1544" w:type="pct"/>
            <w:gridSpan w:val="2"/>
            <w:tcBorders>
              <w:top w:val="single" w:sz="4" w:space="0" w:color="auto"/>
              <w:left w:val="single" w:sz="4" w:space="0" w:color="auto"/>
              <w:bottom w:val="single" w:sz="4" w:space="0" w:color="auto"/>
              <w:right w:val="single" w:sz="4" w:space="0" w:color="auto"/>
            </w:tcBorders>
          </w:tcPr>
          <w:p w14:paraId="386C4BD6"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1.9</w:t>
            </w:r>
          </w:p>
        </w:tc>
      </w:tr>
      <w:tr w:rsidR="008975CB" w:rsidRPr="008975CB" w14:paraId="3B2C7345" w14:textId="77777777" w:rsidTr="0F1D33A4">
        <w:trPr>
          <w:trHeight w:val="249"/>
        </w:trPr>
        <w:tc>
          <w:tcPr>
            <w:tcW w:w="1909" w:type="pct"/>
            <w:gridSpan w:val="2"/>
            <w:tcBorders>
              <w:top w:val="single" w:sz="4" w:space="0" w:color="auto"/>
              <w:left w:val="single" w:sz="4" w:space="0" w:color="auto"/>
              <w:bottom w:val="single" w:sz="4" w:space="0" w:color="auto"/>
              <w:right w:val="single" w:sz="4" w:space="0" w:color="auto"/>
            </w:tcBorders>
          </w:tcPr>
          <w:p w14:paraId="5B57A0D1" w14:textId="77777777" w:rsidR="008975CB" w:rsidRPr="008975CB" w:rsidRDefault="008975CB" w:rsidP="00E7458B">
            <w:pPr>
              <w:keepNext/>
              <w:keepLines/>
              <w:jc w:val="left"/>
              <w:rPr>
                <w:rFonts w:ascii="Arial Narrow" w:hAnsi="Arial Narrow"/>
                <w:sz w:val="20"/>
                <w:szCs w:val="18"/>
              </w:rPr>
            </w:pPr>
            <w:r w:rsidRPr="008975CB">
              <w:rPr>
                <w:rFonts w:ascii="Arial Narrow" w:hAnsi="Arial Narrow"/>
                <w:sz w:val="20"/>
                <w:szCs w:val="18"/>
              </w:rPr>
              <w:t>Anaemia Grade 3-4</w:t>
            </w:r>
          </w:p>
        </w:tc>
        <w:tc>
          <w:tcPr>
            <w:tcW w:w="1547" w:type="pct"/>
            <w:gridSpan w:val="3"/>
            <w:tcBorders>
              <w:top w:val="single" w:sz="4" w:space="0" w:color="auto"/>
              <w:left w:val="single" w:sz="4" w:space="0" w:color="auto"/>
              <w:bottom w:val="single" w:sz="4" w:space="0" w:color="auto"/>
              <w:right w:val="single" w:sz="4" w:space="0" w:color="auto"/>
            </w:tcBorders>
          </w:tcPr>
          <w:p w14:paraId="4BC152F5"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0</w:t>
            </w:r>
          </w:p>
        </w:tc>
        <w:tc>
          <w:tcPr>
            <w:tcW w:w="1544" w:type="pct"/>
            <w:gridSpan w:val="2"/>
            <w:tcBorders>
              <w:top w:val="single" w:sz="4" w:space="0" w:color="auto"/>
              <w:left w:val="single" w:sz="4" w:space="0" w:color="auto"/>
              <w:bottom w:val="single" w:sz="4" w:space="0" w:color="auto"/>
              <w:right w:val="single" w:sz="4" w:space="0" w:color="auto"/>
            </w:tcBorders>
          </w:tcPr>
          <w:p w14:paraId="52986375"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1.9</w:t>
            </w:r>
          </w:p>
        </w:tc>
      </w:tr>
      <w:tr w:rsidR="008975CB" w:rsidRPr="008975CB" w14:paraId="53DEBD5D" w14:textId="77777777" w:rsidTr="0F1D33A4">
        <w:trPr>
          <w:trHeight w:val="249"/>
        </w:trPr>
        <w:tc>
          <w:tcPr>
            <w:tcW w:w="1909" w:type="pct"/>
            <w:gridSpan w:val="2"/>
            <w:tcBorders>
              <w:top w:val="single" w:sz="4" w:space="0" w:color="auto"/>
              <w:left w:val="single" w:sz="4" w:space="0" w:color="auto"/>
              <w:bottom w:val="single" w:sz="4" w:space="0" w:color="auto"/>
              <w:right w:val="single" w:sz="4" w:space="0" w:color="auto"/>
            </w:tcBorders>
          </w:tcPr>
          <w:p w14:paraId="334EE9E5" w14:textId="77777777" w:rsidR="008975CB" w:rsidRPr="008975CB" w:rsidRDefault="008975CB" w:rsidP="00E7458B">
            <w:pPr>
              <w:keepNext/>
              <w:keepLines/>
              <w:jc w:val="left"/>
              <w:rPr>
                <w:rFonts w:ascii="Arial Narrow" w:hAnsi="Arial Narrow"/>
                <w:sz w:val="20"/>
                <w:szCs w:val="18"/>
              </w:rPr>
            </w:pPr>
            <w:r w:rsidRPr="008975CB">
              <w:rPr>
                <w:rFonts w:ascii="Arial Narrow" w:hAnsi="Arial Narrow"/>
                <w:sz w:val="20"/>
                <w:szCs w:val="18"/>
              </w:rPr>
              <w:t>Infections all grades</w:t>
            </w:r>
          </w:p>
        </w:tc>
        <w:tc>
          <w:tcPr>
            <w:tcW w:w="1547" w:type="pct"/>
            <w:gridSpan w:val="3"/>
            <w:tcBorders>
              <w:top w:val="single" w:sz="4" w:space="0" w:color="auto"/>
              <w:left w:val="single" w:sz="4" w:space="0" w:color="auto"/>
              <w:bottom w:val="single" w:sz="4" w:space="0" w:color="auto"/>
              <w:right w:val="single" w:sz="4" w:space="0" w:color="auto"/>
            </w:tcBorders>
          </w:tcPr>
          <w:p w14:paraId="756FC922"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14.7</w:t>
            </w:r>
          </w:p>
        </w:tc>
        <w:tc>
          <w:tcPr>
            <w:tcW w:w="1544" w:type="pct"/>
            <w:gridSpan w:val="2"/>
            <w:tcBorders>
              <w:top w:val="single" w:sz="4" w:space="0" w:color="auto"/>
              <w:left w:val="single" w:sz="4" w:space="0" w:color="auto"/>
              <w:bottom w:val="single" w:sz="4" w:space="0" w:color="auto"/>
              <w:right w:val="single" w:sz="4" w:space="0" w:color="auto"/>
            </w:tcBorders>
          </w:tcPr>
          <w:p w14:paraId="5C84207A"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33.7</w:t>
            </w:r>
          </w:p>
        </w:tc>
      </w:tr>
      <w:tr w:rsidR="008975CB" w:rsidRPr="008975CB" w14:paraId="42B9798E" w14:textId="77777777" w:rsidTr="0F1D33A4">
        <w:trPr>
          <w:trHeight w:val="249"/>
        </w:trPr>
        <w:tc>
          <w:tcPr>
            <w:tcW w:w="1909" w:type="pct"/>
            <w:gridSpan w:val="2"/>
            <w:tcBorders>
              <w:top w:val="single" w:sz="4" w:space="0" w:color="auto"/>
              <w:left w:val="single" w:sz="4" w:space="0" w:color="auto"/>
              <w:bottom w:val="single" w:sz="4" w:space="0" w:color="auto"/>
              <w:right w:val="single" w:sz="4" w:space="0" w:color="auto"/>
            </w:tcBorders>
          </w:tcPr>
          <w:p w14:paraId="231378D8" w14:textId="77777777" w:rsidR="008975CB" w:rsidRPr="008975CB" w:rsidRDefault="008975CB" w:rsidP="00E7458B">
            <w:pPr>
              <w:keepNext/>
              <w:keepLines/>
              <w:jc w:val="left"/>
              <w:rPr>
                <w:rFonts w:ascii="Arial Narrow" w:hAnsi="Arial Narrow"/>
                <w:sz w:val="20"/>
                <w:szCs w:val="18"/>
              </w:rPr>
            </w:pPr>
            <w:r w:rsidRPr="008975CB">
              <w:rPr>
                <w:rFonts w:ascii="Arial Narrow" w:hAnsi="Arial Narrow"/>
                <w:sz w:val="20"/>
                <w:szCs w:val="18"/>
              </w:rPr>
              <w:t>Infection Grade 3-4</w:t>
            </w:r>
          </w:p>
        </w:tc>
        <w:tc>
          <w:tcPr>
            <w:tcW w:w="1547" w:type="pct"/>
            <w:gridSpan w:val="3"/>
            <w:tcBorders>
              <w:top w:val="single" w:sz="4" w:space="0" w:color="auto"/>
              <w:left w:val="single" w:sz="4" w:space="0" w:color="auto"/>
              <w:bottom w:val="single" w:sz="4" w:space="0" w:color="auto"/>
              <w:right w:val="single" w:sz="4" w:space="0" w:color="auto"/>
            </w:tcBorders>
          </w:tcPr>
          <w:p w14:paraId="3D0FCB10"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2.1</w:t>
            </w:r>
          </w:p>
        </w:tc>
        <w:tc>
          <w:tcPr>
            <w:tcW w:w="1544" w:type="pct"/>
            <w:gridSpan w:val="2"/>
            <w:tcBorders>
              <w:top w:val="single" w:sz="4" w:space="0" w:color="auto"/>
              <w:left w:val="single" w:sz="4" w:space="0" w:color="auto"/>
              <w:bottom w:val="single" w:sz="4" w:space="0" w:color="auto"/>
              <w:right w:val="single" w:sz="4" w:space="0" w:color="auto"/>
            </w:tcBorders>
          </w:tcPr>
          <w:p w14:paraId="21EE016D"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3.8</w:t>
            </w:r>
          </w:p>
        </w:tc>
      </w:tr>
      <w:tr w:rsidR="008975CB" w:rsidRPr="008975CB" w14:paraId="00FD0527" w14:textId="77777777" w:rsidTr="0F1D33A4">
        <w:trPr>
          <w:trHeight w:val="249"/>
        </w:trPr>
        <w:tc>
          <w:tcPr>
            <w:tcW w:w="1909" w:type="pct"/>
            <w:gridSpan w:val="2"/>
            <w:tcBorders>
              <w:top w:val="single" w:sz="4" w:space="0" w:color="auto"/>
              <w:left w:val="single" w:sz="4" w:space="0" w:color="auto"/>
              <w:bottom w:val="single" w:sz="4" w:space="0" w:color="auto"/>
              <w:right w:val="single" w:sz="4" w:space="0" w:color="auto"/>
            </w:tcBorders>
          </w:tcPr>
          <w:p w14:paraId="607916F3" w14:textId="77777777" w:rsidR="008975CB" w:rsidRPr="008975CB" w:rsidRDefault="008975CB" w:rsidP="00E7458B">
            <w:pPr>
              <w:keepNext/>
              <w:keepLines/>
              <w:jc w:val="left"/>
              <w:rPr>
                <w:rFonts w:ascii="Arial Narrow" w:hAnsi="Arial Narrow"/>
                <w:sz w:val="20"/>
                <w:szCs w:val="18"/>
              </w:rPr>
            </w:pPr>
            <w:r w:rsidRPr="008975CB">
              <w:rPr>
                <w:rFonts w:ascii="Arial Narrow" w:hAnsi="Arial Narrow"/>
                <w:sz w:val="20"/>
                <w:szCs w:val="18"/>
              </w:rPr>
              <w:t>Transformation to MF</w:t>
            </w:r>
          </w:p>
        </w:tc>
        <w:tc>
          <w:tcPr>
            <w:tcW w:w="1547" w:type="pct"/>
            <w:gridSpan w:val="3"/>
            <w:tcBorders>
              <w:top w:val="single" w:sz="4" w:space="0" w:color="auto"/>
              <w:left w:val="single" w:sz="4" w:space="0" w:color="auto"/>
              <w:bottom w:val="single" w:sz="4" w:space="0" w:color="auto"/>
              <w:right w:val="single" w:sz="4" w:space="0" w:color="auto"/>
            </w:tcBorders>
          </w:tcPr>
          <w:p w14:paraId="2072445E"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0.6</w:t>
            </w:r>
          </w:p>
        </w:tc>
        <w:tc>
          <w:tcPr>
            <w:tcW w:w="1544" w:type="pct"/>
            <w:gridSpan w:val="2"/>
            <w:tcBorders>
              <w:top w:val="single" w:sz="4" w:space="0" w:color="auto"/>
              <w:left w:val="single" w:sz="4" w:space="0" w:color="auto"/>
              <w:bottom w:val="single" w:sz="4" w:space="0" w:color="auto"/>
              <w:right w:val="single" w:sz="4" w:space="0" w:color="auto"/>
            </w:tcBorders>
          </w:tcPr>
          <w:p w14:paraId="5AB586B0"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1.9</w:t>
            </w:r>
          </w:p>
        </w:tc>
      </w:tr>
      <w:tr w:rsidR="008975CB" w:rsidRPr="008975CB" w14:paraId="7FCF9842" w14:textId="77777777" w:rsidTr="0F1D33A4">
        <w:tblPrEx>
          <w:tblCellMar>
            <w:left w:w="28" w:type="dxa"/>
            <w:right w:w="28" w:type="dxa"/>
          </w:tblCellMar>
        </w:tblPrEx>
        <w:tc>
          <w:tcPr>
            <w:tcW w:w="5000" w:type="pct"/>
            <w:gridSpan w:val="7"/>
            <w:tcBorders>
              <w:top w:val="single" w:sz="4" w:space="0" w:color="auto"/>
            </w:tcBorders>
            <w:shd w:val="clear" w:color="auto" w:fill="B8CCE4" w:themeFill="accent1" w:themeFillTint="66"/>
            <w:vAlign w:val="center"/>
          </w:tcPr>
          <w:p w14:paraId="05BB5C46" w14:textId="77777777" w:rsidR="008975CB" w:rsidRPr="008975CB" w:rsidRDefault="008975CB" w:rsidP="0F1D33A4">
            <w:pPr>
              <w:keepNext/>
              <w:keepLines/>
              <w:jc w:val="left"/>
              <w:rPr>
                <w:rFonts w:ascii="Arial Narrow" w:hAnsi="Arial Narrow"/>
                <w:b/>
                <w:bCs/>
                <w:sz w:val="20"/>
                <w:szCs w:val="20"/>
              </w:rPr>
            </w:pPr>
            <w:r w:rsidRPr="0F1D33A4">
              <w:rPr>
                <w:rFonts w:ascii="Arial Narrow" w:hAnsi="Arial Narrow"/>
                <w:b/>
                <w:bCs/>
                <w:sz w:val="20"/>
                <w:szCs w:val="20"/>
              </w:rPr>
              <w:t>Evidence presented in previous submission</w:t>
            </w:r>
          </w:p>
        </w:tc>
      </w:tr>
      <w:tr w:rsidR="008975CB" w:rsidRPr="008975CB" w14:paraId="2177A3E4" w14:textId="77777777" w:rsidTr="0F1D33A4">
        <w:tblPrEx>
          <w:tblCellMar>
            <w:left w:w="28" w:type="dxa"/>
            <w:right w:w="28" w:type="dxa"/>
          </w:tblCellMar>
        </w:tblPrEx>
        <w:tc>
          <w:tcPr>
            <w:tcW w:w="1019" w:type="pct"/>
            <w:shd w:val="clear" w:color="auto" w:fill="B8CCE4" w:themeFill="accent1" w:themeFillTint="66"/>
            <w:vAlign w:val="center"/>
          </w:tcPr>
          <w:p w14:paraId="5A111578" w14:textId="77777777" w:rsidR="008975CB" w:rsidRPr="008975CB" w:rsidRDefault="008975CB" w:rsidP="00E7458B">
            <w:pPr>
              <w:keepNext/>
              <w:keepLines/>
              <w:jc w:val="left"/>
              <w:rPr>
                <w:rFonts w:ascii="Arial Narrow" w:hAnsi="Arial Narrow"/>
                <w:sz w:val="20"/>
                <w:szCs w:val="18"/>
              </w:rPr>
            </w:pPr>
          </w:p>
        </w:tc>
        <w:tc>
          <w:tcPr>
            <w:tcW w:w="943" w:type="pct"/>
            <w:gridSpan w:val="2"/>
            <w:shd w:val="clear" w:color="auto" w:fill="B8CCE4" w:themeFill="accent1" w:themeFillTint="66"/>
            <w:vAlign w:val="center"/>
          </w:tcPr>
          <w:p w14:paraId="5C716FFD" w14:textId="77777777" w:rsidR="008975CB" w:rsidRPr="008975CB" w:rsidRDefault="008975CB" w:rsidP="0910F2D2">
            <w:pPr>
              <w:keepNext/>
              <w:keepLines/>
              <w:rPr>
                <w:rFonts w:ascii="Arial Narrow" w:hAnsi="Arial Narrow"/>
                <w:b/>
                <w:bCs/>
                <w:sz w:val="20"/>
                <w:szCs w:val="20"/>
              </w:rPr>
            </w:pPr>
            <w:r w:rsidRPr="0910F2D2">
              <w:rPr>
                <w:rFonts w:ascii="Arial Narrow" w:hAnsi="Arial Narrow"/>
                <w:b/>
                <w:bCs/>
                <w:sz w:val="20"/>
                <w:szCs w:val="20"/>
              </w:rPr>
              <w:t>Ruxolitinib, n/N (%)</w:t>
            </w:r>
          </w:p>
        </w:tc>
        <w:tc>
          <w:tcPr>
            <w:tcW w:w="708" w:type="pct"/>
            <w:shd w:val="clear" w:color="auto" w:fill="B8CCE4" w:themeFill="accent1" w:themeFillTint="66"/>
            <w:vAlign w:val="center"/>
          </w:tcPr>
          <w:p w14:paraId="06E21D1F" w14:textId="77777777" w:rsidR="008975CB" w:rsidRPr="008975CB" w:rsidRDefault="008975CB" w:rsidP="00E7458B">
            <w:pPr>
              <w:keepNext/>
              <w:keepLines/>
              <w:rPr>
                <w:rFonts w:ascii="Arial Narrow" w:hAnsi="Arial Narrow"/>
                <w:b/>
                <w:sz w:val="20"/>
                <w:szCs w:val="18"/>
              </w:rPr>
            </w:pPr>
            <w:r w:rsidRPr="008975CB">
              <w:rPr>
                <w:rFonts w:ascii="Arial Narrow" w:hAnsi="Arial Narrow"/>
                <w:b/>
                <w:sz w:val="20"/>
                <w:szCs w:val="18"/>
              </w:rPr>
              <w:t>BAT, n/N (%)</w:t>
            </w:r>
          </w:p>
        </w:tc>
        <w:tc>
          <w:tcPr>
            <w:tcW w:w="786" w:type="pct"/>
            <w:shd w:val="clear" w:color="auto" w:fill="B8CCE4" w:themeFill="accent1" w:themeFillTint="66"/>
            <w:vAlign w:val="center"/>
          </w:tcPr>
          <w:p w14:paraId="2B83EA6E" w14:textId="77777777" w:rsidR="008975CB" w:rsidRPr="008975CB" w:rsidRDefault="008975CB" w:rsidP="00E7458B">
            <w:pPr>
              <w:keepNext/>
              <w:keepLines/>
              <w:rPr>
                <w:rFonts w:ascii="Arial Narrow" w:hAnsi="Arial Narrow"/>
                <w:b/>
                <w:sz w:val="20"/>
                <w:szCs w:val="18"/>
              </w:rPr>
            </w:pPr>
            <w:r w:rsidRPr="008975CB">
              <w:rPr>
                <w:rFonts w:ascii="Arial Narrow" w:hAnsi="Arial Narrow"/>
                <w:b/>
                <w:sz w:val="20"/>
                <w:szCs w:val="18"/>
              </w:rPr>
              <w:t>OR (95%CI)</w:t>
            </w:r>
          </w:p>
        </w:tc>
        <w:tc>
          <w:tcPr>
            <w:tcW w:w="786" w:type="pct"/>
            <w:shd w:val="clear" w:color="auto" w:fill="B8CCE4" w:themeFill="accent1" w:themeFillTint="66"/>
            <w:vAlign w:val="center"/>
          </w:tcPr>
          <w:p w14:paraId="7EC55254" w14:textId="77777777" w:rsidR="008975CB" w:rsidRPr="008975CB" w:rsidRDefault="008975CB" w:rsidP="00E7458B">
            <w:pPr>
              <w:keepNext/>
              <w:keepLines/>
              <w:rPr>
                <w:rFonts w:ascii="Arial Narrow" w:hAnsi="Arial Narrow"/>
                <w:b/>
                <w:sz w:val="20"/>
                <w:szCs w:val="18"/>
              </w:rPr>
            </w:pPr>
            <w:r w:rsidRPr="008975CB">
              <w:rPr>
                <w:rFonts w:ascii="Arial Narrow" w:hAnsi="Arial Narrow"/>
                <w:b/>
                <w:sz w:val="20"/>
                <w:szCs w:val="18"/>
              </w:rPr>
              <w:t>RR (95%CI)</w:t>
            </w:r>
          </w:p>
        </w:tc>
        <w:tc>
          <w:tcPr>
            <w:tcW w:w="758" w:type="pct"/>
            <w:shd w:val="clear" w:color="auto" w:fill="B8CCE4" w:themeFill="accent1" w:themeFillTint="66"/>
            <w:vAlign w:val="center"/>
          </w:tcPr>
          <w:p w14:paraId="72F44E95" w14:textId="77777777" w:rsidR="008975CB" w:rsidRPr="008975CB" w:rsidRDefault="008975CB" w:rsidP="00E7458B">
            <w:pPr>
              <w:keepNext/>
              <w:keepLines/>
              <w:rPr>
                <w:rFonts w:ascii="Arial Narrow" w:hAnsi="Arial Narrow"/>
                <w:b/>
                <w:sz w:val="20"/>
                <w:szCs w:val="18"/>
              </w:rPr>
            </w:pPr>
            <w:r w:rsidRPr="008975CB">
              <w:rPr>
                <w:rFonts w:ascii="Arial Narrow" w:hAnsi="Arial Narrow"/>
                <w:b/>
                <w:sz w:val="20"/>
                <w:szCs w:val="18"/>
              </w:rPr>
              <w:t>RD (95%CI)</w:t>
            </w:r>
          </w:p>
        </w:tc>
      </w:tr>
      <w:tr w:rsidR="008975CB" w:rsidRPr="008975CB" w14:paraId="285057E3" w14:textId="77777777" w:rsidTr="0F1D33A4">
        <w:tblPrEx>
          <w:tblCellMar>
            <w:left w:w="28" w:type="dxa"/>
            <w:right w:w="28" w:type="dxa"/>
          </w:tblCellMar>
        </w:tblPrEx>
        <w:tc>
          <w:tcPr>
            <w:tcW w:w="5000" w:type="pct"/>
            <w:gridSpan w:val="7"/>
            <w:shd w:val="clear" w:color="auto" w:fill="B8CCE4" w:themeFill="accent1" w:themeFillTint="66"/>
            <w:vAlign w:val="center"/>
          </w:tcPr>
          <w:p w14:paraId="05D71BC0" w14:textId="77777777" w:rsidR="008975CB" w:rsidRPr="008975CB" w:rsidRDefault="008975CB" w:rsidP="00E7458B">
            <w:pPr>
              <w:keepNext/>
              <w:keepLines/>
              <w:jc w:val="left"/>
              <w:rPr>
                <w:rFonts w:ascii="Arial Narrow" w:hAnsi="Arial Narrow"/>
                <w:b/>
                <w:bCs/>
                <w:sz w:val="20"/>
                <w:szCs w:val="18"/>
              </w:rPr>
            </w:pPr>
            <w:r w:rsidRPr="008975CB">
              <w:rPr>
                <w:rFonts w:ascii="Arial Narrow" w:hAnsi="Arial Narrow"/>
                <w:b/>
                <w:bCs/>
                <w:sz w:val="20"/>
                <w:szCs w:val="18"/>
              </w:rPr>
              <w:t xml:space="preserve">RESPONSE </w:t>
            </w:r>
          </w:p>
        </w:tc>
      </w:tr>
      <w:tr w:rsidR="008975CB" w:rsidRPr="008975CB" w14:paraId="1D9C2D18" w14:textId="77777777" w:rsidTr="0F1D33A4">
        <w:tblPrEx>
          <w:tblCellMar>
            <w:left w:w="28" w:type="dxa"/>
            <w:right w:w="28" w:type="dxa"/>
          </w:tblCellMar>
        </w:tblPrEx>
        <w:tc>
          <w:tcPr>
            <w:tcW w:w="1019" w:type="pct"/>
            <w:shd w:val="clear" w:color="auto" w:fill="B8CCE4" w:themeFill="accent1" w:themeFillTint="66"/>
            <w:vAlign w:val="center"/>
          </w:tcPr>
          <w:p w14:paraId="2D486FB7" w14:textId="77777777" w:rsidR="008975CB" w:rsidRPr="008975CB" w:rsidRDefault="008975CB" w:rsidP="00E7458B">
            <w:pPr>
              <w:keepNext/>
              <w:keepLines/>
              <w:jc w:val="left"/>
              <w:rPr>
                <w:rFonts w:ascii="Arial Narrow" w:hAnsi="Arial Narrow"/>
                <w:sz w:val="20"/>
                <w:szCs w:val="18"/>
              </w:rPr>
            </w:pPr>
            <w:r w:rsidRPr="008975CB">
              <w:rPr>
                <w:rFonts w:ascii="Arial Narrow" w:hAnsi="Arial Narrow"/>
                <w:sz w:val="20"/>
                <w:szCs w:val="18"/>
              </w:rPr>
              <w:t>Anaemia all grades</w:t>
            </w:r>
          </w:p>
        </w:tc>
        <w:tc>
          <w:tcPr>
            <w:tcW w:w="943" w:type="pct"/>
            <w:gridSpan w:val="2"/>
            <w:shd w:val="clear" w:color="auto" w:fill="B8CCE4" w:themeFill="accent1" w:themeFillTint="66"/>
            <w:vAlign w:val="center"/>
          </w:tcPr>
          <w:p w14:paraId="4EF28790"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19/110 (17.3)</w:t>
            </w:r>
          </w:p>
        </w:tc>
        <w:tc>
          <w:tcPr>
            <w:tcW w:w="708" w:type="pct"/>
            <w:shd w:val="clear" w:color="auto" w:fill="B8CCE4" w:themeFill="accent1" w:themeFillTint="66"/>
            <w:vAlign w:val="center"/>
          </w:tcPr>
          <w:p w14:paraId="49476F1C"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1/111 (0.9)</w:t>
            </w:r>
          </w:p>
        </w:tc>
        <w:tc>
          <w:tcPr>
            <w:tcW w:w="786" w:type="pct"/>
            <w:shd w:val="clear" w:color="auto" w:fill="B8CCE4" w:themeFill="accent1" w:themeFillTint="66"/>
            <w:vAlign w:val="center"/>
          </w:tcPr>
          <w:p w14:paraId="547E702B" w14:textId="77777777" w:rsidR="008975CB" w:rsidRPr="008975CB" w:rsidRDefault="008975CB" w:rsidP="00E7458B">
            <w:pPr>
              <w:keepNext/>
              <w:keepLines/>
              <w:jc w:val="center"/>
              <w:rPr>
                <w:rFonts w:ascii="Arial Narrow" w:hAnsi="Arial Narrow"/>
                <w:b/>
                <w:sz w:val="20"/>
                <w:szCs w:val="18"/>
              </w:rPr>
            </w:pPr>
            <w:r w:rsidRPr="008975CB">
              <w:rPr>
                <w:rFonts w:ascii="Arial Narrow" w:hAnsi="Arial Narrow"/>
                <w:b/>
                <w:sz w:val="20"/>
                <w:szCs w:val="18"/>
              </w:rPr>
              <w:t>22.97 (3.48, 962)</w:t>
            </w:r>
          </w:p>
        </w:tc>
        <w:tc>
          <w:tcPr>
            <w:tcW w:w="786" w:type="pct"/>
            <w:shd w:val="clear" w:color="auto" w:fill="B8CCE4" w:themeFill="accent1" w:themeFillTint="66"/>
            <w:vAlign w:val="center"/>
          </w:tcPr>
          <w:p w14:paraId="11A20A26" w14:textId="77777777" w:rsidR="008975CB" w:rsidRPr="008975CB" w:rsidRDefault="008975CB" w:rsidP="00E7458B">
            <w:pPr>
              <w:keepNext/>
              <w:keepLines/>
              <w:jc w:val="center"/>
              <w:rPr>
                <w:rFonts w:ascii="Arial Narrow" w:hAnsi="Arial Narrow"/>
                <w:b/>
                <w:sz w:val="20"/>
                <w:szCs w:val="18"/>
              </w:rPr>
            </w:pPr>
            <w:r w:rsidRPr="008975CB">
              <w:rPr>
                <w:rFonts w:ascii="Arial Narrow" w:hAnsi="Arial Narrow"/>
                <w:b/>
                <w:sz w:val="20"/>
                <w:szCs w:val="18"/>
              </w:rPr>
              <w:t>19.17 (2.61, 141)</w:t>
            </w:r>
          </w:p>
        </w:tc>
        <w:tc>
          <w:tcPr>
            <w:tcW w:w="758" w:type="pct"/>
            <w:shd w:val="clear" w:color="auto" w:fill="B8CCE4" w:themeFill="accent1" w:themeFillTint="66"/>
            <w:vAlign w:val="center"/>
          </w:tcPr>
          <w:p w14:paraId="106C1632" w14:textId="77777777" w:rsidR="008975CB" w:rsidRPr="008975CB" w:rsidRDefault="008975CB" w:rsidP="00E7458B">
            <w:pPr>
              <w:keepNext/>
              <w:keepLines/>
              <w:jc w:val="center"/>
              <w:rPr>
                <w:rFonts w:ascii="Arial Narrow" w:hAnsi="Arial Narrow"/>
                <w:b/>
                <w:sz w:val="20"/>
                <w:szCs w:val="18"/>
              </w:rPr>
            </w:pPr>
            <w:r w:rsidRPr="008975CB">
              <w:rPr>
                <w:rFonts w:ascii="Arial Narrow" w:hAnsi="Arial Narrow"/>
                <w:b/>
                <w:sz w:val="20"/>
                <w:szCs w:val="18"/>
              </w:rPr>
              <w:t>0.16 (0.09, 0.24)</w:t>
            </w:r>
          </w:p>
        </w:tc>
      </w:tr>
      <w:tr w:rsidR="008975CB" w:rsidRPr="008975CB" w14:paraId="0D3DC4C6" w14:textId="77777777" w:rsidTr="0F1D33A4">
        <w:tblPrEx>
          <w:tblCellMar>
            <w:left w:w="28" w:type="dxa"/>
            <w:right w:w="28" w:type="dxa"/>
          </w:tblCellMar>
        </w:tblPrEx>
        <w:tc>
          <w:tcPr>
            <w:tcW w:w="1019" w:type="pct"/>
            <w:shd w:val="clear" w:color="auto" w:fill="B8CCE4" w:themeFill="accent1" w:themeFillTint="66"/>
            <w:vAlign w:val="center"/>
          </w:tcPr>
          <w:p w14:paraId="0B7ABCA7" w14:textId="77777777" w:rsidR="008975CB" w:rsidRPr="008975CB" w:rsidRDefault="008975CB" w:rsidP="00E7458B">
            <w:pPr>
              <w:keepNext/>
              <w:keepLines/>
              <w:jc w:val="left"/>
              <w:rPr>
                <w:rFonts w:ascii="Arial Narrow" w:hAnsi="Arial Narrow"/>
                <w:sz w:val="20"/>
                <w:szCs w:val="18"/>
              </w:rPr>
            </w:pPr>
            <w:r w:rsidRPr="008975CB">
              <w:rPr>
                <w:rFonts w:ascii="Arial Narrow" w:hAnsi="Arial Narrow"/>
                <w:sz w:val="20"/>
                <w:szCs w:val="18"/>
              </w:rPr>
              <w:t>Dizziness all grades</w:t>
            </w:r>
          </w:p>
        </w:tc>
        <w:tc>
          <w:tcPr>
            <w:tcW w:w="943" w:type="pct"/>
            <w:gridSpan w:val="2"/>
            <w:shd w:val="clear" w:color="auto" w:fill="B8CCE4" w:themeFill="accent1" w:themeFillTint="66"/>
            <w:vAlign w:val="center"/>
          </w:tcPr>
          <w:p w14:paraId="7EA3F85A"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7/110 (6.4)</w:t>
            </w:r>
          </w:p>
        </w:tc>
        <w:tc>
          <w:tcPr>
            <w:tcW w:w="708" w:type="pct"/>
            <w:shd w:val="clear" w:color="auto" w:fill="B8CCE4" w:themeFill="accent1" w:themeFillTint="66"/>
            <w:vAlign w:val="center"/>
          </w:tcPr>
          <w:p w14:paraId="737BA2E8"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0/111 (0)</w:t>
            </w:r>
          </w:p>
        </w:tc>
        <w:tc>
          <w:tcPr>
            <w:tcW w:w="786" w:type="pct"/>
            <w:shd w:val="clear" w:color="auto" w:fill="B8CCE4" w:themeFill="accent1" w:themeFillTint="66"/>
            <w:vAlign w:val="center"/>
          </w:tcPr>
          <w:p w14:paraId="69259531" w14:textId="77777777" w:rsidR="008975CB" w:rsidRPr="008975CB" w:rsidRDefault="008975CB" w:rsidP="00E7458B">
            <w:pPr>
              <w:keepNext/>
              <w:keepLines/>
              <w:jc w:val="center"/>
              <w:rPr>
                <w:rFonts w:ascii="Arial Narrow" w:hAnsi="Arial Narrow"/>
                <w:b/>
                <w:sz w:val="20"/>
                <w:szCs w:val="18"/>
              </w:rPr>
            </w:pPr>
            <w:r w:rsidRPr="008975CB">
              <w:rPr>
                <w:rFonts w:ascii="Arial Narrow" w:hAnsi="Arial Narrow"/>
                <w:b/>
                <w:sz w:val="20"/>
                <w:szCs w:val="18"/>
              </w:rPr>
              <w:t>16.16 (1.80, inf)</w:t>
            </w:r>
          </w:p>
        </w:tc>
        <w:tc>
          <w:tcPr>
            <w:tcW w:w="786" w:type="pct"/>
            <w:shd w:val="clear" w:color="auto" w:fill="B8CCE4" w:themeFill="accent1" w:themeFillTint="66"/>
            <w:vAlign w:val="center"/>
          </w:tcPr>
          <w:p w14:paraId="61D95CD4"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15.14 (0.87, 262)</w:t>
            </w:r>
          </w:p>
        </w:tc>
        <w:tc>
          <w:tcPr>
            <w:tcW w:w="758" w:type="pct"/>
            <w:shd w:val="clear" w:color="auto" w:fill="B8CCE4" w:themeFill="accent1" w:themeFillTint="66"/>
            <w:vAlign w:val="center"/>
          </w:tcPr>
          <w:p w14:paraId="6ACB1DA9" w14:textId="77777777" w:rsidR="008975CB" w:rsidRPr="008975CB" w:rsidRDefault="008975CB" w:rsidP="00E7458B">
            <w:pPr>
              <w:keepNext/>
              <w:keepLines/>
              <w:jc w:val="center"/>
              <w:rPr>
                <w:rFonts w:ascii="Arial Narrow" w:hAnsi="Arial Narrow"/>
                <w:b/>
                <w:sz w:val="20"/>
                <w:szCs w:val="18"/>
              </w:rPr>
            </w:pPr>
            <w:r w:rsidRPr="008975CB">
              <w:rPr>
                <w:rFonts w:ascii="Arial Narrow" w:hAnsi="Arial Narrow"/>
                <w:b/>
                <w:sz w:val="20"/>
                <w:szCs w:val="18"/>
              </w:rPr>
              <w:t>0.06 (.02, 0.11)</w:t>
            </w:r>
          </w:p>
        </w:tc>
      </w:tr>
      <w:tr w:rsidR="008975CB" w:rsidRPr="008975CB" w14:paraId="157EBFD8" w14:textId="77777777" w:rsidTr="0F1D33A4">
        <w:tblPrEx>
          <w:tblCellMar>
            <w:left w:w="28" w:type="dxa"/>
            <w:right w:w="28" w:type="dxa"/>
          </w:tblCellMar>
        </w:tblPrEx>
        <w:tc>
          <w:tcPr>
            <w:tcW w:w="1019" w:type="pct"/>
            <w:shd w:val="clear" w:color="auto" w:fill="B8CCE4" w:themeFill="accent1" w:themeFillTint="66"/>
            <w:vAlign w:val="center"/>
          </w:tcPr>
          <w:p w14:paraId="15B29475" w14:textId="77777777" w:rsidR="008975CB" w:rsidRPr="008975CB" w:rsidRDefault="008975CB" w:rsidP="00E7458B">
            <w:pPr>
              <w:keepNext/>
              <w:keepLines/>
              <w:jc w:val="left"/>
              <w:rPr>
                <w:rFonts w:ascii="Arial Narrow" w:hAnsi="Arial Narrow"/>
                <w:sz w:val="20"/>
                <w:szCs w:val="18"/>
              </w:rPr>
            </w:pPr>
            <w:r w:rsidRPr="008975CB">
              <w:rPr>
                <w:rFonts w:ascii="Arial Narrow" w:hAnsi="Arial Narrow"/>
                <w:sz w:val="20"/>
                <w:szCs w:val="18"/>
              </w:rPr>
              <w:t>Headache all grades</w:t>
            </w:r>
          </w:p>
        </w:tc>
        <w:tc>
          <w:tcPr>
            <w:tcW w:w="943" w:type="pct"/>
            <w:gridSpan w:val="2"/>
            <w:shd w:val="clear" w:color="auto" w:fill="B8CCE4" w:themeFill="accent1" w:themeFillTint="66"/>
            <w:vAlign w:val="center"/>
          </w:tcPr>
          <w:p w14:paraId="7EF60CA4"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7/110 (6.4)</w:t>
            </w:r>
          </w:p>
        </w:tc>
        <w:tc>
          <w:tcPr>
            <w:tcW w:w="708" w:type="pct"/>
            <w:shd w:val="clear" w:color="auto" w:fill="B8CCE4" w:themeFill="accent1" w:themeFillTint="66"/>
            <w:vAlign w:val="center"/>
          </w:tcPr>
          <w:p w14:paraId="404FDC00"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0/111 (0)</w:t>
            </w:r>
          </w:p>
        </w:tc>
        <w:tc>
          <w:tcPr>
            <w:tcW w:w="786" w:type="pct"/>
            <w:shd w:val="clear" w:color="auto" w:fill="B8CCE4" w:themeFill="accent1" w:themeFillTint="66"/>
            <w:vAlign w:val="center"/>
          </w:tcPr>
          <w:p w14:paraId="52B7BF8B" w14:textId="77777777" w:rsidR="008975CB" w:rsidRPr="008975CB" w:rsidRDefault="008975CB" w:rsidP="00E7458B">
            <w:pPr>
              <w:keepNext/>
              <w:keepLines/>
              <w:jc w:val="center"/>
              <w:rPr>
                <w:rFonts w:ascii="Arial Narrow" w:hAnsi="Arial Narrow"/>
                <w:b/>
                <w:sz w:val="20"/>
                <w:szCs w:val="18"/>
              </w:rPr>
            </w:pPr>
            <w:r w:rsidRPr="008975CB">
              <w:rPr>
                <w:rFonts w:ascii="Arial Narrow" w:hAnsi="Arial Narrow"/>
                <w:b/>
                <w:sz w:val="20"/>
                <w:szCs w:val="18"/>
              </w:rPr>
              <w:t>16.16 (1.80, inf)</w:t>
            </w:r>
          </w:p>
        </w:tc>
        <w:tc>
          <w:tcPr>
            <w:tcW w:w="786" w:type="pct"/>
            <w:shd w:val="clear" w:color="auto" w:fill="B8CCE4" w:themeFill="accent1" w:themeFillTint="66"/>
            <w:vAlign w:val="center"/>
          </w:tcPr>
          <w:p w14:paraId="6E3C25A3"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15.14 (0.87, 262)</w:t>
            </w:r>
          </w:p>
        </w:tc>
        <w:tc>
          <w:tcPr>
            <w:tcW w:w="758" w:type="pct"/>
            <w:shd w:val="clear" w:color="auto" w:fill="B8CCE4" w:themeFill="accent1" w:themeFillTint="66"/>
            <w:vAlign w:val="center"/>
          </w:tcPr>
          <w:p w14:paraId="147CDEDF" w14:textId="77777777" w:rsidR="008975CB" w:rsidRPr="008975CB" w:rsidRDefault="008975CB" w:rsidP="00E7458B">
            <w:pPr>
              <w:keepNext/>
              <w:keepLines/>
              <w:jc w:val="center"/>
              <w:rPr>
                <w:rFonts w:ascii="Arial Narrow" w:hAnsi="Arial Narrow"/>
                <w:b/>
                <w:sz w:val="20"/>
                <w:szCs w:val="18"/>
              </w:rPr>
            </w:pPr>
            <w:r w:rsidRPr="008975CB">
              <w:rPr>
                <w:rFonts w:ascii="Arial Narrow" w:hAnsi="Arial Narrow"/>
                <w:b/>
                <w:sz w:val="20"/>
                <w:szCs w:val="18"/>
              </w:rPr>
              <w:t>0.06 (.02, 0.11)</w:t>
            </w:r>
          </w:p>
        </w:tc>
      </w:tr>
      <w:tr w:rsidR="008975CB" w:rsidRPr="008975CB" w14:paraId="22A276CD" w14:textId="77777777" w:rsidTr="0F1D33A4">
        <w:tblPrEx>
          <w:tblCellMar>
            <w:left w:w="28" w:type="dxa"/>
            <w:right w:w="28" w:type="dxa"/>
          </w:tblCellMar>
        </w:tblPrEx>
        <w:tc>
          <w:tcPr>
            <w:tcW w:w="5000" w:type="pct"/>
            <w:gridSpan w:val="7"/>
            <w:shd w:val="clear" w:color="auto" w:fill="B8CCE4" w:themeFill="accent1" w:themeFillTint="66"/>
            <w:vAlign w:val="center"/>
          </w:tcPr>
          <w:p w14:paraId="3A92891A" w14:textId="77777777" w:rsidR="008975CB" w:rsidRPr="008975CB" w:rsidRDefault="008975CB" w:rsidP="00E7458B">
            <w:pPr>
              <w:keepNext/>
              <w:keepLines/>
              <w:jc w:val="left"/>
              <w:rPr>
                <w:rFonts w:ascii="Arial Narrow" w:hAnsi="Arial Narrow"/>
                <w:b/>
                <w:bCs/>
                <w:sz w:val="20"/>
                <w:szCs w:val="18"/>
              </w:rPr>
            </w:pPr>
            <w:r w:rsidRPr="008975CB">
              <w:rPr>
                <w:rFonts w:ascii="Arial Narrow" w:hAnsi="Arial Narrow"/>
                <w:b/>
                <w:bCs/>
                <w:sz w:val="20"/>
                <w:szCs w:val="18"/>
              </w:rPr>
              <w:t>RESPONSE-2</w:t>
            </w:r>
          </w:p>
        </w:tc>
      </w:tr>
      <w:tr w:rsidR="008975CB" w:rsidRPr="008975CB" w14:paraId="6691F83C" w14:textId="77777777" w:rsidTr="0F1D33A4">
        <w:tblPrEx>
          <w:tblCellMar>
            <w:left w:w="28" w:type="dxa"/>
            <w:right w:w="28" w:type="dxa"/>
          </w:tblCellMar>
        </w:tblPrEx>
        <w:tc>
          <w:tcPr>
            <w:tcW w:w="1019" w:type="pct"/>
            <w:shd w:val="clear" w:color="auto" w:fill="B8CCE4" w:themeFill="accent1" w:themeFillTint="66"/>
            <w:vAlign w:val="center"/>
          </w:tcPr>
          <w:p w14:paraId="4DB44D78" w14:textId="77777777" w:rsidR="008975CB" w:rsidRPr="008975CB" w:rsidRDefault="008975CB" w:rsidP="00E7458B">
            <w:pPr>
              <w:keepNext/>
              <w:keepLines/>
              <w:jc w:val="left"/>
              <w:rPr>
                <w:rFonts w:ascii="Arial Narrow" w:hAnsi="Arial Narrow"/>
                <w:sz w:val="20"/>
                <w:szCs w:val="18"/>
              </w:rPr>
            </w:pPr>
            <w:r w:rsidRPr="008975CB">
              <w:rPr>
                <w:rFonts w:ascii="Arial Narrow" w:hAnsi="Arial Narrow"/>
                <w:sz w:val="20"/>
                <w:szCs w:val="18"/>
              </w:rPr>
              <w:t>Anaemia all grades</w:t>
            </w:r>
          </w:p>
        </w:tc>
        <w:tc>
          <w:tcPr>
            <w:tcW w:w="943" w:type="pct"/>
            <w:gridSpan w:val="2"/>
            <w:shd w:val="clear" w:color="auto" w:fill="B8CCE4" w:themeFill="accent1" w:themeFillTint="66"/>
            <w:vAlign w:val="center"/>
          </w:tcPr>
          <w:p w14:paraId="190CDAE0"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11/74 (14.9)</w:t>
            </w:r>
          </w:p>
        </w:tc>
        <w:tc>
          <w:tcPr>
            <w:tcW w:w="708" w:type="pct"/>
            <w:shd w:val="clear" w:color="auto" w:fill="B8CCE4" w:themeFill="accent1" w:themeFillTint="66"/>
            <w:vAlign w:val="center"/>
          </w:tcPr>
          <w:p w14:paraId="1D357488"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0/75 (0)</w:t>
            </w:r>
          </w:p>
        </w:tc>
        <w:tc>
          <w:tcPr>
            <w:tcW w:w="786" w:type="pct"/>
            <w:shd w:val="clear" w:color="auto" w:fill="B8CCE4" w:themeFill="accent1" w:themeFillTint="66"/>
            <w:vAlign w:val="center"/>
          </w:tcPr>
          <w:p w14:paraId="26C43EE1" w14:textId="77777777" w:rsidR="008975CB" w:rsidRPr="008975CB" w:rsidRDefault="008975CB" w:rsidP="00E7458B">
            <w:pPr>
              <w:keepNext/>
              <w:keepLines/>
              <w:jc w:val="center"/>
              <w:rPr>
                <w:rFonts w:ascii="Arial Narrow" w:hAnsi="Arial Narrow"/>
                <w:b/>
                <w:sz w:val="20"/>
                <w:szCs w:val="18"/>
              </w:rPr>
            </w:pPr>
            <w:r w:rsidRPr="008975CB">
              <w:rPr>
                <w:rFonts w:ascii="Arial Narrow" w:hAnsi="Arial Narrow"/>
                <w:b/>
                <w:sz w:val="20"/>
                <w:szCs w:val="18"/>
              </w:rPr>
              <w:t>27.35 (3.17, inf)</w:t>
            </w:r>
          </w:p>
        </w:tc>
        <w:tc>
          <w:tcPr>
            <w:tcW w:w="786" w:type="pct"/>
            <w:shd w:val="clear" w:color="auto" w:fill="B8CCE4" w:themeFill="accent1" w:themeFillTint="66"/>
            <w:vAlign w:val="center"/>
          </w:tcPr>
          <w:p w14:paraId="51ACFD6D" w14:textId="77777777" w:rsidR="008975CB" w:rsidRPr="008975CB" w:rsidRDefault="008975CB" w:rsidP="00E7458B">
            <w:pPr>
              <w:keepNext/>
              <w:keepLines/>
              <w:jc w:val="center"/>
              <w:rPr>
                <w:rFonts w:ascii="Arial Narrow" w:hAnsi="Arial Narrow"/>
                <w:b/>
                <w:sz w:val="20"/>
                <w:szCs w:val="18"/>
              </w:rPr>
            </w:pPr>
            <w:r w:rsidRPr="008975CB">
              <w:rPr>
                <w:rFonts w:ascii="Arial Narrow" w:hAnsi="Arial Narrow"/>
                <w:b/>
                <w:sz w:val="20"/>
                <w:szCs w:val="18"/>
              </w:rPr>
              <w:t>23.31 (1.40, 388)</w:t>
            </w:r>
          </w:p>
        </w:tc>
        <w:tc>
          <w:tcPr>
            <w:tcW w:w="758" w:type="pct"/>
            <w:shd w:val="clear" w:color="auto" w:fill="B8CCE4" w:themeFill="accent1" w:themeFillTint="66"/>
            <w:vAlign w:val="center"/>
          </w:tcPr>
          <w:p w14:paraId="74832792" w14:textId="77777777" w:rsidR="008975CB" w:rsidRPr="008975CB" w:rsidRDefault="008975CB" w:rsidP="00E7458B">
            <w:pPr>
              <w:keepNext/>
              <w:keepLines/>
              <w:jc w:val="center"/>
              <w:rPr>
                <w:rFonts w:ascii="Arial Narrow" w:hAnsi="Arial Narrow"/>
                <w:b/>
                <w:sz w:val="20"/>
                <w:szCs w:val="18"/>
              </w:rPr>
            </w:pPr>
            <w:r w:rsidRPr="008975CB">
              <w:rPr>
                <w:rFonts w:ascii="Arial Narrow" w:hAnsi="Arial Narrow"/>
                <w:b/>
                <w:sz w:val="20"/>
                <w:szCs w:val="18"/>
              </w:rPr>
              <w:t>0.15 (0.07, 0.23)</w:t>
            </w:r>
          </w:p>
        </w:tc>
      </w:tr>
      <w:tr w:rsidR="008975CB" w:rsidRPr="008975CB" w14:paraId="1958F607" w14:textId="77777777" w:rsidTr="0F1D33A4">
        <w:tblPrEx>
          <w:tblCellMar>
            <w:left w:w="28" w:type="dxa"/>
            <w:right w:w="28" w:type="dxa"/>
          </w:tblCellMar>
        </w:tblPrEx>
        <w:tc>
          <w:tcPr>
            <w:tcW w:w="1019" w:type="pct"/>
            <w:shd w:val="clear" w:color="auto" w:fill="B8CCE4" w:themeFill="accent1" w:themeFillTint="66"/>
            <w:vAlign w:val="center"/>
          </w:tcPr>
          <w:p w14:paraId="08ECFABB" w14:textId="77777777" w:rsidR="008975CB" w:rsidRPr="008975CB" w:rsidRDefault="008975CB" w:rsidP="00E7458B">
            <w:pPr>
              <w:keepNext/>
              <w:keepLines/>
              <w:jc w:val="left"/>
              <w:rPr>
                <w:rFonts w:ascii="Arial Narrow" w:hAnsi="Arial Narrow"/>
                <w:sz w:val="20"/>
                <w:szCs w:val="18"/>
              </w:rPr>
            </w:pPr>
            <w:r w:rsidRPr="008975CB">
              <w:rPr>
                <w:rFonts w:ascii="Arial Narrow" w:hAnsi="Arial Narrow"/>
                <w:sz w:val="20"/>
                <w:szCs w:val="18"/>
              </w:rPr>
              <w:t>Weight increased</w:t>
            </w:r>
          </w:p>
        </w:tc>
        <w:tc>
          <w:tcPr>
            <w:tcW w:w="943" w:type="pct"/>
            <w:gridSpan w:val="2"/>
            <w:shd w:val="clear" w:color="auto" w:fill="B8CCE4" w:themeFill="accent1" w:themeFillTint="66"/>
            <w:vAlign w:val="center"/>
          </w:tcPr>
          <w:p w14:paraId="065B7EC0"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8/74 (10.8)</w:t>
            </w:r>
          </w:p>
        </w:tc>
        <w:tc>
          <w:tcPr>
            <w:tcW w:w="708" w:type="pct"/>
            <w:shd w:val="clear" w:color="auto" w:fill="B8CCE4" w:themeFill="accent1" w:themeFillTint="66"/>
            <w:vAlign w:val="center"/>
          </w:tcPr>
          <w:p w14:paraId="7F1A42AB" w14:textId="77777777" w:rsidR="008975CB" w:rsidRPr="008975CB" w:rsidRDefault="008975CB" w:rsidP="00E7458B">
            <w:pPr>
              <w:keepNext/>
              <w:keepLines/>
              <w:jc w:val="center"/>
              <w:rPr>
                <w:rFonts w:ascii="Arial Narrow" w:hAnsi="Arial Narrow"/>
                <w:sz w:val="20"/>
                <w:szCs w:val="18"/>
              </w:rPr>
            </w:pPr>
            <w:r w:rsidRPr="008975CB">
              <w:rPr>
                <w:rFonts w:ascii="Arial Narrow" w:hAnsi="Arial Narrow"/>
                <w:sz w:val="20"/>
                <w:szCs w:val="18"/>
              </w:rPr>
              <w:t>0/75 (0)</w:t>
            </w:r>
          </w:p>
        </w:tc>
        <w:tc>
          <w:tcPr>
            <w:tcW w:w="786" w:type="pct"/>
            <w:shd w:val="clear" w:color="auto" w:fill="B8CCE4" w:themeFill="accent1" w:themeFillTint="66"/>
            <w:vAlign w:val="center"/>
          </w:tcPr>
          <w:p w14:paraId="2D7C9FCB" w14:textId="77777777" w:rsidR="008975CB" w:rsidRPr="008975CB" w:rsidRDefault="008975CB" w:rsidP="00E7458B">
            <w:pPr>
              <w:keepNext/>
              <w:keepLines/>
              <w:jc w:val="center"/>
              <w:rPr>
                <w:rFonts w:ascii="Arial Narrow" w:hAnsi="Arial Narrow"/>
                <w:b/>
                <w:sz w:val="20"/>
                <w:szCs w:val="18"/>
              </w:rPr>
            </w:pPr>
            <w:r w:rsidRPr="008975CB">
              <w:rPr>
                <w:rFonts w:ascii="Arial Narrow" w:hAnsi="Arial Narrow"/>
                <w:b/>
                <w:sz w:val="20"/>
                <w:szCs w:val="18"/>
              </w:rPr>
              <w:t>19.30 (1.14, 403)</w:t>
            </w:r>
          </w:p>
        </w:tc>
        <w:tc>
          <w:tcPr>
            <w:tcW w:w="786" w:type="pct"/>
            <w:shd w:val="clear" w:color="auto" w:fill="B8CCE4" w:themeFill="accent1" w:themeFillTint="66"/>
            <w:vAlign w:val="center"/>
          </w:tcPr>
          <w:p w14:paraId="210B0A63" w14:textId="77777777" w:rsidR="008975CB" w:rsidRPr="008975CB" w:rsidRDefault="008975CB" w:rsidP="00E7458B">
            <w:pPr>
              <w:keepNext/>
              <w:keepLines/>
              <w:jc w:val="center"/>
              <w:rPr>
                <w:rFonts w:ascii="Arial Narrow" w:hAnsi="Arial Narrow"/>
                <w:b/>
                <w:sz w:val="20"/>
                <w:szCs w:val="18"/>
              </w:rPr>
            </w:pPr>
            <w:r w:rsidRPr="008975CB">
              <w:rPr>
                <w:rFonts w:ascii="Arial Narrow" w:hAnsi="Arial Narrow"/>
                <w:b/>
                <w:sz w:val="20"/>
                <w:szCs w:val="18"/>
              </w:rPr>
              <w:t>17.23 (1.01, 293)</w:t>
            </w:r>
          </w:p>
        </w:tc>
        <w:tc>
          <w:tcPr>
            <w:tcW w:w="758" w:type="pct"/>
            <w:shd w:val="clear" w:color="auto" w:fill="B8CCE4" w:themeFill="accent1" w:themeFillTint="66"/>
            <w:vAlign w:val="center"/>
          </w:tcPr>
          <w:p w14:paraId="3F9A3110" w14:textId="77777777" w:rsidR="008975CB" w:rsidRPr="008975CB" w:rsidRDefault="008975CB" w:rsidP="00E7458B">
            <w:pPr>
              <w:keepNext/>
              <w:keepLines/>
              <w:jc w:val="center"/>
              <w:rPr>
                <w:rFonts w:ascii="Arial Narrow" w:hAnsi="Arial Narrow"/>
                <w:b/>
                <w:sz w:val="20"/>
                <w:szCs w:val="18"/>
              </w:rPr>
            </w:pPr>
            <w:r w:rsidRPr="008975CB">
              <w:rPr>
                <w:rFonts w:ascii="Arial Narrow" w:hAnsi="Arial Narrow"/>
                <w:b/>
                <w:sz w:val="20"/>
                <w:szCs w:val="18"/>
              </w:rPr>
              <w:t>0.11 (0.03, 0.18)</w:t>
            </w:r>
          </w:p>
        </w:tc>
      </w:tr>
    </w:tbl>
    <w:p w14:paraId="04E31B66" w14:textId="2D9137F8" w:rsidR="008975CB" w:rsidRPr="008975CB" w:rsidRDefault="008975CB" w:rsidP="0F1D33A4">
      <w:pPr>
        <w:keepNext/>
        <w:keepLines/>
        <w:rPr>
          <w:rFonts w:ascii="Arial Narrow" w:hAnsi="Arial Narrow"/>
          <w:sz w:val="18"/>
          <w:szCs w:val="18"/>
        </w:rPr>
      </w:pPr>
      <w:r w:rsidRPr="0F1D33A4">
        <w:rPr>
          <w:rFonts w:ascii="Arial Narrow" w:hAnsi="Arial Narrow"/>
          <w:sz w:val="18"/>
          <w:szCs w:val="18"/>
        </w:rPr>
        <w:t>Source: p127-128 of resubmission, Kiladjian et al</w:t>
      </w:r>
      <w:r w:rsidR="000D2D7F" w:rsidRPr="0F1D33A4">
        <w:rPr>
          <w:rFonts w:ascii="Arial Narrow" w:hAnsi="Arial Narrow"/>
          <w:sz w:val="18"/>
          <w:szCs w:val="18"/>
        </w:rPr>
        <w:t>.,</w:t>
      </w:r>
      <w:r w:rsidRPr="0F1D33A4">
        <w:rPr>
          <w:rFonts w:ascii="Arial Narrow" w:hAnsi="Arial Narrow"/>
          <w:sz w:val="18"/>
          <w:szCs w:val="18"/>
        </w:rPr>
        <w:t xml:space="preserve"> 2020, Passamonti et al</w:t>
      </w:r>
      <w:r w:rsidR="000D2D7F" w:rsidRPr="0F1D33A4">
        <w:rPr>
          <w:rFonts w:ascii="Arial Narrow" w:hAnsi="Arial Narrow"/>
          <w:sz w:val="18"/>
          <w:szCs w:val="18"/>
        </w:rPr>
        <w:t>.,</w:t>
      </w:r>
      <w:r w:rsidRPr="0F1D33A4">
        <w:rPr>
          <w:rFonts w:ascii="Arial Narrow" w:hAnsi="Arial Narrow"/>
          <w:sz w:val="18"/>
          <w:szCs w:val="18"/>
        </w:rPr>
        <w:t xml:space="preserve"> 2022, Table 2.3-54, p 173 and table 2.3-58, p 178 of previous submission </w:t>
      </w:r>
    </w:p>
    <w:p w14:paraId="179EDC04" w14:textId="77777777" w:rsidR="008975CB" w:rsidRPr="008975CB" w:rsidRDefault="008975CB" w:rsidP="0F1D33A4">
      <w:pPr>
        <w:keepNext/>
        <w:keepLines/>
        <w:spacing w:after="120"/>
        <w:contextualSpacing/>
        <w:jc w:val="left"/>
        <w:rPr>
          <w:rFonts w:ascii="Arial Narrow" w:hAnsi="Arial Narrow"/>
          <w:snapToGrid w:val="0"/>
          <w:sz w:val="18"/>
          <w:szCs w:val="18"/>
        </w:rPr>
      </w:pPr>
      <w:r w:rsidRPr="0F1D33A4">
        <w:rPr>
          <w:rFonts w:ascii="Arial Narrow" w:hAnsi="Arial Narrow"/>
          <w:snapToGrid w:val="0"/>
          <w:sz w:val="18"/>
          <w:szCs w:val="18"/>
        </w:rPr>
        <w:t>Abbreviations: AEs, adverse events; AML, acute myeloid leukaemia; BAT, best available therapy; CI, confidence interval; Inf, infinity; MF, myelofibrosis; OR, odds ratio; RD, risk difference; RR, risk ratio.</w:t>
      </w:r>
    </w:p>
    <w:p w14:paraId="446B55A0" w14:textId="77777777" w:rsidR="008975CB" w:rsidRPr="008975CB" w:rsidRDefault="008975CB" w:rsidP="0F1D33A4">
      <w:pPr>
        <w:keepNext/>
        <w:keepLines/>
        <w:spacing w:after="120"/>
        <w:contextualSpacing/>
        <w:jc w:val="left"/>
        <w:rPr>
          <w:rFonts w:ascii="Arial Narrow" w:hAnsi="Arial Narrow"/>
          <w:snapToGrid w:val="0"/>
          <w:sz w:val="18"/>
          <w:szCs w:val="18"/>
        </w:rPr>
      </w:pPr>
      <w:r w:rsidRPr="0F1D33A4">
        <w:rPr>
          <w:rFonts w:ascii="Arial Narrow" w:hAnsi="Arial Narrow"/>
          <w:snapToGrid w:val="0"/>
          <w:sz w:val="18"/>
          <w:szCs w:val="18"/>
          <w:vertAlign w:val="superscript"/>
        </w:rPr>
        <w:t>a</w:t>
      </w:r>
      <w:r w:rsidRPr="0F1D33A4">
        <w:rPr>
          <w:rFonts w:ascii="Arial Narrow" w:hAnsi="Arial Narrow"/>
          <w:snapToGrid w:val="0"/>
          <w:sz w:val="18"/>
          <w:szCs w:val="18"/>
        </w:rPr>
        <w:t xml:space="preserve"> Adverse events occurring at a rate of ≥5 per 100 patient-years of exposure in any group, regardless of relationship to study drug. Adjusted rates were calculated as the number of patients with events per 100 patient-year of exposure. Exposure for ruxolitinib=428·4 patient-years. Exposure for BAT=73·6 patient-years. </w:t>
      </w:r>
    </w:p>
    <w:p w14:paraId="64C0C299" w14:textId="77777777" w:rsidR="008975CB" w:rsidRPr="008975CB" w:rsidRDefault="008975CB" w:rsidP="0910F2D2">
      <w:pPr>
        <w:keepNext/>
        <w:keepLines/>
        <w:spacing w:after="120"/>
        <w:contextualSpacing/>
        <w:jc w:val="left"/>
        <w:rPr>
          <w:rFonts w:ascii="Arial Narrow" w:hAnsi="Arial Narrow"/>
          <w:snapToGrid w:val="0"/>
          <w:sz w:val="18"/>
          <w:szCs w:val="18"/>
        </w:rPr>
      </w:pPr>
      <w:r w:rsidRPr="0910F2D2">
        <w:rPr>
          <w:rFonts w:ascii="Arial Narrow" w:hAnsi="Arial Narrow"/>
          <w:snapToGrid w:val="0"/>
          <w:sz w:val="18"/>
          <w:szCs w:val="18"/>
          <w:vertAlign w:val="superscript"/>
        </w:rPr>
        <w:t>b</w:t>
      </w:r>
      <w:r w:rsidRPr="0910F2D2">
        <w:rPr>
          <w:rFonts w:ascii="Arial Narrow" w:hAnsi="Arial Narrow"/>
          <w:snapToGrid w:val="0"/>
          <w:sz w:val="18"/>
          <w:szCs w:val="18"/>
        </w:rPr>
        <w:t xml:space="preserve"> Adjusted rates were calculated as the number of patients with events per 100 patient-year of exposure. Median exposure was 260 weeks (IQR 257–261) in the ruxolitinib group and 28 weeks (28–40) in the best available therapy group.</w:t>
      </w:r>
    </w:p>
    <w:p w14:paraId="51F661DD" w14:textId="77777777" w:rsidR="008975CB" w:rsidRPr="008975CB" w:rsidRDefault="008975CB" w:rsidP="0F1D33A4">
      <w:pPr>
        <w:keepNext/>
        <w:keepLines/>
        <w:spacing w:after="120"/>
        <w:contextualSpacing/>
        <w:jc w:val="left"/>
        <w:rPr>
          <w:rFonts w:ascii="Arial Narrow" w:hAnsi="Arial Narrow"/>
          <w:snapToGrid w:val="0"/>
          <w:sz w:val="18"/>
          <w:szCs w:val="18"/>
        </w:rPr>
      </w:pPr>
      <w:r w:rsidRPr="0F1D33A4">
        <w:rPr>
          <w:rFonts w:ascii="Arial Narrow" w:hAnsi="Arial Narrow"/>
          <w:snapToGrid w:val="0"/>
          <w:sz w:val="18"/>
          <w:szCs w:val="18"/>
          <w:shd w:val="clear" w:color="auto" w:fill="B8CCE4" w:themeFill="accent1" w:themeFillTint="66"/>
        </w:rPr>
        <w:t>Blue shading</w:t>
      </w:r>
      <w:r w:rsidRPr="0F1D33A4">
        <w:rPr>
          <w:rFonts w:ascii="Arial Narrow" w:hAnsi="Arial Narrow"/>
          <w:snapToGrid w:val="0"/>
          <w:sz w:val="18"/>
          <w:szCs w:val="18"/>
        </w:rPr>
        <w:t xml:space="preserve"> indicated values previously seen by PBAC.</w:t>
      </w:r>
    </w:p>
    <w:p w14:paraId="741545E8" w14:textId="2FAC7548" w:rsidR="008975CB" w:rsidRPr="006124A7" w:rsidRDefault="008975CB" w:rsidP="00201BA7">
      <w:pPr>
        <w:pStyle w:val="3-BodyText"/>
      </w:pPr>
      <w:r w:rsidRPr="0910F2D2">
        <w:t xml:space="preserve">The 5-year follow up results showed that exposure-adjusted rates of anaemia (all grades) </w:t>
      </w:r>
      <w:r w:rsidR="003D4D1F" w:rsidRPr="0910F2D2">
        <w:t xml:space="preserve">were </w:t>
      </w:r>
      <w:r w:rsidRPr="0910F2D2">
        <w:t xml:space="preserve">higher with ruxolitinib compared to BAT. </w:t>
      </w:r>
      <w:r w:rsidR="002356D4" w:rsidRPr="0910F2D2">
        <w:t>The differences in weight gain between arms</w:t>
      </w:r>
      <w:r w:rsidR="001B2E91" w:rsidRPr="0910F2D2">
        <w:t xml:space="preserve"> </w:t>
      </w:r>
      <w:r w:rsidRPr="0910F2D2">
        <w:t>continue</w:t>
      </w:r>
      <w:r w:rsidR="00C51C2B" w:rsidRPr="0910F2D2">
        <w:t>d</w:t>
      </w:r>
      <w:r w:rsidRPr="0910F2D2">
        <w:t xml:space="preserve"> to be higher with ruxolitinib compared to BAT, while infections (all grades) are more prominent with BAT compared with ruxolitinib. </w:t>
      </w:r>
    </w:p>
    <w:p w14:paraId="6F27C153" w14:textId="0F4F5F5D" w:rsidR="008975CB" w:rsidRPr="006124A7" w:rsidRDefault="008975CB" w:rsidP="00201BA7">
      <w:pPr>
        <w:pStyle w:val="3-BodyText"/>
      </w:pPr>
      <w:bookmarkStart w:id="65" w:name="_Ref184916030"/>
      <w:r w:rsidRPr="0F1D33A4">
        <w:t>The safety findings reported in Rocca Mora et al</w:t>
      </w:r>
      <w:r w:rsidR="00550AFA" w:rsidRPr="0F1D33A4">
        <w:t>.</w:t>
      </w:r>
      <w:r w:rsidR="000D2D7F" w:rsidRPr="0F1D33A4">
        <w:t>,</w:t>
      </w:r>
      <w:r w:rsidRPr="0F1D33A4">
        <w:t xml:space="preserve"> 2024</w:t>
      </w:r>
      <w:r w:rsidRPr="0F1D33A4">
        <w:rPr>
          <w:vertAlign w:val="superscript"/>
        </w:rPr>
        <w:footnoteReference w:id="9"/>
      </w:r>
      <w:r w:rsidRPr="0F1D33A4">
        <w:t xml:space="preserve"> for patients resistant or intolerant to HC/HU showed significantly lower thromboembolism rates (RR 0.42; 95% CI</w:t>
      </w:r>
      <w:r w:rsidR="00F611AC">
        <w:t>:</w:t>
      </w:r>
      <w:r w:rsidRPr="0F1D33A4">
        <w:t xml:space="preserve"> 0.19</w:t>
      </w:r>
      <w:r w:rsidR="00F611AC">
        <w:t>,</w:t>
      </w:r>
      <w:r w:rsidRPr="0F1D33A4">
        <w:t xml:space="preserve"> 0.92; p = 0.03; I2 = 44%), yet significantly increased rates of </w:t>
      </w:r>
      <w:r w:rsidR="00DE0F2F" w:rsidRPr="0F1D33A4">
        <w:t>anaemia</w:t>
      </w:r>
      <w:r w:rsidRPr="0F1D33A4">
        <w:t xml:space="preserve"> (RR 2.75; 95% CI</w:t>
      </w:r>
      <w:r w:rsidR="00F611AC">
        <w:t>:</w:t>
      </w:r>
      <w:r w:rsidRPr="0F1D33A4">
        <w:t xml:space="preserve"> 1.01</w:t>
      </w:r>
      <w:r w:rsidR="00F611AC">
        <w:t>,</w:t>
      </w:r>
      <w:r w:rsidRPr="0F1D33A4">
        <w:t xml:space="preserve"> 7.50; p = 0.05; I2 = 50%), and herpes zoster infections (RR 3.63; 95% CI </w:t>
      </w:r>
      <w:r w:rsidRPr="0F1D33A4">
        <w:lastRenderedPageBreak/>
        <w:t>1.22 to 10.83; p = 0.02; I2 = 0%) with the use of ruxolitinib. There were no significant differences between groups in the rates of thrombocytopenia (RR 0.98; 95% CI</w:t>
      </w:r>
      <w:r w:rsidR="00F611AC">
        <w:t>:</w:t>
      </w:r>
      <w:r w:rsidRPr="0F1D33A4">
        <w:t xml:space="preserve"> 0.38</w:t>
      </w:r>
      <w:r w:rsidR="00F611AC">
        <w:t>,</w:t>
      </w:r>
      <w:r w:rsidR="00F87B86">
        <w:t xml:space="preserve"> </w:t>
      </w:r>
      <w:r w:rsidRPr="0F1D33A4">
        <w:t>2.55; p = 0.97; I2 = 30%), and nonmelanoma skin cancer (NMSC) (RR 1.83; 95% CI</w:t>
      </w:r>
      <w:r w:rsidR="000F4B04">
        <w:t>:</w:t>
      </w:r>
      <w:r w:rsidRPr="0F1D33A4">
        <w:t xml:space="preserve"> 0.46</w:t>
      </w:r>
      <w:r w:rsidR="000F4B04">
        <w:t>,</w:t>
      </w:r>
      <w:r w:rsidR="00F87B86">
        <w:t xml:space="preserve"> </w:t>
      </w:r>
      <w:r w:rsidRPr="0F1D33A4">
        <w:t>7.31; p = 0.39; I2 = 65%). Overall, the safety results from Rocca Mora et al</w:t>
      </w:r>
      <w:r w:rsidR="00447AF6" w:rsidRPr="0F1D33A4">
        <w:t>.</w:t>
      </w:r>
      <w:r w:rsidRPr="0F1D33A4">
        <w:t xml:space="preserve"> 2024 were broadly consistent with the results observed in the included trials.</w:t>
      </w:r>
      <w:bookmarkEnd w:id="65"/>
    </w:p>
    <w:p w14:paraId="63308AA8" w14:textId="77777777" w:rsidR="008975CB" w:rsidRPr="008975CB" w:rsidRDefault="008975CB" w:rsidP="008975CB">
      <w:pPr>
        <w:keepNext/>
        <w:spacing w:before="120" w:after="120"/>
        <w:outlineLvl w:val="1"/>
        <w:rPr>
          <w:rFonts w:asciiTheme="minorHAnsi" w:eastAsiaTheme="majorEastAsia" w:hAnsiTheme="minorHAnsi" w:cstheme="majorBidi"/>
          <w:b/>
          <w:i/>
          <w:spacing w:val="5"/>
          <w:kern w:val="28"/>
          <w:sz w:val="28"/>
          <w:szCs w:val="36"/>
          <w:lang w:eastAsia="en-US"/>
        </w:rPr>
      </w:pPr>
      <w:bookmarkStart w:id="66" w:name="_Toc22897643"/>
      <w:bookmarkStart w:id="67" w:name="_Toc184797845"/>
      <w:r w:rsidRPr="008975CB">
        <w:rPr>
          <w:rFonts w:asciiTheme="minorHAnsi" w:eastAsiaTheme="majorEastAsia" w:hAnsiTheme="minorHAnsi" w:cstheme="majorBidi"/>
          <w:b/>
          <w:i/>
          <w:spacing w:val="5"/>
          <w:kern w:val="28"/>
          <w:sz w:val="28"/>
          <w:szCs w:val="36"/>
          <w:lang w:eastAsia="en-US"/>
        </w:rPr>
        <w:t>Benefits/harms</w:t>
      </w:r>
      <w:bookmarkEnd w:id="66"/>
      <w:bookmarkEnd w:id="67"/>
    </w:p>
    <w:p w14:paraId="58443276" w14:textId="72FB8A17" w:rsidR="008975CB" w:rsidRPr="008975CB" w:rsidRDefault="008975CB" w:rsidP="00201BA7">
      <w:pPr>
        <w:pStyle w:val="3-BodyText"/>
      </w:pPr>
      <w:r w:rsidRPr="0F1D33A4">
        <w:t>On the basis of direct comparison evidence presented by the resubmission for MAJIC, for every 100 patients treated ruxolitinib and BAT over a median follow up of 4.9 years:</w:t>
      </w:r>
    </w:p>
    <w:p w14:paraId="4B50B421" w14:textId="6CA6ED86" w:rsidR="008975CB" w:rsidRPr="00B97DC6" w:rsidRDefault="008975CB" w:rsidP="009E06E3">
      <w:pPr>
        <w:numPr>
          <w:ilvl w:val="0"/>
          <w:numId w:val="10"/>
        </w:numPr>
        <w:spacing w:before="60" w:after="60"/>
        <w:ind w:left="993"/>
        <w:rPr>
          <w:rFonts w:asciiTheme="minorHAnsi" w:eastAsiaTheme="minorEastAsia" w:hAnsiTheme="minorHAnsi" w:cstheme="minorBidi"/>
        </w:rPr>
      </w:pPr>
      <w:r w:rsidRPr="0F1D33A4">
        <w:rPr>
          <w:rFonts w:asciiTheme="minorHAnsi" w:eastAsiaTheme="minorEastAsia" w:hAnsiTheme="minorHAnsi" w:cstheme="minorBidi"/>
        </w:rPr>
        <w:t xml:space="preserve">Approximately 17 additional patients would achieve complete response </w:t>
      </w:r>
      <w:r w:rsidR="00FB5285" w:rsidRPr="0F1D33A4">
        <w:rPr>
          <w:rFonts w:asciiTheme="minorHAnsi" w:eastAsiaTheme="minorEastAsia" w:hAnsiTheme="minorHAnsi" w:cstheme="minorBidi"/>
        </w:rPr>
        <w:t xml:space="preserve">within 12 months </w:t>
      </w:r>
      <w:r w:rsidRPr="0F1D33A4">
        <w:rPr>
          <w:rFonts w:asciiTheme="minorHAnsi" w:eastAsiaTheme="minorEastAsia" w:hAnsiTheme="minorHAnsi" w:cstheme="minorBidi"/>
        </w:rPr>
        <w:t>(</w:t>
      </w:r>
      <w:r w:rsidRPr="0F1D33A4">
        <w:rPr>
          <w:rFonts w:asciiTheme="minorHAnsi" w:eastAsiaTheme="minorEastAsia" w:hAnsiTheme="minorHAnsi" w:cstheme="minorBidi"/>
        </w:rPr>
        <w:fldChar w:fldCharType="begin" w:fldLock="1"/>
      </w:r>
      <w:r w:rsidRPr="0F1D33A4">
        <w:rPr>
          <w:rFonts w:asciiTheme="minorHAnsi" w:eastAsiaTheme="minorEastAsia" w:hAnsiTheme="minorHAnsi" w:cstheme="minorBidi"/>
        </w:rPr>
        <w:instrText xml:space="preserve"> REF _Ref184741655 \h </w:instrText>
      </w:r>
      <w:r w:rsidR="00080A6A" w:rsidRPr="0F1D33A4">
        <w:rPr>
          <w:rFonts w:asciiTheme="minorHAnsi" w:eastAsiaTheme="minorEastAsia" w:hAnsiTheme="minorHAnsi" w:cstheme="minorBidi"/>
        </w:rPr>
        <w:instrText xml:space="preserve"> \* MERGEFORMAT </w:instrText>
      </w:r>
      <w:r w:rsidRPr="0F1D33A4">
        <w:rPr>
          <w:rFonts w:asciiTheme="minorHAnsi" w:eastAsiaTheme="minorEastAsia" w:hAnsiTheme="minorHAnsi" w:cstheme="minorBidi"/>
        </w:rPr>
      </w:r>
      <w:r w:rsidRPr="0F1D33A4">
        <w:rPr>
          <w:rFonts w:asciiTheme="minorHAnsi" w:eastAsiaTheme="minorEastAsia" w:hAnsiTheme="minorHAnsi" w:cstheme="minorBidi"/>
        </w:rPr>
        <w:fldChar w:fldCharType="separate"/>
      </w:r>
      <w:r w:rsidR="00CF6E5F" w:rsidRPr="00CF6E5F">
        <w:rPr>
          <w:rFonts w:asciiTheme="minorHAnsi" w:eastAsiaTheme="minorEastAsia" w:hAnsiTheme="minorHAnsi" w:cstheme="minorBidi"/>
        </w:rPr>
        <w:t>Table 5</w:t>
      </w:r>
      <w:r w:rsidRPr="0F1D33A4">
        <w:rPr>
          <w:rFonts w:asciiTheme="minorHAnsi" w:eastAsiaTheme="minorEastAsia" w:hAnsiTheme="minorHAnsi" w:cstheme="minorBidi"/>
        </w:rPr>
        <w:fldChar w:fldCharType="end"/>
      </w:r>
      <w:r w:rsidRPr="0F1D33A4">
        <w:rPr>
          <w:rFonts w:asciiTheme="minorHAnsi" w:eastAsiaTheme="minorEastAsia" w:hAnsiTheme="minorHAnsi" w:cstheme="minorBidi"/>
        </w:rPr>
        <w:t>), however there was no difference in partial response or overall response (complete response + partial response).</w:t>
      </w:r>
      <w:r w:rsidR="00E858AE">
        <w:rPr>
          <w:rFonts w:asciiTheme="minorHAnsi" w:eastAsiaTheme="minorEastAsia" w:hAnsiTheme="minorHAnsi" w:cstheme="minorBidi"/>
        </w:rPr>
        <w:t xml:space="preserve"> Patients treated with ruxolitinib achieved more durable CR or PR compared to those treated with BAT. </w:t>
      </w:r>
    </w:p>
    <w:p w14:paraId="721B38F7" w14:textId="7731C823" w:rsidR="008975CB" w:rsidRPr="00B97DC6" w:rsidRDefault="008975CB" w:rsidP="009E06E3">
      <w:pPr>
        <w:numPr>
          <w:ilvl w:val="0"/>
          <w:numId w:val="10"/>
        </w:numPr>
        <w:spacing w:before="60" w:after="60"/>
        <w:ind w:left="993"/>
        <w:rPr>
          <w:rFonts w:asciiTheme="minorHAnsi" w:eastAsiaTheme="minorEastAsia" w:hAnsiTheme="minorHAnsi" w:cstheme="minorBidi"/>
        </w:rPr>
      </w:pPr>
      <w:r w:rsidRPr="0F1D33A4">
        <w:rPr>
          <w:rFonts w:asciiTheme="minorHAnsi" w:eastAsiaTheme="minorEastAsia" w:hAnsiTheme="minorHAnsi" w:cstheme="minorBidi"/>
        </w:rPr>
        <w:t>There was no evidence for any significant difference in PFS, OS, EFS, transformation, haemorrhagic events, grade ≥3 AEs and SAEs for up to 5 years between patients treated with ruxolitinib and patients treated with BAT.</w:t>
      </w:r>
      <w:r w:rsidR="00F87B86">
        <w:rPr>
          <w:rFonts w:asciiTheme="minorHAnsi" w:eastAsiaTheme="minorEastAsia" w:hAnsiTheme="minorHAnsi" w:cstheme="minorBidi"/>
        </w:rPr>
        <w:t xml:space="preserve"> </w:t>
      </w:r>
    </w:p>
    <w:p w14:paraId="196559EA" w14:textId="5C01EB7D" w:rsidR="008975CB" w:rsidRPr="008975CB" w:rsidRDefault="62D0B04B" w:rsidP="0082322B">
      <w:pPr>
        <w:pStyle w:val="3-BodyText"/>
      </w:pPr>
      <w:r w:rsidRPr="0F1D33A4">
        <w:t>It was not possible to quan</w:t>
      </w:r>
      <w:r w:rsidR="2C7CB574" w:rsidRPr="0F1D33A4">
        <w:t>tify the benefits and harms b</w:t>
      </w:r>
      <w:r w:rsidR="208FC866" w:rsidRPr="0F1D33A4">
        <w:t xml:space="preserve">ased on the </w:t>
      </w:r>
      <w:r w:rsidR="008975CB" w:rsidRPr="0F1D33A4">
        <w:t xml:space="preserve">RESPONSE and RESPONSE-2 trials as the resubmission presented long-term data predominately for the ruxolitinib group only. </w:t>
      </w:r>
    </w:p>
    <w:p w14:paraId="603714FC" w14:textId="77777777" w:rsidR="008975CB" w:rsidRPr="008975CB" w:rsidRDefault="008975CB" w:rsidP="00953620">
      <w:pPr>
        <w:pStyle w:val="4-SubsectionHeading"/>
      </w:pPr>
      <w:bookmarkStart w:id="68" w:name="_Toc22897644"/>
      <w:bookmarkStart w:id="69" w:name="_Toc184797846"/>
      <w:bookmarkStart w:id="70" w:name="_Toc188348789"/>
      <w:r w:rsidRPr="008975CB">
        <w:t>Clinical claim</w:t>
      </w:r>
      <w:bookmarkEnd w:id="68"/>
      <w:bookmarkEnd w:id="69"/>
      <w:bookmarkEnd w:id="70"/>
    </w:p>
    <w:p w14:paraId="3C2D037B" w14:textId="4D912A96" w:rsidR="008975CB" w:rsidRPr="008975CB" w:rsidRDefault="008975CB" w:rsidP="00953620">
      <w:pPr>
        <w:pStyle w:val="3-BodyText"/>
      </w:pPr>
      <w:r w:rsidRPr="0910F2D2">
        <w:t xml:space="preserve">The resubmission claimed that ruxolitinib </w:t>
      </w:r>
      <w:r w:rsidR="0030295A" w:rsidRPr="0910F2D2">
        <w:t>wa</w:t>
      </w:r>
      <w:r w:rsidRPr="0910F2D2">
        <w:t>s superior in terms of effectiveness and ha</w:t>
      </w:r>
      <w:r w:rsidR="00742BCD" w:rsidRPr="0910F2D2">
        <w:t>d</w:t>
      </w:r>
      <w:r w:rsidRPr="0910F2D2">
        <w:t xml:space="preserve"> a different safety profile that </w:t>
      </w:r>
      <w:r w:rsidR="00742BCD" w:rsidRPr="0910F2D2">
        <w:t>wa</w:t>
      </w:r>
      <w:r w:rsidRPr="0910F2D2">
        <w:t>s manageable, compared to BAT.</w:t>
      </w:r>
    </w:p>
    <w:p w14:paraId="25EB49CC" w14:textId="2C5BDB65" w:rsidR="008975CB" w:rsidRPr="008975CB" w:rsidRDefault="008975CB" w:rsidP="00953620">
      <w:pPr>
        <w:pStyle w:val="3-BodyText"/>
      </w:pPr>
      <w:r w:rsidRPr="008975CB">
        <w:t xml:space="preserve">The </w:t>
      </w:r>
      <w:r w:rsidR="001761DF">
        <w:t xml:space="preserve">evaluation considered the </w:t>
      </w:r>
      <w:r w:rsidRPr="008975CB">
        <w:t>claim of superior effectiveness was partially supported by the</w:t>
      </w:r>
      <w:r w:rsidR="005F734E">
        <w:t xml:space="preserve"> clinical</w:t>
      </w:r>
      <w:r w:rsidRPr="008975CB">
        <w:t xml:space="preserve"> evidence presented in the resubmission because:</w:t>
      </w:r>
    </w:p>
    <w:p w14:paraId="4E7ACEDB" w14:textId="3FD5E910" w:rsidR="008975CB" w:rsidRPr="006124A7" w:rsidRDefault="008975CB" w:rsidP="009E06E3">
      <w:pPr>
        <w:numPr>
          <w:ilvl w:val="0"/>
          <w:numId w:val="10"/>
        </w:numPr>
        <w:spacing w:before="60" w:after="60"/>
        <w:ind w:left="993"/>
        <w:rPr>
          <w:rFonts w:asciiTheme="minorHAnsi" w:eastAsiaTheme="minorEastAsia" w:hAnsiTheme="minorHAnsi" w:cstheme="minorBidi"/>
        </w:rPr>
      </w:pPr>
      <w:r w:rsidRPr="0910F2D2" w:rsidDel="007A50AB">
        <w:rPr>
          <w:rFonts w:asciiTheme="minorHAnsi" w:eastAsiaTheme="minorEastAsia" w:hAnsiTheme="minorHAnsi" w:cstheme="minorBidi"/>
        </w:rPr>
        <w:t>While t</w:t>
      </w:r>
      <w:r w:rsidRPr="0910F2D2">
        <w:rPr>
          <w:rFonts w:asciiTheme="minorHAnsi" w:eastAsiaTheme="minorEastAsia" w:hAnsiTheme="minorHAnsi" w:cstheme="minorBidi"/>
        </w:rPr>
        <w:t>he MAJIC</w:t>
      </w:r>
      <w:r w:rsidR="006C2A83" w:rsidRPr="0910F2D2">
        <w:rPr>
          <w:rFonts w:asciiTheme="minorHAnsi" w:eastAsiaTheme="minorEastAsia" w:hAnsiTheme="minorHAnsi" w:cstheme="minorBidi"/>
        </w:rPr>
        <w:t xml:space="preserve"> trial</w:t>
      </w:r>
      <w:r w:rsidR="00BA5A88" w:rsidRPr="0910F2D2">
        <w:rPr>
          <w:rFonts w:asciiTheme="minorHAnsi" w:eastAsiaTheme="minorEastAsia" w:hAnsiTheme="minorHAnsi" w:cstheme="minorBidi"/>
        </w:rPr>
        <w:t xml:space="preserve"> </w:t>
      </w:r>
      <w:r w:rsidRPr="0910F2D2">
        <w:rPr>
          <w:rFonts w:asciiTheme="minorHAnsi" w:eastAsiaTheme="minorEastAsia" w:hAnsiTheme="minorHAnsi" w:cstheme="minorBidi"/>
        </w:rPr>
        <w:t xml:space="preserve">reported significant improvements with ruxolitinib in terms of haematological response </w:t>
      </w:r>
      <w:r w:rsidR="00761CE4" w:rsidRPr="0910F2D2">
        <w:rPr>
          <w:rFonts w:asciiTheme="minorHAnsi" w:eastAsiaTheme="minorEastAsia" w:hAnsiTheme="minorHAnsi" w:cstheme="minorBidi"/>
        </w:rPr>
        <w:t xml:space="preserve">(para </w:t>
      </w:r>
      <w:r w:rsidR="00761CE4" w:rsidRPr="0910F2D2">
        <w:rPr>
          <w:rFonts w:asciiTheme="minorHAnsi" w:eastAsiaTheme="minorEastAsia" w:hAnsiTheme="minorHAnsi" w:cstheme="minorBidi"/>
        </w:rPr>
        <w:fldChar w:fldCharType="begin" w:fldLock="1"/>
      </w:r>
      <w:r w:rsidR="00761CE4" w:rsidRPr="0910F2D2">
        <w:rPr>
          <w:rFonts w:asciiTheme="minorHAnsi" w:eastAsiaTheme="minorEastAsia" w:hAnsiTheme="minorHAnsi" w:cstheme="minorBidi"/>
        </w:rPr>
        <w:instrText xml:space="preserve"> REF _Ref188102824 \r \h </w:instrText>
      </w:r>
      <w:r w:rsidR="00B97DC6" w:rsidRPr="0910F2D2">
        <w:rPr>
          <w:rFonts w:asciiTheme="minorHAnsi" w:eastAsiaTheme="minorEastAsia" w:hAnsiTheme="minorHAnsi" w:cstheme="minorBidi"/>
        </w:rPr>
        <w:instrText xml:space="preserve"> \* MERGEFORMAT </w:instrText>
      </w:r>
      <w:r w:rsidR="00761CE4" w:rsidRPr="0910F2D2">
        <w:rPr>
          <w:rFonts w:asciiTheme="minorHAnsi" w:eastAsiaTheme="minorEastAsia" w:hAnsiTheme="minorHAnsi" w:cstheme="minorBidi"/>
        </w:rPr>
      </w:r>
      <w:r w:rsidR="00761CE4" w:rsidRPr="0910F2D2">
        <w:rPr>
          <w:rFonts w:asciiTheme="minorHAnsi" w:eastAsiaTheme="minorEastAsia" w:hAnsiTheme="minorHAnsi" w:cstheme="minorBidi"/>
        </w:rPr>
        <w:fldChar w:fldCharType="separate"/>
      </w:r>
      <w:r w:rsidR="000E35B8">
        <w:rPr>
          <w:rFonts w:asciiTheme="minorHAnsi" w:eastAsiaTheme="minorEastAsia" w:hAnsiTheme="minorHAnsi" w:cstheme="minorBidi"/>
        </w:rPr>
        <w:t>6.17</w:t>
      </w:r>
      <w:r w:rsidR="00761CE4" w:rsidRPr="0910F2D2">
        <w:rPr>
          <w:rFonts w:asciiTheme="minorHAnsi" w:eastAsiaTheme="minorEastAsia" w:hAnsiTheme="minorHAnsi" w:cstheme="minorBidi"/>
        </w:rPr>
        <w:fldChar w:fldCharType="end"/>
      </w:r>
      <w:r w:rsidR="00761CE4" w:rsidRPr="0910F2D2">
        <w:rPr>
          <w:rFonts w:asciiTheme="minorHAnsi" w:eastAsiaTheme="minorEastAsia" w:hAnsiTheme="minorHAnsi" w:cstheme="minorBidi"/>
        </w:rPr>
        <w:t xml:space="preserve">) </w:t>
      </w:r>
      <w:r w:rsidRPr="0910F2D2">
        <w:rPr>
          <w:rFonts w:asciiTheme="minorHAnsi" w:eastAsiaTheme="minorEastAsia" w:hAnsiTheme="minorHAnsi" w:cstheme="minorBidi"/>
        </w:rPr>
        <w:t>and durability of response across the 5-year follow up</w:t>
      </w:r>
      <w:r w:rsidR="007A50AB" w:rsidRPr="0910F2D2">
        <w:rPr>
          <w:rFonts w:asciiTheme="minorHAnsi" w:eastAsiaTheme="minorEastAsia" w:hAnsiTheme="minorHAnsi" w:cstheme="minorBidi"/>
        </w:rPr>
        <w:t xml:space="preserve"> (</w:t>
      </w:r>
      <w:r w:rsidR="000955DB" w:rsidRPr="0910F2D2">
        <w:rPr>
          <w:rFonts w:asciiTheme="minorHAnsi" w:eastAsiaTheme="minorEastAsia" w:hAnsiTheme="minorHAnsi" w:cstheme="minorBidi"/>
        </w:rPr>
        <w:t xml:space="preserve">para </w:t>
      </w:r>
      <w:r w:rsidR="006E37F3" w:rsidRPr="0910F2D2">
        <w:rPr>
          <w:rFonts w:asciiTheme="minorHAnsi" w:eastAsiaTheme="minorEastAsia" w:hAnsiTheme="minorHAnsi" w:cstheme="minorBidi"/>
        </w:rPr>
        <w:fldChar w:fldCharType="begin" w:fldLock="1"/>
      </w:r>
      <w:r w:rsidR="006E37F3" w:rsidRPr="0910F2D2">
        <w:rPr>
          <w:rFonts w:asciiTheme="minorHAnsi" w:eastAsiaTheme="minorEastAsia" w:hAnsiTheme="minorHAnsi" w:cstheme="minorBidi"/>
        </w:rPr>
        <w:instrText xml:space="preserve"> REF _Ref188102847 \r \h </w:instrText>
      </w:r>
      <w:r w:rsidR="00B97DC6" w:rsidRPr="0910F2D2">
        <w:rPr>
          <w:rFonts w:asciiTheme="minorHAnsi" w:eastAsiaTheme="minorEastAsia" w:hAnsiTheme="minorHAnsi" w:cstheme="minorBidi"/>
        </w:rPr>
        <w:instrText xml:space="preserve"> \* MERGEFORMAT </w:instrText>
      </w:r>
      <w:r w:rsidR="006E37F3" w:rsidRPr="0910F2D2">
        <w:rPr>
          <w:rFonts w:asciiTheme="minorHAnsi" w:eastAsiaTheme="minorEastAsia" w:hAnsiTheme="minorHAnsi" w:cstheme="minorBidi"/>
        </w:rPr>
      </w:r>
      <w:r w:rsidR="006E37F3" w:rsidRPr="0910F2D2">
        <w:rPr>
          <w:rFonts w:asciiTheme="minorHAnsi" w:eastAsiaTheme="minorEastAsia" w:hAnsiTheme="minorHAnsi" w:cstheme="minorBidi"/>
        </w:rPr>
        <w:fldChar w:fldCharType="separate"/>
      </w:r>
      <w:r w:rsidR="0072202A">
        <w:rPr>
          <w:rFonts w:asciiTheme="minorHAnsi" w:eastAsiaTheme="minorEastAsia" w:hAnsiTheme="minorHAnsi" w:cstheme="minorBidi"/>
        </w:rPr>
        <w:t>6.20</w:t>
      </w:r>
      <w:r w:rsidR="006E37F3" w:rsidRPr="0910F2D2">
        <w:rPr>
          <w:rFonts w:asciiTheme="minorHAnsi" w:eastAsiaTheme="minorEastAsia" w:hAnsiTheme="minorHAnsi" w:cstheme="minorBidi"/>
        </w:rPr>
        <w:fldChar w:fldCharType="end"/>
      </w:r>
      <w:r w:rsidR="00B97501" w:rsidRPr="0910F2D2">
        <w:rPr>
          <w:rFonts w:asciiTheme="minorHAnsi" w:eastAsiaTheme="minorEastAsia" w:hAnsiTheme="minorHAnsi" w:cstheme="minorBidi"/>
        </w:rPr>
        <w:fldChar w:fldCharType="begin" w:fldLock="1"/>
      </w:r>
      <w:r w:rsidR="00B97501" w:rsidRPr="0910F2D2">
        <w:rPr>
          <w:rFonts w:asciiTheme="minorHAnsi" w:eastAsiaTheme="minorEastAsia" w:hAnsiTheme="minorHAnsi" w:cstheme="minorBidi"/>
        </w:rPr>
        <w:instrText xml:space="preserve"> REF _Ref187420781 \r \h </w:instrText>
      </w:r>
      <w:r w:rsidR="005B7BBC" w:rsidRPr="0910F2D2">
        <w:rPr>
          <w:rFonts w:asciiTheme="minorHAnsi" w:eastAsiaTheme="minorEastAsia" w:hAnsiTheme="minorHAnsi" w:cstheme="minorBidi"/>
        </w:rPr>
        <w:instrText xml:space="preserve"> \* MERGEFORMAT </w:instrText>
      </w:r>
      <w:r w:rsidR="00B97501" w:rsidRPr="0910F2D2">
        <w:rPr>
          <w:rFonts w:asciiTheme="minorHAnsi" w:eastAsiaTheme="minorEastAsia" w:hAnsiTheme="minorHAnsi" w:cstheme="minorBidi"/>
        </w:rPr>
      </w:r>
      <w:r w:rsidR="00B97501" w:rsidRPr="0910F2D2">
        <w:rPr>
          <w:rFonts w:asciiTheme="minorHAnsi" w:eastAsiaTheme="minorEastAsia" w:hAnsiTheme="minorHAnsi" w:cstheme="minorBidi"/>
        </w:rPr>
        <w:fldChar w:fldCharType="separate"/>
      </w:r>
      <w:r w:rsidR="00B97501" w:rsidRPr="0910F2D2">
        <w:rPr>
          <w:rFonts w:asciiTheme="minorHAnsi" w:eastAsiaTheme="minorEastAsia" w:hAnsiTheme="minorHAnsi" w:cstheme="minorBidi"/>
        </w:rPr>
        <w:fldChar w:fldCharType="end"/>
      </w:r>
      <w:r w:rsidR="007A50AB" w:rsidRPr="0910F2D2">
        <w:rPr>
          <w:rFonts w:asciiTheme="minorHAnsi" w:eastAsiaTheme="minorEastAsia" w:hAnsiTheme="minorHAnsi" w:cstheme="minorBidi"/>
        </w:rPr>
        <w:t>)</w:t>
      </w:r>
      <w:r w:rsidR="00925B7C" w:rsidRPr="0910F2D2">
        <w:rPr>
          <w:rFonts w:asciiTheme="minorHAnsi" w:eastAsiaTheme="minorEastAsia" w:hAnsiTheme="minorHAnsi" w:cstheme="minorBidi"/>
        </w:rPr>
        <w:t xml:space="preserve">, </w:t>
      </w:r>
      <w:r w:rsidRPr="0910F2D2">
        <w:rPr>
          <w:rFonts w:asciiTheme="minorHAnsi" w:eastAsiaTheme="minorEastAsia" w:hAnsiTheme="minorHAnsi" w:cstheme="minorBidi"/>
        </w:rPr>
        <w:t>it remains uncertain how this translates to other relevant clinical outcomes for patients with PV</w:t>
      </w:r>
      <w:r w:rsidR="00342D8E" w:rsidRPr="0910F2D2">
        <w:rPr>
          <w:rFonts w:asciiTheme="minorHAnsi" w:eastAsiaTheme="minorEastAsia" w:hAnsiTheme="minorHAnsi" w:cstheme="minorBidi"/>
        </w:rPr>
        <w:t xml:space="preserve">, </w:t>
      </w:r>
      <w:r w:rsidRPr="0910F2D2">
        <w:rPr>
          <w:rFonts w:asciiTheme="minorHAnsi" w:eastAsiaTheme="minorEastAsia" w:hAnsiTheme="minorHAnsi" w:cstheme="minorBidi"/>
        </w:rPr>
        <w:t>such as PFS, haemorrhagic events and OS</w:t>
      </w:r>
      <w:r w:rsidR="00342D8E" w:rsidRPr="0910F2D2">
        <w:rPr>
          <w:rFonts w:asciiTheme="minorHAnsi" w:eastAsiaTheme="minorEastAsia" w:hAnsiTheme="minorHAnsi" w:cstheme="minorBidi"/>
        </w:rPr>
        <w:t>,</w:t>
      </w:r>
      <w:r w:rsidRPr="0910F2D2">
        <w:rPr>
          <w:rFonts w:asciiTheme="minorHAnsi" w:eastAsiaTheme="minorEastAsia" w:hAnsiTheme="minorHAnsi" w:cstheme="minorBidi"/>
        </w:rPr>
        <w:t xml:space="preserve"> as no significant differences were observed </w:t>
      </w:r>
      <w:r w:rsidR="00342D8E" w:rsidRPr="0910F2D2">
        <w:rPr>
          <w:rFonts w:asciiTheme="minorHAnsi" w:eastAsiaTheme="minorEastAsia" w:hAnsiTheme="minorHAnsi" w:cstheme="minorBidi"/>
        </w:rPr>
        <w:t xml:space="preserve">for these outcomes </w:t>
      </w:r>
      <w:r w:rsidRPr="0910F2D2">
        <w:rPr>
          <w:rFonts w:asciiTheme="minorHAnsi" w:eastAsiaTheme="minorEastAsia" w:hAnsiTheme="minorHAnsi" w:cstheme="minorBidi"/>
        </w:rPr>
        <w:t>between treatment arms in th</w:t>
      </w:r>
      <w:r w:rsidR="009F55C6" w:rsidRPr="0910F2D2">
        <w:rPr>
          <w:rFonts w:asciiTheme="minorHAnsi" w:eastAsiaTheme="minorEastAsia" w:hAnsiTheme="minorHAnsi" w:cstheme="minorBidi"/>
        </w:rPr>
        <w:t>is</w:t>
      </w:r>
      <w:r w:rsidRPr="0910F2D2">
        <w:rPr>
          <w:rFonts w:asciiTheme="minorHAnsi" w:eastAsiaTheme="minorEastAsia" w:hAnsiTheme="minorHAnsi" w:cstheme="minorBidi"/>
        </w:rPr>
        <w:t xml:space="preserve"> trial. </w:t>
      </w:r>
    </w:p>
    <w:p w14:paraId="585E86CB" w14:textId="369ECA62" w:rsidR="008975CB" w:rsidRPr="006124A7" w:rsidRDefault="008975CB" w:rsidP="009E06E3">
      <w:pPr>
        <w:numPr>
          <w:ilvl w:val="0"/>
          <w:numId w:val="10"/>
        </w:numPr>
        <w:spacing w:before="60" w:after="60"/>
        <w:ind w:left="993"/>
        <w:rPr>
          <w:rFonts w:asciiTheme="minorHAnsi" w:eastAsiaTheme="minorHAnsi" w:hAnsiTheme="minorHAnsi" w:cstheme="minorBidi"/>
          <w:szCs w:val="22"/>
        </w:rPr>
      </w:pPr>
      <w:r w:rsidRPr="006124A7">
        <w:rPr>
          <w:rFonts w:asciiTheme="minorHAnsi" w:eastAsiaTheme="minorHAnsi" w:hAnsiTheme="minorHAnsi" w:cstheme="minorBidi"/>
          <w:szCs w:val="22"/>
        </w:rPr>
        <w:t xml:space="preserve">However, the incidence of thromboembolic and haemorrhagic events were numerically </w:t>
      </w:r>
      <w:r w:rsidR="00814C26">
        <w:rPr>
          <w:rFonts w:asciiTheme="minorHAnsi" w:eastAsiaTheme="minorHAnsi" w:hAnsiTheme="minorHAnsi" w:cstheme="minorBidi"/>
          <w:szCs w:val="22"/>
        </w:rPr>
        <w:t>lower</w:t>
      </w:r>
      <w:r w:rsidR="00814C26" w:rsidRPr="006124A7">
        <w:rPr>
          <w:rFonts w:asciiTheme="minorHAnsi" w:eastAsiaTheme="minorHAnsi" w:hAnsiTheme="minorHAnsi" w:cstheme="minorBidi"/>
          <w:szCs w:val="22"/>
        </w:rPr>
        <w:t xml:space="preserve"> </w:t>
      </w:r>
      <w:r w:rsidRPr="006124A7">
        <w:rPr>
          <w:rFonts w:asciiTheme="minorHAnsi" w:eastAsiaTheme="minorHAnsi" w:hAnsiTheme="minorHAnsi" w:cstheme="minorBidi"/>
          <w:szCs w:val="22"/>
        </w:rPr>
        <w:t xml:space="preserve">in patients treated with </w:t>
      </w:r>
      <w:r w:rsidR="00814C26">
        <w:rPr>
          <w:rFonts w:asciiTheme="minorHAnsi" w:eastAsiaTheme="minorHAnsi" w:hAnsiTheme="minorHAnsi" w:cstheme="minorBidi"/>
          <w:szCs w:val="22"/>
        </w:rPr>
        <w:t>ruxo</w:t>
      </w:r>
      <w:r w:rsidR="00811FA1">
        <w:rPr>
          <w:rFonts w:asciiTheme="minorHAnsi" w:eastAsiaTheme="minorHAnsi" w:hAnsiTheme="minorHAnsi" w:cstheme="minorBidi"/>
          <w:szCs w:val="22"/>
        </w:rPr>
        <w:t>litinib</w:t>
      </w:r>
      <w:r w:rsidR="00814C26" w:rsidRPr="006124A7">
        <w:rPr>
          <w:rFonts w:asciiTheme="minorHAnsi" w:eastAsiaTheme="minorHAnsi" w:hAnsiTheme="minorHAnsi" w:cstheme="minorBidi"/>
          <w:szCs w:val="22"/>
        </w:rPr>
        <w:t xml:space="preserve"> </w:t>
      </w:r>
      <w:r w:rsidRPr="006124A7">
        <w:rPr>
          <w:rFonts w:asciiTheme="minorHAnsi" w:eastAsiaTheme="minorHAnsi" w:hAnsiTheme="minorHAnsi" w:cstheme="minorBidi"/>
          <w:szCs w:val="22"/>
        </w:rPr>
        <w:t>across trials, with MAJIC showing a</w:t>
      </w:r>
      <w:r w:rsidR="00C65C60" w:rsidRPr="006124A7">
        <w:rPr>
          <w:rFonts w:asciiTheme="minorHAnsi" w:eastAsiaTheme="minorHAnsi" w:hAnsiTheme="minorHAnsi" w:cstheme="minorBidi"/>
          <w:szCs w:val="22"/>
        </w:rPr>
        <w:t>n improvement</w:t>
      </w:r>
      <w:r w:rsidRPr="006124A7">
        <w:rPr>
          <w:rFonts w:asciiTheme="minorHAnsi" w:eastAsiaTheme="minorHAnsi" w:hAnsiTheme="minorHAnsi" w:cstheme="minorBidi"/>
          <w:szCs w:val="22"/>
        </w:rPr>
        <w:t xml:space="preserve"> in TEFS (HR</w:t>
      </w:r>
      <w:r w:rsidR="00756370">
        <w:rPr>
          <w:rFonts w:asciiTheme="minorHAnsi" w:eastAsiaTheme="minorHAnsi" w:hAnsiTheme="minorHAnsi" w:cstheme="minorBidi"/>
          <w:szCs w:val="22"/>
        </w:rPr>
        <w:t xml:space="preserve"> </w:t>
      </w:r>
      <w:r w:rsidRPr="006124A7">
        <w:rPr>
          <w:rFonts w:asciiTheme="minorHAnsi" w:eastAsiaTheme="minorHAnsi" w:hAnsiTheme="minorHAnsi" w:cstheme="minorBidi"/>
          <w:szCs w:val="22"/>
        </w:rPr>
        <w:t xml:space="preserve">0.57, 95% CI: 0.32, 0.99; p=0.05) and </w:t>
      </w:r>
      <w:r w:rsidR="005F7C37">
        <w:rPr>
          <w:rFonts w:asciiTheme="minorHAnsi" w:eastAsiaTheme="minorHAnsi" w:hAnsiTheme="minorHAnsi" w:cstheme="minorBidi"/>
          <w:szCs w:val="22"/>
        </w:rPr>
        <w:t xml:space="preserve">a </w:t>
      </w:r>
      <w:r w:rsidR="00C65C60" w:rsidRPr="006124A7">
        <w:rPr>
          <w:rFonts w:asciiTheme="minorHAnsi" w:eastAsiaTheme="minorHAnsi" w:hAnsiTheme="minorHAnsi" w:cstheme="minorBidi"/>
          <w:szCs w:val="22"/>
        </w:rPr>
        <w:t xml:space="preserve">significant difference </w:t>
      </w:r>
      <w:r w:rsidRPr="006124A7">
        <w:rPr>
          <w:rFonts w:asciiTheme="minorHAnsi" w:eastAsiaTheme="minorHAnsi" w:hAnsiTheme="minorHAnsi" w:cstheme="minorBidi"/>
          <w:szCs w:val="22"/>
        </w:rPr>
        <w:t xml:space="preserve">in major EFS (HR 0.60, 95% CI: 0.37, 0.97; p=0.04) which included major thromboembolic and haemorrhagic events. </w:t>
      </w:r>
    </w:p>
    <w:p w14:paraId="0A783C17" w14:textId="34A5D86A" w:rsidR="008975CB" w:rsidRPr="006124A7" w:rsidRDefault="008975CB" w:rsidP="009E06E3">
      <w:pPr>
        <w:numPr>
          <w:ilvl w:val="0"/>
          <w:numId w:val="10"/>
        </w:numPr>
        <w:spacing w:before="60" w:after="60"/>
        <w:ind w:left="993"/>
        <w:rPr>
          <w:rFonts w:asciiTheme="minorHAnsi" w:eastAsiaTheme="minorEastAsia" w:hAnsiTheme="minorHAnsi" w:cstheme="minorBidi"/>
        </w:rPr>
      </w:pPr>
      <w:r w:rsidRPr="0F1D33A4">
        <w:rPr>
          <w:rFonts w:asciiTheme="minorHAnsi" w:eastAsiaTheme="minorEastAsia" w:hAnsiTheme="minorHAnsi" w:cstheme="minorBidi"/>
        </w:rPr>
        <w:t xml:space="preserve">MAJIC reported that patients treated with ruxolitinib had significant improvements in the number of venesections and symptoms based on the MPN-SAF TSS over the 5-year follow up period compared to BAT. RESPONSE and RESPONSE-2 also showed that over time, patients treated with ruxolitinib experienced significant improvements in pruritus symptoms and MPN-SAF TSS, and fewer </w:t>
      </w:r>
      <w:r w:rsidR="0090320F" w:rsidRPr="0F1D33A4">
        <w:rPr>
          <w:rFonts w:asciiTheme="minorHAnsi" w:eastAsiaTheme="minorEastAsia" w:hAnsiTheme="minorHAnsi" w:cstheme="minorBidi"/>
        </w:rPr>
        <w:t>venesection</w:t>
      </w:r>
      <w:r w:rsidR="00066A08" w:rsidRPr="0F1D33A4">
        <w:rPr>
          <w:rFonts w:asciiTheme="minorHAnsi" w:eastAsiaTheme="minorEastAsia" w:hAnsiTheme="minorHAnsi" w:cstheme="minorBidi"/>
        </w:rPr>
        <w:t>s</w:t>
      </w:r>
      <w:r w:rsidR="0090320F" w:rsidRPr="0F1D33A4">
        <w:rPr>
          <w:rFonts w:asciiTheme="minorHAnsi" w:eastAsiaTheme="minorEastAsia" w:hAnsiTheme="minorHAnsi" w:cstheme="minorBidi"/>
        </w:rPr>
        <w:t xml:space="preserve"> </w:t>
      </w:r>
      <w:r w:rsidRPr="0F1D33A4">
        <w:rPr>
          <w:rFonts w:asciiTheme="minorHAnsi" w:eastAsiaTheme="minorEastAsia" w:hAnsiTheme="minorHAnsi" w:cstheme="minorBidi"/>
        </w:rPr>
        <w:t>on average compared to patients treated with BAT.</w:t>
      </w:r>
      <w:r w:rsidR="00F87B86">
        <w:rPr>
          <w:rFonts w:asciiTheme="minorHAnsi" w:eastAsiaTheme="minorEastAsia" w:hAnsiTheme="minorHAnsi" w:cstheme="minorBidi"/>
        </w:rPr>
        <w:t xml:space="preserve"> </w:t>
      </w:r>
    </w:p>
    <w:p w14:paraId="41A60131" w14:textId="6DF28A29" w:rsidR="008975CB" w:rsidRDefault="008975CB" w:rsidP="009E06E3">
      <w:pPr>
        <w:numPr>
          <w:ilvl w:val="0"/>
          <w:numId w:val="10"/>
        </w:numPr>
        <w:spacing w:before="60" w:after="60"/>
        <w:ind w:left="993"/>
        <w:rPr>
          <w:rFonts w:asciiTheme="minorHAnsi" w:eastAsiaTheme="minorEastAsia" w:hAnsiTheme="minorHAnsi" w:cstheme="minorBidi"/>
        </w:rPr>
      </w:pPr>
      <w:r w:rsidRPr="0F1D33A4">
        <w:rPr>
          <w:rFonts w:asciiTheme="minorHAnsi" w:eastAsiaTheme="minorEastAsia" w:hAnsiTheme="minorHAnsi" w:cstheme="minorBidi"/>
        </w:rPr>
        <w:lastRenderedPageBreak/>
        <w:t xml:space="preserve">All three trials were considered to be at high overall risk of bias for long term outcomes given the high </w:t>
      </w:r>
      <w:r w:rsidR="00EB598C" w:rsidRPr="0F1D33A4">
        <w:rPr>
          <w:rFonts w:asciiTheme="minorHAnsi" w:eastAsiaTheme="minorEastAsia" w:hAnsiTheme="minorHAnsi" w:cstheme="minorBidi"/>
        </w:rPr>
        <w:t xml:space="preserve">rate </w:t>
      </w:r>
      <w:r w:rsidRPr="0F1D33A4">
        <w:rPr>
          <w:rFonts w:asciiTheme="minorHAnsi" w:eastAsiaTheme="minorEastAsia" w:hAnsiTheme="minorHAnsi" w:cstheme="minorBidi"/>
        </w:rPr>
        <w:t xml:space="preserve">of attrition and detection bias due to discontinuation and unblinding </w:t>
      </w:r>
      <w:r w:rsidR="002F360D" w:rsidRPr="0F1D33A4">
        <w:rPr>
          <w:rFonts w:asciiTheme="minorHAnsi" w:eastAsiaTheme="minorEastAsia" w:hAnsiTheme="minorHAnsi" w:cstheme="minorBidi"/>
        </w:rPr>
        <w:t xml:space="preserve">(of outcome assessors) </w:t>
      </w:r>
      <w:r w:rsidRPr="0F1D33A4">
        <w:rPr>
          <w:rFonts w:asciiTheme="minorHAnsi" w:eastAsiaTheme="minorEastAsia" w:hAnsiTheme="minorHAnsi" w:cstheme="minorBidi"/>
        </w:rPr>
        <w:t xml:space="preserve">in all trials. Additionally, post hoc analyses of exploratory outcomes in MAJIC such as EFS, venesections and VFS are less rigorous and have additional potential for bias </w:t>
      </w:r>
      <w:r w:rsidR="004C6CCC" w:rsidRPr="0F1D33A4">
        <w:rPr>
          <w:rFonts w:asciiTheme="minorHAnsi" w:eastAsiaTheme="minorEastAsia" w:hAnsiTheme="minorHAnsi" w:cstheme="minorBidi"/>
        </w:rPr>
        <w:t xml:space="preserve">versus </w:t>
      </w:r>
      <w:r w:rsidRPr="0F1D33A4">
        <w:rPr>
          <w:rFonts w:asciiTheme="minorHAnsi" w:eastAsiaTheme="minorEastAsia" w:hAnsiTheme="minorHAnsi" w:cstheme="minorBidi"/>
        </w:rPr>
        <w:t>outcomes pre-specified in the protocol. Previous concerns raised by PBAC regarding the open label design and the high risk of bias of the MAJIC trial remain.</w:t>
      </w:r>
    </w:p>
    <w:p w14:paraId="670EB45F" w14:textId="02581645" w:rsidR="00336202" w:rsidRPr="00946411" w:rsidRDefault="00AC1301" w:rsidP="0910F2D2">
      <w:pPr>
        <w:pStyle w:val="3-BodyText"/>
      </w:pPr>
      <w:bookmarkStart w:id="71" w:name="_Ref190685686"/>
      <w:r w:rsidRPr="00946411">
        <w:t>The ESC acknowledged the limitations of the clinical evidence</w:t>
      </w:r>
      <w:r w:rsidR="0036748D" w:rsidRPr="00946411">
        <w:t xml:space="preserve"> and that no significant differences in PFS or OS were reported. </w:t>
      </w:r>
      <w:r w:rsidR="00441553" w:rsidRPr="00946411">
        <w:t xml:space="preserve">However, the ESC considered that, although uncertain, the claim of superior effectiveness was </w:t>
      </w:r>
      <w:r w:rsidR="00711289" w:rsidRPr="00946411">
        <w:t xml:space="preserve">supported by the significant improvements in </w:t>
      </w:r>
      <w:r w:rsidR="007E5BA8" w:rsidRPr="00946411">
        <w:t>major EFS</w:t>
      </w:r>
      <w:r w:rsidR="007200EF" w:rsidRPr="00946411">
        <w:t>, the reductions in venesections and the improvements in duration of response and MPN-SAF TSS</w:t>
      </w:r>
      <w:r w:rsidR="005D1876" w:rsidRPr="00946411">
        <w:t xml:space="preserve"> reported for ruxolitinib compared to BAT.</w:t>
      </w:r>
      <w:bookmarkEnd w:id="71"/>
      <w:r w:rsidR="005D1876" w:rsidRPr="00946411">
        <w:t xml:space="preserve"> </w:t>
      </w:r>
    </w:p>
    <w:p w14:paraId="0DB25A26" w14:textId="1BC3441F" w:rsidR="00BE04BD" w:rsidRDefault="008975CB" w:rsidP="0F1D33A4">
      <w:pPr>
        <w:pStyle w:val="3-BodyText"/>
      </w:pPr>
      <w:r w:rsidRPr="0F1D33A4">
        <w:t xml:space="preserve">The </w:t>
      </w:r>
      <w:r w:rsidR="00714F39" w:rsidRPr="0F1D33A4">
        <w:t xml:space="preserve">evaluation considered the </w:t>
      </w:r>
      <w:r w:rsidRPr="0F1D33A4">
        <w:t>claim of different safety profile was adequately supported. In MAJIC, there were no significant differences in Grade ≥3 AEs, SAEs and deaths reported by the 5-year follow up</w:t>
      </w:r>
      <w:r w:rsidR="003F1EA9" w:rsidRPr="0F1D33A4">
        <w:t xml:space="preserve">. </w:t>
      </w:r>
      <w:r w:rsidR="00AE5DF0" w:rsidRPr="0F1D33A4">
        <w:t xml:space="preserve">However, differences in AE profiles were evident between ruxolitinib and BAT. </w:t>
      </w:r>
      <w:r w:rsidRPr="0F1D33A4">
        <w:t xml:space="preserve">RESPONSE and RESPONSE-2 trials reported a higher exposure-adjusted rates of anaemia (all grades) and weight increase with ruxolitinib vs BAT, although the inverse occurred with infections (all grades). </w:t>
      </w:r>
      <w:r w:rsidRPr="00946411">
        <w:t xml:space="preserve">Overall, </w:t>
      </w:r>
      <w:r w:rsidR="005F0E7F" w:rsidRPr="00946411">
        <w:t>the ESC agr</w:t>
      </w:r>
      <w:r w:rsidR="00260CA6" w:rsidRPr="00946411">
        <w:t xml:space="preserve">eed with the resubmission claim that </w:t>
      </w:r>
      <w:r w:rsidRPr="00946411">
        <w:t xml:space="preserve">ruxolitinib has </w:t>
      </w:r>
      <w:r w:rsidR="008C2531">
        <w:t xml:space="preserve">a </w:t>
      </w:r>
      <w:r w:rsidRPr="00946411">
        <w:t xml:space="preserve">different safety profile compared to BAT, </w:t>
      </w:r>
      <w:r w:rsidR="00260CA6" w:rsidRPr="00946411">
        <w:t xml:space="preserve">and considered that </w:t>
      </w:r>
      <w:r w:rsidRPr="00946411">
        <w:t>this is likely to be manageable.</w:t>
      </w:r>
    </w:p>
    <w:p w14:paraId="19F53B48" w14:textId="471CA486" w:rsidR="00FB0AAE" w:rsidRPr="00CE42B4" w:rsidRDefault="00FB0AAE" w:rsidP="009E06E3">
      <w:pPr>
        <w:widowControl w:val="0"/>
        <w:numPr>
          <w:ilvl w:val="1"/>
          <w:numId w:val="5"/>
        </w:numPr>
        <w:spacing w:after="120"/>
        <w:rPr>
          <w:rFonts w:asciiTheme="minorHAnsi" w:hAnsiTheme="minorHAnsi"/>
          <w:snapToGrid w:val="0"/>
          <w:szCs w:val="20"/>
        </w:rPr>
      </w:pPr>
      <w:bookmarkStart w:id="72" w:name="_Hlk76376200"/>
      <w:r w:rsidRPr="00CE42B4">
        <w:rPr>
          <w:rFonts w:asciiTheme="minorHAnsi" w:hAnsiTheme="minorHAnsi"/>
          <w:iCs/>
          <w:snapToGrid w:val="0"/>
        </w:rPr>
        <w:t>The</w:t>
      </w:r>
      <w:r w:rsidRPr="00CE42B4">
        <w:rPr>
          <w:rFonts w:asciiTheme="minorHAnsi" w:hAnsiTheme="minorHAnsi"/>
          <w:snapToGrid w:val="0"/>
          <w:szCs w:val="20"/>
        </w:rPr>
        <w:t xml:space="preserve"> PBAC </w:t>
      </w:r>
      <w:r w:rsidR="007E1C23">
        <w:rPr>
          <w:rFonts w:asciiTheme="minorHAnsi" w:hAnsiTheme="minorHAnsi"/>
          <w:snapToGrid w:val="0"/>
          <w:szCs w:val="20"/>
        </w:rPr>
        <w:t>agreed with the ESC</w:t>
      </w:r>
      <w:r w:rsidRPr="00CE42B4">
        <w:rPr>
          <w:rFonts w:asciiTheme="minorHAnsi" w:hAnsiTheme="minorHAnsi"/>
          <w:snapToGrid w:val="0"/>
          <w:szCs w:val="20"/>
        </w:rPr>
        <w:t xml:space="preserve"> that </w:t>
      </w:r>
      <w:r w:rsidR="00770983">
        <w:rPr>
          <w:rFonts w:asciiTheme="minorHAnsi" w:hAnsiTheme="minorHAnsi"/>
          <w:snapToGrid w:val="0"/>
          <w:szCs w:val="20"/>
        </w:rPr>
        <w:t xml:space="preserve">although uncertain, </w:t>
      </w:r>
      <w:r w:rsidRPr="00CE42B4">
        <w:rPr>
          <w:rFonts w:asciiTheme="minorHAnsi" w:hAnsiTheme="minorHAnsi"/>
          <w:snapToGrid w:val="0"/>
          <w:szCs w:val="20"/>
        </w:rPr>
        <w:t>the claim of superior comparative effectiveness was reasonable</w:t>
      </w:r>
      <w:r w:rsidR="006431D0">
        <w:rPr>
          <w:rFonts w:asciiTheme="minorHAnsi" w:hAnsiTheme="minorHAnsi"/>
          <w:snapToGrid w:val="0"/>
          <w:szCs w:val="20"/>
        </w:rPr>
        <w:t xml:space="preserve"> based on the</w:t>
      </w:r>
      <w:r w:rsidR="006431D0" w:rsidRPr="00946411">
        <w:t xml:space="preserve"> significant improvements in major EFS, the reductions in venesections and the improvements in duration of response</w:t>
      </w:r>
      <w:r w:rsidR="006431D0">
        <w:t xml:space="preserve"> reported for ruxolitinib compared to BAT</w:t>
      </w:r>
      <w:r w:rsidRPr="00CE42B4">
        <w:rPr>
          <w:rFonts w:asciiTheme="minorHAnsi" w:hAnsiTheme="minorHAnsi"/>
          <w:snapToGrid w:val="0"/>
          <w:szCs w:val="20"/>
        </w:rPr>
        <w:t>.</w:t>
      </w:r>
    </w:p>
    <w:p w14:paraId="7BCC2D64" w14:textId="2EDE7E20" w:rsidR="004915EA" w:rsidRPr="00FB0AAE" w:rsidRDefault="00FB0AAE" w:rsidP="009E06E3">
      <w:pPr>
        <w:widowControl w:val="0"/>
        <w:numPr>
          <w:ilvl w:val="1"/>
          <w:numId w:val="5"/>
        </w:numPr>
        <w:spacing w:after="120"/>
        <w:rPr>
          <w:rFonts w:asciiTheme="minorHAnsi" w:hAnsiTheme="minorHAnsi"/>
          <w:snapToGrid w:val="0"/>
          <w:szCs w:val="20"/>
        </w:rPr>
      </w:pPr>
      <w:r w:rsidRPr="00CE42B4">
        <w:rPr>
          <w:rFonts w:asciiTheme="minorHAnsi" w:hAnsiTheme="minorHAnsi"/>
          <w:snapToGrid w:val="0"/>
          <w:szCs w:val="20"/>
        </w:rPr>
        <w:t>The PBAC</w:t>
      </w:r>
      <w:r w:rsidR="007E1C23">
        <w:rPr>
          <w:rFonts w:asciiTheme="minorHAnsi" w:hAnsiTheme="minorHAnsi"/>
          <w:snapToGrid w:val="0"/>
          <w:szCs w:val="20"/>
        </w:rPr>
        <w:t xml:space="preserve"> also</w:t>
      </w:r>
      <w:r w:rsidRPr="00CE42B4">
        <w:rPr>
          <w:rFonts w:asciiTheme="minorHAnsi" w:hAnsiTheme="minorHAnsi"/>
          <w:snapToGrid w:val="0"/>
          <w:szCs w:val="20"/>
        </w:rPr>
        <w:t xml:space="preserve"> </w:t>
      </w:r>
      <w:r w:rsidR="008C2531" w:rsidRPr="00946411">
        <w:t>agreed with the</w:t>
      </w:r>
      <w:r w:rsidR="008C2531">
        <w:t xml:space="preserve"> ESC</w:t>
      </w:r>
      <w:r w:rsidR="008C2531" w:rsidRPr="00946411">
        <w:t xml:space="preserve"> that ruxolitinib has </w:t>
      </w:r>
      <w:r w:rsidR="008C2531">
        <w:t xml:space="preserve">a </w:t>
      </w:r>
      <w:r w:rsidR="008C2531" w:rsidRPr="00946411">
        <w:t>different safety profile compared to BAT, and that this is likely to be manageable</w:t>
      </w:r>
      <w:r w:rsidR="00635A29">
        <w:rPr>
          <w:rFonts w:asciiTheme="minorHAnsi" w:hAnsiTheme="minorHAnsi"/>
          <w:snapToGrid w:val="0"/>
          <w:szCs w:val="20"/>
        </w:rPr>
        <w:t xml:space="preserve"> in clinical practice</w:t>
      </w:r>
      <w:r w:rsidRPr="00CE42B4">
        <w:rPr>
          <w:rFonts w:asciiTheme="minorHAnsi" w:hAnsiTheme="minorHAnsi"/>
          <w:snapToGrid w:val="0"/>
          <w:szCs w:val="20"/>
        </w:rPr>
        <w:t>.</w:t>
      </w:r>
      <w:bookmarkEnd w:id="72"/>
    </w:p>
    <w:p w14:paraId="36049654" w14:textId="77777777" w:rsidR="008975CB" w:rsidRPr="008975CB" w:rsidRDefault="008975CB" w:rsidP="008975CB">
      <w:pPr>
        <w:keepNext/>
        <w:spacing w:before="120" w:after="120"/>
        <w:outlineLvl w:val="1"/>
        <w:rPr>
          <w:rFonts w:asciiTheme="minorHAnsi" w:eastAsiaTheme="majorEastAsia" w:hAnsiTheme="minorHAnsi" w:cstheme="majorBidi"/>
          <w:b/>
          <w:i/>
          <w:spacing w:val="5"/>
          <w:kern w:val="28"/>
          <w:sz w:val="28"/>
          <w:szCs w:val="36"/>
          <w:lang w:eastAsia="en-US"/>
        </w:rPr>
      </w:pPr>
      <w:bookmarkStart w:id="73" w:name="_Toc22897645"/>
      <w:bookmarkStart w:id="74" w:name="_Toc184797847"/>
      <w:r w:rsidRPr="008975CB">
        <w:rPr>
          <w:rFonts w:asciiTheme="minorHAnsi" w:eastAsiaTheme="majorEastAsia" w:hAnsiTheme="minorHAnsi" w:cstheme="majorBidi"/>
          <w:b/>
          <w:i/>
          <w:spacing w:val="5"/>
          <w:kern w:val="28"/>
          <w:sz w:val="28"/>
          <w:szCs w:val="36"/>
          <w:lang w:eastAsia="en-US"/>
        </w:rPr>
        <w:t>Economic analysis</w:t>
      </w:r>
      <w:bookmarkEnd w:id="73"/>
      <w:bookmarkEnd w:id="74"/>
      <w:r w:rsidRPr="008975CB">
        <w:rPr>
          <w:rFonts w:asciiTheme="minorHAnsi" w:eastAsiaTheme="majorEastAsia" w:hAnsiTheme="minorHAnsi" w:cstheme="majorBidi"/>
          <w:b/>
          <w:i/>
          <w:spacing w:val="5"/>
          <w:kern w:val="28"/>
          <w:sz w:val="28"/>
          <w:szCs w:val="36"/>
          <w:lang w:eastAsia="en-US"/>
        </w:rPr>
        <w:t xml:space="preserve"> </w:t>
      </w:r>
    </w:p>
    <w:p w14:paraId="6907E73C" w14:textId="31652E4C" w:rsidR="008975CB" w:rsidRPr="008975CB" w:rsidRDefault="008975CB" w:rsidP="00953620">
      <w:pPr>
        <w:pStyle w:val="3-BodyText"/>
      </w:pPr>
      <w:r w:rsidRPr="0910F2D2">
        <w:t>The resubmission presented a stepped economic evaluation of ruxolitinib compared to BAT in adults with PV who are resistant or intolerant to HC/HU. The economic evaluation was based on direct randomised trials (MAJIC, RESPONSE and RESPONSE-2 trials) and implemented a modelled evaluation. The economic evaluation was presented as cost-utility/cost-effectiveness analysis.</w:t>
      </w:r>
    </w:p>
    <w:p w14:paraId="6F3ED704" w14:textId="49D729FA" w:rsidR="008975CB" w:rsidRPr="006124A7" w:rsidRDefault="008975CB" w:rsidP="00953620">
      <w:pPr>
        <w:pStyle w:val="3-BodyText"/>
      </w:pPr>
      <w:r w:rsidRPr="006124A7">
        <w:t>Compared to the July 2019 submission, the key changes in the resubmission</w:t>
      </w:r>
      <w:r w:rsidR="00DB7C14">
        <w:t xml:space="preserve"> model</w:t>
      </w:r>
      <w:r w:rsidRPr="006124A7">
        <w:t xml:space="preserve"> </w:t>
      </w:r>
      <w:r w:rsidR="00473F9F">
        <w:t>we</w:t>
      </w:r>
      <w:r w:rsidRPr="006124A7">
        <w:t>re:</w:t>
      </w:r>
    </w:p>
    <w:p w14:paraId="58CB95B5" w14:textId="06A13A44" w:rsidR="008975CB" w:rsidRPr="006124A7" w:rsidRDefault="008975CB" w:rsidP="009E06E3">
      <w:pPr>
        <w:numPr>
          <w:ilvl w:val="0"/>
          <w:numId w:val="10"/>
        </w:numPr>
        <w:spacing w:before="60" w:after="60"/>
        <w:ind w:left="993"/>
        <w:rPr>
          <w:rFonts w:asciiTheme="minorHAnsi" w:eastAsiaTheme="minorEastAsia" w:hAnsiTheme="minorHAnsi" w:cstheme="minorBidi"/>
        </w:rPr>
      </w:pPr>
      <w:r w:rsidRPr="0F1D33A4">
        <w:rPr>
          <w:rFonts w:asciiTheme="minorHAnsi" w:eastAsiaTheme="minorEastAsia" w:hAnsiTheme="minorHAnsi" w:cstheme="minorBidi"/>
        </w:rPr>
        <w:t xml:space="preserve">Updated model structure that was based on progression events, AML, MF, and death, with Pre progression, Progressed and Dead health states. The updated model structure </w:t>
      </w:r>
      <w:r w:rsidR="008109D6" w:rsidRPr="0F1D33A4">
        <w:rPr>
          <w:rFonts w:asciiTheme="minorHAnsi" w:eastAsiaTheme="minorEastAsia" w:hAnsiTheme="minorHAnsi" w:cstheme="minorBidi"/>
        </w:rPr>
        <w:t xml:space="preserve">limited the value </w:t>
      </w:r>
      <w:r w:rsidR="00FE452C" w:rsidRPr="0F1D33A4">
        <w:rPr>
          <w:rFonts w:asciiTheme="minorHAnsi" w:eastAsiaTheme="minorEastAsia" w:hAnsiTheme="minorHAnsi" w:cstheme="minorBidi"/>
        </w:rPr>
        <w:t>of</w:t>
      </w:r>
      <w:r w:rsidR="008109D6" w:rsidRPr="0F1D33A4">
        <w:rPr>
          <w:rFonts w:asciiTheme="minorHAnsi" w:eastAsiaTheme="minorEastAsia" w:hAnsiTheme="minorHAnsi" w:cstheme="minorBidi"/>
        </w:rPr>
        <w:t xml:space="preserve"> </w:t>
      </w:r>
      <w:r w:rsidRPr="0F1D33A4">
        <w:rPr>
          <w:rFonts w:asciiTheme="minorHAnsi" w:eastAsiaTheme="minorEastAsia" w:hAnsiTheme="minorHAnsi" w:cstheme="minorBidi"/>
        </w:rPr>
        <w:t xml:space="preserve">comparisons with the model used in the previous submission. </w:t>
      </w:r>
    </w:p>
    <w:p w14:paraId="153B3844" w14:textId="77777777" w:rsidR="008975CB" w:rsidRPr="006124A7" w:rsidRDefault="008975CB" w:rsidP="009E06E3">
      <w:pPr>
        <w:numPr>
          <w:ilvl w:val="0"/>
          <w:numId w:val="10"/>
        </w:numPr>
        <w:spacing w:before="60" w:after="60"/>
        <w:ind w:left="993"/>
        <w:rPr>
          <w:rFonts w:asciiTheme="minorHAnsi" w:eastAsiaTheme="minorHAnsi" w:hAnsiTheme="minorHAnsi" w:cstheme="minorBidi"/>
          <w:szCs w:val="22"/>
        </w:rPr>
      </w:pPr>
      <w:r w:rsidRPr="006124A7">
        <w:rPr>
          <w:rFonts w:asciiTheme="minorHAnsi" w:eastAsiaTheme="minorHAnsi" w:hAnsiTheme="minorHAnsi" w:cstheme="minorBidi"/>
          <w:szCs w:val="22"/>
        </w:rPr>
        <w:lastRenderedPageBreak/>
        <w:t>Transition probabilities for progression events are based on PFS data from the MAJIC trial combined with KM curves from the literature. Time to response and duration of response were not directly considered in the economic model.</w:t>
      </w:r>
    </w:p>
    <w:p w14:paraId="1BEA57AE" w14:textId="5A0FB98B" w:rsidR="008975CB" w:rsidRPr="00B97DC6" w:rsidRDefault="008975CB" w:rsidP="009E06E3">
      <w:pPr>
        <w:numPr>
          <w:ilvl w:val="0"/>
          <w:numId w:val="10"/>
        </w:numPr>
        <w:spacing w:before="60" w:after="60"/>
        <w:ind w:left="993"/>
        <w:rPr>
          <w:rFonts w:asciiTheme="minorHAnsi" w:eastAsiaTheme="minorHAnsi" w:hAnsiTheme="minorHAnsi" w:cstheme="minorBidi"/>
          <w:szCs w:val="22"/>
        </w:rPr>
      </w:pPr>
      <w:r w:rsidRPr="006124A7">
        <w:rPr>
          <w:rFonts w:asciiTheme="minorHAnsi" w:eastAsiaTheme="minorHAnsi" w:hAnsiTheme="minorHAnsi" w:cstheme="minorBidi"/>
          <w:szCs w:val="22"/>
        </w:rPr>
        <w:t>OS in the economic model was based on both assumed difference in OS within the updated 5-year follow up data from the MAJIC trial and survival following transition into MF or AML/MDS based</w:t>
      </w:r>
      <w:r w:rsidRPr="00B97DC6">
        <w:rPr>
          <w:rFonts w:asciiTheme="minorHAnsi" w:eastAsiaTheme="minorHAnsi" w:hAnsiTheme="minorHAnsi" w:cstheme="minorBidi"/>
          <w:szCs w:val="22"/>
        </w:rPr>
        <w:t xml:space="preserve"> on </w:t>
      </w:r>
      <w:r w:rsidR="00567AD8" w:rsidRPr="00B97DC6">
        <w:rPr>
          <w:rFonts w:asciiTheme="minorHAnsi" w:eastAsiaTheme="minorHAnsi" w:hAnsiTheme="minorHAnsi" w:cstheme="minorBidi"/>
          <w:szCs w:val="22"/>
        </w:rPr>
        <w:t xml:space="preserve">the </w:t>
      </w:r>
      <w:r w:rsidRPr="00B97DC6">
        <w:rPr>
          <w:rFonts w:asciiTheme="minorHAnsi" w:eastAsiaTheme="minorHAnsi" w:hAnsiTheme="minorHAnsi" w:cstheme="minorBidi"/>
          <w:szCs w:val="22"/>
        </w:rPr>
        <w:t>literature.</w:t>
      </w:r>
    </w:p>
    <w:p w14:paraId="083272ED" w14:textId="77777777" w:rsidR="008975CB" w:rsidRPr="00B97DC6" w:rsidRDefault="008975CB" w:rsidP="009E06E3">
      <w:pPr>
        <w:numPr>
          <w:ilvl w:val="0"/>
          <w:numId w:val="10"/>
        </w:numPr>
        <w:spacing w:before="60" w:after="60"/>
        <w:ind w:left="993"/>
        <w:rPr>
          <w:rFonts w:asciiTheme="minorHAnsi" w:eastAsiaTheme="minorHAnsi" w:hAnsiTheme="minorHAnsi" w:cstheme="minorBidi"/>
          <w:szCs w:val="22"/>
        </w:rPr>
      </w:pPr>
      <w:r w:rsidRPr="00B97DC6">
        <w:rPr>
          <w:rFonts w:asciiTheme="minorHAnsi" w:eastAsiaTheme="minorHAnsi" w:hAnsiTheme="minorHAnsi" w:cstheme="minorBidi"/>
          <w:szCs w:val="22"/>
        </w:rPr>
        <w:t xml:space="preserve">Updated utility data based on the EQ-5D-5L data from the RESPONSE-2 trial. </w:t>
      </w:r>
    </w:p>
    <w:p w14:paraId="126F90DE" w14:textId="732D8ADD" w:rsidR="008975CB" w:rsidRPr="00B97DC6" w:rsidRDefault="008975CB" w:rsidP="009E06E3">
      <w:pPr>
        <w:numPr>
          <w:ilvl w:val="0"/>
          <w:numId w:val="10"/>
        </w:numPr>
        <w:spacing w:before="60" w:after="60"/>
        <w:ind w:left="993"/>
        <w:rPr>
          <w:rFonts w:asciiTheme="minorHAnsi" w:eastAsiaTheme="minorEastAsia" w:hAnsiTheme="minorHAnsi" w:cstheme="minorBidi"/>
        </w:rPr>
      </w:pPr>
      <w:r w:rsidRPr="0F1D33A4">
        <w:rPr>
          <w:rFonts w:asciiTheme="minorHAnsi" w:eastAsiaTheme="minorEastAsia" w:hAnsiTheme="minorHAnsi" w:cstheme="minorBidi"/>
        </w:rPr>
        <w:t xml:space="preserve">The effective DPMQ </w:t>
      </w:r>
      <w:r w:rsidR="0022027D">
        <w:rPr>
          <w:rFonts w:asciiTheme="minorHAnsi" w:eastAsiaTheme="minorEastAsia" w:hAnsiTheme="minorHAnsi" w:cstheme="minorBidi"/>
        </w:rPr>
        <w:t>was</w:t>
      </w:r>
      <w:r w:rsidRPr="0F1D33A4">
        <w:rPr>
          <w:rFonts w:asciiTheme="minorHAnsi" w:eastAsiaTheme="minorEastAsia" w:hAnsiTheme="minorHAnsi" w:cstheme="minorBidi"/>
        </w:rPr>
        <w:t xml:space="preserve"> updated to $</w:t>
      </w:r>
      <w:r w:rsidR="00A268DC" w:rsidRPr="00C0236C">
        <w:rPr>
          <w:rFonts w:asciiTheme="minorHAnsi" w:eastAsiaTheme="minorEastAsia" w:hAnsiTheme="minorHAnsi" w:cstheme="minorBidi"/>
          <w:color w:val="000000"/>
          <w:w w:val="15"/>
          <w:shd w:val="solid" w:color="000000" w:fill="000000"/>
          <w:fitText w:val="-20" w:id="-694973690"/>
          <w14:textFill>
            <w14:solidFill>
              <w14:srgbClr w14:val="000000">
                <w14:alpha w14:val="100000"/>
              </w14:srgbClr>
            </w14:solidFill>
          </w14:textFill>
        </w:rPr>
        <w:t>|</w:t>
      </w:r>
      <w:r w:rsidR="00F87B86" w:rsidRPr="00C0236C">
        <w:rPr>
          <w:rFonts w:asciiTheme="minorHAnsi" w:eastAsiaTheme="minorEastAsia" w:hAnsiTheme="minorHAnsi" w:cstheme="minorBidi"/>
          <w:color w:val="000000"/>
          <w:w w:val="15"/>
          <w:shd w:val="solid" w:color="000000" w:fill="000000"/>
          <w:fitText w:val="-20" w:id="-694973690"/>
          <w14:textFill>
            <w14:solidFill>
              <w14:srgbClr w14:val="000000">
                <w14:alpha w14:val="100000"/>
              </w14:srgbClr>
            </w14:solidFill>
          </w14:textFill>
        </w:rPr>
        <w:t xml:space="preserve"> </w:t>
      </w:r>
      <w:r w:rsidR="00A268DC" w:rsidRPr="00C0236C">
        <w:rPr>
          <w:rFonts w:asciiTheme="minorHAnsi" w:eastAsiaTheme="minorEastAsia" w:hAnsiTheme="minorHAnsi" w:cstheme="minorBidi"/>
          <w:color w:val="000000"/>
          <w:spacing w:val="-61"/>
          <w:w w:val="15"/>
          <w:shd w:val="solid" w:color="000000" w:fill="000000"/>
          <w:fitText w:val="-20" w:id="-694973690"/>
          <w14:textFill>
            <w14:solidFill>
              <w14:srgbClr w14:val="000000">
                <w14:alpha w14:val="100000"/>
              </w14:srgbClr>
            </w14:solidFill>
          </w14:textFill>
        </w:rPr>
        <w:t>|</w:t>
      </w:r>
      <w:r w:rsidRPr="0F1D33A4">
        <w:rPr>
          <w:rFonts w:asciiTheme="minorHAnsi" w:eastAsiaTheme="minorEastAsia" w:hAnsiTheme="minorHAnsi" w:cstheme="minorBidi"/>
        </w:rPr>
        <w:t xml:space="preserve"> per cycle (</w:t>
      </w:r>
      <w:r w:rsidR="00A268DC" w:rsidRPr="00C0236C">
        <w:rPr>
          <w:rFonts w:asciiTheme="minorHAnsi" w:eastAsiaTheme="minorEastAsia" w:hAnsiTheme="minorHAnsi" w:cstheme="minorBidi"/>
          <w:color w:val="000000"/>
          <w:w w:val="15"/>
          <w:shd w:val="solid" w:color="000000" w:fill="000000"/>
          <w:fitText w:val="-20" w:id="-694973689"/>
          <w14:textFill>
            <w14:solidFill>
              <w14:srgbClr w14:val="000000">
                <w14:alpha w14:val="100000"/>
              </w14:srgbClr>
            </w14:solidFill>
          </w14:textFill>
        </w:rPr>
        <w:t>|</w:t>
      </w:r>
      <w:r w:rsidR="00F87B86" w:rsidRPr="00C0236C">
        <w:rPr>
          <w:rFonts w:asciiTheme="minorHAnsi" w:eastAsiaTheme="minorEastAsia" w:hAnsiTheme="minorHAnsi" w:cstheme="minorBidi"/>
          <w:color w:val="000000"/>
          <w:w w:val="15"/>
          <w:shd w:val="solid" w:color="000000" w:fill="000000"/>
          <w:fitText w:val="-20" w:id="-694973689"/>
          <w14:textFill>
            <w14:solidFill>
              <w14:srgbClr w14:val="000000">
                <w14:alpha w14:val="100000"/>
              </w14:srgbClr>
            </w14:solidFill>
          </w14:textFill>
        </w:rPr>
        <w:t xml:space="preserve"> </w:t>
      </w:r>
      <w:r w:rsidR="00A268DC" w:rsidRPr="00C0236C">
        <w:rPr>
          <w:rFonts w:asciiTheme="minorHAnsi" w:eastAsiaTheme="minorEastAsia" w:hAnsiTheme="minorHAnsi" w:cstheme="minorBidi"/>
          <w:color w:val="000000"/>
          <w:spacing w:val="-61"/>
          <w:w w:val="15"/>
          <w:shd w:val="solid" w:color="000000" w:fill="000000"/>
          <w:fitText w:val="-20" w:id="-694973689"/>
          <w14:textFill>
            <w14:solidFill>
              <w14:srgbClr w14:val="000000">
                <w14:alpha w14:val="100000"/>
              </w14:srgbClr>
            </w14:solidFill>
          </w14:textFill>
        </w:rPr>
        <w:t>|</w:t>
      </w:r>
      <w:r w:rsidRPr="0F1D33A4">
        <w:rPr>
          <w:rFonts w:asciiTheme="minorHAnsi" w:eastAsiaTheme="minorEastAsia" w:hAnsiTheme="minorHAnsi" w:cstheme="minorBidi"/>
        </w:rPr>
        <w:t xml:space="preserve">% reduction from the previous submission). </w:t>
      </w:r>
    </w:p>
    <w:p w14:paraId="5D1552EA" w14:textId="791BBA97" w:rsidR="008975CB" w:rsidRPr="008975CB" w:rsidRDefault="008975CB" w:rsidP="00953620">
      <w:pPr>
        <w:pStyle w:val="3-BodyText"/>
      </w:pPr>
      <w:r w:rsidRPr="008975CB">
        <w:t xml:space="preserve">A summary of the key components of the economic model are presented in </w:t>
      </w:r>
      <w:r w:rsidRPr="003F67A2">
        <w:rPr>
          <w:rFonts w:cstheme="minorHAnsi"/>
          <w:szCs w:val="24"/>
        </w:rPr>
        <w:fldChar w:fldCharType="begin" w:fldLock="1"/>
      </w:r>
      <w:r w:rsidRPr="003F67A2">
        <w:rPr>
          <w:rFonts w:cstheme="minorHAnsi"/>
          <w:szCs w:val="24"/>
        </w:rPr>
        <w:instrText xml:space="preserve"> REF _Ref185226928 \h </w:instrText>
      </w:r>
      <w:r w:rsidR="003F67A2" w:rsidRPr="003F67A2">
        <w:rPr>
          <w:rFonts w:cstheme="minorHAnsi"/>
          <w:szCs w:val="24"/>
        </w:rPr>
        <w:instrText xml:space="preserve"> \* MERGEFORMAT </w:instrText>
      </w:r>
      <w:r w:rsidRPr="003F67A2">
        <w:rPr>
          <w:rFonts w:cstheme="minorHAnsi"/>
          <w:szCs w:val="24"/>
        </w:rPr>
      </w:r>
      <w:r w:rsidRPr="003F67A2">
        <w:rPr>
          <w:rFonts w:cstheme="minorHAnsi"/>
          <w:szCs w:val="24"/>
        </w:rPr>
        <w:fldChar w:fldCharType="separate"/>
      </w:r>
      <w:r w:rsidRPr="003F67A2" w:rsidDel="0096555B">
        <w:rPr>
          <w:rFonts w:cstheme="minorHAnsi"/>
          <w:szCs w:val="24"/>
        </w:rPr>
        <w:t xml:space="preserve">Table </w:t>
      </w:r>
      <w:r w:rsidRPr="003F67A2" w:rsidDel="0096555B">
        <w:rPr>
          <w:rFonts w:cstheme="minorHAnsi"/>
          <w:noProof/>
          <w:szCs w:val="24"/>
        </w:rPr>
        <w:t>13</w:t>
      </w:r>
      <w:r w:rsidRPr="003F67A2">
        <w:rPr>
          <w:rFonts w:cstheme="minorHAnsi"/>
          <w:szCs w:val="24"/>
        </w:rPr>
        <w:fldChar w:fldCharType="end"/>
      </w:r>
      <w:r w:rsidRPr="003F67A2">
        <w:rPr>
          <w:rFonts w:cstheme="minorHAnsi"/>
          <w:szCs w:val="24"/>
        </w:rPr>
        <w:t>.</w:t>
      </w:r>
    </w:p>
    <w:p w14:paraId="161AB2AD" w14:textId="6898B88B" w:rsidR="008975CB" w:rsidRPr="008975CB" w:rsidRDefault="008975CB" w:rsidP="0F1D33A4">
      <w:pPr>
        <w:widowControl w:val="0"/>
        <w:rPr>
          <w:rFonts w:ascii="Arial Narrow" w:hAnsi="Arial Narrow"/>
          <w:b/>
          <w:bCs/>
          <w:sz w:val="20"/>
          <w:szCs w:val="20"/>
        </w:rPr>
      </w:pPr>
      <w:bookmarkStart w:id="75" w:name="_Ref185226928"/>
      <w:r w:rsidRPr="0F1D33A4">
        <w:rPr>
          <w:rFonts w:ascii="Arial Narrow" w:hAnsi="Arial Narrow"/>
          <w:b/>
          <w:bCs/>
          <w:sz w:val="20"/>
          <w:szCs w:val="20"/>
        </w:rPr>
        <w:t xml:space="preserve">Table </w:t>
      </w:r>
      <w:r w:rsidRPr="0F1D33A4">
        <w:rPr>
          <w:rFonts w:ascii="Arial Narrow" w:hAnsi="Arial Narrow"/>
          <w:b/>
          <w:bCs/>
          <w:sz w:val="20"/>
          <w:szCs w:val="20"/>
        </w:rPr>
        <w:fldChar w:fldCharType="begin" w:fldLock="1"/>
      </w:r>
      <w:r w:rsidRPr="0F1D33A4">
        <w:rPr>
          <w:rFonts w:ascii="Arial Narrow" w:hAnsi="Arial Narrow"/>
          <w:b/>
          <w:bCs/>
          <w:sz w:val="20"/>
          <w:szCs w:val="20"/>
        </w:rPr>
        <w:instrText xml:space="preserve"> SEQ Table \* ARABIC </w:instrText>
      </w:r>
      <w:r w:rsidRPr="0F1D33A4">
        <w:rPr>
          <w:rFonts w:ascii="Arial Narrow" w:hAnsi="Arial Narrow"/>
          <w:b/>
          <w:bCs/>
          <w:sz w:val="20"/>
          <w:szCs w:val="20"/>
        </w:rPr>
        <w:fldChar w:fldCharType="separate"/>
      </w:r>
      <w:r w:rsidR="001F427F">
        <w:rPr>
          <w:rFonts w:ascii="Arial Narrow" w:hAnsi="Arial Narrow"/>
          <w:b/>
          <w:bCs/>
          <w:noProof/>
          <w:sz w:val="20"/>
          <w:szCs w:val="20"/>
        </w:rPr>
        <w:t>13</w:t>
      </w:r>
      <w:r w:rsidRPr="0F1D33A4">
        <w:rPr>
          <w:rFonts w:ascii="Arial Narrow" w:hAnsi="Arial Narrow"/>
          <w:b/>
          <w:bCs/>
          <w:sz w:val="20"/>
          <w:szCs w:val="20"/>
        </w:rPr>
        <w:fldChar w:fldCharType="end"/>
      </w:r>
      <w:bookmarkEnd w:id="75"/>
      <w:r w:rsidRPr="0F1D33A4">
        <w:rPr>
          <w:rFonts w:ascii="Arial Narrow" w:hAnsi="Arial Narrow"/>
          <w:b/>
          <w:bCs/>
          <w:sz w:val="20"/>
          <w:szCs w:val="20"/>
        </w:rPr>
        <w:t>: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3: Summary of model structure, key inputs and rationale"/>
        <w:tblDescription w:val="New information being considered by PBAC in this resubmission:&#10;Methods used to generate results&#10;Health states &#10;Cycle length&#10;Transition probabilities &#10;Extrapolation method&#10;Health related quality of life"/>
      </w:tblPr>
      <w:tblGrid>
        <w:gridCol w:w="2518"/>
        <w:gridCol w:w="6499"/>
      </w:tblGrid>
      <w:tr w:rsidR="008975CB" w:rsidRPr="008975CB" w14:paraId="7D3235F4" w14:textId="77777777" w:rsidTr="0F1D33A4">
        <w:trPr>
          <w:tblHeader/>
        </w:trPr>
        <w:tc>
          <w:tcPr>
            <w:tcW w:w="1396" w:type="pct"/>
            <w:shd w:val="clear" w:color="auto" w:fill="auto"/>
            <w:vAlign w:val="center"/>
          </w:tcPr>
          <w:p w14:paraId="19455E42" w14:textId="77777777" w:rsidR="008975CB" w:rsidRPr="008975CB" w:rsidRDefault="008975CB" w:rsidP="00147EC5">
            <w:pPr>
              <w:widowControl w:val="0"/>
              <w:jc w:val="left"/>
              <w:rPr>
                <w:rFonts w:ascii="Arial Narrow" w:eastAsiaTheme="majorEastAsia" w:hAnsi="Arial Narrow" w:cs="Times New Roman"/>
                <w:b/>
                <w:sz w:val="20"/>
                <w:lang w:val="en-US"/>
              </w:rPr>
            </w:pPr>
            <w:r w:rsidRPr="008975CB">
              <w:rPr>
                <w:rFonts w:ascii="Arial Narrow" w:eastAsiaTheme="majorEastAsia" w:hAnsi="Arial Narrow" w:cs="Times New Roman"/>
                <w:b/>
                <w:sz w:val="20"/>
                <w:lang w:val="en-US"/>
              </w:rPr>
              <w:t>Component</w:t>
            </w:r>
          </w:p>
        </w:tc>
        <w:tc>
          <w:tcPr>
            <w:tcW w:w="3604" w:type="pct"/>
            <w:shd w:val="clear" w:color="auto" w:fill="auto"/>
            <w:vAlign w:val="center"/>
          </w:tcPr>
          <w:p w14:paraId="153DC16D" w14:textId="77777777" w:rsidR="008975CB" w:rsidRPr="008975CB" w:rsidRDefault="008975CB" w:rsidP="00147EC5">
            <w:pPr>
              <w:widowControl w:val="0"/>
              <w:jc w:val="left"/>
              <w:rPr>
                <w:rFonts w:ascii="Arial Narrow" w:eastAsiaTheme="majorEastAsia" w:hAnsi="Arial Narrow" w:cs="Times New Roman"/>
                <w:b/>
                <w:sz w:val="20"/>
                <w:lang w:val="en-US"/>
              </w:rPr>
            </w:pPr>
            <w:r w:rsidRPr="008975CB">
              <w:rPr>
                <w:rFonts w:ascii="Arial Narrow" w:eastAsiaTheme="majorEastAsia" w:hAnsi="Arial Narrow" w:cs="Times New Roman"/>
                <w:b/>
                <w:sz w:val="20"/>
                <w:lang w:val="en-US"/>
              </w:rPr>
              <w:t>Summary</w:t>
            </w:r>
          </w:p>
        </w:tc>
      </w:tr>
      <w:tr w:rsidR="008975CB" w:rsidRPr="008975CB" w14:paraId="76C7FCB2" w14:textId="77777777" w:rsidTr="0F1D33A4">
        <w:tc>
          <w:tcPr>
            <w:tcW w:w="1396" w:type="pct"/>
            <w:shd w:val="clear" w:color="auto" w:fill="B8CCE4" w:themeFill="accent1" w:themeFillTint="66"/>
            <w:vAlign w:val="center"/>
          </w:tcPr>
          <w:p w14:paraId="0A4CDD29" w14:textId="77777777" w:rsidR="008975CB" w:rsidRPr="008975CB" w:rsidRDefault="008975CB" w:rsidP="00147EC5">
            <w:pPr>
              <w:widowControl w:val="0"/>
              <w:jc w:val="left"/>
              <w:rPr>
                <w:rFonts w:ascii="Arial Narrow" w:eastAsiaTheme="majorEastAsia" w:hAnsi="Arial Narrow" w:cstheme="majorBidi"/>
                <w:bCs/>
                <w:sz w:val="20"/>
              </w:rPr>
            </w:pPr>
            <w:r w:rsidRPr="008975CB">
              <w:rPr>
                <w:rFonts w:ascii="Arial Narrow" w:eastAsiaTheme="majorEastAsia" w:hAnsi="Arial Narrow" w:cstheme="majorBidi"/>
                <w:bCs/>
                <w:sz w:val="20"/>
              </w:rPr>
              <w:t>Treatments</w:t>
            </w:r>
          </w:p>
        </w:tc>
        <w:tc>
          <w:tcPr>
            <w:tcW w:w="3604" w:type="pct"/>
            <w:shd w:val="clear" w:color="auto" w:fill="B8CCE4" w:themeFill="accent1" w:themeFillTint="66"/>
            <w:vAlign w:val="center"/>
          </w:tcPr>
          <w:p w14:paraId="41CD29C3" w14:textId="77777777" w:rsidR="008975CB" w:rsidRPr="008975CB" w:rsidRDefault="008975CB" w:rsidP="0910F2D2">
            <w:pPr>
              <w:widowControl w:val="0"/>
              <w:jc w:val="left"/>
              <w:rPr>
                <w:rFonts w:ascii="Arial Narrow" w:eastAsiaTheme="majorEastAsia" w:hAnsi="Arial Narrow" w:cstheme="majorBidi"/>
                <w:sz w:val="20"/>
                <w:szCs w:val="20"/>
              </w:rPr>
            </w:pPr>
            <w:r w:rsidRPr="0910F2D2">
              <w:rPr>
                <w:rFonts w:ascii="Arial Narrow" w:eastAsiaTheme="majorEastAsia" w:hAnsi="Arial Narrow" w:cstheme="majorBidi"/>
                <w:sz w:val="20"/>
                <w:szCs w:val="20"/>
              </w:rPr>
              <w:t>Ruxolitinib vs BAT</w:t>
            </w:r>
          </w:p>
        </w:tc>
      </w:tr>
      <w:tr w:rsidR="008975CB" w:rsidRPr="008975CB" w14:paraId="0AFADF88" w14:textId="77777777" w:rsidTr="0F1D33A4">
        <w:tc>
          <w:tcPr>
            <w:tcW w:w="1396" w:type="pct"/>
            <w:shd w:val="clear" w:color="auto" w:fill="B8CCE4" w:themeFill="accent1" w:themeFillTint="66"/>
            <w:vAlign w:val="center"/>
          </w:tcPr>
          <w:p w14:paraId="71363737" w14:textId="77777777" w:rsidR="008975CB" w:rsidRPr="008975CB" w:rsidRDefault="008975CB" w:rsidP="00147EC5">
            <w:pPr>
              <w:widowControl w:val="0"/>
              <w:jc w:val="left"/>
              <w:rPr>
                <w:rFonts w:ascii="Arial Narrow" w:eastAsiaTheme="majorEastAsia" w:hAnsi="Arial Narrow" w:cstheme="majorBidi"/>
                <w:bCs/>
                <w:sz w:val="20"/>
              </w:rPr>
            </w:pPr>
            <w:r w:rsidRPr="008975CB">
              <w:rPr>
                <w:rFonts w:ascii="Arial Narrow" w:eastAsiaTheme="majorEastAsia" w:hAnsi="Arial Narrow" w:cstheme="majorBidi"/>
                <w:bCs/>
                <w:sz w:val="20"/>
              </w:rPr>
              <w:t>Time horizon</w:t>
            </w:r>
          </w:p>
        </w:tc>
        <w:tc>
          <w:tcPr>
            <w:tcW w:w="3604" w:type="pct"/>
            <w:shd w:val="clear" w:color="auto" w:fill="B8CCE4" w:themeFill="accent1" w:themeFillTint="66"/>
            <w:vAlign w:val="center"/>
          </w:tcPr>
          <w:p w14:paraId="47F1313D" w14:textId="77777777" w:rsidR="008975CB" w:rsidRPr="008975CB" w:rsidRDefault="008975CB" w:rsidP="00147EC5">
            <w:pPr>
              <w:widowControl w:val="0"/>
              <w:jc w:val="left"/>
              <w:rPr>
                <w:rFonts w:ascii="Arial Narrow" w:eastAsiaTheme="majorEastAsia" w:hAnsi="Arial Narrow" w:cstheme="majorBidi"/>
                <w:bCs/>
                <w:sz w:val="20"/>
              </w:rPr>
            </w:pPr>
            <w:r w:rsidRPr="008975CB">
              <w:rPr>
                <w:rFonts w:ascii="Arial Narrow" w:eastAsiaTheme="majorEastAsia" w:hAnsi="Arial Narrow" w:cstheme="majorBidi"/>
                <w:bCs/>
                <w:sz w:val="20"/>
              </w:rPr>
              <w:t>20 years in the economic model vs 5 years in the MAJIC trial</w:t>
            </w:r>
          </w:p>
        </w:tc>
      </w:tr>
      <w:tr w:rsidR="008975CB" w:rsidRPr="008975CB" w14:paraId="54590A28" w14:textId="77777777" w:rsidTr="0F1D33A4">
        <w:tc>
          <w:tcPr>
            <w:tcW w:w="1396" w:type="pct"/>
            <w:shd w:val="clear" w:color="auto" w:fill="B8CCE4" w:themeFill="accent1" w:themeFillTint="66"/>
            <w:vAlign w:val="center"/>
          </w:tcPr>
          <w:p w14:paraId="555E2D3C" w14:textId="77777777" w:rsidR="008975CB" w:rsidRPr="008975CB" w:rsidRDefault="008975CB" w:rsidP="00147EC5">
            <w:pPr>
              <w:widowControl w:val="0"/>
              <w:jc w:val="left"/>
              <w:rPr>
                <w:rFonts w:ascii="Arial Narrow" w:eastAsiaTheme="majorEastAsia" w:hAnsi="Arial Narrow" w:cstheme="majorBidi"/>
                <w:bCs/>
                <w:sz w:val="20"/>
              </w:rPr>
            </w:pPr>
            <w:r w:rsidRPr="008975CB">
              <w:rPr>
                <w:rFonts w:ascii="Arial Narrow" w:eastAsiaTheme="majorEastAsia" w:hAnsi="Arial Narrow" w:cstheme="majorBidi"/>
                <w:bCs/>
                <w:sz w:val="20"/>
              </w:rPr>
              <w:t>Outcomes</w:t>
            </w:r>
          </w:p>
        </w:tc>
        <w:tc>
          <w:tcPr>
            <w:tcW w:w="3604" w:type="pct"/>
            <w:shd w:val="clear" w:color="auto" w:fill="B8CCE4" w:themeFill="accent1" w:themeFillTint="66"/>
            <w:vAlign w:val="center"/>
          </w:tcPr>
          <w:p w14:paraId="18FA45EB" w14:textId="77777777" w:rsidR="008975CB" w:rsidRPr="008975CB" w:rsidRDefault="008975CB" w:rsidP="00147EC5">
            <w:pPr>
              <w:widowControl w:val="0"/>
              <w:jc w:val="left"/>
              <w:rPr>
                <w:rFonts w:ascii="Arial Narrow" w:eastAsiaTheme="majorEastAsia" w:hAnsi="Arial Narrow" w:cstheme="majorBidi"/>
                <w:bCs/>
                <w:sz w:val="20"/>
              </w:rPr>
            </w:pPr>
            <w:r w:rsidRPr="008975CB">
              <w:rPr>
                <w:rFonts w:ascii="Arial Narrow" w:eastAsiaTheme="majorEastAsia" w:hAnsi="Arial Narrow" w:cstheme="majorBidi"/>
                <w:bCs/>
                <w:sz w:val="20"/>
              </w:rPr>
              <w:t>Life years and QALYs</w:t>
            </w:r>
          </w:p>
        </w:tc>
      </w:tr>
      <w:tr w:rsidR="008975CB" w:rsidRPr="008975CB" w14:paraId="36768591" w14:textId="77777777" w:rsidTr="0F1D33A4">
        <w:tc>
          <w:tcPr>
            <w:tcW w:w="1396" w:type="pct"/>
            <w:shd w:val="clear" w:color="auto" w:fill="auto"/>
            <w:vAlign w:val="center"/>
          </w:tcPr>
          <w:p w14:paraId="76E78CCD" w14:textId="77777777" w:rsidR="008975CB" w:rsidRPr="008975CB" w:rsidRDefault="008975CB" w:rsidP="00147EC5">
            <w:pPr>
              <w:widowControl w:val="0"/>
              <w:jc w:val="left"/>
              <w:rPr>
                <w:rFonts w:ascii="Arial Narrow" w:eastAsiaTheme="majorEastAsia" w:hAnsi="Arial Narrow" w:cstheme="majorBidi"/>
                <w:bCs/>
                <w:sz w:val="20"/>
              </w:rPr>
            </w:pPr>
            <w:r w:rsidRPr="008975CB">
              <w:rPr>
                <w:rFonts w:ascii="Arial Narrow" w:eastAsiaTheme="majorEastAsia" w:hAnsi="Arial Narrow" w:cstheme="majorBidi"/>
                <w:bCs/>
                <w:sz w:val="20"/>
              </w:rPr>
              <w:t>Methods used to generate results</w:t>
            </w:r>
          </w:p>
        </w:tc>
        <w:tc>
          <w:tcPr>
            <w:tcW w:w="3604" w:type="pct"/>
            <w:shd w:val="clear" w:color="auto" w:fill="auto"/>
            <w:vAlign w:val="center"/>
          </w:tcPr>
          <w:p w14:paraId="2C11805F" w14:textId="77777777" w:rsidR="008975CB" w:rsidRPr="008975CB" w:rsidRDefault="008975CB" w:rsidP="00147EC5">
            <w:pPr>
              <w:widowControl w:val="0"/>
              <w:jc w:val="left"/>
              <w:rPr>
                <w:rFonts w:ascii="Arial Narrow" w:eastAsiaTheme="majorEastAsia" w:hAnsi="Arial Narrow" w:cstheme="majorBidi"/>
                <w:bCs/>
                <w:sz w:val="20"/>
              </w:rPr>
            </w:pPr>
            <w:r w:rsidRPr="008975CB">
              <w:rPr>
                <w:rFonts w:ascii="Arial Narrow" w:eastAsiaTheme="majorEastAsia" w:hAnsi="Arial Narrow" w:cstheme="majorBidi"/>
                <w:bCs/>
                <w:sz w:val="20"/>
              </w:rPr>
              <w:t xml:space="preserve">Markov state-transition model </w:t>
            </w:r>
          </w:p>
        </w:tc>
      </w:tr>
      <w:tr w:rsidR="008975CB" w:rsidRPr="008975CB" w14:paraId="4D5C4E03" w14:textId="77777777" w:rsidTr="0F1D33A4">
        <w:tc>
          <w:tcPr>
            <w:tcW w:w="1396" w:type="pct"/>
            <w:shd w:val="clear" w:color="auto" w:fill="auto"/>
            <w:vAlign w:val="center"/>
          </w:tcPr>
          <w:p w14:paraId="7BEEE955" w14:textId="77777777" w:rsidR="008975CB" w:rsidRPr="008975CB" w:rsidRDefault="008975CB" w:rsidP="00147EC5">
            <w:pPr>
              <w:widowControl w:val="0"/>
              <w:jc w:val="left"/>
              <w:rPr>
                <w:rFonts w:ascii="Arial Narrow" w:eastAsiaTheme="majorEastAsia" w:hAnsi="Arial Narrow" w:cstheme="majorBidi"/>
                <w:bCs/>
                <w:sz w:val="20"/>
              </w:rPr>
            </w:pPr>
            <w:r w:rsidRPr="008975CB">
              <w:rPr>
                <w:rFonts w:ascii="Arial Narrow" w:eastAsiaTheme="majorEastAsia" w:hAnsi="Arial Narrow" w:cstheme="majorBidi"/>
                <w:bCs/>
                <w:sz w:val="20"/>
              </w:rPr>
              <w:t>Health states</w:t>
            </w:r>
          </w:p>
        </w:tc>
        <w:tc>
          <w:tcPr>
            <w:tcW w:w="3604" w:type="pct"/>
            <w:shd w:val="clear" w:color="auto" w:fill="auto"/>
            <w:vAlign w:val="center"/>
          </w:tcPr>
          <w:p w14:paraId="177A6408" w14:textId="1E186D92" w:rsidR="008975CB" w:rsidRPr="008975CB" w:rsidRDefault="008975CB" w:rsidP="0910F2D2">
            <w:pPr>
              <w:widowControl w:val="0"/>
              <w:jc w:val="left"/>
              <w:rPr>
                <w:rFonts w:ascii="Arial Narrow" w:eastAsiaTheme="majorEastAsia" w:hAnsi="Arial Narrow" w:cstheme="majorBidi"/>
                <w:sz w:val="20"/>
                <w:szCs w:val="20"/>
              </w:rPr>
            </w:pPr>
            <w:r w:rsidRPr="0910F2D2">
              <w:rPr>
                <w:rFonts w:ascii="Arial Narrow" w:eastAsiaTheme="majorEastAsia" w:hAnsi="Arial Narrow" w:cstheme="majorBidi"/>
                <w:sz w:val="20"/>
                <w:szCs w:val="20"/>
              </w:rPr>
              <w:t>4 health states: Progression</w:t>
            </w:r>
            <w:r w:rsidR="00317307" w:rsidRPr="0910F2D2">
              <w:rPr>
                <w:rFonts w:ascii="Arial Narrow" w:eastAsiaTheme="majorEastAsia" w:hAnsi="Arial Narrow" w:cstheme="majorBidi"/>
                <w:sz w:val="20"/>
                <w:szCs w:val="20"/>
              </w:rPr>
              <w:t>-</w:t>
            </w:r>
            <w:r w:rsidRPr="0910F2D2">
              <w:rPr>
                <w:rFonts w:ascii="Arial Narrow" w:eastAsiaTheme="majorEastAsia" w:hAnsi="Arial Narrow" w:cstheme="majorBidi"/>
                <w:sz w:val="20"/>
                <w:szCs w:val="20"/>
              </w:rPr>
              <w:t>free on ruxolitinib; Progression</w:t>
            </w:r>
            <w:r w:rsidR="00A05FD3" w:rsidRPr="0910F2D2">
              <w:rPr>
                <w:rFonts w:ascii="Arial Narrow" w:eastAsiaTheme="majorEastAsia" w:hAnsi="Arial Narrow" w:cstheme="majorBidi"/>
                <w:sz w:val="20"/>
                <w:szCs w:val="20"/>
              </w:rPr>
              <w:t>-</w:t>
            </w:r>
            <w:r w:rsidRPr="0910F2D2">
              <w:rPr>
                <w:rFonts w:ascii="Arial Narrow" w:eastAsiaTheme="majorEastAsia" w:hAnsi="Arial Narrow" w:cstheme="majorBidi"/>
                <w:sz w:val="20"/>
                <w:szCs w:val="20"/>
              </w:rPr>
              <w:t>free on BAT; Progressed disease (three substates: low/intermediate-1 MF, intermediate-2/high MF, and AML/MDS); Dead (absorbing state)</w:t>
            </w:r>
          </w:p>
        </w:tc>
      </w:tr>
      <w:tr w:rsidR="008975CB" w:rsidRPr="008975CB" w14:paraId="7D7704A3" w14:textId="77777777" w:rsidTr="0F1D33A4">
        <w:tc>
          <w:tcPr>
            <w:tcW w:w="1396" w:type="pct"/>
            <w:shd w:val="clear" w:color="auto" w:fill="auto"/>
            <w:vAlign w:val="center"/>
          </w:tcPr>
          <w:p w14:paraId="6929B163" w14:textId="77777777" w:rsidR="008975CB" w:rsidRPr="008975CB" w:rsidRDefault="008975CB" w:rsidP="00147EC5">
            <w:pPr>
              <w:widowControl w:val="0"/>
              <w:jc w:val="left"/>
              <w:rPr>
                <w:rFonts w:ascii="Arial Narrow" w:eastAsiaTheme="majorEastAsia" w:hAnsi="Arial Narrow" w:cstheme="majorBidi"/>
                <w:bCs/>
                <w:sz w:val="20"/>
              </w:rPr>
            </w:pPr>
            <w:r w:rsidRPr="008975CB">
              <w:rPr>
                <w:rFonts w:ascii="Arial Narrow" w:eastAsiaTheme="majorEastAsia" w:hAnsi="Arial Narrow" w:cstheme="majorBidi"/>
                <w:bCs/>
                <w:sz w:val="20"/>
              </w:rPr>
              <w:t>Cycle length</w:t>
            </w:r>
          </w:p>
        </w:tc>
        <w:tc>
          <w:tcPr>
            <w:tcW w:w="3604" w:type="pct"/>
            <w:shd w:val="clear" w:color="auto" w:fill="auto"/>
            <w:vAlign w:val="center"/>
          </w:tcPr>
          <w:p w14:paraId="7F871D2B" w14:textId="77777777" w:rsidR="008975CB" w:rsidRPr="008975CB" w:rsidRDefault="008975CB" w:rsidP="00147EC5">
            <w:pPr>
              <w:widowControl w:val="0"/>
              <w:jc w:val="left"/>
              <w:rPr>
                <w:rFonts w:ascii="Arial Narrow" w:eastAsiaTheme="majorEastAsia" w:hAnsi="Arial Narrow" w:cstheme="majorBidi"/>
                <w:bCs/>
                <w:sz w:val="20"/>
              </w:rPr>
            </w:pPr>
            <w:r w:rsidRPr="008975CB">
              <w:rPr>
                <w:rFonts w:ascii="Arial Narrow" w:eastAsiaTheme="majorEastAsia" w:hAnsi="Arial Narrow" w:cstheme="majorBidi"/>
                <w:bCs/>
                <w:sz w:val="20"/>
              </w:rPr>
              <w:t>28 days</w:t>
            </w:r>
          </w:p>
        </w:tc>
      </w:tr>
      <w:tr w:rsidR="008975CB" w:rsidRPr="008975CB" w14:paraId="74297EEF" w14:textId="77777777" w:rsidTr="0F1D33A4">
        <w:tc>
          <w:tcPr>
            <w:tcW w:w="1396" w:type="pct"/>
            <w:shd w:val="clear" w:color="auto" w:fill="auto"/>
            <w:vAlign w:val="center"/>
          </w:tcPr>
          <w:p w14:paraId="59F9D188" w14:textId="77777777" w:rsidR="008975CB" w:rsidRPr="008975CB" w:rsidRDefault="008975CB" w:rsidP="00147EC5">
            <w:pPr>
              <w:widowControl w:val="0"/>
              <w:jc w:val="left"/>
              <w:rPr>
                <w:rFonts w:ascii="Arial Narrow" w:eastAsiaTheme="majorEastAsia" w:hAnsi="Arial Narrow" w:cstheme="majorBidi"/>
                <w:bCs/>
                <w:sz w:val="20"/>
              </w:rPr>
            </w:pPr>
            <w:r w:rsidRPr="008975CB">
              <w:rPr>
                <w:rFonts w:ascii="Arial Narrow" w:eastAsiaTheme="majorEastAsia" w:hAnsi="Arial Narrow" w:cstheme="majorBidi"/>
                <w:bCs/>
                <w:sz w:val="20"/>
              </w:rPr>
              <w:t xml:space="preserve">Transition probabilities </w:t>
            </w:r>
          </w:p>
          <w:p w14:paraId="5FE83309" w14:textId="77777777" w:rsidR="008975CB" w:rsidRPr="008975CB" w:rsidRDefault="008975CB" w:rsidP="00147EC5">
            <w:pPr>
              <w:widowControl w:val="0"/>
              <w:jc w:val="left"/>
              <w:rPr>
                <w:rFonts w:ascii="Arial Narrow" w:eastAsiaTheme="majorEastAsia" w:hAnsi="Arial Narrow" w:cstheme="majorBidi"/>
                <w:bCs/>
                <w:sz w:val="20"/>
              </w:rPr>
            </w:pPr>
          </w:p>
        </w:tc>
        <w:tc>
          <w:tcPr>
            <w:tcW w:w="3604" w:type="pct"/>
            <w:shd w:val="clear" w:color="auto" w:fill="auto"/>
            <w:vAlign w:val="center"/>
          </w:tcPr>
          <w:p w14:paraId="69FAB7EF" w14:textId="669465A9" w:rsidR="008975CB" w:rsidRPr="008975CB" w:rsidRDefault="008975CB" w:rsidP="0910F2D2">
            <w:pPr>
              <w:widowControl w:val="0"/>
              <w:jc w:val="left"/>
              <w:rPr>
                <w:rFonts w:ascii="Arial Narrow" w:eastAsiaTheme="majorEastAsia" w:hAnsi="Arial Narrow" w:cstheme="majorBidi"/>
                <w:sz w:val="20"/>
                <w:szCs w:val="20"/>
              </w:rPr>
            </w:pPr>
            <w:r w:rsidRPr="0910F2D2">
              <w:rPr>
                <w:rFonts w:ascii="Arial Narrow" w:eastAsiaTheme="majorEastAsia" w:hAnsi="Arial Narrow" w:cstheme="majorBidi"/>
                <w:sz w:val="20"/>
                <w:szCs w:val="20"/>
              </w:rPr>
              <w:t>Progression</w:t>
            </w:r>
            <w:r w:rsidR="00A05FD3" w:rsidRPr="0910F2D2">
              <w:rPr>
                <w:rFonts w:ascii="Arial Narrow" w:eastAsiaTheme="majorEastAsia" w:hAnsi="Arial Narrow" w:cstheme="majorBidi"/>
                <w:sz w:val="20"/>
                <w:szCs w:val="20"/>
              </w:rPr>
              <w:t>-</w:t>
            </w:r>
            <w:r w:rsidRPr="0910F2D2">
              <w:rPr>
                <w:rFonts w:ascii="Arial Narrow" w:eastAsiaTheme="majorEastAsia" w:hAnsi="Arial Narrow" w:cstheme="majorBidi"/>
                <w:sz w:val="20"/>
                <w:szCs w:val="20"/>
              </w:rPr>
              <w:t>free on ruxolitinib to Progression</w:t>
            </w:r>
            <w:r w:rsidR="00A05FD3" w:rsidRPr="0910F2D2">
              <w:rPr>
                <w:rFonts w:ascii="Arial Narrow" w:eastAsiaTheme="majorEastAsia" w:hAnsi="Arial Narrow" w:cstheme="majorBidi"/>
                <w:sz w:val="20"/>
                <w:szCs w:val="20"/>
              </w:rPr>
              <w:t>-</w:t>
            </w:r>
            <w:r w:rsidRPr="0910F2D2">
              <w:rPr>
                <w:rFonts w:ascii="Arial Narrow" w:eastAsiaTheme="majorEastAsia" w:hAnsi="Arial Narrow" w:cstheme="majorBidi"/>
                <w:sz w:val="20"/>
                <w:szCs w:val="20"/>
              </w:rPr>
              <w:t>free on BAT was based on TTD data from the MAJIC trial.</w:t>
            </w:r>
          </w:p>
          <w:p w14:paraId="526F3998" w14:textId="77777777" w:rsidR="008975CB" w:rsidRPr="008975CB" w:rsidRDefault="008975CB" w:rsidP="00147EC5">
            <w:pPr>
              <w:widowControl w:val="0"/>
              <w:jc w:val="left"/>
              <w:rPr>
                <w:rFonts w:ascii="Arial Narrow" w:eastAsiaTheme="majorEastAsia" w:hAnsi="Arial Narrow" w:cstheme="majorBidi"/>
                <w:bCs/>
                <w:sz w:val="20"/>
              </w:rPr>
            </w:pPr>
          </w:p>
          <w:p w14:paraId="10015A08" w14:textId="57E0A29B" w:rsidR="008975CB" w:rsidRPr="008975CB" w:rsidRDefault="008975CB" w:rsidP="0910F2D2">
            <w:pPr>
              <w:widowControl w:val="0"/>
              <w:jc w:val="left"/>
              <w:rPr>
                <w:rFonts w:ascii="Arial Narrow" w:eastAsiaTheme="majorEastAsia" w:hAnsi="Arial Narrow" w:cstheme="majorBidi"/>
                <w:sz w:val="20"/>
                <w:szCs w:val="20"/>
              </w:rPr>
            </w:pPr>
            <w:r w:rsidRPr="0910F2D2">
              <w:rPr>
                <w:rFonts w:ascii="Arial Narrow" w:eastAsiaTheme="majorEastAsia" w:hAnsi="Arial Narrow" w:cstheme="majorBidi"/>
                <w:sz w:val="20"/>
                <w:szCs w:val="20"/>
              </w:rPr>
              <w:t>Progression</w:t>
            </w:r>
            <w:r w:rsidR="00A05FD3" w:rsidRPr="0910F2D2">
              <w:rPr>
                <w:rFonts w:ascii="Arial Narrow" w:eastAsiaTheme="majorEastAsia" w:hAnsi="Arial Narrow" w:cstheme="majorBidi"/>
                <w:sz w:val="20"/>
                <w:szCs w:val="20"/>
              </w:rPr>
              <w:t>-</w:t>
            </w:r>
            <w:r w:rsidRPr="0910F2D2">
              <w:rPr>
                <w:rFonts w:ascii="Arial Narrow" w:eastAsiaTheme="majorEastAsia" w:hAnsi="Arial Narrow" w:cstheme="majorBidi"/>
                <w:sz w:val="20"/>
                <w:szCs w:val="20"/>
              </w:rPr>
              <w:t>free on ruxolitinib to Progressed disease was based on ruxolitinib PFS data from the MAJIC trial. Progression</w:t>
            </w:r>
            <w:r w:rsidR="00A05FD3" w:rsidRPr="0910F2D2">
              <w:rPr>
                <w:rFonts w:ascii="Arial Narrow" w:eastAsiaTheme="majorEastAsia" w:hAnsi="Arial Narrow" w:cstheme="majorBidi"/>
                <w:sz w:val="20"/>
                <w:szCs w:val="20"/>
              </w:rPr>
              <w:t>-</w:t>
            </w:r>
            <w:r w:rsidRPr="0910F2D2">
              <w:rPr>
                <w:rFonts w:ascii="Arial Narrow" w:eastAsiaTheme="majorEastAsia" w:hAnsi="Arial Narrow" w:cstheme="majorBidi"/>
                <w:sz w:val="20"/>
                <w:szCs w:val="20"/>
              </w:rPr>
              <w:t>free on BAT to Progressed disease was based on the BAT PFS data from the MAJIC trial combined with ratio of AML/MDS to MF ratio of 0.39 from</w:t>
            </w:r>
            <w:r w:rsidR="00F87B86">
              <w:rPr>
                <w:rFonts w:ascii="Arial Narrow" w:eastAsiaTheme="majorEastAsia" w:hAnsi="Arial Narrow" w:cstheme="majorBidi"/>
                <w:sz w:val="20"/>
                <w:szCs w:val="20"/>
              </w:rPr>
              <w:t xml:space="preserve"> </w:t>
            </w:r>
            <w:r w:rsidRPr="0910F2D2">
              <w:rPr>
                <w:rFonts w:ascii="Arial Narrow" w:eastAsiaTheme="majorEastAsia" w:hAnsi="Arial Narrow" w:cstheme="majorBidi"/>
                <w:sz w:val="20"/>
                <w:szCs w:val="20"/>
              </w:rPr>
              <w:fldChar w:fldCharType="begin" w:fldLock="1">
                <w:fldData xml:space="preserve">PEVuZE5vdGU+PENpdGUgQXV0aG9yWWVhcj0iMSI+PEF1dGhvcj5BbHZhcmV6LUxhcnLDoW48L0F1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</w:fldData>
              </w:fldChar>
            </w:r>
            <w:r w:rsidRPr="0910F2D2">
              <w:rPr>
                <w:rFonts w:ascii="Arial Narrow" w:eastAsiaTheme="majorEastAsia" w:hAnsi="Arial Narrow" w:cstheme="majorBidi"/>
                <w:sz w:val="20"/>
                <w:szCs w:val="20"/>
              </w:rPr>
              <w:instrText xml:space="preserve"> ADDIN EN.CITE </w:instrText>
            </w:r>
            <w:r w:rsidRPr="0910F2D2">
              <w:rPr>
                <w:rFonts w:ascii="Arial Narrow" w:eastAsiaTheme="majorEastAsia" w:hAnsi="Arial Narrow" w:cstheme="majorBidi"/>
                <w:sz w:val="20"/>
                <w:szCs w:val="20"/>
              </w:rPr>
              <w:fldChar w:fldCharType="begin" w:fldLock="1">
                <w:fldData xml:space="preserve">PEVuZE5vdGU+PENpdGUgQXV0aG9yWWVhcj0iMSI+PEF1dGhvcj5BbHZhcmV6LUxhcnLDoW48L0F1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</w:fldData>
              </w:fldChar>
            </w:r>
            <w:r w:rsidRPr="0910F2D2">
              <w:rPr>
                <w:rFonts w:ascii="Arial Narrow" w:eastAsiaTheme="majorEastAsia" w:hAnsi="Arial Narrow" w:cstheme="majorBidi"/>
                <w:sz w:val="20"/>
                <w:szCs w:val="20"/>
              </w:rPr>
              <w:instrText xml:space="preserve"> ADDIN EN.CITE.DATA </w:instrText>
            </w:r>
            <w:r w:rsidRPr="0910F2D2">
              <w:rPr>
                <w:rFonts w:ascii="Arial Narrow" w:eastAsiaTheme="majorEastAsia" w:hAnsi="Arial Narrow" w:cstheme="majorBidi"/>
                <w:sz w:val="20"/>
                <w:szCs w:val="20"/>
              </w:rPr>
            </w:r>
            <w:r w:rsidRPr="0910F2D2">
              <w:rPr>
                <w:rFonts w:ascii="Arial Narrow" w:eastAsiaTheme="majorEastAsia" w:hAnsi="Arial Narrow" w:cstheme="majorBidi"/>
                <w:sz w:val="20"/>
                <w:szCs w:val="20"/>
              </w:rPr>
              <w:fldChar w:fldCharType="end"/>
            </w:r>
            <w:r w:rsidRPr="0910F2D2">
              <w:rPr>
                <w:rFonts w:ascii="Arial Narrow" w:eastAsiaTheme="majorEastAsia" w:hAnsi="Arial Narrow" w:cstheme="majorBidi"/>
                <w:sz w:val="20"/>
                <w:szCs w:val="20"/>
              </w:rPr>
            </w:r>
            <w:r w:rsidRPr="0910F2D2">
              <w:rPr>
                <w:rFonts w:ascii="Arial Narrow" w:eastAsiaTheme="majorEastAsia" w:hAnsi="Arial Narrow" w:cstheme="majorBidi"/>
                <w:sz w:val="20"/>
                <w:szCs w:val="20"/>
              </w:rPr>
              <w:fldChar w:fldCharType="separate"/>
            </w:r>
            <w:r w:rsidRPr="0910F2D2">
              <w:rPr>
                <w:rFonts w:ascii="Arial Narrow" w:eastAsiaTheme="majorEastAsia" w:hAnsi="Arial Narrow" w:cstheme="majorBidi"/>
                <w:noProof/>
                <w:sz w:val="20"/>
                <w:szCs w:val="20"/>
              </w:rPr>
              <w:t>Alvarez-Larrán et al. (2022)</w:t>
            </w:r>
            <w:r w:rsidRPr="0910F2D2">
              <w:rPr>
                <w:rFonts w:ascii="Arial Narrow" w:eastAsiaTheme="majorEastAsia" w:hAnsi="Arial Narrow" w:cstheme="majorBidi"/>
                <w:sz w:val="20"/>
                <w:szCs w:val="20"/>
              </w:rPr>
              <w:fldChar w:fldCharType="end"/>
            </w:r>
            <w:r w:rsidRPr="0910F2D2">
              <w:rPr>
                <w:rFonts w:ascii="Arial Narrow" w:eastAsiaTheme="majorEastAsia" w:hAnsi="Arial Narrow" w:cstheme="majorBidi"/>
                <w:sz w:val="20"/>
                <w:szCs w:val="20"/>
              </w:rPr>
              <w:t xml:space="preserve"> </w:t>
            </w:r>
          </w:p>
          <w:p w14:paraId="1EE7A845" w14:textId="77777777" w:rsidR="008975CB" w:rsidRPr="008975CB" w:rsidRDefault="008975CB" w:rsidP="00147EC5">
            <w:pPr>
              <w:widowControl w:val="0"/>
              <w:jc w:val="left"/>
              <w:rPr>
                <w:rFonts w:ascii="Arial Narrow" w:eastAsiaTheme="majorEastAsia" w:hAnsi="Arial Narrow" w:cstheme="majorBidi"/>
                <w:bCs/>
                <w:sz w:val="20"/>
              </w:rPr>
            </w:pPr>
          </w:p>
          <w:p w14:paraId="382F1DDB" w14:textId="1DDBF037" w:rsidR="008975CB" w:rsidRPr="008975CB" w:rsidRDefault="008975CB" w:rsidP="0910F2D2">
            <w:pPr>
              <w:widowControl w:val="0"/>
              <w:jc w:val="left"/>
              <w:rPr>
                <w:rFonts w:ascii="Arial Narrow" w:eastAsiaTheme="majorEastAsia" w:hAnsi="Arial Narrow" w:cstheme="majorBidi"/>
                <w:sz w:val="20"/>
                <w:szCs w:val="20"/>
              </w:rPr>
            </w:pPr>
            <w:r w:rsidRPr="0910F2D2">
              <w:rPr>
                <w:rFonts w:ascii="Arial Narrow" w:eastAsiaTheme="majorEastAsia" w:hAnsi="Arial Narrow" w:cstheme="majorBidi"/>
                <w:sz w:val="20"/>
                <w:szCs w:val="20"/>
              </w:rPr>
              <w:t>Progression</w:t>
            </w:r>
            <w:r w:rsidR="00A05FD3" w:rsidRPr="0910F2D2">
              <w:rPr>
                <w:rFonts w:ascii="Arial Narrow" w:eastAsiaTheme="majorEastAsia" w:hAnsi="Arial Narrow" w:cstheme="majorBidi"/>
                <w:sz w:val="20"/>
                <w:szCs w:val="20"/>
              </w:rPr>
              <w:t>-</w:t>
            </w:r>
            <w:r w:rsidRPr="0910F2D2">
              <w:rPr>
                <w:rFonts w:ascii="Arial Narrow" w:eastAsiaTheme="majorEastAsia" w:hAnsi="Arial Narrow" w:cstheme="majorBidi"/>
                <w:sz w:val="20"/>
                <w:szCs w:val="20"/>
              </w:rPr>
              <w:t>free on ruxolitinib and Progression</w:t>
            </w:r>
            <w:r w:rsidR="00A05FD3" w:rsidRPr="0910F2D2">
              <w:rPr>
                <w:rFonts w:ascii="Arial Narrow" w:eastAsiaTheme="majorEastAsia" w:hAnsi="Arial Narrow" w:cstheme="majorBidi"/>
                <w:sz w:val="20"/>
                <w:szCs w:val="20"/>
              </w:rPr>
              <w:t>-</w:t>
            </w:r>
            <w:r w:rsidRPr="0910F2D2">
              <w:rPr>
                <w:rFonts w:ascii="Arial Narrow" w:eastAsiaTheme="majorEastAsia" w:hAnsi="Arial Narrow" w:cstheme="majorBidi"/>
                <w:sz w:val="20"/>
                <w:szCs w:val="20"/>
              </w:rPr>
              <w:t xml:space="preserve">free on BAT to Dead were both based on pre-progression death rate from the MAJIC trial. </w:t>
            </w:r>
          </w:p>
          <w:p w14:paraId="02993CA5" w14:textId="77777777" w:rsidR="008975CB" w:rsidRPr="008975CB" w:rsidRDefault="008975CB" w:rsidP="00147EC5">
            <w:pPr>
              <w:widowControl w:val="0"/>
              <w:jc w:val="left"/>
              <w:rPr>
                <w:rFonts w:ascii="Arial Narrow" w:eastAsiaTheme="majorEastAsia" w:hAnsi="Arial Narrow" w:cstheme="majorBidi"/>
                <w:bCs/>
                <w:sz w:val="20"/>
              </w:rPr>
            </w:pPr>
          </w:p>
          <w:p w14:paraId="4BB83080" w14:textId="6D34DC72" w:rsidR="008975CB" w:rsidRPr="008975CB" w:rsidRDefault="008975CB" w:rsidP="0F1D33A4">
            <w:pPr>
              <w:widowControl w:val="0"/>
              <w:jc w:val="left"/>
              <w:rPr>
                <w:rFonts w:ascii="Arial Narrow" w:eastAsiaTheme="majorEastAsia" w:hAnsi="Arial Narrow" w:cstheme="majorBidi"/>
                <w:sz w:val="20"/>
                <w:szCs w:val="20"/>
              </w:rPr>
            </w:pPr>
            <w:r w:rsidRPr="0F1D33A4">
              <w:rPr>
                <w:rFonts w:ascii="Arial Narrow" w:eastAsiaTheme="majorEastAsia" w:hAnsi="Arial Narrow" w:cstheme="majorBidi"/>
                <w:sz w:val="20"/>
                <w:szCs w:val="20"/>
              </w:rPr>
              <w:t xml:space="preserve">Progressed disease (AML) to Dead from Tang et al. (2017). Progressed disease (Low/Intermediate-1 MF) to Dead from Tefferi et al. (2019). Progressed disease (Intermediate-2/High MF) to Dead from Ruxolitinib for MF PBAC submission </w:t>
            </w:r>
            <w:r w:rsidR="00562183" w:rsidRPr="0F1D33A4">
              <w:rPr>
                <w:rFonts w:ascii="Arial Narrow" w:eastAsiaTheme="majorEastAsia" w:hAnsi="Arial Narrow" w:cstheme="majorBidi"/>
                <w:sz w:val="20"/>
                <w:szCs w:val="20"/>
              </w:rPr>
              <w:t>July</w:t>
            </w:r>
            <w:r w:rsidRPr="0F1D33A4">
              <w:rPr>
                <w:rFonts w:ascii="Arial Narrow" w:eastAsiaTheme="majorEastAsia" w:hAnsi="Arial Narrow" w:cstheme="majorBidi"/>
                <w:sz w:val="20"/>
                <w:szCs w:val="20"/>
              </w:rPr>
              <w:t xml:space="preserve"> 2014</w:t>
            </w:r>
            <w:r w:rsidR="00476691" w:rsidRPr="0F1D33A4">
              <w:rPr>
                <w:rFonts w:ascii="Arial Narrow" w:eastAsiaTheme="majorEastAsia" w:hAnsi="Arial Narrow" w:cstheme="majorBidi"/>
                <w:sz w:val="20"/>
                <w:szCs w:val="20"/>
              </w:rPr>
              <w:t xml:space="preserve"> </w:t>
            </w:r>
            <w:r w:rsidRPr="0F1D33A4">
              <w:rPr>
                <w:rFonts w:ascii="Arial Narrow" w:eastAsiaTheme="majorEastAsia" w:hAnsi="Arial Narrow" w:cstheme="majorBidi"/>
                <w:sz w:val="20"/>
                <w:szCs w:val="20"/>
              </w:rPr>
              <w:t>economic model.</w:t>
            </w:r>
          </w:p>
        </w:tc>
      </w:tr>
      <w:tr w:rsidR="008975CB" w:rsidRPr="008975CB" w14:paraId="7E46E077" w14:textId="77777777" w:rsidTr="0F1D33A4">
        <w:tc>
          <w:tcPr>
            <w:tcW w:w="1396" w:type="pct"/>
            <w:shd w:val="clear" w:color="auto" w:fill="auto"/>
            <w:vAlign w:val="center"/>
          </w:tcPr>
          <w:p w14:paraId="76F77EE6" w14:textId="77777777" w:rsidR="008975CB" w:rsidRPr="008975CB" w:rsidRDefault="008975CB" w:rsidP="00147EC5">
            <w:pPr>
              <w:widowControl w:val="0"/>
              <w:jc w:val="left"/>
              <w:rPr>
                <w:rFonts w:ascii="Arial Narrow" w:eastAsiaTheme="majorEastAsia" w:hAnsi="Arial Narrow" w:cstheme="majorBidi"/>
                <w:bCs/>
                <w:sz w:val="20"/>
              </w:rPr>
            </w:pPr>
            <w:r w:rsidRPr="008975CB">
              <w:rPr>
                <w:rFonts w:ascii="Arial Narrow" w:eastAsiaTheme="majorEastAsia" w:hAnsi="Arial Narrow" w:cstheme="majorBidi"/>
                <w:bCs/>
                <w:sz w:val="20"/>
              </w:rPr>
              <w:t>Extrapolation method</w:t>
            </w:r>
          </w:p>
        </w:tc>
        <w:tc>
          <w:tcPr>
            <w:tcW w:w="3604" w:type="pct"/>
            <w:shd w:val="clear" w:color="auto" w:fill="auto"/>
            <w:vAlign w:val="center"/>
          </w:tcPr>
          <w:p w14:paraId="0FCC22F0" w14:textId="2C299AED" w:rsidR="008975CB" w:rsidRPr="006124A7" w:rsidRDefault="008975CB" w:rsidP="0F1D33A4">
            <w:pPr>
              <w:widowControl w:val="0"/>
              <w:jc w:val="left"/>
              <w:rPr>
                <w:rFonts w:ascii="Arial Narrow" w:eastAsiaTheme="majorEastAsia" w:hAnsi="Arial Narrow" w:cstheme="majorBidi"/>
                <w:sz w:val="20"/>
                <w:szCs w:val="20"/>
              </w:rPr>
            </w:pPr>
            <w:r w:rsidRPr="0F1D33A4">
              <w:rPr>
                <w:rFonts w:ascii="Arial Narrow" w:eastAsiaTheme="majorEastAsia" w:hAnsi="Arial Narrow" w:cstheme="majorBidi"/>
                <w:sz w:val="20"/>
                <w:szCs w:val="20"/>
              </w:rPr>
              <w:t xml:space="preserve">For progression events, the proportion of patients that progressed in the MAJIC trial was used in combination with time to event data from the literature to establish a KM plot that could be used to inform a parametric extrapolation. A Weibull curve was selected to establish the proportion of patients in </w:t>
            </w:r>
            <w:r w:rsidR="00A90820" w:rsidRPr="0F1D33A4">
              <w:rPr>
                <w:rFonts w:ascii="Arial Narrow" w:eastAsiaTheme="majorEastAsia" w:hAnsi="Arial Narrow" w:cstheme="majorBidi"/>
                <w:sz w:val="20"/>
                <w:szCs w:val="20"/>
              </w:rPr>
              <w:t>PFS</w:t>
            </w:r>
            <w:r w:rsidRPr="0F1D33A4">
              <w:rPr>
                <w:rFonts w:ascii="Arial Narrow" w:eastAsiaTheme="majorEastAsia" w:hAnsi="Arial Narrow" w:cstheme="majorBidi"/>
                <w:sz w:val="20"/>
                <w:szCs w:val="20"/>
              </w:rPr>
              <w:t xml:space="preserve"> from 0 to 20 years based on the proportion of events in the MAJIC trial and the time to event data from Szuber et al. (2019). The resubmission reported that the selection of the curve was based on statistical goodness of fit (AIC/BIC), visual fit and clinical plausibility criteria. Due to the </w:t>
            </w:r>
            <w:r w:rsidR="00173D70" w:rsidRPr="0F1D33A4">
              <w:rPr>
                <w:rFonts w:ascii="Arial Narrow" w:eastAsiaTheme="majorEastAsia" w:hAnsi="Arial Narrow" w:cstheme="majorBidi"/>
                <w:sz w:val="20"/>
                <w:szCs w:val="20"/>
              </w:rPr>
              <w:t>small number of</w:t>
            </w:r>
            <w:r w:rsidRPr="0F1D33A4">
              <w:rPr>
                <w:rFonts w:ascii="Arial Narrow" w:eastAsiaTheme="majorEastAsia" w:hAnsi="Arial Narrow" w:cstheme="majorBidi"/>
                <w:sz w:val="20"/>
                <w:szCs w:val="20"/>
              </w:rPr>
              <w:t xml:space="preserve"> events on which the curve was based</w:t>
            </w:r>
            <w:r w:rsidR="005766E5" w:rsidRPr="0F1D33A4">
              <w:rPr>
                <w:rFonts w:ascii="Arial Narrow" w:eastAsiaTheme="majorEastAsia" w:hAnsi="Arial Narrow" w:cstheme="majorBidi"/>
                <w:sz w:val="20"/>
                <w:szCs w:val="20"/>
              </w:rPr>
              <w:t>,</w:t>
            </w:r>
            <w:r w:rsidRPr="0F1D33A4">
              <w:rPr>
                <w:rFonts w:ascii="Arial Narrow" w:eastAsiaTheme="majorEastAsia" w:hAnsi="Arial Narrow" w:cstheme="majorBidi"/>
                <w:sz w:val="20"/>
                <w:szCs w:val="20"/>
              </w:rPr>
              <w:t xml:space="preserve"> the AIC and BIC were not able to strongly differentiate goodness of fit. Furthermore, the resubmission did not provide the clinical plausibility criteria on which the selection was based.</w:t>
            </w:r>
            <w:r w:rsidR="00F87B86">
              <w:rPr>
                <w:rFonts w:ascii="Arial Narrow" w:eastAsiaTheme="majorEastAsia" w:hAnsi="Arial Narrow" w:cstheme="majorBidi"/>
                <w:sz w:val="20"/>
                <w:szCs w:val="20"/>
              </w:rPr>
              <w:t xml:space="preserve"> </w:t>
            </w:r>
          </w:p>
          <w:p w14:paraId="2564FB86" w14:textId="77777777" w:rsidR="008975CB" w:rsidRPr="006124A7" w:rsidRDefault="008975CB" w:rsidP="00147EC5">
            <w:pPr>
              <w:widowControl w:val="0"/>
              <w:jc w:val="left"/>
              <w:rPr>
                <w:rFonts w:ascii="Arial Narrow" w:eastAsiaTheme="majorEastAsia" w:hAnsi="Arial Narrow" w:cstheme="majorBidi"/>
                <w:bCs/>
                <w:sz w:val="20"/>
              </w:rPr>
            </w:pPr>
          </w:p>
          <w:p w14:paraId="2E120F35" w14:textId="7101A1C0" w:rsidR="008975CB" w:rsidRPr="006124A7" w:rsidRDefault="008975CB" w:rsidP="0F1D33A4">
            <w:pPr>
              <w:widowControl w:val="0"/>
              <w:jc w:val="left"/>
              <w:rPr>
                <w:rFonts w:ascii="Arial Narrow" w:eastAsiaTheme="majorEastAsia" w:hAnsi="Arial Narrow" w:cstheme="majorBidi"/>
                <w:sz w:val="20"/>
                <w:szCs w:val="20"/>
              </w:rPr>
            </w:pPr>
            <w:r w:rsidRPr="0F1D33A4">
              <w:rPr>
                <w:rFonts w:ascii="Arial Narrow" w:eastAsiaTheme="majorEastAsia" w:hAnsi="Arial Narrow" w:cstheme="majorBidi"/>
                <w:sz w:val="20"/>
                <w:szCs w:val="20"/>
              </w:rPr>
              <w:t>O</w:t>
            </w:r>
            <w:r w:rsidR="00285D8E" w:rsidRPr="0F1D33A4">
              <w:rPr>
                <w:rFonts w:ascii="Arial Narrow" w:eastAsiaTheme="majorEastAsia" w:hAnsi="Arial Narrow" w:cstheme="majorBidi"/>
                <w:sz w:val="20"/>
                <w:szCs w:val="20"/>
              </w:rPr>
              <w:t>S</w:t>
            </w:r>
            <w:r w:rsidRPr="0F1D33A4">
              <w:rPr>
                <w:rFonts w:ascii="Arial Narrow" w:eastAsiaTheme="majorEastAsia" w:hAnsi="Arial Narrow" w:cstheme="majorBidi"/>
                <w:sz w:val="20"/>
                <w:szCs w:val="20"/>
              </w:rPr>
              <w:t xml:space="preserve"> data from pre progression, and progressed health states were extrapolated using individual Weibull curves, as the risk of death was different depending on the progression events. The resubmission did not justify the selection of the Weibull curve for the extrapolation of these events.</w:t>
            </w:r>
          </w:p>
          <w:p w14:paraId="05DE41B2" w14:textId="77777777" w:rsidR="008975CB" w:rsidRPr="006124A7" w:rsidRDefault="008975CB" w:rsidP="00147EC5">
            <w:pPr>
              <w:widowControl w:val="0"/>
              <w:jc w:val="left"/>
              <w:rPr>
                <w:rFonts w:ascii="Arial Narrow" w:eastAsiaTheme="majorEastAsia" w:hAnsi="Arial Narrow" w:cstheme="majorBidi"/>
                <w:bCs/>
                <w:sz w:val="20"/>
              </w:rPr>
            </w:pPr>
          </w:p>
          <w:p w14:paraId="3A8AEA2F" w14:textId="32EEF193" w:rsidR="008975CB" w:rsidRPr="006124A7" w:rsidRDefault="008975CB" w:rsidP="0F1D33A4">
            <w:pPr>
              <w:widowControl w:val="0"/>
              <w:jc w:val="left"/>
              <w:rPr>
                <w:rFonts w:ascii="Arial Narrow" w:eastAsiaTheme="majorEastAsia" w:hAnsi="Arial Narrow" w:cstheme="majorBidi"/>
                <w:sz w:val="20"/>
                <w:szCs w:val="20"/>
              </w:rPr>
            </w:pPr>
            <w:r w:rsidRPr="0F1D33A4">
              <w:rPr>
                <w:rFonts w:ascii="Arial Narrow" w:eastAsiaTheme="majorEastAsia" w:hAnsi="Arial Narrow" w:cstheme="majorBidi"/>
                <w:sz w:val="20"/>
                <w:szCs w:val="20"/>
              </w:rPr>
              <w:t xml:space="preserve">72% of incremental QALY gains </w:t>
            </w:r>
            <w:r w:rsidR="008B08E6" w:rsidRPr="0F1D33A4">
              <w:rPr>
                <w:rFonts w:ascii="Arial Narrow" w:eastAsiaTheme="majorEastAsia" w:hAnsi="Arial Narrow" w:cstheme="majorBidi"/>
                <w:sz w:val="20"/>
                <w:szCs w:val="20"/>
              </w:rPr>
              <w:t>occurred</w:t>
            </w:r>
            <w:r w:rsidRPr="0F1D33A4">
              <w:rPr>
                <w:rFonts w:ascii="Arial Narrow" w:eastAsiaTheme="majorEastAsia" w:hAnsi="Arial Narrow" w:cstheme="majorBidi"/>
                <w:sz w:val="20"/>
                <w:szCs w:val="20"/>
              </w:rPr>
              <w:t xml:space="preserve"> between years 5 and 20 of the economic model. </w:t>
            </w:r>
          </w:p>
        </w:tc>
      </w:tr>
      <w:tr w:rsidR="008975CB" w:rsidRPr="008975CB" w14:paraId="47FB6425" w14:textId="77777777" w:rsidTr="0F1D33A4">
        <w:tc>
          <w:tcPr>
            <w:tcW w:w="1396" w:type="pct"/>
            <w:shd w:val="clear" w:color="auto" w:fill="auto"/>
            <w:vAlign w:val="center"/>
          </w:tcPr>
          <w:p w14:paraId="001E3BCE" w14:textId="77777777" w:rsidR="008975CB" w:rsidRPr="008975CB" w:rsidRDefault="008975CB" w:rsidP="00147EC5">
            <w:pPr>
              <w:widowControl w:val="0"/>
              <w:jc w:val="left"/>
              <w:rPr>
                <w:rFonts w:ascii="Arial Narrow" w:eastAsiaTheme="majorEastAsia" w:hAnsi="Arial Narrow" w:cstheme="majorBidi"/>
                <w:bCs/>
                <w:sz w:val="20"/>
              </w:rPr>
            </w:pPr>
            <w:r w:rsidRPr="008975CB">
              <w:rPr>
                <w:rFonts w:ascii="Arial Narrow" w:eastAsiaTheme="majorEastAsia" w:hAnsi="Arial Narrow" w:cstheme="majorBidi"/>
                <w:bCs/>
                <w:sz w:val="20"/>
              </w:rPr>
              <w:lastRenderedPageBreak/>
              <w:t>Health related quality of life</w:t>
            </w:r>
          </w:p>
        </w:tc>
        <w:tc>
          <w:tcPr>
            <w:tcW w:w="3604" w:type="pct"/>
            <w:shd w:val="clear" w:color="auto" w:fill="auto"/>
            <w:vAlign w:val="center"/>
          </w:tcPr>
          <w:p w14:paraId="22E90A01" w14:textId="77777777" w:rsidR="008975CB" w:rsidRPr="006124A7" w:rsidRDefault="008975CB" w:rsidP="0910F2D2">
            <w:pPr>
              <w:widowControl w:val="0"/>
              <w:jc w:val="left"/>
              <w:rPr>
                <w:rFonts w:ascii="Arial Narrow" w:eastAsiaTheme="majorEastAsia" w:hAnsi="Arial Narrow" w:cstheme="majorBidi"/>
                <w:sz w:val="20"/>
                <w:szCs w:val="20"/>
              </w:rPr>
            </w:pPr>
            <w:r w:rsidRPr="0910F2D2">
              <w:rPr>
                <w:rFonts w:ascii="Arial Narrow" w:eastAsiaTheme="majorEastAsia" w:hAnsi="Arial Narrow" w:cstheme="majorBidi"/>
                <w:sz w:val="20"/>
                <w:szCs w:val="20"/>
              </w:rPr>
              <w:t xml:space="preserve">Pre-progression treatment specific utilities were applied based on EQ-5D-5L data collected in the RESPONSE-2 trial, ruxolitinib 0.821, BAT 0.743, based on the mean utility of patients in the trial while on treatment. </w:t>
            </w:r>
          </w:p>
          <w:p w14:paraId="61319CBB" w14:textId="77777777" w:rsidR="008975CB" w:rsidRPr="006124A7" w:rsidRDefault="008975CB" w:rsidP="00147EC5">
            <w:pPr>
              <w:widowControl w:val="0"/>
              <w:jc w:val="left"/>
              <w:rPr>
                <w:rFonts w:ascii="Arial Narrow" w:eastAsiaTheme="majorEastAsia" w:hAnsi="Arial Narrow" w:cstheme="majorBidi"/>
                <w:bCs/>
                <w:sz w:val="20"/>
              </w:rPr>
            </w:pPr>
          </w:p>
          <w:p w14:paraId="4756AE64" w14:textId="77777777" w:rsidR="008975CB" w:rsidRPr="006124A7" w:rsidRDefault="008975CB" w:rsidP="0F1D33A4">
            <w:pPr>
              <w:widowControl w:val="0"/>
              <w:jc w:val="left"/>
              <w:rPr>
                <w:rFonts w:ascii="Arial Narrow" w:eastAsiaTheme="majorEastAsia" w:hAnsi="Arial Narrow" w:cstheme="majorBidi"/>
                <w:sz w:val="20"/>
                <w:szCs w:val="20"/>
              </w:rPr>
            </w:pPr>
            <w:r w:rsidRPr="0F1D33A4">
              <w:rPr>
                <w:rFonts w:ascii="Arial Narrow" w:eastAsiaTheme="majorEastAsia" w:hAnsi="Arial Narrow" w:cstheme="majorBidi"/>
                <w:sz w:val="20"/>
                <w:szCs w:val="20"/>
              </w:rPr>
              <w:t xml:space="preserve">For patients who develop AML/MDS a health state utility of 0.63 was applied based on Mamalo et al. (2019). Utility for patients with low/intermediate-1 risk MF was 0.71 derived from Mesa et al. (2021). </w:t>
            </w:r>
          </w:p>
          <w:p w14:paraId="636D00DA" w14:textId="77777777" w:rsidR="008975CB" w:rsidRPr="006124A7" w:rsidRDefault="008975CB" w:rsidP="00147EC5">
            <w:pPr>
              <w:widowControl w:val="0"/>
              <w:jc w:val="left"/>
              <w:rPr>
                <w:rFonts w:ascii="Arial Narrow" w:eastAsiaTheme="majorEastAsia" w:hAnsi="Arial Narrow" w:cstheme="majorBidi"/>
                <w:bCs/>
                <w:sz w:val="20"/>
              </w:rPr>
            </w:pPr>
          </w:p>
          <w:p w14:paraId="67C692D2" w14:textId="3C06CFCB" w:rsidR="008975CB" w:rsidRPr="006124A7" w:rsidRDefault="008975CB" w:rsidP="0F1D33A4">
            <w:pPr>
              <w:widowControl w:val="0"/>
              <w:jc w:val="left"/>
              <w:rPr>
                <w:rFonts w:ascii="Arial Narrow" w:eastAsiaTheme="majorEastAsia" w:hAnsi="Arial Narrow" w:cstheme="majorBidi"/>
                <w:sz w:val="20"/>
                <w:szCs w:val="20"/>
              </w:rPr>
            </w:pPr>
            <w:r w:rsidRPr="0F1D33A4">
              <w:rPr>
                <w:rFonts w:ascii="Arial Narrow" w:eastAsiaTheme="majorEastAsia" w:hAnsi="Arial Narrow" w:cstheme="majorBidi"/>
                <w:sz w:val="20"/>
                <w:szCs w:val="20"/>
              </w:rPr>
              <w:t>For patients who develop intermediate-2/high risk MF</w:t>
            </w:r>
            <w:r w:rsidR="00474D99" w:rsidRPr="0F1D33A4">
              <w:rPr>
                <w:rFonts w:ascii="Arial Narrow" w:eastAsiaTheme="majorEastAsia" w:hAnsi="Arial Narrow" w:cstheme="majorBidi"/>
                <w:sz w:val="20"/>
                <w:szCs w:val="20"/>
              </w:rPr>
              <w:t>,</w:t>
            </w:r>
            <w:r w:rsidRPr="0F1D33A4">
              <w:rPr>
                <w:rFonts w:ascii="Arial Narrow" w:eastAsiaTheme="majorEastAsia" w:hAnsi="Arial Narrow" w:cstheme="majorBidi"/>
                <w:sz w:val="20"/>
                <w:szCs w:val="20"/>
              </w:rPr>
              <w:t xml:space="preserve"> a </w:t>
            </w:r>
            <w:r w:rsidR="00474D99" w:rsidRPr="0F1D33A4">
              <w:rPr>
                <w:rFonts w:ascii="Arial Narrow" w:eastAsiaTheme="majorEastAsia" w:hAnsi="Arial Narrow" w:cstheme="majorBidi"/>
                <w:sz w:val="20"/>
                <w:szCs w:val="20"/>
              </w:rPr>
              <w:t>one-</w:t>
            </w:r>
            <w:r w:rsidRPr="0F1D33A4">
              <w:rPr>
                <w:rFonts w:ascii="Arial Narrow" w:eastAsiaTheme="majorEastAsia" w:hAnsi="Arial Narrow" w:cstheme="majorBidi"/>
                <w:sz w:val="20"/>
                <w:szCs w:val="20"/>
              </w:rPr>
              <w:t>off QALY gain of 3.163 was applied upon entering the health state</w:t>
            </w:r>
            <w:r w:rsidR="00A02837" w:rsidRPr="0F1D33A4">
              <w:rPr>
                <w:rFonts w:ascii="Arial Narrow" w:eastAsiaTheme="majorEastAsia" w:hAnsi="Arial Narrow" w:cstheme="majorBidi"/>
                <w:sz w:val="20"/>
                <w:szCs w:val="20"/>
              </w:rPr>
              <w:t xml:space="preserve"> based on the July 2014 ruxolitinib submission. </w:t>
            </w:r>
            <w:r w:rsidR="005F74BA" w:rsidRPr="0F1D33A4">
              <w:rPr>
                <w:rFonts w:ascii="Arial Narrow" w:eastAsiaTheme="majorEastAsia" w:hAnsi="Arial Narrow" w:cstheme="majorBidi"/>
                <w:sz w:val="20"/>
                <w:szCs w:val="20"/>
              </w:rPr>
              <w:t>Th</w:t>
            </w:r>
            <w:r w:rsidR="006273D2" w:rsidRPr="0F1D33A4">
              <w:rPr>
                <w:rFonts w:ascii="Arial Narrow" w:eastAsiaTheme="majorEastAsia" w:hAnsi="Arial Narrow" w:cstheme="majorBidi"/>
                <w:sz w:val="20"/>
                <w:szCs w:val="20"/>
              </w:rPr>
              <w:t>is approach was inconsistent with the approach applied for other health states, and may not have be</w:t>
            </w:r>
            <w:r w:rsidR="00D25C92" w:rsidRPr="0F1D33A4">
              <w:rPr>
                <w:rFonts w:ascii="Arial Narrow" w:eastAsiaTheme="majorEastAsia" w:hAnsi="Arial Narrow" w:cstheme="majorBidi"/>
                <w:sz w:val="20"/>
                <w:szCs w:val="20"/>
              </w:rPr>
              <w:t>e</w:t>
            </w:r>
            <w:r w:rsidR="006273D2" w:rsidRPr="0F1D33A4">
              <w:rPr>
                <w:rFonts w:ascii="Arial Narrow" w:eastAsiaTheme="majorEastAsia" w:hAnsi="Arial Narrow" w:cstheme="majorBidi"/>
                <w:sz w:val="20"/>
                <w:szCs w:val="20"/>
              </w:rPr>
              <w:t xml:space="preserve">n appropriate as </w:t>
            </w:r>
            <w:r w:rsidR="007D4492" w:rsidRPr="0F1D33A4">
              <w:rPr>
                <w:rFonts w:ascii="Arial Narrow" w:eastAsiaTheme="majorEastAsia" w:hAnsi="Arial Narrow" w:cstheme="majorBidi"/>
                <w:sz w:val="20"/>
                <w:szCs w:val="20"/>
              </w:rPr>
              <w:t xml:space="preserve">it was based on the outputs of an economic evaluation </w:t>
            </w:r>
            <w:r w:rsidR="00E71649" w:rsidRPr="0F1D33A4">
              <w:rPr>
                <w:rFonts w:ascii="Arial Narrow" w:eastAsiaTheme="majorEastAsia" w:hAnsi="Arial Narrow" w:cstheme="majorBidi"/>
                <w:sz w:val="20"/>
                <w:szCs w:val="20"/>
              </w:rPr>
              <w:t xml:space="preserve">for ruxolitinib for patients </w:t>
            </w:r>
            <w:r w:rsidR="006273D2" w:rsidRPr="0F1D33A4">
              <w:rPr>
                <w:rFonts w:ascii="Arial Narrow" w:eastAsiaTheme="majorEastAsia" w:hAnsi="Arial Narrow" w:cstheme="majorBidi"/>
                <w:sz w:val="20"/>
                <w:szCs w:val="20"/>
              </w:rPr>
              <w:t xml:space="preserve">with MF </w:t>
            </w:r>
            <w:r w:rsidR="00D25C92" w:rsidRPr="0F1D33A4">
              <w:rPr>
                <w:rFonts w:ascii="Arial Narrow" w:eastAsiaTheme="majorEastAsia" w:hAnsi="Arial Narrow" w:cstheme="majorBidi"/>
                <w:sz w:val="20"/>
                <w:szCs w:val="20"/>
              </w:rPr>
              <w:t xml:space="preserve">and included patients </w:t>
            </w:r>
            <w:r w:rsidR="006273D2" w:rsidRPr="0F1D33A4">
              <w:rPr>
                <w:rFonts w:ascii="Arial Narrow" w:eastAsiaTheme="majorEastAsia" w:hAnsi="Arial Narrow" w:cstheme="majorBidi"/>
                <w:sz w:val="20"/>
                <w:szCs w:val="20"/>
              </w:rPr>
              <w:t>who did not previously have PV.</w:t>
            </w:r>
          </w:p>
        </w:tc>
      </w:tr>
    </w:tbl>
    <w:p w14:paraId="123DC1D3" w14:textId="77777777" w:rsidR="008975CB" w:rsidRPr="008975CB" w:rsidRDefault="008975CB" w:rsidP="0F1D33A4">
      <w:pPr>
        <w:widowControl w:val="0"/>
        <w:spacing w:after="120"/>
        <w:contextualSpacing/>
        <w:rPr>
          <w:rFonts w:ascii="Arial Narrow" w:hAnsi="Arial Narrow"/>
          <w:snapToGrid w:val="0"/>
          <w:sz w:val="18"/>
          <w:szCs w:val="18"/>
        </w:rPr>
      </w:pPr>
      <w:r w:rsidRPr="0F1D33A4">
        <w:rPr>
          <w:rFonts w:ascii="Arial Narrow" w:hAnsi="Arial Narrow"/>
          <w:snapToGrid w:val="0"/>
          <w:sz w:val="18"/>
          <w:szCs w:val="18"/>
        </w:rPr>
        <w:t>Source: Compiled during the evaluation based on information provided in Sections 3.3, 3.4, 3.5 and 3.6 of the resubmission</w:t>
      </w:r>
    </w:p>
    <w:p w14:paraId="66418215" w14:textId="5CAA83F6" w:rsidR="008975CB" w:rsidRPr="008975CB" w:rsidRDefault="008975CB" w:rsidP="00147EC5">
      <w:pPr>
        <w:widowControl w:val="0"/>
        <w:spacing w:after="120"/>
        <w:contextualSpacing/>
        <w:rPr>
          <w:rFonts w:ascii="Arial Narrow" w:hAnsi="Arial Narrow"/>
          <w:snapToGrid w:val="0"/>
          <w:sz w:val="18"/>
          <w:szCs w:val="22"/>
        </w:rPr>
      </w:pPr>
      <w:r w:rsidRPr="008975CB">
        <w:rPr>
          <w:rFonts w:ascii="Arial Narrow" w:hAnsi="Arial Narrow"/>
          <w:snapToGrid w:val="0"/>
          <w:sz w:val="18"/>
          <w:szCs w:val="22"/>
        </w:rPr>
        <w:t xml:space="preserve">Abbreviations: AIC, Akaike information criterion; AML, acute myeloid leukemia; BAT, best available treatment; BIC Bayesian information criterion; EQ-5D-5L, EuroQol-5 Dimension-5 levels; MBS, Medicare Benefits Schedule; MDS myelodysplastic syndrome; MF myelofibrosis; </w:t>
      </w:r>
      <w:r w:rsidR="00285D8E">
        <w:rPr>
          <w:rFonts w:ascii="Arial Narrow" w:hAnsi="Arial Narrow"/>
          <w:snapToGrid w:val="0"/>
          <w:sz w:val="18"/>
          <w:szCs w:val="22"/>
        </w:rPr>
        <w:t xml:space="preserve">OS, overall survival; </w:t>
      </w:r>
      <w:r w:rsidRPr="008975CB">
        <w:rPr>
          <w:rFonts w:ascii="Arial Narrow" w:hAnsi="Arial Narrow"/>
          <w:snapToGrid w:val="0"/>
          <w:sz w:val="18"/>
          <w:szCs w:val="22"/>
        </w:rPr>
        <w:t>PFS, progression</w:t>
      </w:r>
      <w:r w:rsidR="00A05FD3">
        <w:rPr>
          <w:rFonts w:ascii="Arial Narrow" w:hAnsi="Arial Narrow"/>
          <w:snapToGrid w:val="0"/>
          <w:sz w:val="18"/>
          <w:szCs w:val="22"/>
        </w:rPr>
        <w:t>-</w:t>
      </w:r>
      <w:r w:rsidRPr="008975CB">
        <w:rPr>
          <w:rFonts w:ascii="Arial Narrow" w:hAnsi="Arial Narrow"/>
          <w:snapToGrid w:val="0"/>
          <w:sz w:val="18"/>
          <w:szCs w:val="22"/>
        </w:rPr>
        <w:t xml:space="preserve">free survival; </w:t>
      </w:r>
      <w:r w:rsidR="006273D2">
        <w:rPr>
          <w:rFonts w:ascii="Arial Narrow" w:hAnsi="Arial Narrow"/>
          <w:snapToGrid w:val="0"/>
          <w:sz w:val="18"/>
          <w:szCs w:val="22"/>
        </w:rPr>
        <w:t>PV, polycythaemia vera;</w:t>
      </w:r>
      <w:r w:rsidRPr="008975CB">
        <w:rPr>
          <w:rFonts w:ascii="Arial Narrow" w:hAnsi="Arial Narrow"/>
          <w:snapToGrid w:val="0"/>
          <w:sz w:val="18"/>
          <w:szCs w:val="22"/>
        </w:rPr>
        <w:t xml:space="preserve"> QALY, quality-adjusted life year; TTD, time to treatment discontinuation.</w:t>
      </w:r>
    </w:p>
    <w:p w14:paraId="7A2855F0" w14:textId="4CFCDFF1" w:rsidR="008975CB" w:rsidRPr="006124A7" w:rsidRDefault="008975CB" w:rsidP="00953620">
      <w:pPr>
        <w:pStyle w:val="3-BodyText"/>
      </w:pPr>
      <w:r w:rsidRPr="0F1D33A4">
        <w:t xml:space="preserve">The PBAC </w:t>
      </w:r>
      <w:r w:rsidR="0BD60821" w:rsidRPr="0F1D33A4">
        <w:t xml:space="preserve">previously </w:t>
      </w:r>
      <w:r w:rsidRPr="0F1D33A4">
        <w:t xml:space="preserve">considered that the economic model in the </w:t>
      </w:r>
      <w:r w:rsidR="1FC0EC2B" w:rsidRPr="0F1D33A4">
        <w:t xml:space="preserve">November 2019 </w:t>
      </w:r>
      <w:r w:rsidRPr="0F1D33A4">
        <w:t xml:space="preserve">submission relied on responder health states that do not correlate to clinically relevant outcomes and therefore do not adequately capture benefits, if any, of treatment (para 7.13, </w:t>
      </w:r>
      <w:r w:rsidR="5EE29DCA" w:rsidRPr="0F1D33A4">
        <w:t>r</w:t>
      </w:r>
      <w:r w:rsidRPr="0F1D33A4">
        <w:t>uxolitinib</w:t>
      </w:r>
      <w:r w:rsidR="5EE29DCA" w:rsidRPr="0F1D33A4">
        <w:t>,</w:t>
      </w:r>
      <w:r w:rsidRPr="0F1D33A4">
        <w:t xml:space="preserve"> PSD, November 2019 PBAC meeting). The updated economic model presented by the resubmission was based on progression events rather than responder status of patients. This forewent the need for the resubmission to establish a clinical link between response status and OS. The </w:t>
      </w:r>
      <w:r w:rsidR="220E51BB" w:rsidRPr="0F1D33A4">
        <w:t xml:space="preserve">evaluation considered the </w:t>
      </w:r>
      <w:r w:rsidRPr="0F1D33A4">
        <w:t>updated economic model</w:t>
      </w:r>
      <w:r w:rsidR="54AE3953" w:rsidRPr="0F1D33A4">
        <w:t xml:space="preserve"> structure</w:t>
      </w:r>
      <w:r w:rsidRPr="0F1D33A4">
        <w:t xml:space="preserve"> </w:t>
      </w:r>
      <w:r w:rsidR="597436D4" w:rsidRPr="0F1D33A4">
        <w:t>wa</w:t>
      </w:r>
      <w:r w:rsidRPr="0F1D33A4">
        <w:t xml:space="preserve">s reasonable. </w:t>
      </w:r>
      <w:r w:rsidR="220E51BB" w:rsidRPr="00946411">
        <w:t xml:space="preserve">However, </w:t>
      </w:r>
      <w:r w:rsidR="040A29E8" w:rsidRPr="00946411">
        <w:t>t</w:t>
      </w:r>
      <w:r w:rsidR="3D7074EE" w:rsidRPr="00946411">
        <w:t xml:space="preserve">he ESC </w:t>
      </w:r>
      <w:r w:rsidR="2885E0C1" w:rsidRPr="00946411">
        <w:t>and the</w:t>
      </w:r>
      <w:r w:rsidR="3D7074EE" w:rsidRPr="00946411">
        <w:t xml:space="preserve"> evaluation </w:t>
      </w:r>
      <w:r w:rsidR="2885E0C1" w:rsidRPr="00946411">
        <w:t xml:space="preserve">noted </w:t>
      </w:r>
      <w:r w:rsidR="3D7074EE" w:rsidRPr="00946411">
        <w:t xml:space="preserve">that the economic model relied on </w:t>
      </w:r>
      <w:r w:rsidR="566EE6AE" w:rsidRPr="00946411">
        <w:t xml:space="preserve">selected </w:t>
      </w:r>
      <w:r w:rsidR="3D7074EE" w:rsidRPr="00946411">
        <w:t>outcomes that were not statistically significant</w:t>
      </w:r>
      <w:r w:rsidR="5EBB3FA2" w:rsidRPr="00946411">
        <w:t xml:space="preserve"> different</w:t>
      </w:r>
      <w:r w:rsidR="3D7074EE" w:rsidRPr="00946411">
        <w:t xml:space="preserve"> and that the </w:t>
      </w:r>
      <w:r w:rsidRPr="0F1D33A4">
        <w:t xml:space="preserve">therapeutic claims of improvements in PFS, and OS on which the economic model </w:t>
      </w:r>
      <w:r w:rsidR="124D23EF" w:rsidRPr="0F1D33A4">
        <w:t xml:space="preserve">is based </w:t>
      </w:r>
      <w:r w:rsidRPr="0F1D33A4">
        <w:t>were not adequately supported.</w:t>
      </w:r>
      <w:r w:rsidR="3B3B379F" w:rsidRPr="0F1D33A4">
        <w:t xml:space="preserve"> </w:t>
      </w:r>
    </w:p>
    <w:p w14:paraId="7875D11E" w14:textId="390B6FC6" w:rsidR="008975CB" w:rsidRPr="006124A7" w:rsidRDefault="008975CB" w:rsidP="00953620">
      <w:pPr>
        <w:pStyle w:val="3-BodyText"/>
      </w:pPr>
      <w:r w:rsidRPr="0F1D33A4">
        <w:t>The economic model had four health states. Patients entered the model in one of two states: Progression</w:t>
      </w:r>
      <w:r w:rsidR="004513A1" w:rsidRPr="0F1D33A4">
        <w:t>-</w:t>
      </w:r>
      <w:r w:rsidRPr="0F1D33A4">
        <w:t>free on ruxolitinib or Progression</w:t>
      </w:r>
      <w:r w:rsidR="00DD56B8" w:rsidRPr="0F1D33A4">
        <w:t>-</w:t>
      </w:r>
      <w:r w:rsidRPr="0F1D33A4">
        <w:t>free on BAT. Patients who did not respond to treatment on ruxolitinib could progress to Progression</w:t>
      </w:r>
      <w:r w:rsidR="00A05FD3" w:rsidRPr="0F1D33A4">
        <w:t>-</w:t>
      </w:r>
      <w:r w:rsidRPr="0F1D33A4">
        <w:t>free on BAT, otherwise patients remained in the Progression</w:t>
      </w:r>
      <w:r w:rsidR="004513A1" w:rsidRPr="0F1D33A4">
        <w:t>-</w:t>
      </w:r>
      <w:r w:rsidRPr="0F1D33A4">
        <w:t xml:space="preserve">free health states until they developed AML/MDS, MF or died. Patients in the progressed disease states could remain </w:t>
      </w:r>
      <w:r w:rsidR="00EF6D37" w:rsidRPr="0F1D33A4">
        <w:t xml:space="preserve">in that state </w:t>
      </w:r>
      <w:r w:rsidRPr="0F1D33A4">
        <w:t>or die. Progression events in the model were defined as the development of MF, AML/MDS or death. In clinical practice MF and AML events are not mutually exclusive, a standard assumption of a Markov model. Patients who develop MF, can later transition into AML. For example, in Szuber et al. (2019) of 1,282 patients with primary myelofibrosis treated at the Mayo clinic 9% transitioned to AML (median follow up 3.2 years).</w:t>
      </w:r>
    </w:p>
    <w:p w14:paraId="5AE472B1" w14:textId="3555A026" w:rsidR="008975CB" w:rsidRPr="00976D84" w:rsidRDefault="008975CB" w:rsidP="0F1D33A4">
      <w:pPr>
        <w:pStyle w:val="3-BodyText"/>
        <w:rPr>
          <w:i/>
          <w:iCs/>
        </w:rPr>
      </w:pPr>
      <w:bookmarkStart w:id="76" w:name="_Ref184998189"/>
      <w:r w:rsidRPr="0F1D33A4">
        <w:t>In the economic model patients who were Progression</w:t>
      </w:r>
      <w:r w:rsidR="00790E42" w:rsidRPr="0F1D33A4">
        <w:t xml:space="preserve"> </w:t>
      </w:r>
      <w:r w:rsidRPr="0F1D33A4">
        <w:t>free on ruxolitinib could move to being Progression</w:t>
      </w:r>
      <w:r w:rsidR="00790E42" w:rsidRPr="0F1D33A4">
        <w:t xml:space="preserve"> </w:t>
      </w:r>
      <w:r w:rsidRPr="0F1D33A4">
        <w:t xml:space="preserve">free on BAT if treatment was discontinued but patients remained progression free. </w:t>
      </w:r>
      <w:r w:rsidR="009974E4" w:rsidRPr="0F1D33A4">
        <w:t>T</w:t>
      </w:r>
      <w:r w:rsidRPr="0F1D33A4">
        <w:t xml:space="preserve">he resubmission estimated the ratio of patients who progressed to </w:t>
      </w:r>
      <w:r w:rsidRPr="0F1D33A4">
        <w:lastRenderedPageBreak/>
        <w:t>the patients who discontinued treatment (HR: 1.055; 95% CI: 0.59, 1.90), based on pseudo-individual patient data KM plots</w:t>
      </w:r>
      <w:r w:rsidR="00472C72" w:rsidRPr="0F1D33A4">
        <w:t xml:space="preserve"> for treatment discontinuation, rather than individual patient data</w:t>
      </w:r>
      <w:r w:rsidR="009974E4" w:rsidRPr="0F1D33A4">
        <w:t xml:space="preserve"> as these were not available from the MAJIC trial</w:t>
      </w:r>
      <w:r w:rsidRPr="0F1D33A4">
        <w:t xml:space="preserve">. This ratio was used to preserve the relationship between PFS and </w:t>
      </w:r>
      <w:r w:rsidR="000E0AD8" w:rsidRPr="0F1D33A4">
        <w:t>time to discontinuation (</w:t>
      </w:r>
      <w:r w:rsidRPr="0F1D33A4">
        <w:t>TTD</w:t>
      </w:r>
      <w:r w:rsidR="000E0AD8" w:rsidRPr="0F1D33A4">
        <w:t>)</w:t>
      </w:r>
      <w:r w:rsidRPr="0F1D33A4">
        <w:t xml:space="preserve"> beyond the 5 years of the MAJIC trial. </w:t>
      </w:r>
      <w:r w:rsidR="00DB2189" w:rsidRPr="0F1D33A4">
        <w:t xml:space="preserve">The </w:t>
      </w:r>
      <w:r w:rsidR="009F33BB" w:rsidRPr="00946411">
        <w:t>ESC agreed with the</w:t>
      </w:r>
      <w:r w:rsidR="009F33BB" w:rsidRPr="0F1D33A4">
        <w:rPr>
          <w:i/>
          <w:iCs/>
        </w:rPr>
        <w:t xml:space="preserve"> </w:t>
      </w:r>
      <w:r w:rsidR="00197A84" w:rsidRPr="0F1D33A4">
        <w:t>evaluation</w:t>
      </w:r>
      <w:r w:rsidR="00DB2189" w:rsidRPr="0F1D33A4">
        <w:t xml:space="preserve"> </w:t>
      </w:r>
      <w:r w:rsidR="006B29CA" w:rsidRPr="0F1D33A4">
        <w:t>that it</w:t>
      </w:r>
      <w:r w:rsidR="00F87B86">
        <w:t xml:space="preserve"> </w:t>
      </w:r>
      <w:r w:rsidR="00DB2189" w:rsidRPr="0F1D33A4">
        <w:t>was</w:t>
      </w:r>
      <w:r w:rsidR="00DB2189" w:rsidRPr="0F1D33A4">
        <w:rPr>
          <w:i/>
          <w:iCs/>
        </w:rPr>
        <w:t xml:space="preserve"> </w:t>
      </w:r>
      <w:r w:rsidRPr="0F1D33A4">
        <w:t xml:space="preserve">not reasonable to assume the association between PFS and TTD will remain constant over time, </w:t>
      </w:r>
      <w:r w:rsidR="004A169F" w:rsidRPr="0F1D33A4">
        <w:t xml:space="preserve">as </w:t>
      </w:r>
      <w:r w:rsidRPr="0F1D33A4">
        <w:t xml:space="preserve">this was not supported with empirical data. </w:t>
      </w:r>
      <w:bookmarkEnd w:id="76"/>
    </w:p>
    <w:p w14:paraId="0910E7D1" w14:textId="33CC5EAB" w:rsidR="008975CB" w:rsidRPr="006124A7" w:rsidRDefault="008975CB" w:rsidP="00953620">
      <w:pPr>
        <w:pStyle w:val="3-BodyText"/>
      </w:pPr>
      <w:r w:rsidRPr="0F1D33A4">
        <w:t>The Progressed disease health state in the economic model included three substates AML/MDS, low/intermediate-1 risk MF, and intermediate-2/high risk MF. Transformation into MF and AML/MDS, PFS was modelled under a competing risk framework, where each competing event (progression due to death, progression due to MF and progression due to AML/MDS) was modelled separately. The decision to model progression events separately in the economic model add</w:t>
      </w:r>
      <w:r w:rsidR="00976D84" w:rsidRPr="0F1D33A4">
        <w:t>ed</w:t>
      </w:r>
      <w:r w:rsidRPr="0F1D33A4">
        <w:t xml:space="preserve"> uncertainty. When considered together the progression events that were applied in the economic model (MF, AML/MDS, and death) showed a point estimate improvement for ruxolitinib compared to BAT (HR 0.64 95%CI</w:t>
      </w:r>
      <w:r w:rsidR="00C86741">
        <w:t>:</w:t>
      </w:r>
      <w:r w:rsidRPr="0F1D33A4">
        <w:t xml:space="preserve"> 0.35</w:t>
      </w:r>
      <w:r w:rsidR="00C86741">
        <w:t xml:space="preserve">, </w:t>
      </w:r>
      <w:r w:rsidRPr="0F1D33A4">
        <w:t xml:space="preserve">1.14), however the CIs were wide, and the estimate </w:t>
      </w:r>
      <w:r w:rsidR="00EE7E8F" w:rsidRPr="0F1D33A4">
        <w:t xml:space="preserve">was not </w:t>
      </w:r>
      <w:r w:rsidRPr="0F1D33A4">
        <w:t xml:space="preserve">statistically significant (p=0.13). When considering the progression events individually the number of events on which each transition probability is based decrease substantially. There were 5 MF events in the ruxolitinib arm and 10 in the BAT arm, 4 AML/MDS events in the ruxolitinib arm and 1 in the BAT arm, and 10 deaths in the ruxolitinib arm and 17 in the BAT arm. This is important as the primary driver of the economic model was the difference in the probability of progression events, and this difference was not well supported by empirical evidence. Furthermore, patients who developed AML, low/intermediate-1 MF, and intermediate-2/high MF were assumed to have different clinical trajectories and therefore, different extrapolation functions were applied, this meant that initial differences in outcomes associated with progression led to differences in OS that were maintained throughout the time horizon. </w:t>
      </w:r>
    </w:p>
    <w:p w14:paraId="6899E589" w14:textId="1195345A" w:rsidR="008975CB" w:rsidRPr="00946411" w:rsidRDefault="008975CB" w:rsidP="0F1D33A4">
      <w:pPr>
        <w:pStyle w:val="3-BodyText"/>
      </w:pPr>
      <w:r w:rsidRPr="0F1D33A4">
        <w:t xml:space="preserve">The resubmission claimed that the number of AML/MDS events reported in the BAT arm of the MAJIC trial was low compared with other literature and was likely driven by the small sample size and length of follow up. Consequently, the resubmission calculated the 5-year probability of AML/MDS using the ratio of AML/MDS to MF events (0.39 AML/MDS for every MF) reported in </w:t>
      </w:r>
      <w:r>
        <w:fldChar w:fldCharType="begin" w:fldLock="1">
          <w:fldData xml:space="preserve">PEVuZE5vdGU+PENpdGUgQXV0aG9yWWVhcj0iMSI+PEF1dGhvcj5BbHZhcmV6LUxhcnLDoW48L0F1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</w:fldData>
        </w:fldChar>
      </w:r>
      <w:r>
        <w:instrText xml:space="preserve"> ADDIN EN.CITE </w:instrText>
      </w:r>
      <w:r>
        <w:fldChar w:fldCharType="begin" w:fldLock="1">
          <w:fldData xml:space="preserve">PEVuZE5vdGU+PENpdGUgQXV0aG9yWWVhcj0iMSI+PEF1dGhvcj5BbHZhcmV6LUxhcnLDoW48L0F1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</w:fldData>
        </w:fldChar>
      </w:r>
      <w:r>
        <w:instrText xml:space="preserve"> ADDIN EN.CITE.DATA </w:instrText>
      </w:r>
      <w:r>
        <w:fldChar w:fldCharType="end"/>
      </w:r>
      <w:r>
        <w:fldChar w:fldCharType="separate"/>
      </w:r>
      <w:r w:rsidRPr="0F1D33A4">
        <w:rPr>
          <w:noProof/>
        </w:rPr>
        <w:t>Alvarez-Larrán et al. (2022)</w:t>
      </w:r>
      <w:r>
        <w:fldChar w:fldCharType="end"/>
      </w:r>
      <w:r w:rsidRPr="0F1D33A4">
        <w:t xml:space="preserve">. This meant that the leukemia free survival (LFS) in the BAT arm applied in the economic model was based on a 5-year AML/MDS probability of 5.69% rather than 1.15% (based on 1 event in 87 patients). This adjustment does not appear to be reasonable based on the availability of the MAJIC trial that did not observe those event rates. This was identified to be an important driver of the model; when the AML/MDS events from the MAJIC trial were applied in the economic model the ICER increased from </w:t>
      </w:r>
      <w:r w:rsidR="005C3253" w:rsidRPr="005C3253">
        <w:t xml:space="preserve">$55,000 to &lt; $75,000 </w:t>
      </w:r>
      <w:r w:rsidRPr="0F1D33A4">
        <w:t xml:space="preserve">per QALY gained to </w:t>
      </w:r>
      <w:r w:rsidR="005C3253" w:rsidRPr="005C3253">
        <w:t xml:space="preserve">$55,000 to &lt; $75,000 </w:t>
      </w:r>
      <w:r w:rsidRPr="0F1D33A4">
        <w:t>(+</w:t>
      </w:r>
      <w:r w:rsidR="009309CC" w:rsidRPr="00C0236C">
        <w:rPr>
          <w:color w:val="000000"/>
          <w:w w:val="15"/>
          <w:shd w:val="solid" w:color="000000" w:fill="000000"/>
          <w:fitText w:val="-20" w:id="-683986170"/>
          <w14:textFill>
            <w14:solidFill>
              <w14:srgbClr w14:val="000000">
                <w14:alpha w14:val="100000"/>
              </w14:srgbClr>
            </w14:solidFill>
          </w14:textFill>
        </w:rPr>
        <w:t xml:space="preserve">|  </w:t>
      </w:r>
      <w:r w:rsidR="009309CC" w:rsidRPr="00C0236C">
        <w:rPr>
          <w:color w:val="000000"/>
          <w:spacing w:val="-69"/>
          <w:w w:val="15"/>
          <w:shd w:val="solid" w:color="000000" w:fill="000000"/>
          <w:fitText w:val="-20" w:id="-683986170"/>
          <w14:textFill>
            <w14:solidFill>
              <w14:srgbClr w14:val="000000">
                <w14:alpha w14:val="100000"/>
              </w14:srgbClr>
            </w14:solidFill>
          </w14:textFill>
        </w:rPr>
        <w:t>|</w:t>
      </w:r>
      <w:r w:rsidRPr="0F1D33A4">
        <w:t>%).</w:t>
      </w:r>
      <w:r w:rsidR="00CE7228" w:rsidRPr="0F1D33A4">
        <w:t xml:space="preserve"> </w:t>
      </w:r>
      <w:r w:rsidR="0084758B" w:rsidRPr="00946411">
        <w:t>The PSCR argued that Alvarez-</w:t>
      </w:r>
      <w:r w:rsidR="0084758B" w:rsidRPr="00946411">
        <w:rPr>
          <w:noProof/>
        </w:rPr>
        <w:t>Larrán</w:t>
      </w:r>
      <w:r w:rsidR="00D25882" w:rsidRPr="00946411">
        <w:rPr>
          <w:noProof/>
        </w:rPr>
        <w:t xml:space="preserve"> was the best available evidence to inform the rate of transformation</w:t>
      </w:r>
      <w:r w:rsidR="00D938A7" w:rsidRPr="00946411">
        <w:rPr>
          <w:noProof/>
        </w:rPr>
        <w:t xml:space="preserve">s into AML and MDS for the economic model. </w:t>
      </w:r>
    </w:p>
    <w:p w14:paraId="7307A3D7" w14:textId="20A7109E" w:rsidR="008975CB" w:rsidRPr="006124A7" w:rsidRDefault="008975CB" w:rsidP="00953620">
      <w:pPr>
        <w:pStyle w:val="3-BodyText"/>
      </w:pPr>
      <w:r w:rsidRPr="0F1D33A4">
        <w:lastRenderedPageBreak/>
        <w:t>To account for time-varying incidence of transformation into MF, AML/MDS, and PFS</w:t>
      </w:r>
      <w:r w:rsidR="00123D42" w:rsidRPr="0F1D33A4">
        <w:t>,</w:t>
      </w:r>
      <w:r w:rsidRPr="0F1D33A4">
        <w:t xml:space="preserve"> time to event data were derived from the literature, as time to event data were not available in the MAJIC trial. Data on transformation of disease were extracted from Szuber et al. (2019). The inclusion of an additional source to establish the change in hazard rate over time add</w:t>
      </w:r>
      <w:r w:rsidR="00B91F80" w:rsidRPr="0F1D33A4">
        <w:t>ed</w:t>
      </w:r>
      <w:r w:rsidRPr="0F1D33A4">
        <w:t xml:space="preserve"> an additional layer of uncertainty. The population in the Szuber et al. (2019) article included patients newly diagnosed with PV, not exclusively those who were resistant or intolerant to HC/HU. To manage this, the resubmission used the change in hazard rate starting at 91 months (the median time from diagnosis in the MAJIC trial), however this </w:t>
      </w:r>
      <w:r w:rsidR="00C53082" w:rsidRPr="0F1D33A4">
        <w:t xml:space="preserve">did </w:t>
      </w:r>
      <w:r w:rsidRPr="0F1D33A4">
        <w:t xml:space="preserve">not address the underlying difference in the populations. Patients who developed PV 91 months prior, that </w:t>
      </w:r>
      <w:r w:rsidR="00C53082" w:rsidRPr="0F1D33A4">
        <w:t xml:space="preserve">were </w:t>
      </w:r>
      <w:r w:rsidRPr="0F1D33A4">
        <w:t xml:space="preserve">not necessarily resistant or intolerant to HC/HU, </w:t>
      </w:r>
      <w:r w:rsidR="00C53082" w:rsidRPr="0F1D33A4">
        <w:t xml:space="preserve">were </w:t>
      </w:r>
      <w:r w:rsidRPr="0F1D33A4">
        <w:t xml:space="preserve">likely to demonstrate different rates of progression. Furthermore, these time to event estimates were used to establish the KM plot on which the parametric extrapolation function was based, so initial uncertainties in time to event data may have considerable impact on the </w:t>
      </w:r>
      <w:r w:rsidR="004C5BCE" w:rsidRPr="0F1D33A4">
        <w:t xml:space="preserve">applied </w:t>
      </w:r>
      <w:r w:rsidRPr="0F1D33A4">
        <w:t xml:space="preserve">parametric extrapolation functions and subsequently </w:t>
      </w:r>
      <w:r w:rsidR="004C5BCE" w:rsidRPr="0F1D33A4">
        <w:t xml:space="preserve">to </w:t>
      </w:r>
      <w:r w:rsidRPr="0F1D33A4">
        <w:t>the economic model.</w:t>
      </w:r>
    </w:p>
    <w:p w14:paraId="00F35942" w14:textId="3BF5F0A5" w:rsidR="00AB5DFB" w:rsidRDefault="008975CB" w:rsidP="00953620">
      <w:pPr>
        <w:pStyle w:val="3-BodyText"/>
      </w:pPr>
      <w:r w:rsidRPr="0F1D33A4">
        <w:t>OS in the economic model was based on both pre progression mortality,</w:t>
      </w:r>
      <w:r w:rsidR="3F52441E" w:rsidRPr="0F1D33A4">
        <w:t xml:space="preserve"> from the MAJIC trial and mortality from </w:t>
      </w:r>
      <w:r w:rsidRPr="0F1D33A4">
        <w:t xml:space="preserve">progressed </w:t>
      </w:r>
      <w:r w:rsidR="3F52441E" w:rsidRPr="0F1D33A4">
        <w:t xml:space="preserve">disease, </w:t>
      </w:r>
      <w:r w:rsidRPr="0F1D33A4">
        <w:t xml:space="preserve">based on literature. </w:t>
      </w:r>
      <w:r w:rsidR="345C99D4" w:rsidRPr="0F1D33A4">
        <w:t>In November 2019, t</w:t>
      </w:r>
      <w:r w:rsidRPr="0F1D33A4">
        <w:t xml:space="preserve">he PBAC noted that the evidence from the MAJIC trial did not clearly support a benefit in terms of OS (para 7.1, </w:t>
      </w:r>
      <w:r w:rsidR="358547AF" w:rsidRPr="0F1D33A4">
        <w:t>r</w:t>
      </w:r>
      <w:r w:rsidRPr="0F1D33A4">
        <w:t>uxolitinib</w:t>
      </w:r>
      <w:r w:rsidR="58D9E6DC" w:rsidRPr="0F1D33A4">
        <w:t>,</w:t>
      </w:r>
      <w:r w:rsidRPr="0F1D33A4">
        <w:t xml:space="preserve"> PSD, November 2019 PBAC meeting). </w:t>
      </w:r>
      <w:r w:rsidR="1846AF73" w:rsidRPr="00946411">
        <w:t xml:space="preserve">The ESC agreed with the evaluation that </w:t>
      </w:r>
      <w:r w:rsidR="4B5DF5B0" w:rsidRPr="00946411">
        <w:t>the longer follow up data presented from the</w:t>
      </w:r>
      <w:r w:rsidR="368F633C" w:rsidRPr="00946411">
        <w:t xml:space="preserve"> MAJIC trial still did not support an OS benefit</w:t>
      </w:r>
      <w:r w:rsidRPr="00946411">
        <w:t xml:space="preserve">. Although the point estimate for OS favoured ruxolitinib (HR 0.73 95%CI 0.36 – 1.50), the </w:t>
      </w:r>
      <w:r w:rsidR="4F4CC322" w:rsidRPr="00946411">
        <w:t xml:space="preserve">confidence intervals were wide and the </w:t>
      </w:r>
      <w:r w:rsidRPr="00946411">
        <w:t xml:space="preserve">results were </w:t>
      </w:r>
      <w:r w:rsidR="474EC59F" w:rsidRPr="00946411">
        <w:t>not statistically significant</w:t>
      </w:r>
      <w:r w:rsidR="02CDABF9" w:rsidRPr="00946411">
        <w:t xml:space="preserve"> different</w:t>
      </w:r>
      <w:r w:rsidR="474EC59F" w:rsidRPr="00946411">
        <w:t xml:space="preserve">. </w:t>
      </w:r>
    </w:p>
    <w:p w14:paraId="3FAAF836" w14:textId="1E710F38" w:rsidR="008975CB" w:rsidRPr="006124A7" w:rsidRDefault="008975CB" w:rsidP="00953620">
      <w:pPr>
        <w:pStyle w:val="3-BodyText"/>
      </w:pPr>
      <w:r w:rsidRPr="0F1D33A4">
        <w:t xml:space="preserve">OS in patients who had progressed was modelled separately. OS following transformation into AML/MDS was taken from </w:t>
      </w:r>
      <w:r w:rsidRPr="006124A7">
        <w:fldChar w:fldCharType="begin" w:fldLock="1">
          <w:fldData xml:space="preserve">PEVuZE5vdGU+PENpdGUgQXV0aG9yWWVhcj0iMSI+PEF1dGhvcj5UYW5nPC9BdXRob3I+PFllYXI+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</w:fldData>
        </w:fldChar>
      </w:r>
      <w:r w:rsidRPr="006124A7">
        <w:instrText xml:space="preserve"> ADDIN EN.CITE </w:instrText>
      </w:r>
      <w:r w:rsidRPr="006124A7">
        <w:fldChar w:fldCharType="begin" w:fldLock="1">
          <w:fldData xml:space="preserve">PEVuZE5vdGU+PENpdGUgQXV0aG9yWWVhcj0iMSI+PEF1dGhvcj5UYW5nPC9BdXRob3I+PFllYXI+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</w:fldData>
        </w:fldChar>
      </w:r>
      <w:r w:rsidRPr="006124A7">
        <w:instrText xml:space="preserve"> ADDIN EN.CITE.DATA </w:instrText>
      </w:r>
      <w:r w:rsidRPr="006124A7">
        <w:fldChar w:fldCharType="end"/>
      </w:r>
      <w:r w:rsidRPr="006124A7">
        <w:fldChar w:fldCharType="separate"/>
      </w:r>
      <w:r w:rsidRPr="0F1D33A4">
        <w:rPr>
          <w:noProof/>
        </w:rPr>
        <w:t>Tang et al. (2017)</w:t>
      </w:r>
      <w:r w:rsidRPr="006124A7">
        <w:fldChar w:fldCharType="end"/>
      </w:r>
      <w:r w:rsidRPr="0F1D33A4">
        <w:t xml:space="preserve"> in patients with PV in the accelerated/blast phase (median OS of 9 months). OS following transformation into low/intermediate-1 risk MF was derived from </w:t>
      </w:r>
      <w:r w:rsidRPr="006124A7">
        <w:fldChar w:fldCharType="begin" w:fldLock="1">
          <w:fldData xml:space="preserve">PEVuZE5vdGU+PENpdGUgQXV0aG9yWWVhcj0iMSI+PEF1dGhvcj5UZWZmZXJpPC9BdXRob3I+PFll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==
</w:fldData>
        </w:fldChar>
      </w:r>
      <w:r w:rsidRPr="006124A7">
        <w:instrText xml:space="preserve"> ADDIN EN.CITE </w:instrText>
      </w:r>
      <w:r w:rsidRPr="006124A7">
        <w:fldChar w:fldCharType="begin" w:fldLock="1">
          <w:fldData xml:space="preserve">PEVuZE5vdGU+PENpdGUgQXV0aG9yWWVhcj0iMSI+PEF1dGhvcj5UZWZmZXJpPC9BdXRob3I+PFll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==
</w:fldData>
        </w:fldChar>
      </w:r>
      <w:r w:rsidRPr="006124A7">
        <w:instrText xml:space="preserve"> ADDIN EN.CITE.DATA </w:instrText>
      </w:r>
      <w:r w:rsidRPr="006124A7">
        <w:fldChar w:fldCharType="end"/>
      </w:r>
      <w:r w:rsidRPr="006124A7">
        <w:fldChar w:fldCharType="separate"/>
      </w:r>
      <w:r w:rsidRPr="0F1D33A4">
        <w:rPr>
          <w:noProof/>
        </w:rPr>
        <w:t>Tefferi et al. (2012)</w:t>
      </w:r>
      <w:r w:rsidRPr="006124A7">
        <w:fldChar w:fldCharType="end"/>
      </w:r>
      <w:r w:rsidRPr="0F1D33A4">
        <w:t xml:space="preserve">. OS following transformation into intermediate-2/high risk MF was based on the ruxolitinib MF model considered by PBAC </w:t>
      </w:r>
      <w:r w:rsidR="00BA2840" w:rsidRPr="0F1D33A4">
        <w:t xml:space="preserve">in </w:t>
      </w:r>
      <w:r w:rsidR="006537EC" w:rsidRPr="0F1D33A4">
        <w:t>July</w:t>
      </w:r>
      <w:r w:rsidRPr="0F1D33A4">
        <w:t xml:space="preserve"> 2014</w:t>
      </w:r>
      <w:r w:rsidR="00E7396A" w:rsidRPr="0F1D33A4">
        <w:t xml:space="preserve"> and subsequently </w:t>
      </w:r>
      <w:r w:rsidR="00D850BB" w:rsidRPr="0F1D33A4">
        <w:t>in March 2015</w:t>
      </w:r>
      <w:r w:rsidRPr="0F1D33A4">
        <w:t xml:space="preserve">. Including outputs from a different economic model as inputs in this economic model </w:t>
      </w:r>
      <w:r w:rsidR="00DE7B5B" w:rsidRPr="0F1D33A4">
        <w:t>is unlikely to be</w:t>
      </w:r>
      <w:r w:rsidRPr="0F1D33A4">
        <w:t xml:space="preserve"> reasonable as the limitations of underlying structure, inputs and uncertainties of the model would also need to be considered. Post-PV MF is a subset of MF. The population considered in the March 2015 PBAC consideration of ruxolitinib for first-line or second-line management of MF and Tefferi et al. (2012) also included primary MF as well as post-essential thrombocythemia MF. </w:t>
      </w:r>
      <w:r w:rsidR="00142A91" w:rsidRPr="00946411">
        <w:t xml:space="preserve">The ESC agreed with the evaluation that </w:t>
      </w:r>
      <w:r w:rsidR="005A2F8B" w:rsidRPr="00946411">
        <w:t>i</w:t>
      </w:r>
      <w:r w:rsidRPr="00946411">
        <w:t>t is plausible that th</w:t>
      </w:r>
      <w:r w:rsidR="00E944E1" w:rsidRPr="00946411">
        <w:t>e post-PV</w:t>
      </w:r>
      <w:r w:rsidRPr="00946411">
        <w:t xml:space="preserve"> subset may experience differences in prognosis</w:t>
      </w:r>
      <w:r w:rsidRPr="00946411">
        <w:rPr>
          <w:vertAlign w:val="superscript"/>
        </w:rPr>
        <w:footnoteReference w:id="10"/>
      </w:r>
      <w:r w:rsidR="00E020AD" w:rsidRPr="00946411">
        <w:t xml:space="preserve"> </w:t>
      </w:r>
      <w:r w:rsidR="00EE495A" w:rsidRPr="00946411">
        <w:t>adding further uncertainty to the approach taken</w:t>
      </w:r>
      <w:r w:rsidRPr="00946411">
        <w:t>.</w:t>
      </w:r>
      <w:r w:rsidRPr="0F1D33A4">
        <w:t xml:space="preserve"> </w:t>
      </w:r>
    </w:p>
    <w:p w14:paraId="00CBFB2E" w14:textId="26748E3F" w:rsidR="00076B89" w:rsidRDefault="008975CB" w:rsidP="00953620">
      <w:pPr>
        <w:pStyle w:val="3-BodyText"/>
      </w:pPr>
      <w:r w:rsidRPr="0F1D33A4">
        <w:lastRenderedPageBreak/>
        <w:t>The resubmission used parametric extrapolation (base case Weibull) to model the progression of disease</w:t>
      </w:r>
      <w:r w:rsidR="00EA3A0D" w:rsidRPr="0F1D33A4">
        <w:t xml:space="preserve"> stating this was based on </w:t>
      </w:r>
      <w:r w:rsidRPr="0F1D33A4">
        <w:t>visual fit, statistical fit and clinical plausibility. The range of extrapolation functions considered had minimal impact on the ICER</w:t>
      </w:r>
      <w:r w:rsidR="000166F9" w:rsidRPr="0F1D33A4">
        <w:t xml:space="preserve"> (</w:t>
      </w:r>
      <w:r>
        <w:fldChar w:fldCharType="begin" w:fldLock="1"/>
      </w:r>
      <w:r>
        <w:instrText xml:space="preserve"> REF _Ref104804865 \h  \* MERGEFORMAT </w:instrText>
      </w:r>
      <w:r>
        <w:fldChar w:fldCharType="separate"/>
      </w:r>
      <w:r w:rsidR="00CF6E5F" w:rsidRPr="00CF6E5F">
        <w:t>Table 16</w:t>
      </w:r>
      <w:r>
        <w:fldChar w:fldCharType="end"/>
      </w:r>
      <w:r w:rsidR="000166F9" w:rsidRPr="0F1D33A4">
        <w:t>)</w:t>
      </w:r>
      <w:r w:rsidRPr="0F1D33A4">
        <w:t xml:space="preserve">. Establishing the clinical plausibility of the curves is difficult as there </w:t>
      </w:r>
      <w:r w:rsidR="00064C66" w:rsidRPr="0F1D33A4">
        <w:t>are</w:t>
      </w:r>
      <w:r w:rsidRPr="0F1D33A4">
        <w:t xml:space="preserve"> limited long-term PFS data against which the curves could be validated, particularly in the ruxolitinib arm. </w:t>
      </w:r>
    </w:p>
    <w:p w14:paraId="1D010749" w14:textId="41665A4F" w:rsidR="008975CB" w:rsidRPr="006124A7" w:rsidRDefault="00076B89" w:rsidP="00953620">
      <w:pPr>
        <w:pStyle w:val="3-BodyText"/>
      </w:pPr>
      <w:r w:rsidRPr="0F1D33A4">
        <w:t xml:space="preserve">The OS extrapolation function for patients in the pre-progression, AML/MDS, or MF health states were not described by the resubmission. The resubmission </w:t>
      </w:r>
      <w:r w:rsidR="003D6C30" w:rsidRPr="0F1D33A4">
        <w:t>stated</w:t>
      </w:r>
      <w:r w:rsidRPr="0F1D33A4">
        <w:t xml:space="preserve"> that a Weibull function was applied</w:t>
      </w:r>
      <w:r w:rsidR="00DC4265" w:rsidRPr="0F1D33A4">
        <w:t xml:space="preserve"> but did not </w:t>
      </w:r>
      <w:r w:rsidR="0083193C" w:rsidRPr="0F1D33A4">
        <w:t>provide evidence on how the curves were selected, nor any validation data</w:t>
      </w:r>
      <w:r w:rsidRPr="0F1D33A4">
        <w:t>.</w:t>
      </w:r>
      <w:r w:rsidR="00377EC0" w:rsidRPr="0F1D33A4">
        <w:t xml:space="preserve"> </w:t>
      </w:r>
      <w:r w:rsidR="000B071F" w:rsidRPr="00946411">
        <w:t>The ESC noted the</w:t>
      </w:r>
      <w:r w:rsidR="000B071F" w:rsidRPr="0F1D33A4">
        <w:rPr>
          <w:i/>
          <w:iCs/>
        </w:rPr>
        <w:t xml:space="preserve"> </w:t>
      </w:r>
      <w:r w:rsidR="008975CB" w:rsidRPr="0F1D33A4">
        <w:t>OS in the economic model at 20 years was 5.2% in the BAT arm</w:t>
      </w:r>
      <w:r w:rsidR="00064C66" w:rsidRPr="0F1D33A4">
        <w:t xml:space="preserve"> (</w:t>
      </w:r>
      <w:r>
        <w:fldChar w:fldCharType="begin" w:fldLock="1"/>
      </w:r>
      <w:r>
        <w:instrText xml:space="preserve"> REF _Ref185226343 \h  \* MERGEFORMAT </w:instrText>
      </w:r>
      <w:r>
        <w:fldChar w:fldCharType="separate"/>
      </w:r>
      <w:r w:rsidR="00064C66" w:rsidRPr="0F1D33A4">
        <w:t>Figure 7</w:t>
      </w:r>
      <w:r>
        <w:fldChar w:fldCharType="end"/>
      </w:r>
      <w:r w:rsidR="00064C66" w:rsidRPr="0F1D33A4">
        <w:t>)</w:t>
      </w:r>
      <w:r w:rsidR="008975CB" w:rsidRPr="0F1D33A4">
        <w:t xml:space="preserve">, which was higher than the 1% OS reported by Alvarez-Larrán et al. (2012) in a real-world sample of patients with PV who were </w:t>
      </w:r>
      <w:r w:rsidR="006B0703" w:rsidRPr="0F1D33A4">
        <w:t>resistant to or intolerant of</w:t>
      </w:r>
      <w:r w:rsidR="008975CB" w:rsidRPr="0F1D33A4">
        <w:t xml:space="preserve"> HU/HC. </w:t>
      </w:r>
    </w:p>
    <w:p w14:paraId="4B8142ED" w14:textId="704FBE11" w:rsidR="008975CB" w:rsidRPr="006124A7" w:rsidRDefault="008975CB" w:rsidP="00953620">
      <w:pPr>
        <w:pStyle w:val="3-BodyText"/>
      </w:pPr>
      <w:r w:rsidRPr="0F1D33A4">
        <w:t xml:space="preserve">The time horizon applied in the economic model was 20 years, compared to 5 years follow up in the MAJIC trial. The </w:t>
      </w:r>
      <w:r w:rsidR="6B8860EF" w:rsidRPr="0F1D33A4">
        <w:t xml:space="preserve">evaluation considered the </w:t>
      </w:r>
      <w:r w:rsidRPr="0F1D33A4">
        <w:t xml:space="preserve">length of the time horizon </w:t>
      </w:r>
      <w:r w:rsidR="34E13C9C" w:rsidRPr="0F1D33A4">
        <w:t>wa</w:t>
      </w:r>
      <w:r w:rsidRPr="0F1D33A4">
        <w:t xml:space="preserve">s reasonable given the long-term survival in these patients, </w:t>
      </w:r>
      <w:r w:rsidR="34E13C9C" w:rsidRPr="0F1D33A4">
        <w:t>but noted</w:t>
      </w:r>
      <w:r w:rsidRPr="0F1D33A4">
        <w:t xml:space="preserve"> most </w:t>
      </w:r>
      <w:r w:rsidR="6BEED859" w:rsidRPr="0F1D33A4">
        <w:t xml:space="preserve">of the </w:t>
      </w:r>
      <w:r w:rsidRPr="0F1D33A4">
        <w:t xml:space="preserve">incremental health outcomes occurred after 5-years. </w:t>
      </w:r>
      <w:r w:rsidR="310DD2D6" w:rsidRPr="00946411">
        <w:t>The ESC noted that</w:t>
      </w:r>
      <w:r w:rsidR="310DD2D6" w:rsidRPr="0F1D33A4">
        <w:t xml:space="preserve"> a</w:t>
      </w:r>
      <w:r w:rsidRPr="0F1D33A4">
        <w:t>ssumptions in the model regarding differences in PFS and OS, which were not supported by the clinical evidence, combined with extrapolation meant that initial differences were maintained throughout the time horizon of the model. At 20 years 17% of patients remain progression free in the ruxolitinib arm compared to 5% in the BAT arm (</w:t>
      </w:r>
      <w:r>
        <w:fldChar w:fldCharType="begin" w:fldLock="1"/>
      </w:r>
      <w:r>
        <w:instrText xml:space="preserve"> REF _Ref185226343 \h  \* MERGEFORMAT </w:instrText>
      </w:r>
      <w:r>
        <w:fldChar w:fldCharType="separate"/>
      </w:r>
      <w:r w:rsidR="07B8CB76" w:rsidRPr="0F1D33A4">
        <w:t xml:space="preserve">Figure </w:t>
      </w:r>
      <w:r w:rsidR="185417AC" w:rsidRPr="0F1D33A4">
        <w:t>7</w:t>
      </w:r>
      <w:r>
        <w:fldChar w:fldCharType="end"/>
      </w:r>
      <w:r w:rsidRPr="0F1D33A4">
        <w:t xml:space="preserve">). The model was not specified to force the PFS and OS curves to converge. </w:t>
      </w:r>
    </w:p>
    <w:p w14:paraId="38F15BE9" w14:textId="443EF1E2" w:rsidR="008975CB" w:rsidRPr="006124A7" w:rsidRDefault="008975CB" w:rsidP="008975CB">
      <w:pPr>
        <w:keepNext/>
        <w:keepLines/>
        <w:rPr>
          <w:rFonts w:ascii="Arial Narrow" w:hAnsi="Arial Narrow"/>
          <w:b/>
          <w:bCs/>
          <w:sz w:val="20"/>
          <w:szCs w:val="18"/>
        </w:rPr>
      </w:pPr>
      <w:bookmarkStart w:id="77" w:name="_Ref185226343"/>
      <w:r w:rsidRPr="006124A7">
        <w:rPr>
          <w:rFonts w:ascii="Arial Narrow" w:hAnsi="Arial Narrow"/>
          <w:b/>
          <w:bCs/>
          <w:sz w:val="20"/>
          <w:szCs w:val="18"/>
        </w:rPr>
        <w:t xml:space="preserve">Figure </w:t>
      </w:r>
      <w:r w:rsidRPr="006124A7">
        <w:rPr>
          <w:rFonts w:ascii="Arial Narrow" w:hAnsi="Arial Narrow"/>
          <w:b/>
          <w:bCs/>
          <w:sz w:val="20"/>
          <w:szCs w:val="18"/>
        </w:rPr>
        <w:fldChar w:fldCharType="begin" w:fldLock="1"/>
      </w:r>
      <w:r w:rsidRPr="006124A7">
        <w:rPr>
          <w:rFonts w:ascii="Arial Narrow" w:hAnsi="Arial Narrow"/>
          <w:b/>
          <w:bCs/>
          <w:sz w:val="20"/>
          <w:szCs w:val="18"/>
        </w:rPr>
        <w:instrText xml:space="preserve"> SEQ Figure \* ARABIC </w:instrText>
      </w:r>
      <w:r w:rsidRPr="006124A7">
        <w:rPr>
          <w:rFonts w:ascii="Arial Narrow" w:hAnsi="Arial Narrow"/>
          <w:b/>
          <w:bCs/>
          <w:sz w:val="20"/>
          <w:szCs w:val="18"/>
        </w:rPr>
        <w:fldChar w:fldCharType="separate"/>
      </w:r>
      <w:r w:rsidR="0096555B" w:rsidRPr="006124A7">
        <w:rPr>
          <w:rFonts w:ascii="Arial Narrow" w:hAnsi="Arial Narrow"/>
          <w:b/>
          <w:bCs/>
          <w:noProof/>
          <w:sz w:val="20"/>
          <w:szCs w:val="18"/>
        </w:rPr>
        <w:t>7</w:t>
      </w:r>
      <w:r w:rsidRPr="006124A7">
        <w:rPr>
          <w:rFonts w:ascii="Arial Narrow" w:hAnsi="Arial Narrow"/>
          <w:b/>
          <w:bCs/>
          <w:sz w:val="20"/>
          <w:szCs w:val="18"/>
        </w:rPr>
        <w:fldChar w:fldCharType="end"/>
      </w:r>
      <w:bookmarkEnd w:id="77"/>
      <w:r w:rsidRPr="006124A7">
        <w:rPr>
          <w:rFonts w:ascii="Arial Narrow" w:hAnsi="Arial Narrow"/>
          <w:b/>
          <w:bCs/>
          <w:sz w:val="20"/>
          <w:szCs w:val="18"/>
        </w:rPr>
        <w:t>: KM and predicted PFS and OS from economic model</w:t>
      </w:r>
    </w:p>
    <w:p w14:paraId="1E5FBD02" w14:textId="77777777" w:rsidR="008975CB" w:rsidRPr="006124A7" w:rsidRDefault="008975CB" w:rsidP="008975CB">
      <w:pPr>
        <w:keepNext/>
        <w:jc w:val="left"/>
        <w:rPr>
          <w:rFonts w:ascii="Arial Narrow" w:eastAsiaTheme="majorEastAsia" w:hAnsi="Arial Narrow" w:cstheme="majorBidi"/>
          <w:b/>
          <w:bCs/>
          <w:sz w:val="20"/>
        </w:rPr>
      </w:pPr>
      <w:r w:rsidRPr="006124A7">
        <w:rPr>
          <w:rFonts w:ascii="Arial Narrow" w:eastAsiaTheme="majorEastAsia" w:hAnsi="Arial Narrow" w:cstheme="majorBidi"/>
          <w:b/>
          <w:bCs/>
          <w:noProof/>
          <w:sz w:val="20"/>
        </w:rPr>
        <w:drawing>
          <wp:inline distT="0" distB="0" distL="0" distR="0" wp14:anchorId="4A11D894" wp14:editId="54EDA1DA">
            <wp:extent cx="5575300" cy="3035300"/>
            <wp:effectExtent l="0" t="0" r="0" b="0"/>
            <wp:docPr id="13949512" name="Picture 2" descr="Figure 7: KM and predicted PFS and OS from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9512" name="Picture 2" descr="Figure 7: KM and predicted PFS and OS from economic model"/>
                    <pic:cNvPicPr/>
                  </pic:nvPicPr>
                  <pic:blipFill>
                    <a:blip r:embed="rId20"/>
                    <a:stretch>
                      <a:fillRect/>
                    </a:stretch>
                  </pic:blipFill>
                  <pic:spPr>
                    <a:xfrm>
                      <a:off x="0" y="0"/>
                      <a:ext cx="5575300" cy="3035300"/>
                    </a:xfrm>
                    <a:prstGeom prst="rect">
                      <a:avLst/>
                    </a:prstGeom>
                  </pic:spPr>
                </pic:pic>
              </a:graphicData>
            </a:graphic>
          </wp:inline>
        </w:drawing>
      </w:r>
    </w:p>
    <w:p w14:paraId="59E2B484" w14:textId="77777777" w:rsidR="008975CB" w:rsidRPr="006124A7" w:rsidRDefault="008975CB" w:rsidP="008975CB">
      <w:pPr>
        <w:rPr>
          <w:rFonts w:ascii="Arial Narrow" w:hAnsi="Arial Narrow"/>
          <w:sz w:val="18"/>
        </w:rPr>
      </w:pPr>
      <w:r w:rsidRPr="006124A7">
        <w:rPr>
          <w:rFonts w:ascii="Arial Narrow" w:hAnsi="Arial Narrow"/>
          <w:sz w:val="18"/>
        </w:rPr>
        <w:t>Source: Economic model ‘Base Case Results’</w:t>
      </w:r>
    </w:p>
    <w:p w14:paraId="69340E08" w14:textId="3D355AE3" w:rsidR="008975CB" w:rsidRPr="006124A7" w:rsidRDefault="008975CB" w:rsidP="0910F2D2">
      <w:pPr>
        <w:rPr>
          <w:rFonts w:ascii="Arial Narrow" w:hAnsi="Arial Narrow"/>
          <w:sz w:val="18"/>
          <w:szCs w:val="18"/>
        </w:rPr>
      </w:pPr>
      <w:r w:rsidRPr="0910F2D2">
        <w:rPr>
          <w:rFonts w:ascii="Arial Narrow" w:hAnsi="Arial Narrow"/>
          <w:sz w:val="18"/>
          <w:szCs w:val="18"/>
        </w:rPr>
        <w:t>Abbreviations: BAT, best available treatment; KM Kaplan Meier; PFS, progression</w:t>
      </w:r>
      <w:r w:rsidR="00150D38" w:rsidRPr="0910F2D2">
        <w:rPr>
          <w:rFonts w:ascii="Arial Narrow" w:hAnsi="Arial Narrow"/>
          <w:sz w:val="18"/>
          <w:szCs w:val="18"/>
        </w:rPr>
        <w:t>-</w:t>
      </w:r>
      <w:r w:rsidRPr="0910F2D2">
        <w:rPr>
          <w:rFonts w:ascii="Arial Narrow" w:hAnsi="Arial Narrow"/>
          <w:sz w:val="18"/>
          <w:szCs w:val="18"/>
        </w:rPr>
        <w:t>free survival; OS, overall survival; Rux, ruxolitinib.</w:t>
      </w:r>
    </w:p>
    <w:p w14:paraId="0D0B4032" w14:textId="77777777" w:rsidR="008975CB" w:rsidRPr="006124A7" w:rsidRDefault="008975CB" w:rsidP="008975CB">
      <w:pPr>
        <w:spacing w:before="60" w:after="60"/>
        <w:ind w:left="720"/>
        <w:rPr>
          <w:rFonts w:asciiTheme="minorHAnsi" w:eastAsiaTheme="minorHAnsi" w:hAnsiTheme="minorHAnsi" w:cstheme="minorBidi"/>
          <w:szCs w:val="22"/>
        </w:rPr>
      </w:pPr>
    </w:p>
    <w:p w14:paraId="3DD366DF" w14:textId="239D5FD6" w:rsidR="008975CB" w:rsidRPr="006124A7" w:rsidRDefault="008975CB" w:rsidP="00953620">
      <w:pPr>
        <w:pStyle w:val="3-BodyText"/>
      </w:pPr>
      <w:bookmarkStart w:id="78" w:name="_Ref190693228"/>
      <w:r w:rsidRPr="0F1D33A4">
        <w:lastRenderedPageBreak/>
        <w:t xml:space="preserve">The resubmission maintained a difference in pre-progression utility that was treatment specific and favourable to ruxolitinib. The resubmission supported this assumption with data from both the RESPONSE and RESPONSE-2 trials. </w:t>
      </w:r>
      <w:r w:rsidR="53E36CFF" w:rsidRPr="0F1D33A4">
        <w:t>Regarding the previous submission</w:t>
      </w:r>
      <w:r w:rsidRPr="0F1D33A4">
        <w:t xml:space="preserve">, ESC </w:t>
      </w:r>
      <w:r w:rsidR="005B5295" w:rsidRPr="0F1D33A4">
        <w:t xml:space="preserve">had </w:t>
      </w:r>
      <w:r w:rsidRPr="0F1D33A4">
        <w:t xml:space="preserve">considered it to be unclear why ruxolitinib responders would have an improvement in QoL over BAT responders and </w:t>
      </w:r>
      <w:r w:rsidR="009C2E21" w:rsidRPr="0F1D33A4">
        <w:t xml:space="preserve">had </w:t>
      </w:r>
      <w:r w:rsidRPr="0F1D33A4">
        <w:t xml:space="preserve">considered the application of this assumption in the model to be poorly justified (para 6.54, </w:t>
      </w:r>
      <w:r w:rsidR="027C3215" w:rsidRPr="0F1D33A4">
        <w:t>r</w:t>
      </w:r>
      <w:r w:rsidRPr="0F1D33A4">
        <w:t>uxolitinib</w:t>
      </w:r>
      <w:r w:rsidR="027C3215" w:rsidRPr="0F1D33A4">
        <w:t>,</w:t>
      </w:r>
      <w:r w:rsidRPr="0F1D33A4">
        <w:t xml:space="preserve"> PSD, November 2019 PBAC meeting). The resubmission included additional information of mean utility values from both the RESPONSE and RESPONSE-2 trials that showed little difference between responders and non-responders, but did appear to demonstrate a small difference between ruxolitinib and BAT. In the RESPONSE trial the mean utilities in the ruxolitinib arm and the BAT arm were 0.80 and 0.69 respectively. In the RESPONSE-2 trial the respective mean utility values (applied in the base case) were 0.82 and 0.74. The </w:t>
      </w:r>
      <w:r w:rsidR="5395E3DF" w:rsidRPr="0F1D33A4">
        <w:t xml:space="preserve">evaluation considered the </w:t>
      </w:r>
      <w:r w:rsidRPr="0F1D33A4">
        <w:t>justification provided by the resubmission appear</w:t>
      </w:r>
      <w:r w:rsidR="5395E3DF" w:rsidRPr="0F1D33A4">
        <w:t>ed</w:t>
      </w:r>
      <w:r w:rsidRPr="0F1D33A4">
        <w:t xml:space="preserve"> reasonable; however, uncertainty remain</w:t>
      </w:r>
      <w:r w:rsidR="5395E3DF" w:rsidRPr="0F1D33A4">
        <w:t>ed</w:t>
      </w:r>
      <w:r w:rsidRPr="0F1D33A4">
        <w:t xml:space="preserve"> due to placebo effects and performance bias as the RESPONSE trials were unblinded and QoL was self-reported. Furthermore, the resubmission did not present standard deviations for mean utilities. </w:t>
      </w:r>
      <w:r w:rsidR="1F931A88" w:rsidRPr="00946411">
        <w:t>The ESC agreed with the evaluator that the assumption of a difference in pre-progression utility remained uncertain due to the limitations in the evidence base.</w:t>
      </w:r>
      <w:r w:rsidR="1F931A88" w:rsidRPr="0F1D33A4">
        <w:rPr>
          <w:i/>
          <w:iCs/>
        </w:rPr>
        <w:t xml:space="preserve"> </w:t>
      </w:r>
      <w:r w:rsidRPr="0F1D33A4">
        <w:t xml:space="preserve">The </w:t>
      </w:r>
      <w:r w:rsidR="1F931A88" w:rsidRPr="00946411">
        <w:t>ESC noted the</w:t>
      </w:r>
      <w:r w:rsidR="1F931A88" w:rsidRPr="0F1D33A4">
        <w:rPr>
          <w:i/>
          <w:iCs/>
        </w:rPr>
        <w:t xml:space="preserve"> </w:t>
      </w:r>
      <w:r w:rsidRPr="0F1D33A4">
        <w:t xml:space="preserve">model was highly sensitive to these utility values, when the mean utility value for ruxolitinib was applied in both arms the ICER increased from </w:t>
      </w:r>
      <w:r w:rsidR="005C3253" w:rsidRPr="005C3253">
        <w:t xml:space="preserve">$55,000 to &lt; $75,000 </w:t>
      </w:r>
      <w:r w:rsidRPr="0F1D33A4">
        <w:t xml:space="preserve">per QALY gained to </w:t>
      </w:r>
      <w:r w:rsidR="00174110" w:rsidRPr="00174110">
        <w:t>$75,000 to &lt; $95,000</w:t>
      </w:r>
      <w:r w:rsidR="00174110" w:rsidRPr="00174110" w:rsidDel="00174110">
        <w:t xml:space="preserve"> </w:t>
      </w:r>
      <w:r w:rsidRPr="0F1D33A4">
        <w:t>(+</w:t>
      </w:r>
      <w:r w:rsidR="009309CC" w:rsidRPr="00C0236C">
        <w:rPr>
          <w:color w:val="000000"/>
          <w:w w:val="15"/>
          <w:shd w:val="solid" w:color="000000" w:fill="000000"/>
          <w:fitText w:val="-20" w:id="-683986169"/>
          <w14:textFill>
            <w14:solidFill>
              <w14:srgbClr w14:val="000000">
                <w14:alpha w14:val="100000"/>
              </w14:srgbClr>
            </w14:solidFill>
          </w14:textFill>
        </w:rPr>
        <w:t xml:space="preserve">|  </w:t>
      </w:r>
      <w:r w:rsidR="009309CC" w:rsidRPr="00C0236C">
        <w:rPr>
          <w:color w:val="000000"/>
          <w:spacing w:val="-69"/>
          <w:w w:val="15"/>
          <w:shd w:val="solid" w:color="000000" w:fill="000000"/>
          <w:fitText w:val="-20" w:id="-683986169"/>
          <w14:textFill>
            <w14:solidFill>
              <w14:srgbClr w14:val="000000">
                <w14:alpha w14:val="100000"/>
              </w14:srgbClr>
            </w14:solidFill>
          </w14:textFill>
        </w:rPr>
        <w:t>|</w:t>
      </w:r>
      <w:r w:rsidRPr="0F1D33A4">
        <w:t>%).</w:t>
      </w:r>
      <w:bookmarkEnd w:id="78"/>
      <w:r w:rsidRPr="0F1D33A4">
        <w:t xml:space="preserve"> </w:t>
      </w:r>
    </w:p>
    <w:p w14:paraId="5FFE1A0F" w14:textId="0052C1BA" w:rsidR="008975CB" w:rsidRDefault="008975CB" w:rsidP="00953620">
      <w:pPr>
        <w:pStyle w:val="3-BodyText"/>
      </w:pPr>
      <w:r w:rsidRPr="0F1D33A4">
        <w:t xml:space="preserve">The economic model applied a per cycle AE cost for BAT ($189) that is more than </w:t>
      </w:r>
      <w:r w:rsidR="00E17D72">
        <w:t>&lt;</w:t>
      </w:r>
      <w:r w:rsidR="00211DA4">
        <w:t>500</w:t>
      </w:r>
      <w:r w:rsidR="00E17D72" w:rsidRPr="0F1D33A4">
        <w:t xml:space="preserve"> </w:t>
      </w:r>
      <w:r w:rsidRPr="0F1D33A4">
        <w:t>times larger than for ruxolitinib ($</w:t>
      </w:r>
      <w:r w:rsidR="00A268DC" w:rsidRPr="00C0236C">
        <w:rPr>
          <w:color w:val="000000"/>
          <w:w w:val="15"/>
          <w:shd w:val="solid" w:color="000000" w:fill="000000"/>
          <w:fitText w:val="-20" w:id="-694973688"/>
          <w14:textFill>
            <w14:solidFill>
              <w14:srgbClr w14:val="000000">
                <w14:alpha w14:val="100000"/>
              </w14:srgbClr>
            </w14:solidFill>
          </w14:textFill>
        </w:rPr>
        <w:t>|</w:t>
      </w:r>
      <w:r w:rsidR="00F87B86" w:rsidRPr="00C0236C">
        <w:rPr>
          <w:color w:val="000000"/>
          <w:w w:val="15"/>
          <w:shd w:val="solid" w:color="000000" w:fill="000000"/>
          <w:fitText w:val="-20" w:id="-694973688"/>
          <w14:textFill>
            <w14:solidFill>
              <w14:srgbClr w14:val="000000">
                <w14:alpha w14:val="100000"/>
              </w14:srgbClr>
            </w14:solidFill>
          </w14:textFill>
        </w:rPr>
        <w:t xml:space="preserve"> </w:t>
      </w:r>
      <w:r w:rsidR="00A268DC" w:rsidRPr="00C0236C">
        <w:rPr>
          <w:color w:val="000000"/>
          <w:spacing w:val="-61"/>
          <w:w w:val="15"/>
          <w:shd w:val="solid" w:color="000000" w:fill="000000"/>
          <w:fitText w:val="-20" w:id="-694973688"/>
          <w14:textFill>
            <w14:solidFill>
              <w14:srgbClr w14:val="000000">
                <w14:alpha w14:val="100000"/>
              </w14:srgbClr>
            </w14:solidFill>
          </w14:textFill>
        </w:rPr>
        <w:t>|</w:t>
      </w:r>
      <w:r w:rsidRPr="0F1D33A4">
        <w:t xml:space="preserve">). The per cycle disutility applied while on BAT was 7 times larger than while on ruxolitinib (disutility values of -0.000105 and -0.000015 respectively). The resubmission did not provide a clear justification to support this difference. </w:t>
      </w:r>
      <w:r w:rsidR="00DF66C5" w:rsidRPr="0F1D33A4">
        <w:t>M</w:t>
      </w:r>
      <w:r w:rsidRPr="0F1D33A4">
        <w:t>anagement of AEs was the largest cost offset</w:t>
      </w:r>
      <w:r w:rsidR="009D30BF" w:rsidRPr="0F1D33A4">
        <w:t xml:space="preserve"> apart from treatment costs</w:t>
      </w:r>
      <w:r w:rsidRPr="0F1D33A4">
        <w:t>. It is unclear what contribute</w:t>
      </w:r>
      <w:r w:rsidR="006E1B83" w:rsidRPr="0F1D33A4">
        <w:t>d</w:t>
      </w:r>
      <w:r w:rsidRPr="0F1D33A4">
        <w:t xml:space="preserve"> to the large cost of managing AEs in the BAT arm compared to ruxolitinib. Concerns in the approach to costing AEs </w:t>
      </w:r>
      <w:r w:rsidR="001D3354" w:rsidRPr="0F1D33A4">
        <w:t>were also evident</w:t>
      </w:r>
      <w:r w:rsidR="009F0159" w:rsidRPr="0F1D33A4">
        <w:t xml:space="preserve"> </w:t>
      </w:r>
      <w:r w:rsidRPr="0F1D33A4">
        <w:t>(</w:t>
      </w:r>
      <w:r w:rsidR="001D3354" w:rsidRPr="0F1D33A4">
        <w:t>some AE costs, such as those reported for fatigue, appeared overestimated</w:t>
      </w:r>
      <w:r w:rsidRPr="0F1D33A4">
        <w:t xml:space="preserve">) and the </w:t>
      </w:r>
      <w:r w:rsidR="009F0159" w:rsidRPr="0F1D33A4">
        <w:t xml:space="preserve">evaluation considered the </w:t>
      </w:r>
      <w:r w:rsidRPr="0F1D33A4">
        <w:t>large offset observed d</w:t>
      </w:r>
      <w:r w:rsidR="006E1B83" w:rsidRPr="0F1D33A4">
        <w:t>id</w:t>
      </w:r>
      <w:r w:rsidRPr="0F1D33A4">
        <w:t xml:space="preserve"> not align with the clinical evidence which reported </w:t>
      </w:r>
      <w:r w:rsidR="00FB72E5" w:rsidRPr="0F1D33A4">
        <w:t>similar proportions of</w:t>
      </w:r>
      <w:r w:rsidRPr="0F1D33A4">
        <w:t xml:space="preserve"> Grade ≥3 and serious AEs </w:t>
      </w:r>
      <w:r w:rsidR="00FB72E5" w:rsidRPr="0F1D33A4">
        <w:t>across treatment arms</w:t>
      </w:r>
      <w:r w:rsidRPr="0F1D33A4">
        <w:t xml:space="preserve"> (</w:t>
      </w:r>
      <w:r>
        <w:fldChar w:fldCharType="begin" w:fldLock="1"/>
      </w:r>
      <w:r>
        <w:instrText xml:space="preserve"> REF _Ref184830173 \h  \* MERGEFORMAT </w:instrText>
      </w:r>
      <w:r>
        <w:fldChar w:fldCharType="separate"/>
      </w:r>
      <w:r w:rsidR="00CF6E5F" w:rsidRPr="00CF6E5F">
        <w:t xml:space="preserve">Table </w:t>
      </w:r>
      <w:r w:rsidR="00CF6E5F" w:rsidRPr="00CF6E5F">
        <w:rPr>
          <w:noProof/>
        </w:rPr>
        <w:t>11</w:t>
      </w:r>
      <w:r>
        <w:fldChar w:fldCharType="end"/>
      </w:r>
      <w:r w:rsidRPr="0F1D33A4">
        <w:t xml:space="preserve">). </w:t>
      </w:r>
      <w:r w:rsidR="00C1259A" w:rsidRPr="0F1D33A4">
        <w:t>When</w:t>
      </w:r>
      <w:r w:rsidRPr="0F1D33A4">
        <w:t xml:space="preserve"> AEs were turned off in the model (i.e. incidence = 0%) the ICER increased from </w:t>
      </w:r>
      <w:r w:rsidR="001E7589" w:rsidRPr="001E7589">
        <w:t xml:space="preserve">$55,000 to &lt; $75,000 </w:t>
      </w:r>
      <w:r w:rsidRPr="0F1D33A4">
        <w:t xml:space="preserve">per QALY gained to </w:t>
      </w:r>
      <w:r w:rsidR="001E7589" w:rsidRPr="001E7589">
        <w:t xml:space="preserve">$55,000 to &lt; $75,000 </w:t>
      </w:r>
      <w:r w:rsidRPr="0F1D33A4">
        <w:t>(+</w:t>
      </w:r>
      <w:r w:rsidR="009309CC" w:rsidRPr="00C0236C">
        <w:rPr>
          <w:color w:val="000000"/>
          <w:w w:val="15"/>
          <w:shd w:val="solid" w:color="000000" w:fill="000000"/>
          <w:fitText w:val="-20" w:id="-683986168"/>
          <w14:textFill>
            <w14:solidFill>
              <w14:srgbClr w14:val="000000">
                <w14:alpha w14:val="100000"/>
              </w14:srgbClr>
            </w14:solidFill>
          </w14:textFill>
        </w:rPr>
        <w:t xml:space="preserve">|  </w:t>
      </w:r>
      <w:r w:rsidR="009309CC" w:rsidRPr="00C0236C">
        <w:rPr>
          <w:color w:val="000000"/>
          <w:spacing w:val="-69"/>
          <w:w w:val="15"/>
          <w:shd w:val="solid" w:color="000000" w:fill="000000"/>
          <w:fitText w:val="-20" w:id="-683986168"/>
          <w14:textFill>
            <w14:solidFill>
              <w14:srgbClr w14:val="000000">
                <w14:alpha w14:val="100000"/>
              </w14:srgbClr>
            </w14:solidFill>
          </w14:textFill>
        </w:rPr>
        <w:t>|</w:t>
      </w:r>
      <w:r w:rsidRPr="0F1D33A4">
        <w:t>%).</w:t>
      </w:r>
    </w:p>
    <w:p w14:paraId="4FEB47C6" w14:textId="77777777" w:rsidR="003D210D" w:rsidRDefault="003D210D">
      <w:pPr>
        <w:jc w:val="left"/>
        <w:rPr>
          <w:rFonts w:asciiTheme="minorHAnsi" w:eastAsiaTheme="minorHAnsi" w:hAnsiTheme="minorHAnsi" w:cstheme="minorBidi"/>
          <w:szCs w:val="22"/>
        </w:rPr>
      </w:pPr>
      <w:r>
        <w:br w:type="page"/>
      </w:r>
    </w:p>
    <w:p w14:paraId="45756224" w14:textId="296CD9C6" w:rsidR="002410C7" w:rsidRPr="00B1629A" w:rsidRDefault="008975CB" w:rsidP="00B1629A">
      <w:pPr>
        <w:pStyle w:val="3-BodyText"/>
        <w:rPr>
          <w:rFonts w:cstheme="minorHAnsi"/>
          <w:szCs w:val="24"/>
        </w:rPr>
      </w:pPr>
      <w:r w:rsidRPr="006124A7">
        <w:lastRenderedPageBreak/>
        <w:t xml:space="preserve">Key drivers of the model are presented in </w:t>
      </w:r>
      <w:r w:rsidRPr="006124A7">
        <w:rPr>
          <w:rFonts w:cstheme="minorHAnsi"/>
          <w:szCs w:val="24"/>
        </w:rPr>
        <w:fldChar w:fldCharType="begin" w:fldLock="1"/>
      </w:r>
      <w:r w:rsidRPr="006124A7">
        <w:rPr>
          <w:rFonts w:cstheme="minorHAnsi"/>
          <w:szCs w:val="24"/>
        </w:rPr>
        <w:instrText xml:space="preserve"> REF _Ref185226387 \h </w:instrText>
      </w:r>
      <w:r w:rsidR="006F0AE9" w:rsidRPr="006124A7">
        <w:rPr>
          <w:rFonts w:cstheme="minorHAnsi"/>
          <w:szCs w:val="24"/>
        </w:rPr>
        <w:instrText xml:space="preserve"> \* MERGEFORMAT </w:instrText>
      </w:r>
      <w:r w:rsidRPr="006124A7">
        <w:rPr>
          <w:rFonts w:cstheme="minorHAnsi"/>
          <w:szCs w:val="24"/>
        </w:rPr>
      </w:r>
      <w:r w:rsidRPr="006124A7">
        <w:rPr>
          <w:rFonts w:cstheme="minorHAnsi"/>
          <w:szCs w:val="24"/>
        </w:rPr>
        <w:fldChar w:fldCharType="separate"/>
      </w:r>
      <w:r w:rsidRPr="006124A7" w:rsidDel="0096555B">
        <w:rPr>
          <w:rFonts w:cstheme="minorHAnsi"/>
          <w:szCs w:val="24"/>
        </w:rPr>
        <w:t xml:space="preserve">Table </w:t>
      </w:r>
      <w:r w:rsidRPr="006124A7" w:rsidDel="0096555B">
        <w:rPr>
          <w:rFonts w:cstheme="minorHAnsi"/>
          <w:noProof/>
          <w:szCs w:val="24"/>
        </w:rPr>
        <w:t>14</w:t>
      </w:r>
      <w:r w:rsidRPr="006124A7">
        <w:rPr>
          <w:rFonts w:cstheme="minorHAnsi"/>
          <w:szCs w:val="24"/>
        </w:rPr>
        <w:fldChar w:fldCharType="end"/>
      </w:r>
      <w:r w:rsidRPr="006F0AE9">
        <w:rPr>
          <w:rFonts w:cstheme="minorHAnsi"/>
          <w:szCs w:val="24"/>
        </w:rPr>
        <w:t>.</w:t>
      </w:r>
    </w:p>
    <w:tbl>
      <w:tblPr>
        <w:tblpPr w:leftFromText="180" w:rightFromText="180" w:vertAnchor="text" w:horzAnchor="margin" w:tblpY="2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4: Key drivers of the model"/>
      </w:tblPr>
      <w:tblGrid>
        <w:gridCol w:w="1129"/>
        <w:gridCol w:w="5104"/>
        <w:gridCol w:w="2784"/>
      </w:tblGrid>
      <w:tr w:rsidR="00C265A2" w:rsidRPr="006124A7" w14:paraId="7340B5F0" w14:textId="77777777" w:rsidTr="00C265A2">
        <w:trPr>
          <w:tblHeader/>
        </w:trPr>
        <w:tc>
          <w:tcPr>
            <w:tcW w:w="626" w:type="pct"/>
            <w:shd w:val="clear" w:color="auto" w:fill="auto"/>
          </w:tcPr>
          <w:p w14:paraId="2BB93A87" w14:textId="77777777" w:rsidR="00C265A2" w:rsidRPr="006124A7" w:rsidRDefault="00C265A2" w:rsidP="00C265A2">
            <w:pPr>
              <w:keepNext/>
              <w:keepLines/>
              <w:jc w:val="left"/>
              <w:rPr>
                <w:rFonts w:ascii="Arial Narrow" w:eastAsiaTheme="majorEastAsia" w:hAnsi="Arial Narrow" w:cs="Times New Roman"/>
                <w:b/>
                <w:sz w:val="20"/>
                <w:lang w:val="en-US"/>
              </w:rPr>
            </w:pPr>
            <w:bookmarkStart w:id="79" w:name="_Ref185226387"/>
            <w:r w:rsidRPr="006124A7">
              <w:rPr>
                <w:rFonts w:ascii="Arial Narrow" w:eastAsiaTheme="majorEastAsia" w:hAnsi="Arial Narrow" w:cs="Times New Roman"/>
                <w:b/>
                <w:sz w:val="20"/>
                <w:lang w:val="en-US"/>
              </w:rPr>
              <w:t>Description</w:t>
            </w:r>
          </w:p>
        </w:tc>
        <w:tc>
          <w:tcPr>
            <w:tcW w:w="2830" w:type="pct"/>
            <w:shd w:val="clear" w:color="auto" w:fill="auto"/>
          </w:tcPr>
          <w:p w14:paraId="7C07181E" w14:textId="77777777" w:rsidR="00C265A2" w:rsidRPr="006124A7" w:rsidRDefault="00C265A2" w:rsidP="00C265A2">
            <w:pPr>
              <w:keepNext/>
              <w:keepLines/>
              <w:jc w:val="left"/>
              <w:rPr>
                <w:rFonts w:ascii="Arial Narrow" w:eastAsiaTheme="majorEastAsia" w:hAnsi="Arial Narrow" w:cs="Times New Roman"/>
                <w:b/>
                <w:sz w:val="20"/>
                <w:lang w:val="en-US"/>
              </w:rPr>
            </w:pPr>
            <w:r w:rsidRPr="006124A7">
              <w:rPr>
                <w:rFonts w:ascii="Arial Narrow" w:eastAsiaTheme="majorEastAsia" w:hAnsi="Arial Narrow" w:cs="Times New Roman"/>
                <w:b/>
                <w:sz w:val="20"/>
                <w:lang w:val="en-US"/>
              </w:rPr>
              <w:t>Method/Value</w:t>
            </w:r>
          </w:p>
        </w:tc>
        <w:tc>
          <w:tcPr>
            <w:tcW w:w="1544" w:type="pct"/>
            <w:shd w:val="clear" w:color="auto" w:fill="auto"/>
          </w:tcPr>
          <w:p w14:paraId="37353740" w14:textId="77777777" w:rsidR="00C265A2" w:rsidRPr="006124A7" w:rsidRDefault="00C265A2" w:rsidP="00C265A2">
            <w:pPr>
              <w:keepNext/>
              <w:keepLines/>
              <w:jc w:val="left"/>
              <w:rPr>
                <w:rFonts w:ascii="Arial Narrow" w:eastAsiaTheme="majorEastAsia" w:hAnsi="Arial Narrow" w:cs="Times New Roman"/>
                <w:b/>
                <w:sz w:val="20"/>
                <w:lang w:val="en-US"/>
              </w:rPr>
            </w:pPr>
            <w:r w:rsidRPr="006124A7">
              <w:rPr>
                <w:rFonts w:ascii="Arial Narrow" w:eastAsiaTheme="majorEastAsia" w:hAnsi="Arial Narrow" w:cs="Times New Roman"/>
                <w:b/>
                <w:sz w:val="20"/>
                <w:lang w:val="en-US"/>
              </w:rPr>
              <w:t>Impact</w:t>
            </w:r>
          </w:p>
          <w:p w14:paraId="0F9571F0" w14:textId="77777777" w:rsidR="00C265A2" w:rsidRPr="006124A7" w:rsidRDefault="00C265A2" w:rsidP="00C265A2">
            <w:pPr>
              <w:keepNext/>
              <w:keepLines/>
              <w:jc w:val="left"/>
              <w:rPr>
                <w:rFonts w:ascii="Arial Narrow" w:eastAsiaTheme="majorEastAsia" w:hAnsi="Arial Narrow" w:cs="Times New Roman"/>
                <w:b/>
                <w:sz w:val="20"/>
                <w:lang w:val="en-US"/>
              </w:rPr>
            </w:pPr>
            <w:r w:rsidRPr="006124A7">
              <w:rPr>
                <w:rFonts w:ascii="Arial Narrow" w:eastAsiaTheme="majorEastAsia" w:hAnsi="Arial Narrow" w:cs="Times New Roman"/>
                <w:b/>
                <w:sz w:val="20"/>
                <w:lang w:val="en-US"/>
              </w:rPr>
              <w:t>Base case:</w:t>
            </w:r>
            <w:r>
              <w:rPr>
                <w:rFonts w:ascii="Arial Narrow" w:eastAsiaTheme="majorEastAsia" w:hAnsi="Arial Narrow" w:cs="Times New Roman"/>
                <w:b/>
                <w:sz w:val="20"/>
                <w:lang w:val="en-US"/>
              </w:rPr>
              <w:t xml:space="preserve"> </w:t>
            </w:r>
            <w:r w:rsidRPr="00C265A2">
              <w:rPr>
                <w:rFonts w:ascii="Arial Narrow" w:eastAsiaTheme="majorEastAsia" w:hAnsi="Arial Narrow" w:cs="Times New Roman"/>
                <w:b/>
                <w:color w:val="000000"/>
                <w:spacing w:val="67"/>
                <w:w w:val="85"/>
                <w:sz w:val="20"/>
                <w:shd w:val="solid" w:color="000000" w:fill="000000"/>
                <w:fitText w:val="360" w:id="-683987456"/>
                <w:lang w:val="en-US"/>
                <w14:textFill>
                  <w14:solidFill>
                    <w14:srgbClr w14:val="000000">
                      <w14:alpha w14:val="100000"/>
                    </w14:srgbClr>
                  </w14:solidFill>
                </w14:textFill>
              </w:rPr>
              <w:t>|||</w:t>
            </w:r>
            <w:r w:rsidRPr="00C265A2">
              <w:rPr>
                <w:rFonts w:ascii="Arial Narrow" w:eastAsiaTheme="majorEastAsia" w:hAnsi="Arial Narrow" w:cs="Times New Roman"/>
                <w:b/>
                <w:color w:val="000000"/>
                <w:spacing w:val="3"/>
                <w:w w:val="85"/>
                <w:sz w:val="20"/>
                <w:shd w:val="solid" w:color="000000" w:fill="000000"/>
                <w:fitText w:val="360" w:id="-683987456"/>
                <w:lang w:val="en-US"/>
                <w14:textFill>
                  <w14:solidFill>
                    <w14:srgbClr w14:val="000000">
                      <w14:alpha w14:val="100000"/>
                    </w14:srgbClr>
                  </w14:solidFill>
                </w14:textFill>
              </w:rPr>
              <w:t>|</w:t>
            </w:r>
            <w:r w:rsidRPr="003969B7">
              <w:rPr>
                <w:rFonts w:ascii="Arial Narrow" w:eastAsiaTheme="majorEastAsia" w:hAnsi="Arial Narrow" w:cs="Times New Roman"/>
                <w:b/>
                <w:sz w:val="20"/>
                <w:vertAlign w:val="superscript"/>
                <w:lang w:val="en-US"/>
              </w:rPr>
              <w:t>1</w:t>
            </w:r>
            <w:r w:rsidRPr="006124A7">
              <w:rPr>
                <w:rFonts w:ascii="Arial Narrow" w:eastAsiaTheme="majorEastAsia" w:hAnsi="Arial Narrow" w:cs="Times New Roman"/>
                <w:b/>
                <w:sz w:val="20"/>
                <w:lang w:val="en-US"/>
              </w:rPr>
              <w:t>/QALY gained</w:t>
            </w:r>
            <w:r w:rsidRPr="006124A7">
              <w:rPr>
                <w:rFonts w:ascii="Arial Narrow" w:eastAsiaTheme="majorEastAsia" w:hAnsi="Arial Narrow" w:cs="Times New Roman"/>
                <w:b/>
                <w:color w:val="3366FF"/>
                <w:sz w:val="20"/>
                <w:lang w:val="en-US"/>
              </w:rPr>
              <w:t>.</w:t>
            </w:r>
          </w:p>
        </w:tc>
      </w:tr>
      <w:tr w:rsidR="00C265A2" w:rsidRPr="006124A7" w14:paraId="5D74ABAA" w14:textId="77777777" w:rsidTr="00C265A2">
        <w:tc>
          <w:tcPr>
            <w:tcW w:w="626" w:type="pct"/>
            <w:shd w:val="clear" w:color="auto" w:fill="auto"/>
          </w:tcPr>
          <w:p w14:paraId="1490A968" w14:textId="77777777" w:rsidR="00C265A2" w:rsidRPr="006124A7" w:rsidRDefault="00C265A2" w:rsidP="00C265A2">
            <w:pPr>
              <w:keepNext/>
              <w:keepLines/>
              <w:jc w:val="left"/>
              <w:rPr>
                <w:rFonts w:ascii="Arial Narrow" w:eastAsiaTheme="majorEastAsia" w:hAnsi="Arial Narrow" w:cstheme="majorBidi"/>
                <w:bCs/>
                <w:sz w:val="20"/>
              </w:rPr>
            </w:pPr>
            <w:r w:rsidRPr="006124A7">
              <w:rPr>
                <w:rFonts w:ascii="Arial Narrow" w:eastAsiaTheme="majorEastAsia" w:hAnsi="Arial Narrow" w:cstheme="majorBidi"/>
                <w:bCs/>
                <w:sz w:val="20"/>
              </w:rPr>
              <w:t>Progression</w:t>
            </w:r>
            <w:r>
              <w:rPr>
                <w:rFonts w:ascii="Arial Narrow" w:eastAsiaTheme="majorEastAsia" w:hAnsi="Arial Narrow" w:cstheme="majorBidi"/>
                <w:bCs/>
                <w:sz w:val="20"/>
              </w:rPr>
              <w:t>-</w:t>
            </w:r>
            <w:r w:rsidRPr="006124A7">
              <w:rPr>
                <w:rFonts w:ascii="Arial Narrow" w:eastAsiaTheme="majorEastAsia" w:hAnsi="Arial Narrow" w:cstheme="majorBidi"/>
                <w:bCs/>
                <w:sz w:val="20"/>
              </w:rPr>
              <w:t>free survival</w:t>
            </w:r>
          </w:p>
        </w:tc>
        <w:tc>
          <w:tcPr>
            <w:tcW w:w="2830" w:type="pct"/>
            <w:shd w:val="clear" w:color="auto" w:fill="auto"/>
          </w:tcPr>
          <w:p w14:paraId="0CBFBFF2" w14:textId="77777777" w:rsidR="00C265A2" w:rsidRPr="006124A7" w:rsidRDefault="00C265A2" w:rsidP="00C265A2">
            <w:pPr>
              <w:keepNext/>
              <w:keepLines/>
              <w:jc w:val="left"/>
              <w:rPr>
                <w:rFonts w:ascii="Arial Narrow" w:eastAsiaTheme="majorEastAsia" w:hAnsi="Arial Narrow" w:cstheme="majorBidi"/>
                <w:sz w:val="20"/>
                <w:szCs w:val="20"/>
              </w:rPr>
            </w:pPr>
            <w:r w:rsidRPr="0F1D33A4">
              <w:rPr>
                <w:rFonts w:ascii="Arial Narrow" w:eastAsiaTheme="majorEastAsia" w:hAnsi="Arial Narrow" w:cstheme="majorBidi"/>
                <w:sz w:val="20"/>
                <w:szCs w:val="20"/>
              </w:rPr>
              <w:t xml:space="preserve">Difference in PFS was based on the rate of progression events in the MAJIC trial. Time to event data from Szuber et al. (2019) was used to establish KM data for the 5 year period of the trial. An extrapolation function was applied to these KM estimates to estimate the progression events between years 5 and 20. </w:t>
            </w:r>
          </w:p>
          <w:p w14:paraId="33334D21" w14:textId="77777777" w:rsidR="00C265A2" w:rsidRPr="006124A7" w:rsidRDefault="00C265A2" w:rsidP="00C265A2">
            <w:pPr>
              <w:keepNext/>
              <w:keepLines/>
              <w:jc w:val="left"/>
              <w:rPr>
                <w:rFonts w:ascii="Arial Narrow" w:eastAsiaTheme="majorEastAsia" w:hAnsi="Arial Narrow" w:cstheme="majorBidi"/>
                <w:bCs/>
                <w:sz w:val="20"/>
              </w:rPr>
            </w:pPr>
            <w:r w:rsidRPr="006124A7">
              <w:rPr>
                <w:rFonts w:ascii="Arial Narrow" w:eastAsiaTheme="majorEastAsia" w:hAnsi="Arial Narrow" w:cstheme="majorBidi"/>
                <w:bCs/>
                <w:sz w:val="20"/>
              </w:rPr>
              <w:t xml:space="preserve"> </w:t>
            </w:r>
          </w:p>
          <w:p w14:paraId="5222B6E4" w14:textId="77777777" w:rsidR="00C265A2" w:rsidRPr="006124A7" w:rsidRDefault="00C265A2" w:rsidP="00C265A2">
            <w:pPr>
              <w:keepNext/>
              <w:keepLines/>
              <w:jc w:val="left"/>
              <w:rPr>
                <w:rFonts w:ascii="Arial Narrow" w:eastAsiaTheme="majorEastAsia" w:hAnsi="Arial Narrow" w:cstheme="majorBidi"/>
                <w:sz w:val="20"/>
                <w:szCs w:val="20"/>
              </w:rPr>
            </w:pPr>
            <w:r w:rsidRPr="0910F2D2">
              <w:rPr>
                <w:rFonts w:ascii="Arial Narrow" w:eastAsiaTheme="majorEastAsia" w:hAnsi="Arial Narrow" w:cstheme="majorBidi"/>
                <w:sz w:val="20"/>
                <w:szCs w:val="20"/>
              </w:rPr>
              <w:t xml:space="preserve">This assumption was highly uncertain and not adequately supported by the clinical data. The MAJIC trial showed point estimate improvement for ruxolitinib compared to BAT however the confidence intervals were wide and crossed 1 (HR 0.64; 95%CI 0.35, 1.14). Furthermore, the resubmission claimed that the number of AML/MDS events (n=1) in the BAT arm of the MAJIC trial was artificially low, and therefore applied an adjustment based on the ratio of AML/MDS to MF events in the literature of 0.39. The adjustment was favourable to the intervention. </w:t>
            </w:r>
          </w:p>
        </w:tc>
        <w:tc>
          <w:tcPr>
            <w:tcW w:w="1544" w:type="pct"/>
            <w:shd w:val="clear" w:color="auto" w:fill="auto"/>
          </w:tcPr>
          <w:p w14:paraId="18CF22BF" w14:textId="0388AB0C" w:rsidR="00C265A2" w:rsidRPr="006124A7" w:rsidRDefault="00C265A2" w:rsidP="00C265A2">
            <w:pPr>
              <w:keepNext/>
              <w:keepLines/>
              <w:jc w:val="left"/>
              <w:rPr>
                <w:rFonts w:ascii="Arial Narrow" w:eastAsiaTheme="majorEastAsia" w:hAnsi="Arial Narrow" w:cstheme="majorBidi"/>
                <w:sz w:val="20"/>
                <w:szCs w:val="20"/>
              </w:rPr>
            </w:pPr>
            <w:r w:rsidRPr="0F1D33A4">
              <w:rPr>
                <w:rFonts w:ascii="Arial Narrow" w:eastAsiaTheme="majorEastAsia" w:hAnsi="Arial Narrow" w:cstheme="majorBidi"/>
                <w:sz w:val="20"/>
                <w:szCs w:val="20"/>
              </w:rPr>
              <w:t>Very high, favours ruxolitinib. Removal of difference in PFS increased the ICER to $</w:t>
            </w:r>
            <w:r w:rsidRPr="009309CC">
              <w:rPr>
                <w:rFonts w:ascii="Arial Narrow" w:eastAsiaTheme="majorEastAsia" w:hAnsi="Arial Narrow" w:cstheme="majorBidi"/>
                <w:color w:val="000000"/>
                <w:spacing w:val="55"/>
                <w:w w:val="96"/>
                <w:sz w:val="20"/>
                <w:szCs w:val="20"/>
                <w:shd w:val="solid" w:color="000000" w:fill="000000"/>
                <w:fitText w:val="330" w:id="-683987455"/>
                <w14:textFill>
                  <w14:solidFill>
                    <w14:srgbClr w14:val="000000">
                      <w14:alpha w14:val="100000"/>
                    </w14:srgbClr>
                  </w14:solidFill>
                </w14:textFill>
              </w:rPr>
              <w:t>|||</w:t>
            </w:r>
            <w:r w:rsidRPr="009309CC">
              <w:rPr>
                <w:rFonts w:ascii="Arial Narrow" w:eastAsiaTheme="majorEastAsia" w:hAnsi="Arial Narrow" w:cstheme="majorBidi"/>
                <w:color w:val="000000"/>
                <w:spacing w:val="2"/>
                <w:w w:val="96"/>
                <w:sz w:val="20"/>
                <w:szCs w:val="20"/>
                <w:shd w:val="solid" w:color="000000" w:fill="000000"/>
                <w:fitText w:val="330" w:id="-683987455"/>
                <w14:textFill>
                  <w14:solidFill>
                    <w14:srgbClr w14:val="000000">
                      <w14:alpha w14:val="100000"/>
                    </w14:srgbClr>
                  </w14:solidFill>
                </w14:textFill>
              </w:rPr>
              <w:t>|</w:t>
            </w:r>
            <w:r w:rsidRPr="0F1D33A4">
              <w:rPr>
                <w:rFonts w:ascii="Arial Narrow" w:eastAsiaTheme="majorEastAsia" w:hAnsi="Arial Narrow" w:cstheme="majorBidi"/>
                <w:sz w:val="20"/>
                <w:szCs w:val="20"/>
              </w:rPr>
              <w:t xml:space="preserve"> </w:t>
            </w:r>
            <w:r w:rsidRPr="00C37AA6">
              <w:rPr>
                <w:rFonts w:ascii="Arial Narrow" w:eastAsiaTheme="majorEastAsia" w:hAnsi="Arial Narrow" w:cstheme="majorBidi"/>
                <w:sz w:val="20"/>
                <w:szCs w:val="20"/>
                <w:vertAlign w:val="superscript"/>
              </w:rPr>
              <w:t>2</w:t>
            </w:r>
            <w:r>
              <w:rPr>
                <w:rFonts w:ascii="Arial Narrow" w:eastAsiaTheme="majorEastAsia" w:hAnsi="Arial Narrow" w:cstheme="majorBidi"/>
                <w:sz w:val="20"/>
                <w:szCs w:val="20"/>
              </w:rPr>
              <w:t xml:space="preserve"> </w:t>
            </w:r>
            <w:r w:rsidRPr="0F1D33A4">
              <w:rPr>
                <w:rFonts w:ascii="Arial Narrow" w:eastAsiaTheme="majorEastAsia" w:hAnsi="Arial Narrow" w:cstheme="majorBidi"/>
                <w:sz w:val="20"/>
                <w:szCs w:val="20"/>
              </w:rPr>
              <w:t>(+</w:t>
            </w:r>
            <w:r w:rsidR="009309CC" w:rsidRPr="009309CC">
              <w:rPr>
                <w:rFonts w:ascii="Arial Narrow" w:eastAsiaTheme="majorEastAsia" w:hAnsi="Arial Narrow" w:cstheme="majorBidi"/>
                <w:color w:val="000000"/>
                <w:spacing w:val="53"/>
                <w:sz w:val="20"/>
                <w:szCs w:val="20"/>
                <w:shd w:val="solid" w:color="000000" w:fill="000000"/>
                <w:fitText w:val="330" w:id="-683986167"/>
                <w14:textFill>
                  <w14:solidFill>
                    <w14:srgbClr w14:val="000000">
                      <w14:alpha w14:val="100000"/>
                    </w14:srgbClr>
                  </w14:solidFill>
                </w14:textFill>
              </w:rPr>
              <w:t>|||</w:t>
            </w:r>
            <w:r w:rsidR="009309CC" w:rsidRPr="009309CC">
              <w:rPr>
                <w:rFonts w:ascii="Arial Narrow" w:eastAsiaTheme="majorEastAsia" w:hAnsi="Arial Narrow" w:cstheme="majorBidi"/>
                <w:color w:val="000000"/>
                <w:spacing w:val="1"/>
                <w:sz w:val="20"/>
                <w:szCs w:val="20"/>
                <w:shd w:val="solid" w:color="000000" w:fill="000000"/>
                <w:fitText w:val="330" w:id="-683986167"/>
                <w14:textFill>
                  <w14:solidFill>
                    <w14:srgbClr w14:val="000000">
                      <w14:alpha w14:val="100000"/>
                    </w14:srgbClr>
                  </w14:solidFill>
                </w14:textFill>
              </w:rPr>
              <w:t>|</w:t>
            </w:r>
            <w:r w:rsidRPr="0F1D33A4">
              <w:rPr>
                <w:rFonts w:ascii="Arial Narrow" w:eastAsiaTheme="majorEastAsia" w:hAnsi="Arial Narrow" w:cstheme="majorBidi"/>
                <w:sz w:val="20"/>
                <w:szCs w:val="20"/>
              </w:rPr>
              <w:t>%)</w:t>
            </w:r>
          </w:p>
        </w:tc>
      </w:tr>
      <w:tr w:rsidR="00C265A2" w:rsidRPr="006124A7" w14:paraId="5233573A" w14:textId="77777777" w:rsidTr="00C265A2">
        <w:tc>
          <w:tcPr>
            <w:tcW w:w="626" w:type="pct"/>
            <w:shd w:val="clear" w:color="auto" w:fill="auto"/>
          </w:tcPr>
          <w:p w14:paraId="5FEA6E06" w14:textId="77777777" w:rsidR="00C265A2" w:rsidRPr="006124A7" w:rsidRDefault="00C265A2" w:rsidP="00C265A2">
            <w:pPr>
              <w:keepNext/>
              <w:keepLines/>
              <w:jc w:val="left"/>
              <w:rPr>
                <w:rFonts w:ascii="Arial Narrow" w:eastAsiaTheme="majorEastAsia" w:hAnsi="Arial Narrow" w:cstheme="majorBidi"/>
                <w:bCs/>
                <w:sz w:val="20"/>
              </w:rPr>
            </w:pPr>
            <w:r w:rsidRPr="006124A7">
              <w:rPr>
                <w:rFonts w:ascii="Arial Narrow" w:eastAsiaTheme="majorEastAsia" w:hAnsi="Arial Narrow" w:cstheme="majorBidi"/>
                <w:bCs/>
                <w:sz w:val="20"/>
              </w:rPr>
              <w:t>Pre progression OS</w:t>
            </w:r>
          </w:p>
        </w:tc>
        <w:tc>
          <w:tcPr>
            <w:tcW w:w="2830" w:type="pct"/>
            <w:shd w:val="clear" w:color="auto" w:fill="auto"/>
          </w:tcPr>
          <w:p w14:paraId="3F8BD125" w14:textId="77777777" w:rsidR="00C265A2" w:rsidRPr="006124A7" w:rsidRDefault="00C265A2" w:rsidP="00C265A2">
            <w:pPr>
              <w:keepNext/>
              <w:keepLines/>
              <w:jc w:val="left"/>
              <w:rPr>
                <w:rFonts w:ascii="Arial Narrow" w:eastAsiaTheme="majorEastAsia" w:hAnsi="Arial Narrow" w:cstheme="majorBidi"/>
                <w:bCs/>
                <w:sz w:val="20"/>
              </w:rPr>
            </w:pPr>
            <w:r w:rsidRPr="006124A7">
              <w:rPr>
                <w:rFonts w:ascii="Arial Narrow" w:eastAsiaTheme="majorEastAsia" w:hAnsi="Arial Narrow" w:cstheme="majorBidi"/>
                <w:bCs/>
                <w:sz w:val="20"/>
              </w:rPr>
              <w:t xml:space="preserve">Difference in pre-progression OS was based on OS data from the MAJIC trial. </w:t>
            </w:r>
          </w:p>
          <w:p w14:paraId="71E340AB" w14:textId="77777777" w:rsidR="00C265A2" w:rsidRPr="006124A7" w:rsidRDefault="00C265A2" w:rsidP="00C265A2">
            <w:pPr>
              <w:keepNext/>
              <w:keepLines/>
              <w:jc w:val="left"/>
              <w:rPr>
                <w:rFonts w:ascii="Arial Narrow" w:eastAsiaTheme="majorEastAsia" w:hAnsi="Arial Narrow" w:cstheme="majorBidi"/>
                <w:bCs/>
                <w:sz w:val="20"/>
              </w:rPr>
            </w:pPr>
          </w:p>
          <w:p w14:paraId="3634E438" w14:textId="77777777" w:rsidR="00C265A2" w:rsidRPr="006124A7" w:rsidRDefault="00C265A2" w:rsidP="00C265A2">
            <w:pPr>
              <w:keepNext/>
              <w:keepLines/>
              <w:jc w:val="left"/>
              <w:rPr>
                <w:rFonts w:ascii="Arial Narrow" w:eastAsiaTheme="majorEastAsia" w:hAnsi="Arial Narrow" w:cstheme="majorBidi"/>
                <w:sz w:val="20"/>
                <w:szCs w:val="20"/>
              </w:rPr>
            </w:pPr>
            <w:r w:rsidRPr="0F1D33A4">
              <w:rPr>
                <w:rFonts w:ascii="Arial Narrow" w:eastAsiaTheme="majorEastAsia" w:hAnsi="Arial Narrow" w:cstheme="majorBidi"/>
                <w:sz w:val="20"/>
                <w:szCs w:val="20"/>
              </w:rPr>
              <w:t>Although the point estimate for OS favoured ruxolitinib (HR 0.73 95% CI 0.36 – 1.50), the results were uncertain as the confidence intervals were wide and crossed 1. It is unclear how the resubmission established the proportion of deaths that occurred in the pre progression health state. Without patient level data there is the potential that the difference in the proportion of death events may be partially attributable to the difference in MF and AML/MDS progression events.</w:t>
            </w:r>
          </w:p>
        </w:tc>
        <w:tc>
          <w:tcPr>
            <w:tcW w:w="1544" w:type="pct"/>
            <w:shd w:val="clear" w:color="auto" w:fill="auto"/>
          </w:tcPr>
          <w:p w14:paraId="26241B2D" w14:textId="77777777" w:rsidR="00C265A2" w:rsidRPr="006124A7" w:rsidRDefault="00C265A2" w:rsidP="00C265A2">
            <w:pPr>
              <w:keepNext/>
              <w:keepLines/>
              <w:jc w:val="left"/>
              <w:rPr>
                <w:rFonts w:ascii="Arial Narrow" w:eastAsiaTheme="majorEastAsia" w:hAnsi="Arial Narrow" w:cstheme="majorBidi"/>
                <w:sz w:val="20"/>
                <w:szCs w:val="20"/>
              </w:rPr>
            </w:pPr>
            <w:r w:rsidRPr="0910F2D2">
              <w:rPr>
                <w:rFonts w:ascii="Arial Narrow" w:eastAsiaTheme="majorEastAsia" w:hAnsi="Arial Narrow" w:cstheme="majorBidi"/>
                <w:sz w:val="20"/>
                <w:szCs w:val="20"/>
              </w:rPr>
              <w:t xml:space="preserve">High, favours ruxolitinib. </w:t>
            </w:r>
          </w:p>
        </w:tc>
      </w:tr>
      <w:tr w:rsidR="00C265A2" w:rsidRPr="006124A7" w14:paraId="64FCAB5D" w14:textId="77777777" w:rsidTr="00C265A2">
        <w:tc>
          <w:tcPr>
            <w:tcW w:w="626" w:type="pct"/>
            <w:shd w:val="clear" w:color="auto" w:fill="auto"/>
          </w:tcPr>
          <w:p w14:paraId="16A629A9" w14:textId="77777777" w:rsidR="00C265A2" w:rsidRPr="006124A7" w:rsidRDefault="00C265A2" w:rsidP="00C265A2">
            <w:pPr>
              <w:keepNext/>
              <w:keepLines/>
              <w:jc w:val="left"/>
              <w:rPr>
                <w:rFonts w:ascii="Arial Narrow" w:eastAsiaTheme="majorEastAsia" w:hAnsi="Arial Narrow" w:cstheme="majorBidi"/>
                <w:bCs/>
                <w:sz w:val="20"/>
              </w:rPr>
            </w:pPr>
            <w:r w:rsidRPr="006124A7">
              <w:rPr>
                <w:rFonts w:ascii="Arial Narrow" w:eastAsiaTheme="majorEastAsia" w:hAnsi="Arial Narrow" w:cstheme="majorBidi"/>
                <w:bCs/>
                <w:sz w:val="20"/>
              </w:rPr>
              <w:t>Pre progression utility</w:t>
            </w:r>
          </w:p>
        </w:tc>
        <w:tc>
          <w:tcPr>
            <w:tcW w:w="2830" w:type="pct"/>
            <w:shd w:val="clear" w:color="auto" w:fill="auto"/>
          </w:tcPr>
          <w:p w14:paraId="7F98E6D9" w14:textId="77777777" w:rsidR="00C265A2" w:rsidRPr="006124A7" w:rsidRDefault="00C265A2" w:rsidP="00C265A2">
            <w:pPr>
              <w:keepNext/>
              <w:keepLines/>
              <w:jc w:val="left"/>
              <w:rPr>
                <w:rFonts w:ascii="Arial Narrow" w:eastAsiaTheme="majorEastAsia" w:hAnsi="Arial Narrow" w:cstheme="majorBidi"/>
                <w:sz w:val="20"/>
                <w:szCs w:val="20"/>
              </w:rPr>
            </w:pPr>
            <w:r w:rsidRPr="0F1D33A4">
              <w:rPr>
                <w:rFonts w:ascii="Arial Narrow" w:eastAsiaTheme="majorEastAsia" w:hAnsi="Arial Narrow" w:cstheme="majorBidi"/>
                <w:sz w:val="20"/>
                <w:szCs w:val="20"/>
              </w:rPr>
              <w:t xml:space="preserve">The resubmission maintained treatment specific utilities for pre- progression HRQoL that favoured ruxolitinib. The resubmission supported this assumption with data from both the RESPONSE and RESPONSE-2 trials. The resubmission included additional information of mean utility values from both the RESPONSE and RESPONSE-2 trials that showed little difference between responders and non-responders, but did appear to demonstrate a small difference between ruxolitinib and BAT. </w:t>
            </w:r>
          </w:p>
        </w:tc>
        <w:tc>
          <w:tcPr>
            <w:tcW w:w="1544" w:type="pct"/>
            <w:shd w:val="clear" w:color="auto" w:fill="auto"/>
          </w:tcPr>
          <w:p w14:paraId="27DD045A" w14:textId="048C4EB8" w:rsidR="00C265A2" w:rsidRPr="006124A7" w:rsidRDefault="00C265A2" w:rsidP="00C265A2">
            <w:pPr>
              <w:keepNext/>
              <w:keepLines/>
              <w:jc w:val="left"/>
              <w:rPr>
                <w:rFonts w:ascii="Arial Narrow" w:eastAsiaTheme="majorEastAsia" w:hAnsi="Arial Narrow" w:cstheme="majorBidi"/>
                <w:bCs/>
                <w:sz w:val="20"/>
              </w:rPr>
            </w:pPr>
            <w:r w:rsidRPr="006124A7">
              <w:rPr>
                <w:rFonts w:ascii="Arial Narrow" w:eastAsiaTheme="majorEastAsia" w:hAnsi="Arial Narrow" w:cstheme="majorBidi"/>
                <w:bCs/>
                <w:sz w:val="20"/>
              </w:rPr>
              <w:t>High, difference favours ruxolitinib. When the mean utility value for ruxolitinib (0.821) was applied in both arms the ICER increased from</w:t>
            </w:r>
            <w:r>
              <w:rPr>
                <w:rFonts w:ascii="Arial Narrow" w:eastAsiaTheme="majorEastAsia" w:hAnsi="Arial Narrow" w:cstheme="majorBidi"/>
                <w:bCs/>
                <w:sz w:val="20"/>
              </w:rPr>
              <w:t xml:space="preserve"> </w:t>
            </w:r>
            <w:r w:rsidRPr="009309CC">
              <w:rPr>
                <w:rFonts w:ascii="Arial Narrow" w:eastAsiaTheme="majorEastAsia" w:hAnsi="Arial Narrow" w:cstheme="majorBidi"/>
                <w:bCs/>
                <w:color w:val="000000"/>
                <w:spacing w:val="53"/>
                <w:sz w:val="20"/>
                <w:shd w:val="solid" w:color="000000" w:fill="000000"/>
                <w:fitText w:val="330" w:id="-683987454"/>
                <w14:textFill>
                  <w14:solidFill>
                    <w14:srgbClr w14:val="000000">
                      <w14:alpha w14:val="100000"/>
                    </w14:srgbClr>
                  </w14:solidFill>
                </w14:textFill>
              </w:rPr>
              <w:t>|||</w:t>
            </w:r>
            <w:r w:rsidRPr="009309CC">
              <w:rPr>
                <w:rFonts w:ascii="Arial Narrow" w:eastAsiaTheme="majorEastAsia" w:hAnsi="Arial Narrow" w:cstheme="majorBidi"/>
                <w:bCs/>
                <w:color w:val="000000"/>
                <w:spacing w:val="1"/>
                <w:sz w:val="20"/>
                <w:shd w:val="solid" w:color="000000" w:fill="000000"/>
                <w:fitText w:val="330" w:id="-683987454"/>
                <w14:textFill>
                  <w14:solidFill>
                    <w14:srgbClr w14:val="000000">
                      <w14:alpha w14:val="100000"/>
                    </w14:srgbClr>
                  </w14:solidFill>
                </w14:textFill>
              </w:rPr>
              <w:t>|</w:t>
            </w:r>
            <w:r w:rsidRPr="003969B7">
              <w:rPr>
                <w:rFonts w:ascii="Arial Narrow" w:eastAsiaTheme="majorEastAsia" w:hAnsi="Arial Narrow" w:cs="Times New Roman"/>
                <w:b/>
                <w:sz w:val="20"/>
                <w:vertAlign w:val="superscript"/>
                <w:lang w:val="en-US"/>
              </w:rPr>
              <w:t>1</w:t>
            </w:r>
            <w:r w:rsidRPr="006124A7">
              <w:rPr>
                <w:rFonts w:ascii="Arial Narrow" w:eastAsiaTheme="majorEastAsia" w:hAnsi="Arial Narrow" w:cstheme="majorBidi"/>
                <w:bCs/>
                <w:sz w:val="20"/>
              </w:rPr>
              <w:t xml:space="preserve"> per QALY gained to</w:t>
            </w:r>
            <w:r>
              <w:rPr>
                <w:rFonts w:ascii="Arial Narrow" w:eastAsiaTheme="majorEastAsia" w:hAnsi="Arial Narrow" w:cstheme="majorBidi"/>
                <w:bCs/>
                <w:sz w:val="20"/>
              </w:rPr>
              <w:t xml:space="preserve"> </w:t>
            </w:r>
            <w:r w:rsidRPr="00C265A2">
              <w:rPr>
                <w:rFonts w:ascii="Arial Narrow" w:eastAsiaTheme="majorEastAsia" w:hAnsi="Arial Narrow" w:cstheme="majorBidi"/>
                <w:bCs/>
                <w:color w:val="000000"/>
                <w:spacing w:val="49"/>
                <w:sz w:val="20"/>
                <w:shd w:val="solid" w:color="000000" w:fill="000000"/>
                <w:fitText w:val="320" w:id="-683987453"/>
                <w14:textFill>
                  <w14:solidFill>
                    <w14:srgbClr w14:val="000000">
                      <w14:alpha w14:val="100000"/>
                    </w14:srgbClr>
                  </w14:solidFill>
                </w14:textFill>
              </w:rPr>
              <w:t>|||</w:t>
            </w:r>
            <w:r w:rsidRPr="00C265A2">
              <w:rPr>
                <w:rFonts w:ascii="Arial Narrow" w:eastAsiaTheme="majorEastAsia" w:hAnsi="Arial Narrow" w:cstheme="majorBidi"/>
                <w:bCs/>
                <w:color w:val="000000"/>
                <w:spacing w:val="3"/>
                <w:sz w:val="20"/>
                <w:shd w:val="solid" w:color="000000" w:fill="000000"/>
                <w:fitText w:val="320" w:id="-683987453"/>
                <w14:textFill>
                  <w14:solidFill>
                    <w14:srgbClr w14:val="000000">
                      <w14:alpha w14:val="100000"/>
                    </w14:srgbClr>
                  </w14:solidFill>
                </w14:textFill>
              </w:rPr>
              <w:t>|</w:t>
            </w:r>
            <w:r w:rsidRPr="00C37AA6">
              <w:rPr>
                <w:rFonts w:ascii="Arial Narrow" w:eastAsiaTheme="majorEastAsia" w:hAnsi="Arial Narrow" w:cstheme="majorBidi"/>
                <w:bCs/>
                <w:sz w:val="20"/>
                <w:vertAlign w:val="superscript"/>
              </w:rPr>
              <w:t>3</w:t>
            </w:r>
            <w:r w:rsidRPr="006124A7">
              <w:rPr>
                <w:rFonts w:ascii="Arial Narrow" w:eastAsiaTheme="majorEastAsia" w:hAnsi="Arial Narrow" w:cstheme="majorBidi"/>
                <w:bCs/>
                <w:sz w:val="20"/>
              </w:rPr>
              <w:t xml:space="preserve"> (+</w:t>
            </w:r>
            <w:r w:rsidR="009309CC" w:rsidRPr="009309CC">
              <w:rPr>
                <w:rFonts w:ascii="Arial Narrow" w:eastAsiaTheme="majorEastAsia" w:hAnsi="Arial Narrow" w:cstheme="majorBidi"/>
                <w:bCs/>
                <w:color w:val="000000"/>
                <w:spacing w:val="53"/>
                <w:sz w:val="20"/>
                <w:shd w:val="solid" w:color="000000" w:fill="000000"/>
                <w:fitText w:val="330" w:id="-683986166"/>
                <w14:textFill>
                  <w14:solidFill>
                    <w14:srgbClr w14:val="000000">
                      <w14:alpha w14:val="100000"/>
                    </w14:srgbClr>
                  </w14:solidFill>
                </w14:textFill>
              </w:rPr>
              <w:t>|||</w:t>
            </w:r>
            <w:r w:rsidR="009309CC" w:rsidRPr="009309CC">
              <w:rPr>
                <w:rFonts w:ascii="Arial Narrow" w:eastAsiaTheme="majorEastAsia" w:hAnsi="Arial Narrow" w:cstheme="majorBidi"/>
                <w:bCs/>
                <w:color w:val="000000"/>
                <w:spacing w:val="1"/>
                <w:sz w:val="20"/>
                <w:shd w:val="solid" w:color="000000" w:fill="000000"/>
                <w:fitText w:val="330" w:id="-683986166"/>
                <w14:textFill>
                  <w14:solidFill>
                    <w14:srgbClr w14:val="000000">
                      <w14:alpha w14:val="100000"/>
                    </w14:srgbClr>
                  </w14:solidFill>
                </w14:textFill>
              </w:rPr>
              <w:t>|</w:t>
            </w:r>
            <w:r w:rsidRPr="006124A7">
              <w:rPr>
                <w:rFonts w:ascii="Arial Narrow" w:eastAsiaTheme="majorEastAsia" w:hAnsi="Arial Narrow" w:cstheme="majorBidi"/>
                <w:bCs/>
                <w:sz w:val="20"/>
              </w:rPr>
              <w:t>%). When the BAT value (0.743) was used it increased to</w:t>
            </w:r>
            <w:r>
              <w:rPr>
                <w:rFonts w:ascii="Arial Narrow" w:eastAsiaTheme="majorEastAsia" w:hAnsi="Arial Narrow" w:cstheme="majorBidi"/>
                <w:bCs/>
                <w:sz w:val="20"/>
              </w:rPr>
              <w:t xml:space="preserve"> </w:t>
            </w:r>
            <w:r w:rsidRPr="009309CC">
              <w:rPr>
                <w:rFonts w:ascii="Arial Narrow" w:eastAsiaTheme="majorEastAsia" w:hAnsi="Arial Narrow" w:cstheme="majorBidi"/>
                <w:bCs/>
                <w:color w:val="000000"/>
                <w:spacing w:val="53"/>
                <w:sz w:val="20"/>
                <w:shd w:val="solid" w:color="000000" w:fill="000000"/>
                <w:fitText w:val="330" w:id="-683987452"/>
                <w14:textFill>
                  <w14:solidFill>
                    <w14:srgbClr w14:val="000000">
                      <w14:alpha w14:val="100000"/>
                    </w14:srgbClr>
                  </w14:solidFill>
                </w14:textFill>
              </w:rPr>
              <w:t>|||</w:t>
            </w:r>
            <w:r w:rsidRPr="009309CC">
              <w:rPr>
                <w:rFonts w:ascii="Arial Narrow" w:eastAsiaTheme="majorEastAsia" w:hAnsi="Arial Narrow" w:cstheme="majorBidi"/>
                <w:bCs/>
                <w:color w:val="000000"/>
                <w:spacing w:val="1"/>
                <w:sz w:val="20"/>
                <w:shd w:val="solid" w:color="000000" w:fill="000000"/>
                <w:fitText w:val="330" w:id="-683987452"/>
                <w14:textFill>
                  <w14:solidFill>
                    <w14:srgbClr w14:val="000000">
                      <w14:alpha w14:val="100000"/>
                    </w14:srgbClr>
                  </w14:solidFill>
                </w14:textFill>
              </w:rPr>
              <w:t>|</w:t>
            </w:r>
            <w:r w:rsidRPr="006124A7">
              <w:rPr>
                <w:rFonts w:ascii="Arial Narrow" w:eastAsiaTheme="majorEastAsia" w:hAnsi="Arial Narrow" w:cstheme="majorBidi"/>
                <w:bCs/>
                <w:sz w:val="20"/>
              </w:rPr>
              <w:t xml:space="preserve"> </w:t>
            </w:r>
            <w:r w:rsidRPr="00C637F3">
              <w:rPr>
                <w:rFonts w:ascii="Arial Narrow" w:eastAsiaTheme="majorEastAsia" w:hAnsi="Arial Narrow" w:cstheme="majorBidi"/>
                <w:bCs/>
                <w:sz w:val="20"/>
                <w:vertAlign w:val="superscript"/>
              </w:rPr>
              <w:t>3</w:t>
            </w:r>
            <w:r w:rsidRPr="00C37AA6">
              <w:rPr>
                <w:rFonts w:ascii="Arial Narrow" w:eastAsiaTheme="majorEastAsia" w:hAnsi="Arial Narrow" w:cstheme="majorBidi"/>
                <w:bCs/>
                <w:sz w:val="20"/>
              </w:rPr>
              <w:t xml:space="preserve"> </w:t>
            </w:r>
            <w:r w:rsidRPr="006124A7">
              <w:rPr>
                <w:rFonts w:ascii="Arial Narrow" w:eastAsiaTheme="majorEastAsia" w:hAnsi="Arial Narrow" w:cstheme="majorBidi"/>
                <w:bCs/>
                <w:sz w:val="20"/>
              </w:rPr>
              <w:t>(+</w:t>
            </w:r>
            <w:r w:rsidR="009309CC">
              <w:rPr>
                <w:rFonts w:ascii="Arial Narrow" w:eastAsiaTheme="majorEastAsia" w:hAnsi="Arial Narrow" w:cstheme="majorBidi"/>
                <w:bCs/>
                <w:color w:val="000000"/>
                <w:spacing w:val="52"/>
                <w:sz w:val="20"/>
                <w:shd w:val="solid" w:color="000000" w:fill="000000"/>
                <w:fitText w:val="330" w:id="-683986165"/>
                <w14:textFill>
                  <w14:solidFill>
                    <w14:srgbClr w14:val="000000">
                      <w14:alpha w14:val="100000"/>
                    </w14:srgbClr>
                  </w14:solidFill>
                </w14:textFill>
              </w:rPr>
              <w:t>|||</w:t>
            </w:r>
            <w:r w:rsidR="009309CC">
              <w:rPr>
                <w:rFonts w:ascii="Arial Narrow" w:eastAsiaTheme="majorEastAsia" w:hAnsi="Arial Narrow" w:cstheme="majorBidi"/>
                <w:bCs/>
                <w:color w:val="000000"/>
                <w:spacing w:val="2"/>
                <w:sz w:val="20"/>
                <w:shd w:val="solid" w:color="000000" w:fill="000000"/>
                <w:fitText w:val="330" w:id="-683986165"/>
                <w14:textFill>
                  <w14:solidFill>
                    <w14:srgbClr w14:val="000000">
                      <w14:alpha w14:val="100000"/>
                    </w14:srgbClr>
                  </w14:solidFill>
                </w14:textFill>
              </w:rPr>
              <w:t>|</w:t>
            </w:r>
            <w:r w:rsidRPr="006124A7">
              <w:rPr>
                <w:rFonts w:ascii="Arial Narrow" w:eastAsiaTheme="majorEastAsia" w:hAnsi="Arial Narrow" w:cstheme="majorBidi"/>
                <w:bCs/>
                <w:sz w:val="20"/>
              </w:rPr>
              <w:t>%)</w:t>
            </w:r>
          </w:p>
        </w:tc>
      </w:tr>
    </w:tbl>
    <w:p w14:paraId="23608D18" w14:textId="65D5059E" w:rsidR="008975CB" w:rsidRPr="008975CB" w:rsidRDefault="008975CB" w:rsidP="002410C7">
      <w:pPr>
        <w:keepNext/>
        <w:keepLines/>
        <w:rPr>
          <w:rFonts w:ascii="Arial Narrow" w:hAnsi="Arial Narrow"/>
          <w:b/>
          <w:bCs/>
          <w:sz w:val="20"/>
          <w:szCs w:val="18"/>
        </w:rPr>
      </w:pPr>
      <w:r w:rsidRPr="008975CB">
        <w:rPr>
          <w:rFonts w:ascii="Arial Narrow" w:hAnsi="Arial Narrow"/>
          <w:b/>
          <w:bCs/>
          <w:sz w:val="20"/>
          <w:szCs w:val="18"/>
        </w:rPr>
        <w:t xml:space="preserve">Table </w:t>
      </w:r>
      <w:r w:rsidRPr="008975CB">
        <w:rPr>
          <w:rFonts w:ascii="Arial Narrow" w:hAnsi="Arial Narrow"/>
          <w:b/>
          <w:bCs/>
          <w:sz w:val="20"/>
          <w:szCs w:val="18"/>
        </w:rPr>
        <w:fldChar w:fldCharType="begin" w:fldLock="1"/>
      </w:r>
      <w:r w:rsidRPr="008975CB">
        <w:rPr>
          <w:rFonts w:ascii="Arial Narrow" w:hAnsi="Arial Narrow"/>
          <w:b/>
          <w:bCs/>
          <w:sz w:val="20"/>
          <w:szCs w:val="18"/>
        </w:rPr>
        <w:instrText xml:space="preserve"> SEQ Table \* ARABIC </w:instrText>
      </w:r>
      <w:r w:rsidRPr="008975CB">
        <w:rPr>
          <w:rFonts w:ascii="Arial Narrow" w:hAnsi="Arial Narrow"/>
          <w:b/>
          <w:bCs/>
          <w:sz w:val="20"/>
          <w:szCs w:val="18"/>
        </w:rPr>
        <w:fldChar w:fldCharType="separate"/>
      </w:r>
      <w:r w:rsidR="001F427F">
        <w:rPr>
          <w:rFonts w:ascii="Arial Narrow" w:hAnsi="Arial Narrow"/>
          <w:b/>
          <w:bCs/>
          <w:sz w:val="20"/>
          <w:szCs w:val="18"/>
        </w:rPr>
        <w:t>14</w:t>
      </w:r>
      <w:r w:rsidRPr="008975CB">
        <w:rPr>
          <w:rFonts w:ascii="Arial Narrow" w:hAnsi="Arial Narrow"/>
          <w:b/>
          <w:bCs/>
          <w:sz w:val="20"/>
          <w:szCs w:val="18"/>
        </w:rPr>
        <w:fldChar w:fldCharType="end"/>
      </w:r>
      <w:bookmarkEnd w:id="79"/>
      <w:r w:rsidRPr="008975CB">
        <w:rPr>
          <w:rFonts w:ascii="Arial Narrow" w:hAnsi="Arial Narrow"/>
          <w:b/>
          <w:bCs/>
          <w:sz w:val="20"/>
          <w:szCs w:val="18"/>
        </w:rPr>
        <w:t>:</w:t>
      </w:r>
      <w:r w:rsidRPr="00C265A2">
        <w:rPr>
          <w:rFonts w:ascii="Arial Narrow" w:hAnsi="Arial Narrow"/>
          <w:b/>
          <w:bCs/>
          <w:sz w:val="20"/>
          <w:szCs w:val="18"/>
        </w:rPr>
        <w:t xml:space="preserve"> Key drivers of the model</w:t>
      </w:r>
    </w:p>
    <w:p w14:paraId="3684179A" w14:textId="77777777" w:rsidR="008975CB" w:rsidRPr="008975CB" w:rsidRDefault="008975CB" w:rsidP="002410C7">
      <w:pPr>
        <w:keepNext/>
        <w:keepLines/>
        <w:spacing w:after="120"/>
        <w:contextualSpacing/>
        <w:rPr>
          <w:rFonts w:ascii="Arial Narrow" w:hAnsi="Arial Narrow"/>
          <w:snapToGrid w:val="0"/>
          <w:sz w:val="18"/>
          <w:szCs w:val="22"/>
        </w:rPr>
      </w:pPr>
      <w:r w:rsidRPr="008975CB">
        <w:rPr>
          <w:rFonts w:ascii="Arial Narrow" w:hAnsi="Arial Narrow"/>
          <w:snapToGrid w:val="0"/>
          <w:sz w:val="18"/>
          <w:szCs w:val="22"/>
        </w:rPr>
        <w:t xml:space="preserve">Source: Compiled during evaluation for information provided in Section 3 of the resubmission. </w:t>
      </w:r>
    </w:p>
    <w:p w14:paraId="5A52EC9D" w14:textId="77777777" w:rsidR="005A48E8" w:rsidRDefault="008975CB" w:rsidP="000F5BBF">
      <w:pPr>
        <w:keepNext/>
        <w:keepLines/>
        <w:spacing w:after="120"/>
        <w:contextualSpacing/>
      </w:pPr>
      <w:r w:rsidRPr="0910F2D2">
        <w:rPr>
          <w:rFonts w:ascii="Arial Narrow" w:hAnsi="Arial Narrow"/>
          <w:snapToGrid w:val="0"/>
          <w:sz w:val="18"/>
          <w:szCs w:val="18"/>
        </w:rPr>
        <w:t>Abbreviations: AML, acute myeloid leukemia; BAT, best available therapy; CI, confidence interval; HR, hazard ratio; HRQoL, health related quality of life; ICER, incremental cost-effectiveness ratio; KM, Kaplan Meier; MDS, myelodysplastic syndrome; MF, myelofibrosis; OS, overall survival; PBAC, Pharmaceutical Benefits Advisory Committee; PFS, progression</w:t>
      </w:r>
      <w:r w:rsidR="00EF310D" w:rsidRPr="0910F2D2">
        <w:rPr>
          <w:rFonts w:ascii="Arial Narrow" w:hAnsi="Arial Narrow"/>
          <w:snapToGrid w:val="0"/>
          <w:sz w:val="18"/>
          <w:szCs w:val="18"/>
        </w:rPr>
        <w:t>-</w:t>
      </w:r>
      <w:r w:rsidRPr="0910F2D2">
        <w:rPr>
          <w:rFonts w:ascii="Arial Narrow" w:hAnsi="Arial Narrow"/>
          <w:snapToGrid w:val="0"/>
          <w:sz w:val="18"/>
          <w:szCs w:val="18"/>
        </w:rPr>
        <w:t>free survival; QALY, quality-adjusted life year; QoL, quality of life;</w:t>
      </w:r>
      <w:r w:rsidR="005A48E8" w:rsidRPr="005A48E8">
        <w:t xml:space="preserve"> </w:t>
      </w:r>
    </w:p>
    <w:p w14:paraId="7BCAD013" w14:textId="0CDC3AF7" w:rsidR="005A48E8" w:rsidRPr="005A0478" w:rsidRDefault="005A48E8" w:rsidP="000F5BBF">
      <w:pPr>
        <w:keepNext/>
        <w:keepLines/>
        <w:spacing w:after="120"/>
        <w:contextualSpacing/>
        <w:rPr>
          <w:rFonts w:ascii="Arial Narrow" w:hAnsi="Arial Narrow"/>
          <w:i/>
          <w:iCs/>
          <w:snapToGrid w:val="0"/>
          <w:sz w:val="18"/>
          <w:szCs w:val="18"/>
        </w:rPr>
      </w:pPr>
      <w:r w:rsidRPr="005A0478">
        <w:rPr>
          <w:rFonts w:ascii="Arial Narrow" w:hAnsi="Arial Narrow"/>
          <w:i/>
          <w:iCs/>
          <w:snapToGrid w:val="0"/>
          <w:sz w:val="18"/>
          <w:szCs w:val="18"/>
        </w:rPr>
        <w:t>The redacted values correspond to the following ranges</w:t>
      </w:r>
      <w:r w:rsidR="00030CBB" w:rsidRPr="005A0478">
        <w:rPr>
          <w:rFonts w:ascii="Arial Narrow" w:hAnsi="Arial Narrow"/>
          <w:i/>
          <w:iCs/>
          <w:snapToGrid w:val="0"/>
          <w:sz w:val="18"/>
          <w:szCs w:val="18"/>
        </w:rPr>
        <w:t>:</w:t>
      </w:r>
    </w:p>
    <w:p w14:paraId="133F2AD4" w14:textId="4CF14B00" w:rsidR="000F5BBF" w:rsidRPr="005A0478" w:rsidRDefault="003969B7" w:rsidP="000F5BBF">
      <w:pPr>
        <w:keepNext/>
        <w:keepLines/>
        <w:spacing w:after="120"/>
        <w:contextualSpacing/>
        <w:rPr>
          <w:rFonts w:ascii="Arial Narrow" w:hAnsi="Arial Narrow"/>
          <w:i/>
          <w:iCs/>
          <w:snapToGrid w:val="0"/>
          <w:sz w:val="18"/>
          <w:szCs w:val="18"/>
        </w:rPr>
      </w:pPr>
      <w:r w:rsidRPr="005A0478">
        <w:rPr>
          <w:rFonts w:ascii="Arial Narrow" w:hAnsi="Arial Narrow"/>
          <w:i/>
          <w:iCs/>
          <w:snapToGrid w:val="0"/>
          <w:sz w:val="18"/>
          <w:szCs w:val="18"/>
          <w:vertAlign w:val="superscript"/>
        </w:rPr>
        <w:t>1</w:t>
      </w:r>
      <w:r w:rsidRPr="005A0478">
        <w:rPr>
          <w:rFonts w:ascii="Arial Narrow" w:hAnsi="Arial Narrow"/>
          <w:i/>
          <w:iCs/>
          <w:snapToGrid w:val="0"/>
          <w:sz w:val="18"/>
          <w:szCs w:val="18"/>
        </w:rPr>
        <w:t xml:space="preserve"> </w:t>
      </w:r>
      <w:r w:rsidR="000F5BBF" w:rsidRPr="005A0478">
        <w:rPr>
          <w:rFonts w:ascii="Arial Narrow" w:hAnsi="Arial Narrow"/>
          <w:i/>
          <w:iCs/>
          <w:snapToGrid w:val="0"/>
          <w:sz w:val="18"/>
          <w:szCs w:val="18"/>
        </w:rPr>
        <w:t xml:space="preserve">$55,000 to &lt; $75,000 </w:t>
      </w:r>
    </w:p>
    <w:p w14:paraId="4A1BE9E6" w14:textId="1E0B5120" w:rsidR="005A18E4" w:rsidRPr="005A0478" w:rsidRDefault="005A18E4" w:rsidP="000F5BBF">
      <w:pPr>
        <w:keepNext/>
        <w:keepLines/>
        <w:spacing w:after="120"/>
        <w:contextualSpacing/>
        <w:rPr>
          <w:rFonts w:ascii="Arial Narrow" w:hAnsi="Arial Narrow"/>
          <w:i/>
          <w:iCs/>
          <w:snapToGrid w:val="0"/>
          <w:sz w:val="18"/>
          <w:szCs w:val="18"/>
        </w:rPr>
      </w:pPr>
      <w:r w:rsidRPr="005A0478">
        <w:rPr>
          <w:rFonts w:ascii="Arial Narrow" w:hAnsi="Arial Narrow"/>
          <w:i/>
          <w:iCs/>
          <w:snapToGrid w:val="0"/>
          <w:sz w:val="18"/>
          <w:szCs w:val="18"/>
          <w:vertAlign w:val="superscript"/>
        </w:rPr>
        <w:t>2</w:t>
      </w:r>
      <w:r w:rsidRPr="005A0478">
        <w:rPr>
          <w:rFonts w:ascii="Arial Narrow" w:hAnsi="Arial Narrow"/>
          <w:i/>
          <w:iCs/>
          <w:snapToGrid w:val="0"/>
          <w:sz w:val="18"/>
          <w:szCs w:val="18"/>
        </w:rPr>
        <w:t xml:space="preserve"> $155,000 to &lt; $255,000</w:t>
      </w:r>
    </w:p>
    <w:p w14:paraId="048A46FD" w14:textId="1580F516" w:rsidR="008975CB" w:rsidRPr="005A0478" w:rsidRDefault="005A18E4" w:rsidP="000F5BBF">
      <w:pPr>
        <w:keepNext/>
        <w:keepLines/>
        <w:spacing w:after="120"/>
        <w:contextualSpacing/>
        <w:rPr>
          <w:rFonts w:ascii="Arial Narrow" w:hAnsi="Arial Narrow"/>
          <w:i/>
          <w:iCs/>
          <w:snapToGrid w:val="0"/>
          <w:sz w:val="18"/>
          <w:szCs w:val="18"/>
        </w:rPr>
      </w:pPr>
      <w:r w:rsidRPr="005A0478">
        <w:rPr>
          <w:rFonts w:ascii="Arial Narrow" w:hAnsi="Arial Narrow"/>
          <w:i/>
          <w:iCs/>
          <w:snapToGrid w:val="0"/>
          <w:sz w:val="18"/>
          <w:szCs w:val="18"/>
          <w:vertAlign w:val="superscript"/>
        </w:rPr>
        <w:t>3</w:t>
      </w:r>
      <w:r w:rsidR="003969B7" w:rsidRPr="005A0478">
        <w:rPr>
          <w:rFonts w:ascii="Arial Narrow" w:hAnsi="Arial Narrow"/>
          <w:i/>
          <w:iCs/>
          <w:snapToGrid w:val="0"/>
          <w:sz w:val="18"/>
          <w:szCs w:val="18"/>
        </w:rPr>
        <w:t xml:space="preserve"> </w:t>
      </w:r>
      <w:r w:rsidR="000F5BBF" w:rsidRPr="005A0478">
        <w:rPr>
          <w:rFonts w:ascii="Arial Narrow" w:hAnsi="Arial Narrow"/>
          <w:i/>
          <w:iCs/>
          <w:snapToGrid w:val="0"/>
          <w:sz w:val="18"/>
          <w:szCs w:val="18"/>
        </w:rPr>
        <w:t>$75,000 to &lt; $95,000</w:t>
      </w:r>
    </w:p>
    <w:p w14:paraId="4CFEEDFB" w14:textId="77777777" w:rsidR="003D210D" w:rsidRDefault="003D210D">
      <w:pPr>
        <w:jc w:val="left"/>
        <w:rPr>
          <w:rFonts w:asciiTheme="minorHAnsi" w:eastAsiaTheme="minorHAnsi" w:hAnsiTheme="minorHAnsi" w:cstheme="minorBidi"/>
          <w:szCs w:val="22"/>
        </w:rPr>
      </w:pPr>
      <w:r>
        <w:br w:type="page"/>
      </w:r>
    </w:p>
    <w:p w14:paraId="47D21BCC" w14:textId="36E3674E" w:rsidR="008975CB" w:rsidRPr="008975CB" w:rsidRDefault="008975CB" w:rsidP="00953620">
      <w:pPr>
        <w:pStyle w:val="3-BodyText"/>
        <w:rPr>
          <w:i/>
          <w:iCs/>
        </w:rPr>
      </w:pPr>
      <w:r w:rsidRPr="008975CB">
        <w:lastRenderedPageBreak/>
        <w:t xml:space="preserve">The results of the stepped economic evaluation are presented in </w:t>
      </w:r>
      <w:r w:rsidRPr="003F67A2">
        <w:rPr>
          <w:rFonts w:cstheme="minorHAnsi"/>
          <w:szCs w:val="24"/>
        </w:rPr>
        <w:fldChar w:fldCharType="begin" w:fldLock="1"/>
      </w:r>
      <w:r w:rsidRPr="003F67A2">
        <w:rPr>
          <w:rFonts w:cstheme="minorHAnsi"/>
          <w:szCs w:val="24"/>
        </w:rPr>
        <w:instrText xml:space="preserve"> REF _Ref104805160 \h </w:instrText>
      </w:r>
      <w:r w:rsidR="003F67A2" w:rsidRPr="003F67A2">
        <w:rPr>
          <w:rFonts w:cstheme="minorHAnsi"/>
          <w:szCs w:val="24"/>
        </w:rPr>
        <w:instrText xml:space="preserve"> \* MERGEFORMAT </w:instrText>
      </w:r>
      <w:r w:rsidRPr="003F67A2">
        <w:rPr>
          <w:rFonts w:cstheme="minorHAnsi"/>
          <w:szCs w:val="24"/>
        </w:rPr>
      </w:r>
      <w:r w:rsidRPr="003F67A2">
        <w:rPr>
          <w:rFonts w:cstheme="minorHAnsi"/>
          <w:szCs w:val="24"/>
        </w:rPr>
        <w:fldChar w:fldCharType="separate"/>
      </w:r>
      <w:r w:rsidR="0096555B" w:rsidRPr="003F67A2">
        <w:rPr>
          <w:rFonts w:cstheme="minorHAnsi"/>
          <w:szCs w:val="24"/>
        </w:rPr>
        <w:t xml:space="preserve">Table </w:t>
      </w:r>
      <w:r w:rsidR="0096555B" w:rsidRPr="003F67A2">
        <w:rPr>
          <w:rFonts w:cstheme="minorHAnsi"/>
          <w:noProof/>
          <w:szCs w:val="24"/>
        </w:rPr>
        <w:t>15</w:t>
      </w:r>
      <w:r w:rsidRPr="003F67A2">
        <w:rPr>
          <w:rFonts w:cstheme="minorHAnsi"/>
          <w:szCs w:val="24"/>
        </w:rPr>
        <w:fldChar w:fldCharType="end"/>
      </w:r>
      <w:r w:rsidRPr="003F67A2">
        <w:rPr>
          <w:rFonts w:cstheme="minorHAnsi"/>
          <w:szCs w:val="24"/>
        </w:rPr>
        <w:t>.</w:t>
      </w:r>
    </w:p>
    <w:p w14:paraId="62812A50" w14:textId="78EB2F89" w:rsidR="008975CB" w:rsidRPr="008975CB" w:rsidRDefault="008975CB" w:rsidP="008975CB">
      <w:pPr>
        <w:keepNext/>
        <w:keepLines/>
        <w:rPr>
          <w:rFonts w:ascii="Arial Narrow" w:hAnsi="Arial Narrow"/>
          <w:b/>
          <w:bCs/>
          <w:sz w:val="20"/>
          <w:szCs w:val="18"/>
        </w:rPr>
      </w:pPr>
      <w:bookmarkStart w:id="80" w:name="_Ref104805160"/>
      <w:r w:rsidRPr="008975CB">
        <w:rPr>
          <w:rFonts w:ascii="Arial Narrow" w:hAnsi="Arial Narrow"/>
          <w:b/>
          <w:bCs/>
          <w:sz w:val="20"/>
          <w:szCs w:val="18"/>
        </w:rPr>
        <w:t xml:space="preserve">Table </w:t>
      </w:r>
      <w:r w:rsidRPr="008975CB">
        <w:rPr>
          <w:rFonts w:ascii="Arial Narrow" w:hAnsi="Arial Narrow"/>
          <w:b/>
          <w:bCs/>
          <w:sz w:val="20"/>
          <w:szCs w:val="18"/>
        </w:rPr>
        <w:fldChar w:fldCharType="begin" w:fldLock="1"/>
      </w:r>
      <w:r w:rsidRPr="008975CB">
        <w:rPr>
          <w:rFonts w:ascii="Arial Narrow" w:hAnsi="Arial Narrow"/>
          <w:b/>
          <w:bCs/>
          <w:sz w:val="20"/>
          <w:szCs w:val="18"/>
        </w:rPr>
        <w:instrText xml:space="preserve"> SEQ Table \* ARABIC </w:instrText>
      </w:r>
      <w:r w:rsidRPr="008975CB">
        <w:rPr>
          <w:rFonts w:ascii="Arial Narrow" w:hAnsi="Arial Narrow"/>
          <w:b/>
          <w:bCs/>
          <w:sz w:val="20"/>
          <w:szCs w:val="18"/>
        </w:rPr>
        <w:fldChar w:fldCharType="separate"/>
      </w:r>
      <w:r w:rsidR="001F427F">
        <w:rPr>
          <w:rFonts w:ascii="Arial Narrow" w:hAnsi="Arial Narrow"/>
          <w:b/>
          <w:bCs/>
          <w:noProof/>
          <w:sz w:val="20"/>
          <w:szCs w:val="18"/>
        </w:rPr>
        <w:t>15</w:t>
      </w:r>
      <w:r w:rsidRPr="008975CB">
        <w:rPr>
          <w:rFonts w:ascii="Arial Narrow" w:hAnsi="Arial Narrow"/>
          <w:b/>
          <w:bCs/>
          <w:sz w:val="20"/>
          <w:szCs w:val="18"/>
        </w:rPr>
        <w:fldChar w:fldCharType="end"/>
      </w:r>
      <w:bookmarkEnd w:id="80"/>
      <w:r w:rsidRPr="008975CB">
        <w:rPr>
          <w:rFonts w:ascii="Arial Narrow" w:hAnsi="Arial Narrow"/>
          <w:b/>
          <w:bCs/>
          <w:sz w:val="20"/>
          <w:szCs w:val="18"/>
        </w:rPr>
        <w:t>:</w:t>
      </w:r>
      <w:r w:rsidRPr="008975CB">
        <w:rPr>
          <w:rFonts w:ascii="Arial Narrow" w:hAnsi="Arial Narrow"/>
          <w:b/>
          <w:bCs/>
          <w:sz w:val="20"/>
        </w:rPr>
        <w:t xml:space="preserve">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5: Results of the stepped economic evaluation"/>
      </w:tblPr>
      <w:tblGrid>
        <w:gridCol w:w="2757"/>
        <w:gridCol w:w="2451"/>
        <w:gridCol w:w="2298"/>
        <w:gridCol w:w="1511"/>
      </w:tblGrid>
      <w:tr w:rsidR="008975CB" w:rsidRPr="008975CB" w14:paraId="71C5F6BD" w14:textId="77777777">
        <w:trPr>
          <w:cantSplit/>
          <w:tblHeader/>
        </w:trPr>
        <w:tc>
          <w:tcPr>
            <w:tcW w:w="1529" w:type="pct"/>
            <w:vAlign w:val="center"/>
          </w:tcPr>
          <w:p w14:paraId="10412AAA" w14:textId="77777777" w:rsidR="008975CB" w:rsidRPr="008975CB" w:rsidRDefault="008975CB" w:rsidP="008975CB">
            <w:pPr>
              <w:keepNext/>
              <w:keepLines/>
              <w:jc w:val="left"/>
              <w:rPr>
                <w:rFonts w:ascii="Arial Narrow" w:eastAsiaTheme="majorEastAsia" w:hAnsi="Arial Narrow" w:cs="Times New Roman"/>
                <w:b/>
                <w:sz w:val="20"/>
                <w:lang w:val="en-US"/>
              </w:rPr>
            </w:pPr>
            <w:r w:rsidRPr="008975CB">
              <w:rPr>
                <w:rFonts w:ascii="Arial Narrow" w:eastAsiaTheme="majorEastAsia" w:hAnsi="Arial Narrow" w:cs="Times New Roman"/>
                <w:b/>
                <w:sz w:val="20"/>
                <w:lang w:val="en-US"/>
              </w:rPr>
              <w:t>Step and component</w:t>
            </w:r>
          </w:p>
        </w:tc>
        <w:tc>
          <w:tcPr>
            <w:tcW w:w="1359" w:type="pct"/>
            <w:vAlign w:val="center"/>
          </w:tcPr>
          <w:p w14:paraId="2F0E68F1" w14:textId="77777777" w:rsidR="008975CB" w:rsidRPr="008975CB" w:rsidRDefault="008975CB" w:rsidP="008975CB">
            <w:pPr>
              <w:keepNext/>
              <w:keepLines/>
              <w:jc w:val="left"/>
              <w:rPr>
                <w:rFonts w:ascii="Arial Narrow" w:eastAsiaTheme="majorEastAsia" w:hAnsi="Arial Narrow" w:cs="Times New Roman"/>
                <w:b/>
                <w:sz w:val="20"/>
                <w:lang w:val="en-US"/>
              </w:rPr>
            </w:pPr>
            <w:r w:rsidRPr="008975CB">
              <w:rPr>
                <w:rFonts w:ascii="Arial Narrow" w:eastAsiaTheme="majorEastAsia" w:hAnsi="Arial Narrow" w:cs="Times New Roman"/>
                <w:b/>
                <w:sz w:val="20"/>
                <w:lang w:val="en-US"/>
              </w:rPr>
              <w:t>Ruxolitinib</w:t>
            </w:r>
          </w:p>
        </w:tc>
        <w:tc>
          <w:tcPr>
            <w:tcW w:w="1274" w:type="pct"/>
            <w:vAlign w:val="center"/>
          </w:tcPr>
          <w:p w14:paraId="56DCAD55" w14:textId="77777777" w:rsidR="008975CB" w:rsidRPr="008975CB" w:rsidRDefault="008975CB" w:rsidP="008975CB">
            <w:pPr>
              <w:keepNext/>
              <w:keepLines/>
              <w:jc w:val="left"/>
              <w:rPr>
                <w:rFonts w:ascii="Arial Narrow" w:eastAsiaTheme="majorEastAsia" w:hAnsi="Arial Narrow" w:cs="Times New Roman"/>
                <w:b/>
                <w:sz w:val="20"/>
                <w:lang w:val="en-US"/>
              </w:rPr>
            </w:pPr>
            <w:r w:rsidRPr="008975CB">
              <w:rPr>
                <w:rFonts w:ascii="Arial Narrow" w:eastAsiaTheme="majorEastAsia" w:hAnsi="Arial Narrow" w:cs="Times New Roman"/>
                <w:b/>
                <w:sz w:val="20"/>
                <w:lang w:val="en-US"/>
              </w:rPr>
              <w:t>BAT</w:t>
            </w:r>
          </w:p>
        </w:tc>
        <w:tc>
          <w:tcPr>
            <w:tcW w:w="838" w:type="pct"/>
            <w:vAlign w:val="center"/>
          </w:tcPr>
          <w:p w14:paraId="6AF2702A" w14:textId="77777777" w:rsidR="008975CB" w:rsidRPr="008975CB" w:rsidRDefault="008975CB" w:rsidP="008975CB">
            <w:pPr>
              <w:keepNext/>
              <w:keepLines/>
              <w:jc w:val="left"/>
              <w:rPr>
                <w:rFonts w:ascii="Arial Narrow" w:eastAsiaTheme="majorEastAsia" w:hAnsi="Arial Narrow" w:cs="Times New Roman"/>
                <w:b/>
                <w:sz w:val="20"/>
                <w:lang w:val="en-US"/>
              </w:rPr>
            </w:pPr>
            <w:r w:rsidRPr="008975CB">
              <w:rPr>
                <w:rFonts w:ascii="Arial Narrow" w:eastAsiaTheme="majorEastAsia" w:hAnsi="Arial Narrow" w:cs="Times New Roman"/>
                <w:b/>
                <w:sz w:val="20"/>
                <w:lang w:val="en-US"/>
              </w:rPr>
              <w:t>Increment</w:t>
            </w:r>
          </w:p>
        </w:tc>
      </w:tr>
      <w:tr w:rsidR="008975CB" w:rsidRPr="008975CB" w14:paraId="1CA30B7D" w14:textId="77777777">
        <w:trPr>
          <w:cantSplit/>
        </w:trPr>
        <w:tc>
          <w:tcPr>
            <w:tcW w:w="5000" w:type="pct"/>
            <w:gridSpan w:val="4"/>
            <w:vAlign w:val="center"/>
          </w:tcPr>
          <w:p w14:paraId="529797B0" w14:textId="77777777" w:rsidR="008975CB" w:rsidRPr="008975CB" w:rsidRDefault="008975CB" w:rsidP="008975CB">
            <w:pPr>
              <w:keepNext/>
              <w:keepLines/>
              <w:jc w:val="left"/>
              <w:rPr>
                <w:rFonts w:ascii="Arial Narrow" w:eastAsiaTheme="majorEastAsia" w:hAnsi="Arial Narrow" w:cs="Times New Roman"/>
                <w:b/>
                <w:sz w:val="20"/>
                <w:lang w:val="en-US"/>
              </w:rPr>
            </w:pPr>
            <w:r w:rsidRPr="008975CB">
              <w:rPr>
                <w:rFonts w:ascii="Arial Narrow" w:eastAsiaTheme="majorEastAsia" w:hAnsi="Arial Narrow" w:cs="Times New Roman"/>
                <w:b/>
                <w:sz w:val="20"/>
                <w:lang w:val="en-US"/>
              </w:rPr>
              <w:t>Step 1: Quasi trial-based costs and outcomes (5 year time horizon)</w:t>
            </w:r>
          </w:p>
        </w:tc>
      </w:tr>
      <w:tr w:rsidR="008975CB" w:rsidRPr="008975CB" w14:paraId="3851ECD6" w14:textId="77777777">
        <w:trPr>
          <w:cantSplit/>
        </w:trPr>
        <w:tc>
          <w:tcPr>
            <w:tcW w:w="1529" w:type="pct"/>
            <w:vAlign w:val="center"/>
          </w:tcPr>
          <w:p w14:paraId="35FC7801" w14:textId="77777777" w:rsidR="008975CB" w:rsidRPr="008975CB" w:rsidRDefault="008975CB" w:rsidP="008975CB">
            <w:pPr>
              <w:keepNext/>
              <w:keepLines/>
              <w:jc w:val="left"/>
              <w:rPr>
                <w:rFonts w:ascii="Times" w:eastAsiaTheme="majorEastAsia" w:hAnsi="Times" w:cstheme="majorBidi"/>
                <w:bCs/>
                <w:sz w:val="20"/>
              </w:rPr>
            </w:pPr>
            <w:r w:rsidRPr="008975CB">
              <w:rPr>
                <w:rFonts w:ascii="Arial Narrow" w:eastAsiaTheme="majorEastAsia" w:hAnsi="Arial Narrow" w:cstheme="majorBidi"/>
                <w:bCs/>
                <w:sz w:val="20"/>
              </w:rPr>
              <w:t>Costs</w:t>
            </w:r>
          </w:p>
        </w:tc>
        <w:tc>
          <w:tcPr>
            <w:tcW w:w="1359" w:type="pct"/>
            <w:vAlign w:val="center"/>
          </w:tcPr>
          <w:p w14:paraId="31947DAE" w14:textId="7ECE3A6C" w:rsidR="008975CB" w:rsidRPr="008975CB" w:rsidRDefault="008975CB" w:rsidP="008975CB">
            <w:pPr>
              <w:keepNext/>
              <w:keepLines/>
              <w:jc w:val="center"/>
              <w:rPr>
                <w:rFonts w:ascii="Times" w:eastAsiaTheme="majorEastAsia" w:hAnsi="Times" w:cstheme="majorBidi"/>
                <w:bCs/>
                <w:sz w:val="20"/>
              </w:rPr>
            </w:pPr>
            <w:r w:rsidRPr="008975CB">
              <w:rPr>
                <w:rFonts w:ascii="Arial Narrow" w:eastAsiaTheme="majorEastAsia" w:hAnsi="Arial Narrow" w:cstheme="majorBidi"/>
                <w:bCs/>
                <w:sz w:val="20"/>
              </w:rPr>
              <w:t>$</w:t>
            </w:r>
            <w:r w:rsidR="00A268DC" w:rsidRPr="00A268DC">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274" w:type="pct"/>
            <w:vAlign w:val="center"/>
          </w:tcPr>
          <w:p w14:paraId="28A64258" w14:textId="77777777" w:rsidR="008975CB" w:rsidRPr="008975CB" w:rsidRDefault="008975CB" w:rsidP="008975CB">
            <w:pPr>
              <w:keepNext/>
              <w:keepLines/>
              <w:jc w:val="center"/>
              <w:rPr>
                <w:rFonts w:ascii="Times" w:eastAsiaTheme="majorEastAsia" w:hAnsi="Times" w:cstheme="majorBidi"/>
                <w:bCs/>
                <w:sz w:val="20"/>
              </w:rPr>
            </w:pPr>
            <w:r w:rsidRPr="008975CB">
              <w:rPr>
                <w:rFonts w:ascii="Arial Narrow" w:eastAsiaTheme="majorEastAsia" w:hAnsi="Arial Narrow" w:cstheme="majorBidi"/>
                <w:bCs/>
                <w:sz w:val="20"/>
              </w:rPr>
              <w:t>$51,824</w:t>
            </w:r>
          </w:p>
        </w:tc>
        <w:tc>
          <w:tcPr>
            <w:tcW w:w="838" w:type="pct"/>
            <w:vAlign w:val="center"/>
          </w:tcPr>
          <w:p w14:paraId="0D4C0469" w14:textId="430C4FAE" w:rsidR="008975CB" w:rsidRPr="008975CB" w:rsidRDefault="008975CB" w:rsidP="008975CB">
            <w:pPr>
              <w:keepNext/>
              <w:keepLines/>
              <w:jc w:val="center"/>
              <w:rPr>
                <w:rFonts w:ascii="Times" w:eastAsiaTheme="majorEastAsia" w:hAnsi="Times" w:cstheme="majorBidi"/>
                <w:bCs/>
                <w:sz w:val="20"/>
              </w:rPr>
            </w:pPr>
            <w:r w:rsidRPr="008975CB">
              <w:rPr>
                <w:rFonts w:ascii="Arial Narrow" w:eastAsiaTheme="majorEastAsia" w:hAnsi="Arial Narrow" w:cstheme="majorBidi"/>
                <w:bCs/>
                <w:sz w:val="20"/>
              </w:rPr>
              <w:t>$</w:t>
            </w:r>
            <w:r w:rsidR="00A268DC" w:rsidRPr="00A268DC">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r w:rsidR="008975CB" w:rsidRPr="008975CB" w14:paraId="028B7892" w14:textId="77777777">
        <w:trPr>
          <w:cantSplit/>
        </w:trPr>
        <w:tc>
          <w:tcPr>
            <w:tcW w:w="1529" w:type="pct"/>
            <w:vAlign w:val="center"/>
          </w:tcPr>
          <w:p w14:paraId="39F7AC87" w14:textId="77777777" w:rsidR="008975CB" w:rsidRPr="008975CB" w:rsidRDefault="008975CB" w:rsidP="008975CB">
            <w:pPr>
              <w:keepNext/>
              <w:keepLines/>
              <w:jc w:val="left"/>
              <w:rPr>
                <w:rFonts w:ascii="Times" w:eastAsiaTheme="majorEastAsia" w:hAnsi="Times" w:cstheme="majorBidi"/>
                <w:bCs/>
                <w:sz w:val="20"/>
              </w:rPr>
            </w:pPr>
            <w:r w:rsidRPr="008975CB">
              <w:rPr>
                <w:rFonts w:ascii="Arial Narrow" w:eastAsiaTheme="majorEastAsia" w:hAnsi="Arial Narrow" w:cstheme="majorBidi"/>
                <w:bCs/>
                <w:sz w:val="20"/>
              </w:rPr>
              <w:t>LY</w:t>
            </w:r>
          </w:p>
        </w:tc>
        <w:tc>
          <w:tcPr>
            <w:tcW w:w="1359" w:type="pct"/>
            <w:vAlign w:val="center"/>
          </w:tcPr>
          <w:p w14:paraId="6DA28843" w14:textId="77777777" w:rsidR="008975CB" w:rsidRPr="008975CB" w:rsidRDefault="008975CB" w:rsidP="008975CB">
            <w:pPr>
              <w:keepNext/>
              <w:keepLines/>
              <w:jc w:val="center"/>
              <w:rPr>
                <w:rFonts w:ascii="Times" w:eastAsiaTheme="majorEastAsia" w:hAnsi="Times" w:cstheme="majorBidi"/>
                <w:bCs/>
                <w:sz w:val="20"/>
              </w:rPr>
            </w:pPr>
            <w:r w:rsidRPr="008975CB">
              <w:rPr>
                <w:rFonts w:ascii="Arial Narrow" w:eastAsiaTheme="majorEastAsia" w:hAnsi="Arial Narrow" w:cstheme="majorBidi"/>
                <w:bCs/>
                <w:sz w:val="20"/>
              </w:rPr>
              <w:t>4.26</w:t>
            </w:r>
          </w:p>
        </w:tc>
        <w:tc>
          <w:tcPr>
            <w:tcW w:w="1274" w:type="pct"/>
            <w:vAlign w:val="center"/>
          </w:tcPr>
          <w:p w14:paraId="0F526EA6" w14:textId="77777777" w:rsidR="008975CB" w:rsidRPr="008975CB" w:rsidRDefault="008975CB" w:rsidP="008975CB">
            <w:pPr>
              <w:keepNext/>
              <w:keepLines/>
              <w:jc w:val="center"/>
              <w:rPr>
                <w:rFonts w:ascii="Times" w:eastAsiaTheme="majorEastAsia" w:hAnsi="Times" w:cstheme="majorBidi"/>
                <w:bCs/>
                <w:sz w:val="20"/>
              </w:rPr>
            </w:pPr>
            <w:r w:rsidRPr="008975CB">
              <w:rPr>
                <w:rFonts w:ascii="Arial Narrow" w:eastAsiaTheme="majorEastAsia" w:hAnsi="Arial Narrow" w:cstheme="majorBidi"/>
                <w:bCs/>
                <w:sz w:val="20"/>
              </w:rPr>
              <w:t>4.118</w:t>
            </w:r>
          </w:p>
        </w:tc>
        <w:tc>
          <w:tcPr>
            <w:tcW w:w="838" w:type="pct"/>
            <w:vAlign w:val="center"/>
          </w:tcPr>
          <w:p w14:paraId="686B96F7" w14:textId="77777777" w:rsidR="008975CB" w:rsidRPr="008975CB" w:rsidRDefault="008975CB" w:rsidP="008975CB">
            <w:pPr>
              <w:keepNext/>
              <w:keepLines/>
              <w:jc w:val="center"/>
              <w:rPr>
                <w:rFonts w:ascii="Arial Narrow" w:eastAsiaTheme="majorEastAsia" w:hAnsi="Arial Narrow" w:cstheme="majorBidi"/>
                <w:bCs/>
                <w:sz w:val="20"/>
              </w:rPr>
            </w:pPr>
            <w:r w:rsidRPr="008975CB">
              <w:rPr>
                <w:rFonts w:ascii="Arial Narrow" w:eastAsiaTheme="majorEastAsia" w:hAnsi="Arial Narrow" w:cstheme="majorBidi"/>
                <w:bCs/>
                <w:sz w:val="20"/>
              </w:rPr>
              <w:t>0.15</w:t>
            </w:r>
          </w:p>
        </w:tc>
      </w:tr>
      <w:tr w:rsidR="008975CB" w:rsidRPr="008975CB" w14:paraId="10236AEE" w14:textId="77777777">
        <w:trPr>
          <w:cantSplit/>
        </w:trPr>
        <w:tc>
          <w:tcPr>
            <w:tcW w:w="4162" w:type="pct"/>
            <w:gridSpan w:val="3"/>
            <w:vAlign w:val="center"/>
          </w:tcPr>
          <w:p w14:paraId="3B9D2FAA" w14:textId="77777777" w:rsidR="008975CB" w:rsidRPr="008975CB" w:rsidRDefault="008975CB" w:rsidP="008975CB">
            <w:pPr>
              <w:keepNext/>
              <w:keepLines/>
              <w:jc w:val="left"/>
              <w:rPr>
                <w:rFonts w:ascii="Times" w:eastAsiaTheme="majorEastAsia" w:hAnsi="Times" w:cstheme="majorBidi"/>
                <w:bCs/>
                <w:sz w:val="20"/>
              </w:rPr>
            </w:pPr>
            <w:r w:rsidRPr="008975CB">
              <w:rPr>
                <w:rFonts w:ascii="Arial Narrow" w:eastAsiaTheme="majorEastAsia" w:hAnsi="Arial Narrow" w:cstheme="majorBidi"/>
                <w:bCs/>
                <w:sz w:val="20"/>
              </w:rPr>
              <w:t>Incremental cost/LY gained</w:t>
            </w:r>
          </w:p>
        </w:tc>
        <w:tc>
          <w:tcPr>
            <w:tcW w:w="838" w:type="pct"/>
            <w:vAlign w:val="center"/>
          </w:tcPr>
          <w:p w14:paraId="183A5033" w14:textId="0AD40CAA" w:rsidR="008975CB" w:rsidRPr="008975CB" w:rsidRDefault="00A268DC" w:rsidP="008975CB">
            <w:pPr>
              <w:keepNext/>
              <w:keepLines/>
              <w:jc w:val="center"/>
              <w:rPr>
                <w:rFonts w:ascii="Times" w:eastAsiaTheme="majorEastAsia" w:hAnsi="Times" w:cstheme="majorBidi"/>
                <w:bCs/>
                <w:sz w:val="20"/>
              </w:rPr>
            </w:pPr>
            <w:r w:rsidRPr="00A268DC">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970DAE" w:rsidRPr="00970DAE">
              <w:rPr>
                <w:rFonts w:ascii="Arial Narrow" w:eastAsiaTheme="majorEastAsia" w:hAnsi="Arial Narrow" w:cstheme="majorBidi"/>
                <w:bCs/>
                <w:sz w:val="20"/>
                <w:vertAlign w:val="superscript"/>
              </w:rPr>
              <w:t>1</w:t>
            </w:r>
          </w:p>
        </w:tc>
      </w:tr>
      <w:tr w:rsidR="008975CB" w:rsidRPr="008975CB" w14:paraId="0FE31466" w14:textId="77777777">
        <w:trPr>
          <w:cantSplit/>
        </w:trPr>
        <w:tc>
          <w:tcPr>
            <w:tcW w:w="5000" w:type="pct"/>
            <w:gridSpan w:val="4"/>
            <w:vAlign w:val="center"/>
          </w:tcPr>
          <w:p w14:paraId="39C9DAFE" w14:textId="77777777" w:rsidR="008975CB" w:rsidRPr="008975CB" w:rsidRDefault="008975CB" w:rsidP="008975CB">
            <w:pPr>
              <w:keepNext/>
              <w:keepLines/>
              <w:jc w:val="left"/>
              <w:rPr>
                <w:rFonts w:ascii="Arial Narrow" w:eastAsiaTheme="majorEastAsia" w:hAnsi="Arial Narrow" w:cs="Times New Roman"/>
                <w:b/>
                <w:sz w:val="20"/>
                <w:lang w:val="en-US"/>
              </w:rPr>
            </w:pPr>
            <w:r w:rsidRPr="008975CB">
              <w:rPr>
                <w:rFonts w:ascii="Arial Narrow" w:eastAsiaTheme="majorEastAsia" w:hAnsi="Arial Narrow" w:cs="Times New Roman"/>
                <w:b/>
                <w:sz w:val="20"/>
                <w:lang w:val="en-US"/>
              </w:rPr>
              <w:t xml:space="preserve">Step 2: 20 year time horizon </w:t>
            </w:r>
          </w:p>
        </w:tc>
      </w:tr>
      <w:tr w:rsidR="008975CB" w:rsidRPr="008975CB" w14:paraId="32D35C7D" w14:textId="77777777">
        <w:trPr>
          <w:cantSplit/>
        </w:trPr>
        <w:tc>
          <w:tcPr>
            <w:tcW w:w="1529" w:type="pct"/>
            <w:vAlign w:val="center"/>
          </w:tcPr>
          <w:p w14:paraId="15924388" w14:textId="77777777" w:rsidR="008975CB" w:rsidRPr="008975CB" w:rsidRDefault="008975CB" w:rsidP="008975CB">
            <w:pPr>
              <w:keepNext/>
              <w:keepLines/>
              <w:jc w:val="left"/>
              <w:rPr>
                <w:rFonts w:ascii="Times" w:eastAsiaTheme="majorEastAsia" w:hAnsi="Times" w:cstheme="majorBidi"/>
                <w:bCs/>
                <w:sz w:val="20"/>
              </w:rPr>
            </w:pPr>
            <w:r w:rsidRPr="008975CB">
              <w:rPr>
                <w:rFonts w:ascii="Arial Narrow" w:eastAsiaTheme="majorEastAsia" w:hAnsi="Arial Narrow" w:cstheme="majorBidi"/>
                <w:bCs/>
                <w:sz w:val="20"/>
              </w:rPr>
              <w:t>Costs</w:t>
            </w:r>
          </w:p>
        </w:tc>
        <w:tc>
          <w:tcPr>
            <w:tcW w:w="1359" w:type="pct"/>
            <w:vAlign w:val="center"/>
          </w:tcPr>
          <w:p w14:paraId="27356DE8" w14:textId="221D489A" w:rsidR="008975CB" w:rsidRPr="008975CB" w:rsidRDefault="008975CB" w:rsidP="008975CB">
            <w:pPr>
              <w:keepNext/>
              <w:keepLines/>
              <w:jc w:val="center"/>
              <w:rPr>
                <w:rFonts w:ascii="Times" w:eastAsiaTheme="majorEastAsia" w:hAnsi="Times" w:cstheme="majorBidi"/>
                <w:bCs/>
                <w:sz w:val="20"/>
              </w:rPr>
            </w:pPr>
            <w:r w:rsidRPr="008975CB">
              <w:rPr>
                <w:rFonts w:ascii="Arial Narrow" w:eastAsiaTheme="majorEastAsia" w:hAnsi="Arial Narrow" w:cstheme="majorBidi"/>
                <w:bCs/>
                <w:sz w:val="20"/>
              </w:rPr>
              <w:t>$</w:t>
            </w:r>
            <w:r w:rsidR="00A268DC" w:rsidRPr="00A268DC">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274" w:type="pct"/>
            <w:vAlign w:val="center"/>
          </w:tcPr>
          <w:p w14:paraId="47C62B48" w14:textId="77777777" w:rsidR="008975CB" w:rsidRPr="008975CB" w:rsidRDefault="008975CB" w:rsidP="008975CB">
            <w:pPr>
              <w:keepNext/>
              <w:keepLines/>
              <w:jc w:val="center"/>
              <w:rPr>
                <w:rFonts w:ascii="Times" w:eastAsiaTheme="majorEastAsia" w:hAnsi="Times" w:cstheme="majorBidi"/>
                <w:bCs/>
                <w:sz w:val="20"/>
              </w:rPr>
            </w:pPr>
            <w:r w:rsidRPr="008975CB">
              <w:rPr>
                <w:rFonts w:ascii="Arial Narrow" w:eastAsiaTheme="majorEastAsia" w:hAnsi="Arial Narrow" w:cstheme="majorBidi"/>
                <w:bCs/>
                <w:sz w:val="20"/>
              </w:rPr>
              <w:t>$97,255</w:t>
            </w:r>
          </w:p>
        </w:tc>
        <w:tc>
          <w:tcPr>
            <w:tcW w:w="838" w:type="pct"/>
            <w:vAlign w:val="center"/>
          </w:tcPr>
          <w:p w14:paraId="1877465F" w14:textId="1F01A87F" w:rsidR="008975CB" w:rsidRPr="008975CB" w:rsidRDefault="008975CB" w:rsidP="008975CB">
            <w:pPr>
              <w:keepNext/>
              <w:keepLines/>
              <w:jc w:val="center"/>
              <w:rPr>
                <w:rFonts w:ascii="Times" w:eastAsiaTheme="majorEastAsia" w:hAnsi="Times" w:cstheme="majorBidi"/>
                <w:bCs/>
                <w:sz w:val="20"/>
              </w:rPr>
            </w:pPr>
            <w:r w:rsidRPr="008975CB">
              <w:rPr>
                <w:rFonts w:ascii="Arial Narrow" w:eastAsiaTheme="majorEastAsia" w:hAnsi="Arial Narrow" w:cstheme="majorBidi"/>
                <w:bCs/>
                <w:sz w:val="20"/>
              </w:rPr>
              <w:t>$</w:t>
            </w:r>
            <w:r w:rsidR="00A268DC" w:rsidRPr="00A268DC">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r w:rsidR="008975CB" w:rsidRPr="008975CB" w14:paraId="094EF3FE" w14:textId="77777777">
        <w:trPr>
          <w:cantSplit/>
        </w:trPr>
        <w:tc>
          <w:tcPr>
            <w:tcW w:w="1529" w:type="pct"/>
            <w:vAlign w:val="center"/>
          </w:tcPr>
          <w:p w14:paraId="7190072A" w14:textId="77777777" w:rsidR="008975CB" w:rsidRPr="008975CB" w:rsidRDefault="008975CB" w:rsidP="008975CB">
            <w:pPr>
              <w:keepNext/>
              <w:keepLines/>
              <w:jc w:val="left"/>
              <w:rPr>
                <w:rFonts w:ascii="Times" w:eastAsiaTheme="majorEastAsia" w:hAnsi="Times" w:cstheme="majorBidi"/>
                <w:bCs/>
                <w:sz w:val="20"/>
              </w:rPr>
            </w:pPr>
            <w:r w:rsidRPr="008975CB">
              <w:rPr>
                <w:rFonts w:ascii="Arial Narrow" w:eastAsiaTheme="majorEastAsia" w:hAnsi="Arial Narrow" w:cstheme="majorBidi"/>
                <w:bCs/>
                <w:sz w:val="20"/>
              </w:rPr>
              <w:t>LY</w:t>
            </w:r>
          </w:p>
        </w:tc>
        <w:tc>
          <w:tcPr>
            <w:tcW w:w="1359" w:type="pct"/>
            <w:vAlign w:val="center"/>
          </w:tcPr>
          <w:p w14:paraId="3D6FDBB5" w14:textId="77777777" w:rsidR="008975CB" w:rsidRPr="008975CB" w:rsidRDefault="008975CB" w:rsidP="008975CB">
            <w:pPr>
              <w:keepNext/>
              <w:keepLines/>
              <w:jc w:val="center"/>
              <w:rPr>
                <w:rFonts w:ascii="Times" w:eastAsiaTheme="majorEastAsia" w:hAnsi="Times" w:cstheme="majorBidi"/>
                <w:bCs/>
                <w:sz w:val="20"/>
              </w:rPr>
            </w:pPr>
            <w:r w:rsidRPr="008975CB">
              <w:rPr>
                <w:rFonts w:ascii="Arial Narrow" w:eastAsiaTheme="majorEastAsia" w:hAnsi="Arial Narrow" w:cstheme="majorBidi"/>
                <w:bCs/>
                <w:sz w:val="20"/>
              </w:rPr>
              <w:t>9.056</w:t>
            </w:r>
          </w:p>
        </w:tc>
        <w:tc>
          <w:tcPr>
            <w:tcW w:w="1274" w:type="pct"/>
            <w:vAlign w:val="center"/>
          </w:tcPr>
          <w:p w14:paraId="074C7591" w14:textId="77777777" w:rsidR="008975CB" w:rsidRPr="008975CB" w:rsidRDefault="008975CB" w:rsidP="008975CB">
            <w:pPr>
              <w:keepNext/>
              <w:keepLines/>
              <w:jc w:val="center"/>
              <w:rPr>
                <w:rFonts w:ascii="Times" w:eastAsiaTheme="majorEastAsia" w:hAnsi="Times" w:cstheme="majorBidi"/>
                <w:bCs/>
                <w:sz w:val="20"/>
              </w:rPr>
            </w:pPr>
            <w:r w:rsidRPr="008975CB">
              <w:rPr>
                <w:rFonts w:ascii="Arial Narrow" w:eastAsiaTheme="majorEastAsia" w:hAnsi="Arial Narrow" w:cstheme="majorBidi"/>
                <w:bCs/>
                <w:sz w:val="20"/>
              </w:rPr>
              <w:t>7.805</w:t>
            </w:r>
          </w:p>
        </w:tc>
        <w:tc>
          <w:tcPr>
            <w:tcW w:w="838" w:type="pct"/>
            <w:vAlign w:val="center"/>
          </w:tcPr>
          <w:p w14:paraId="1B46E1BE" w14:textId="77777777" w:rsidR="008975CB" w:rsidRPr="008975CB" w:rsidRDefault="008975CB" w:rsidP="008975CB">
            <w:pPr>
              <w:keepNext/>
              <w:keepLines/>
              <w:jc w:val="center"/>
              <w:rPr>
                <w:rFonts w:ascii="Arial Narrow" w:eastAsiaTheme="majorEastAsia" w:hAnsi="Arial Narrow" w:cstheme="majorBidi"/>
                <w:bCs/>
                <w:sz w:val="20"/>
              </w:rPr>
            </w:pPr>
            <w:r w:rsidRPr="008975CB">
              <w:rPr>
                <w:rFonts w:ascii="Arial Narrow" w:eastAsiaTheme="majorEastAsia" w:hAnsi="Arial Narrow" w:cstheme="majorBidi"/>
                <w:bCs/>
                <w:sz w:val="20"/>
              </w:rPr>
              <w:t>1.25</w:t>
            </w:r>
          </w:p>
        </w:tc>
      </w:tr>
      <w:tr w:rsidR="008975CB" w:rsidRPr="008975CB" w14:paraId="6D5FA77C" w14:textId="77777777">
        <w:trPr>
          <w:cantSplit/>
        </w:trPr>
        <w:tc>
          <w:tcPr>
            <w:tcW w:w="4162" w:type="pct"/>
            <w:gridSpan w:val="3"/>
            <w:vAlign w:val="center"/>
          </w:tcPr>
          <w:p w14:paraId="34F31311" w14:textId="77777777" w:rsidR="008975CB" w:rsidRPr="008975CB" w:rsidRDefault="008975CB" w:rsidP="008975CB">
            <w:pPr>
              <w:keepNext/>
              <w:keepLines/>
              <w:jc w:val="left"/>
              <w:rPr>
                <w:rFonts w:ascii="Times" w:eastAsiaTheme="majorEastAsia" w:hAnsi="Times" w:cstheme="majorBidi"/>
                <w:bCs/>
                <w:sz w:val="20"/>
              </w:rPr>
            </w:pPr>
            <w:r w:rsidRPr="008975CB">
              <w:rPr>
                <w:rFonts w:ascii="Arial Narrow" w:eastAsiaTheme="majorEastAsia" w:hAnsi="Arial Narrow" w:cstheme="majorBidi"/>
                <w:bCs/>
                <w:sz w:val="20"/>
              </w:rPr>
              <w:t>Incremental cost/LY gained</w:t>
            </w:r>
          </w:p>
        </w:tc>
        <w:tc>
          <w:tcPr>
            <w:tcW w:w="838" w:type="pct"/>
            <w:vAlign w:val="center"/>
          </w:tcPr>
          <w:p w14:paraId="6C2F4B10" w14:textId="27B8FC3F" w:rsidR="008975CB" w:rsidRPr="008975CB" w:rsidRDefault="00A268DC" w:rsidP="008975CB">
            <w:pPr>
              <w:keepNext/>
              <w:keepLines/>
              <w:jc w:val="center"/>
              <w:rPr>
                <w:rFonts w:ascii="Times" w:eastAsiaTheme="majorEastAsia" w:hAnsi="Times" w:cstheme="majorBidi"/>
                <w:bCs/>
                <w:sz w:val="20"/>
              </w:rPr>
            </w:pPr>
            <w:r w:rsidRPr="00A268DC">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B15DA6" w:rsidRPr="00B15DA6">
              <w:rPr>
                <w:rFonts w:ascii="Arial Narrow" w:eastAsiaTheme="majorEastAsia" w:hAnsi="Arial Narrow" w:cstheme="majorBidi"/>
                <w:bCs/>
                <w:sz w:val="20"/>
                <w:vertAlign w:val="superscript"/>
              </w:rPr>
              <w:t>2</w:t>
            </w:r>
          </w:p>
        </w:tc>
      </w:tr>
      <w:tr w:rsidR="008975CB" w:rsidRPr="008975CB" w14:paraId="3BD0B77B" w14:textId="77777777">
        <w:trPr>
          <w:cantSplit/>
        </w:trPr>
        <w:tc>
          <w:tcPr>
            <w:tcW w:w="5000" w:type="pct"/>
            <w:gridSpan w:val="4"/>
            <w:vAlign w:val="center"/>
          </w:tcPr>
          <w:p w14:paraId="09A937DC" w14:textId="77777777" w:rsidR="008975CB" w:rsidRPr="008975CB" w:rsidRDefault="008975CB" w:rsidP="008975CB">
            <w:pPr>
              <w:keepNext/>
              <w:keepLines/>
              <w:jc w:val="left"/>
              <w:rPr>
                <w:rFonts w:ascii="Arial Narrow" w:eastAsiaTheme="majorEastAsia" w:hAnsi="Arial Narrow" w:cs="Times New Roman"/>
                <w:b/>
                <w:sz w:val="20"/>
                <w:lang w:val="en-US"/>
              </w:rPr>
            </w:pPr>
            <w:r w:rsidRPr="008975CB">
              <w:rPr>
                <w:rFonts w:ascii="Arial Narrow" w:eastAsiaTheme="majorEastAsia" w:hAnsi="Arial Narrow" w:cs="Times New Roman"/>
                <w:b/>
                <w:sz w:val="20"/>
                <w:lang w:val="en-US"/>
              </w:rPr>
              <w:t>Step 3: 20 year time horizon including utilities</w:t>
            </w:r>
          </w:p>
        </w:tc>
      </w:tr>
      <w:tr w:rsidR="008975CB" w:rsidRPr="008975CB" w14:paraId="7220801A" w14:textId="77777777">
        <w:trPr>
          <w:cantSplit/>
        </w:trPr>
        <w:tc>
          <w:tcPr>
            <w:tcW w:w="1529" w:type="pct"/>
            <w:vAlign w:val="center"/>
          </w:tcPr>
          <w:p w14:paraId="511BCB3D" w14:textId="77777777" w:rsidR="008975CB" w:rsidRPr="008975CB" w:rsidRDefault="008975CB" w:rsidP="008975CB">
            <w:pPr>
              <w:keepNext/>
              <w:keepLines/>
              <w:jc w:val="left"/>
              <w:rPr>
                <w:rFonts w:ascii="Times" w:eastAsiaTheme="majorEastAsia" w:hAnsi="Times" w:cstheme="majorBidi"/>
                <w:bCs/>
                <w:sz w:val="20"/>
              </w:rPr>
            </w:pPr>
            <w:r w:rsidRPr="008975CB">
              <w:rPr>
                <w:rFonts w:ascii="Arial Narrow" w:eastAsiaTheme="majorEastAsia" w:hAnsi="Arial Narrow" w:cstheme="majorBidi"/>
                <w:bCs/>
                <w:sz w:val="20"/>
              </w:rPr>
              <w:t>Costs</w:t>
            </w:r>
          </w:p>
        </w:tc>
        <w:tc>
          <w:tcPr>
            <w:tcW w:w="1359" w:type="pct"/>
            <w:vAlign w:val="center"/>
          </w:tcPr>
          <w:p w14:paraId="3250D008" w14:textId="7F7FCACE" w:rsidR="008975CB" w:rsidRPr="008975CB" w:rsidRDefault="008975CB" w:rsidP="008975CB">
            <w:pPr>
              <w:keepNext/>
              <w:keepLines/>
              <w:jc w:val="center"/>
              <w:rPr>
                <w:rFonts w:ascii="Times" w:eastAsiaTheme="majorEastAsia" w:hAnsi="Times" w:cstheme="majorBidi"/>
                <w:bCs/>
                <w:sz w:val="20"/>
              </w:rPr>
            </w:pPr>
            <w:r w:rsidRPr="008975CB">
              <w:rPr>
                <w:rFonts w:ascii="Arial Narrow" w:eastAsiaTheme="majorEastAsia" w:hAnsi="Arial Narrow" w:cstheme="majorBidi"/>
                <w:bCs/>
                <w:sz w:val="20"/>
              </w:rPr>
              <w:t>$</w:t>
            </w:r>
            <w:r w:rsidR="00A268DC" w:rsidRPr="00A268DC">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274" w:type="pct"/>
            <w:vAlign w:val="center"/>
          </w:tcPr>
          <w:p w14:paraId="614999D2" w14:textId="77777777" w:rsidR="008975CB" w:rsidRPr="008975CB" w:rsidRDefault="008975CB" w:rsidP="008975CB">
            <w:pPr>
              <w:keepNext/>
              <w:keepLines/>
              <w:jc w:val="center"/>
              <w:rPr>
                <w:rFonts w:ascii="Times" w:eastAsiaTheme="majorEastAsia" w:hAnsi="Times" w:cstheme="majorBidi"/>
                <w:bCs/>
                <w:sz w:val="20"/>
              </w:rPr>
            </w:pPr>
            <w:r w:rsidRPr="008975CB">
              <w:rPr>
                <w:rFonts w:ascii="Arial Narrow" w:eastAsiaTheme="majorEastAsia" w:hAnsi="Arial Narrow" w:cstheme="majorBidi"/>
                <w:bCs/>
                <w:sz w:val="20"/>
              </w:rPr>
              <w:t>$97,255</w:t>
            </w:r>
          </w:p>
        </w:tc>
        <w:tc>
          <w:tcPr>
            <w:tcW w:w="838" w:type="pct"/>
            <w:vAlign w:val="center"/>
          </w:tcPr>
          <w:p w14:paraId="5F9F021A" w14:textId="20B49B29" w:rsidR="008975CB" w:rsidRPr="008975CB" w:rsidRDefault="008975CB" w:rsidP="008975CB">
            <w:pPr>
              <w:keepNext/>
              <w:keepLines/>
              <w:jc w:val="center"/>
              <w:rPr>
                <w:rFonts w:ascii="Times" w:eastAsiaTheme="majorEastAsia" w:hAnsi="Times" w:cstheme="majorBidi"/>
                <w:bCs/>
                <w:sz w:val="20"/>
              </w:rPr>
            </w:pPr>
            <w:r w:rsidRPr="008975CB">
              <w:rPr>
                <w:rFonts w:ascii="Arial Narrow" w:eastAsiaTheme="majorEastAsia" w:hAnsi="Arial Narrow" w:cstheme="majorBidi"/>
                <w:bCs/>
                <w:sz w:val="20"/>
              </w:rPr>
              <w:t>$</w:t>
            </w:r>
            <w:r w:rsidR="00A268DC" w:rsidRPr="00A268DC">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r w:rsidR="008975CB" w:rsidRPr="008975CB" w14:paraId="16C1F25A" w14:textId="77777777">
        <w:trPr>
          <w:cantSplit/>
        </w:trPr>
        <w:tc>
          <w:tcPr>
            <w:tcW w:w="1529" w:type="pct"/>
            <w:vAlign w:val="center"/>
          </w:tcPr>
          <w:p w14:paraId="63DF4B6C" w14:textId="77777777" w:rsidR="008975CB" w:rsidRPr="008975CB" w:rsidRDefault="008975CB" w:rsidP="008975CB">
            <w:pPr>
              <w:keepNext/>
              <w:keepLines/>
              <w:jc w:val="left"/>
              <w:rPr>
                <w:rFonts w:ascii="Times" w:eastAsiaTheme="majorEastAsia" w:hAnsi="Times" w:cstheme="majorBidi"/>
                <w:bCs/>
                <w:sz w:val="20"/>
              </w:rPr>
            </w:pPr>
            <w:r w:rsidRPr="008975CB">
              <w:rPr>
                <w:rFonts w:ascii="Arial Narrow" w:eastAsiaTheme="majorEastAsia" w:hAnsi="Arial Narrow" w:cstheme="majorBidi"/>
                <w:bCs/>
                <w:sz w:val="20"/>
              </w:rPr>
              <w:t>QALY</w:t>
            </w:r>
          </w:p>
        </w:tc>
        <w:tc>
          <w:tcPr>
            <w:tcW w:w="1359" w:type="pct"/>
            <w:vAlign w:val="center"/>
          </w:tcPr>
          <w:p w14:paraId="085D5052" w14:textId="77777777" w:rsidR="008975CB" w:rsidRPr="008975CB" w:rsidRDefault="008975CB" w:rsidP="008975CB">
            <w:pPr>
              <w:keepNext/>
              <w:keepLines/>
              <w:jc w:val="center"/>
              <w:rPr>
                <w:rFonts w:ascii="Times" w:eastAsiaTheme="majorEastAsia" w:hAnsi="Times" w:cstheme="majorBidi"/>
                <w:bCs/>
                <w:sz w:val="20"/>
              </w:rPr>
            </w:pPr>
            <w:r w:rsidRPr="008975CB">
              <w:rPr>
                <w:rFonts w:ascii="Arial Narrow" w:eastAsiaTheme="majorEastAsia" w:hAnsi="Arial Narrow" w:cstheme="majorBidi"/>
                <w:bCs/>
                <w:sz w:val="20"/>
              </w:rPr>
              <w:t>7.252</w:t>
            </w:r>
          </w:p>
        </w:tc>
        <w:tc>
          <w:tcPr>
            <w:tcW w:w="1274" w:type="pct"/>
            <w:vAlign w:val="center"/>
          </w:tcPr>
          <w:p w14:paraId="7EDF0458" w14:textId="77777777" w:rsidR="008975CB" w:rsidRPr="008975CB" w:rsidRDefault="008975CB" w:rsidP="008975CB">
            <w:pPr>
              <w:keepNext/>
              <w:keepLines/>
              <w:jc w:val="center"/>
              <w:rPr>
                <w:rFonts w:ascii="Times" w:eastAsiaTheme="majorEastAsia" w:hAnsi="Times" w:cstheme="majorBidi"/>
                <w:bCs/>
                <w:sz w:val="20"/>
              </w:rPr>
            </w:pPr>
            <w:r w:rsidRPr="008975CB">
              <w:rPr>
                <w:rFonts w:ascii="Arial Narrow" w:eastAsiaTheme="majorEastAsia" w:hAnsi="Arial Narrow" w:cstheme="majorBidi"/>
                <w:bCs/>
                <w:sz w:val="20"/>
              </w:rPr>
              <w:t>5.637</w:t>
            </w:r>
          </w:p>
        </w:tc>
        <w:tc>
          <w:tcPr>
            <w:tcW w:w="838" w:type="pct"/>
            <w:vAlign w:val="center"/>
          </w:tcPr>
          <w:p w14:paraId="4CB6AAC4" w14:textId="77777777" w:rsidR="008975CB" w:rsidRPr="008975CB" w:rsidRDefault="008975CB" w:rsidP="008975CB">
            <w:pPr>
              <w:keepNext/>
              <w:keepLines/>
              <w:jc w:val="center"/>
              <w:rPr>
                <w:rFonts w:ascii="Arial Narrow" w:eastAsiaTheme="majorEastAsia" w:hAnsi="Arial Narrow" w:cstheme="majorBidi"/>
                <w:bCs/>
                <w:sz w:val="20"/>
              </w:rPr>
            </w:pPr>
            <w:r w:rsidRPr="008975CB">
              <w:rPr>
                <w:rFonts w:ascii="Arial Narrow" w:eastAsiaTheme="majorEastAsia" w:hAnsi="Arial Narrow" w:cstheme="majorBidi"/>
                <w:bCs/>
                <w:sz w:val="20"/>
              </w:rPr>
              <w:t>1.62</w:t>
            </w:r>
          </w:p>
        </w:tc>
      </w:tr>
      <w:tr w:rsidR="008975CB" w:rsidRPr="008975CB" w14:paraId="4394634B" w14:textId="77777777">
        <w:trPr>
          <w:cantSplit/>
        </w:trPr>
        <w:tc>
          <w:tcPr>
            <w:tcW w:w="4162" w:type="pct"/>
            <w:gridSpan w:val="3"/>
            <w:vAlign w:val="center"/>
          </w:tcPr>
          <w:p w14:paraId="297B35AC" w14:textId="77777777" w:rsidR="008975CB" w:rsidRPr="008975CB" w:rsidRDefault="008975CB" w:rsidP="008975CB">
            <w:pPr>
              <w:keepNext/>
              <w:keepLines/>
              <w:jc w:val="left"/>
              <w:rPr>
                <w:rFonts w:ascii="Times" w:eastAsiaTheme="majorEastAsia" w:hAnsi="Times" w:cstheme="majorBidi"/>
                <w:bCs/>
                <w:sz w:val="20"/>
              </w:rPr>
            </w:pPr>
            <w:r w:rsidRPr="008975CB">
              <w:rPr>
                <w:rFonts w:ascii="Arial Narrow" w:eastAsiaTheme="majorEastAsia" w:hAnsi="Arial Narrow" w:cstheme="majorBidi"/>
                <w:bCs/>
                <w:sz w:val="20"/>
              </w:rPr>
              <w:t>Incremental cost/QALY gained</w:t>
            </w:r>
          </w:p>
        </w:tc>
        <w:tc>
          <w:tcPr>
            <w:tcW w:w="838" w:type="pct"/>
            <w:vAlign w:val="center"/>
          </w:tcPr>
          <w:p w14:paraId="76C6CC31" w14:textId="4E744BFC" w:rsidR="008975CB" w:rsidRPr="008975CB" w:rsidRDefault="00A268DC" w:rsidP="008975CB">
            <w:pPr>
              <w:keepNext/>
              <w:keepLines/>
              <w:jc w:val="center"/>
              <w:rPr>
                <w:rFonts w:ascii="Times" w:eastAsiaTheme="majorEastAsia" w:hAnsi="Times" w:cstheme="majorBidi"/>
                <w:bCs/>
                <w:sz w:val="20"/>
              </w:rPr>
            </w:pPr>
            <w:r w:rsidRPr="00A268DC">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A86AC3" w:rsidRPr="00A86AC3">
              <w:rPr>
                <w:rFonts w:ascii="Arial Narrow" w:eastAsiaTheme="majorEastAsia" w:hAnsi="Arial Narrow" w:cstheme="majorBidi"/>
                <w:bCs/>
                <w:sz w:val="20"/>
                <w:vertAlign w:val="superscript"/>
              </w:rPr>
              <w:t>3</w:t>
            </w:r>
          </w:p>
        </w:tc>
      </w:tr>
    </w:tbl>
    <w:p w14:paraId="2EB218E0" w14:textId="77777777" w:rsidR="008975CB" w:rsidRPr="008975CB" w:rsidRDefault="008975CB" w:rsidP="008975CB">
      <w:pPr>
        <w:keepLines/>
        <w:spacing w:after="120"/>
        <w:contextualSpacing/>
        <w:jc w:val="left"/>
        <w:rPr>
          <w:rFonts w:ascii="Arial Narrow" w:hAnsi="Arial Narrow"/>
          <w:snapToGrid w:val="0"/>
          <w:sz w:val="18"/>
          <w:szCs w:val="22"/>
        </w:rPr>
      </w:pPr>
      <w:r w:rsidRPr="008975CB">
        <w:rPr>
          <w:rFonts w:ascii="Arial Narrow" w:hAnsi="Arial Narrow"/>
          <w:snapToGrid w:val="0"/>
          <w:sz w:val="18"/>
          <w:szCs w:val="22"/>
        </w:rPr>
        <w:t>Source: Table 3-31, p190 of the resubmission</w:t>
      </w:r>
    </w:p>
    <w:p w14:paraId="05D50030" w14:textId="77777777" w:rsidR="00970DAE" w:rsidRDefault="008975CB" w:rsidP="00970DAE">
      <w:pPr>
        <w:keepLines/>
        <w:spacing w:after="120"/>
        <w:contextualSpacing/>
        <w:jc w:val="left"/>
        <w:rPr>
          <w:rFonts w:ascii="Arial Narrow" w:hAnsi="Arial Narrow"/>
          <w:snapToGrid w:val="0"/>
          <w:sz w:val="18"/>
          <w:szCs w:val="22"/>
        </w:rPr>
      </w:pPr>
      <w:r w:rsidRPr="008975CB">
        <w:rPr>
          <w:rFonts w:ascii="Arial Narrow" w:hAnsi="Arial Narrow"/>
          <w:snapToGrid w:val="0"/>
          <w:sz w:val="18"/>
          <w:szCs w:val="22"/>
        </w:rPr>
        <w:t>Abbreviations: Abbreviations: BAT, Best Available Therapy; LY, life years; QALYs, Quality-Adjusted Life Years</w:t>
      </w:r>
      <w:r w:rsidR="00970DAE">
        <w:rPr>
          <w:rFonts w:ascii="Arial Narrow" w:hAnsi="Arial Narrow"/>
          <w:snapToGrid w:val="0"/>
          <w:sz w:val="18"/>
          <w:szCs w:val="22"/>
        </w:rPr>
        <w:t xml:space="preserve"> </w:t>
      </w:r>
    </w:p>
    <w:p w14:paraId="6B0667A3" w14:textId="3B949D0B" w:rsidR="00970DAE" w:rsidRPr="00FE3CA1" w:rsidRDefault="00970DAE" w:rsidP="00970DAE">
      <w:pPr>
        <w:keepLines/>
        <w:spacing w:after="120"/>
        <w:contextualSpacing/>
        <w:jc w:val="left"/>
        <w:rPr>
          <w:rFonts w:ascii="Arial Narrow" w:hAnsi="Arial Narrow"/>
          <w:i/>
          <w:iCs/>
          <w:snapToGrid w:val="0"/>
          <w:sz w:val="18"/>
          <w:szCs w:val="22"/>
        </w:rPr>
      </w:pPr>
      <w:r w:rsidRPr="00FE3CA1">
        <w:rPr>
          <w:rFonts w:ascii="Arial Narrow" w:hAnsi="Arial Narrow"/>
          <w:i/>
          <w:iCs/>
          <w:snapToGrid w:val="0"/>
          <w:sz w:val="18"/>
          <w:szCs w:val="22"/>
        </w:rPr>
        <w:t>The redacted values correspond to the following ranges</w:t>
      </w:r>
      <w:r w:rsidR="00FE3CA1" w:rsidRPr="00FE3CA1">
        <w:rPr>
          <w:rFonts w:ascii="Arial Narrow" w:hAnsi="Arial Narrow"/>
          <w:i/>
          <w:iCs/>
          <w:snapToGrid w:val="0"/>
          <w:sz w:val="18"/>
          <w:szCs w:val="22"/>
        </w:rPr>
        <w:t>:</w:t>
      </w:r>
    </w:p>
    <w:p w14:paraId="08CA8125" w14:textId="77777777" w:rsidR="00B15DA6" w:rsidRPr="00FE3CA1" w:rsidRDefault="00970DAE" w:rsidP="00970DAE">
      <w:pPr>
        <w:keepLines/>
        <w:spacing w:after="120"/>
        <w:contextualSpacing/>
        <w:jc w:val="left"/>
        <w:rPr>
          <w:rFonts w:ascii="Arial Narrow" w:hAnsi="Arial Narrow"/>
          <w:i/>
          <w:iCs/>
          <w:snapToGrid w:val="0"/>
          <w:sz w:val="18"/>
          <w:szCs w:val="22"/>
        </w:rPr>
      </w:pPr>
      <w:r w:rsidRPr="00FE3CA1">
        <w:rPr>
          <w:rFonts w:ascii="Arial Narrow" w:hAnsi="Arial Narrow"/>
          <w:i/>
          <w:iCs/>
          <w:snapToGrid w:val="0"/>
          <w:sz w:val="18"/>
          <w:szCs w:val="22"/>
          <w:vertAlign w:val="superscript"/>
        </w:rPr>
        <w:t>1</w:t>
      </w:r>
      <w:r w:rsidRPr="00FE3CA1">
        <w:rPr>
          <w:rFonts w:ascii="Arial Narrow" w:hAnsi="Arial Narrow"/>
          <w:i/>
          <w:iCs/>
          <w:snapToGrid w:val="0"/>
          <w:sz w:val="18"/>
          <w:szCs w:val="22"/>
        </w:rPr>
        <w:t xml:space="preserve"> </w:t>
      </w:r>
      <w:r w:rsidR="00231DE0" w:rsidRPr="00FE3CA1">
        <w:rPr>
          <w:rFonts w:ascii="Arial Narrow" w:hAnsi="Arial Narrow"/>
          <w:i/>
          <w:iCs/>
          <w:snapToGrid w:val="0"/>
          <w:sz w:val="18"/>
          <w:szCs w:val="22"/>
        </w:rPr>
        <w:t>$255,000 to &lt; $355,000</w:t>
      </w:r>
      <w:r w:rsidR="00B15DA6" w:rsidRPr="00FE3CA1">
        <w:rPr>
          <w:rFonts w:ascii="Arial Narrow" w:hAnsi="Arial Narrow"/>
          <w:i/>
          <w:iCs/>
          <w:snapToGrid w:val="0"/>
          <w:sz w:val="18"/>
          <w:szCs w:val="22"/>
        </w:rPr>
        <w:t xml:space="preserve"> </w:t>
      </w:r>
    </w:p>
    <w:p w14:paraId="56BC67D3" w14:textId="240C594C" w:rsidR="00231DE0" w:rsidRPr="00FE3CA1" w:rsidRDefault="00B15DA6" w:rsidP="00970DAE">
      <w:pPr>
        <w:keepLines/>
        <w:spacing w:after="120"/>
        <w:contextualSpacing/>
        <w:jc w:val="left"/>
        <w:rPr>
          <w:rFonts w:ascii="Arial Narrow" w:hAnsi="Arial Narrow"/>
          <w:i/>
          <w:iCs/>
          <w:snapToGrid w:val="0"/>
          <w:sz w:val="18"/>
          <w:szCs w:val="22"/>
        </w:rPr>
      </w:pPr>
      <w:r w:rsidRPr="00FE3CA1">
        <w:rPr>
          <w:rFonts w:ascii="Arial Narrow" w:hAnsi="Arial Narrow"/>
          <w:i/>
          <w:iCs/>
          <w:snapToGrid w:val="0"/>
          <w:sz w:val="18"/>
          <w:szCs w:val="22"/>
          <w:vertAlign w:val="superscript"/>
        </w:rPr>
        <w:t>2</w:t>
      </w:r>
      <w:r w:rsidRPr="00FE3CA1">
        <w:rPr>
          <w:rFonts w:ascii="Arial Narrow" w:hAnsi="Arial Narrow"/>
          <w:i/>
          <w:iCs/>
          <w:snapToGrid w:val="0"/>
          <w:sz w:val="18"/>
          <w:szCs w:val="22"/>
        </w:rPr>
        <w:t xml:space="preserve"> $75,000 to &lt; $95,000 </w:t>
      </w:r>
    </w:p>
    <w:p w14:paraId="6FC2D45E" w14:textId="6CB18498" w:rsidR="00970DAE" w:rsidRPr="00FE3CA1" w:rsidRDefault="00A86AC3" w:rsidP="00970DAE">
      <w:pPr>
        <w:keepLines/>
        <w:spacing w:after="120"/>
        <w:contextualSpacing/>
        <w:jc w:val="left"/>
        <w:rPr>
          <w:rFonts w:ascii="Arial Narrow" w:hAnsi="Arial Narrow"/>
          <w:i/>
          <w:iCs/>
          <w:snapToGrid w:val="0"/>
          <w:sz w:val="18"/>
          <w:szCs w:val="22"/>
        </w:rPr>
      </w:pPr>
      <w:r w:rsidRPr="00FE3CA1">
        <w:rPr>
          <w:rFonts w:ascii="Arial Narrow" w:hAnsi="Arial Narrow"/>
          <w:i/>
          <w:iCs/>
          <w:snapToGrid w:val="0"/>
          <w:sz w:val="18"/>
          <w:szCs w:val="22"/>
          <w:vertAlign w:val="superscript"/>
        </w:rPr>
        <w:t>3</w:t>
      </w:r>
      <w:r w:rsidRPr="00FE3CA1">
        <w:rPr>
          <w:rFonts w:ascii="Arial Narrow" w:hAnsi="Arial Narrow"/>
          <w:i/>
          <w:iCs/>
          <w:snapToGrid w:val="0"/>
          <w:sz w:val="18"/>
          <w:szCs w:val="22"/>
        </w:rPr>
        <w:t xml:space="preserve"> </w:t>
      </w:r>
      <w:r w:rsidR="00970DAE" w:rsidRPr="00FE3CA1">
        <w:rPr>
          <w:rFonts w:ascii="Arial Narrow" w:hAnsi="Arial Narrow"/>
          <w:i/>
          <w:iCs/>
          <w:snapToGrid w:val="0"/>
          <w:sz w:val="18"/>
          <w:szCs w:val="22"/>
        </w:rPr>
        <w:t xml:space="preserve">$55,000 to &lt; $75,000 </w:t>
      </w:r>
    </w:p>
    <w:p w14:paraId="59B7CF3A" w14:textId="4AF60DF5" w:rsidR="003D210D" w:rsidRDefault="008975CB" w:rsidP="009822FB">
      <w:pPr>
        <w:pStyle w:val="3-BodyText"/>
      </w:pPr>
      <w:r w:rsidRPr="0F1D33A4">
        <w:t>In Step 1, the quasi trial-based analysis show</w:t>
      </w:r>
      <w:r w:rsidR="00FB7B8F" w:rsidRPr="0F1D33A4">
        <w:t>ed</w:t>
      </w:r>
      <w:r w:rsidRPr="0F1D33A4">
        <w:t xml:space="preserve"> that at the end of 5 years, there was a</w:t>
      </w:r>
      <w:r w:rsidR="00A50E3B" w:rsidRPr="0F1D33A4">
        <w:t>n</w:t>
      </w:r>
      <w:r w:rsidRPr="0F1D33A4">
        <w:t xml:space="preserve"> incremental gain of 0.15 </w:t>
      </w:r>
      <w:r w:rsidR="008D317E" w:rsidRPr="0F1D33A4">
        <w:t xml:space="preserve">life </w:t>
      </w:r>
      <w:r w:rsidRPr="0F1D33A4">
        <w:t>years</w:t>
      </w:r>
      <w:r w:rsidR="00CB0EB3" w:rsidRPr="0F1D33A4">
        <w:t xml:space="preserve"> (LYs)</w:t>
      </w:r>
      <w:r w:rsidRPr="0F1D33A4">
        <w:t>.</w:t>
      </w:r>
      <w:r w:rsidR="009822FB" w:rsidRPr="0F1D33A4">
        <w:t xml:space="preserve"> </w:t>
      </w:r>
      <w:r w:rsidRPr="0F1D33A4">
        <w:t>The ICER reduce</w:t>
      </w:r>
      <w:r w:rsidR="00D6381B" w:rsidRPr="0F1D33A4">
        <w:t>d</w:t>
      </w:r>
      <w:r w:rsidRPr="0F1D33A4">
        <w:t xml:space="preserve"> by </w:t>
      </w:r>
      <w:r w:rsidR="009309CC" w:rsidRPr="00C0236C">
        <w:rPr>
          <w:color w:val="000000"/>
          <w:w w:val="15"/>
          <w:shd w:val="solid" w:color="000000" w:fill="000000"/>
          <w:fitText w:val="-20" w:id="-683986164"/>
          <w14:textFill>
            <w14:solidFill>
              <w14:srgbClr w14:val="000000">
                <w14:alpha w14:val="100000"/>
              </w14:srgbClr>
            </w14:solidFill>
          </w14:textFill>
        </w:rPr>
        <w:t xml:space="preserve">|  </w:t>
      </w:r>
      <w:r w:rsidR="009309CC" w:rsidRPr="00C0236C">
        <w:rPr>
          <w:color w:val="000000"/>
          <w:spacing w:val="-69"/>
          <w:w w:val="15"/>
          <w:shd w:val="solid" w:color="000000" w:fill="000000"/>
          <w:fitText w:val="-20" w:id="-683986164"/>
          <w14:textFill>
            <w14:solidFill>
              <w14:srgbClr w14:val="000000">
                <w14:alpha w14:val="100000"/>
              </w14:srgbClr>
            </w14:solidFill>
          </w14:textFill>
        </w:rPr>
        <w:t>|</w:t>
      </w:r>
      <w:r w:rsidRPr="0F1D33A4">
        <w:t>% between years 5 and 20 in Step 2, the incremental cost more than double</w:t>
      </w:r>
      <w:r w:rsidR="00A23396" w:rsidRPr="0F1D33A4">
        <w:t>d</w:t>
      </w:r>
      <w:r w:rsidRPr="0F1D33A4">
        <w:t>, and there is a greater than an 8-fold increase in the incremental LYs gained. Step 3 highlight</w:t>
      </w:r>
      <w:r w:rsidR="00A23396" w:rsidRPr="0F1D33A4">
        <w:t>ed</w:t>
      </w:r>
      <w:r w:rsidRPr="0F1D33A4">
        <w:t xml:space="preserve"> that the differences in pre-progression utility, combined with lower utility weights in progressed health states </w:t>
      </w:r>
      <w:r w:rsidR="00C4023C" w:rsidRPr="0F1D33A4">
        <w:t>resulted in the</w:t>
      </w:r>
      <w:r w:rsidR="00F87B86">
        <w:t xml:space="preserve"> </w:t>
      </w:r>
      <w:r w:rsidRPr="0F1D33A4">
        <w:t>incremental QALYs gained exceed</w:t>
      </w:r>
      <w:r w:rsidR="00C4023C" w:rsidRPr="0F1D33A4">
        <w:t>ing</w:t>
      </w:r>
      <w:r w:rsidRPr="0F1D33A4">
        <w:t xml:space="preserve"> incremental LYs gained. </w:t>
      </w:r>
    </w:p>
    <w:p w14:paraId="3AF82E7C" w14:textId="77777777" w:rsidR="003D210D" w:rsidRDefault="003D210D">
      <w:pPr>
        <w:jc w:val="left"/>
        <w:rPr>
          <w:rFonts w:asciiTheme="minorHAnsi" w:eastAsiaTheme="minorHAnsi" w:hAnsiTheme="minorHAnsi" w:cstheme="minorBidi"/>
          <w:szCs w:val="22"/>
        </w:rPr>
      </w:pPr>
      <w:r>
        <w:br w:type="page"/>
      </w:r>
    </w:p>
    <w:p w14:paraId="521E11CC" w14:textId="47C8AC7E" w:rsidR="008975CB" w:rsidRPr="006124A7" w:rsidRDefault="008975CB" w:rsidP="001E668F">
      <w:pPr>
        <w:pStyle w:val="3-BodyText"/>
      </w:pPr>
      <w:r w:rsidRPr="006124A7">
        <w:rPr>
          <w:rFonts w:cstheme="minorHAnsi"/>
        </w:rPr>
        <w:lastRenderedPageBreak/>
        <w:fldChar w:fldCharType="begin" w:fldLock="1"/>
      </w:r>
      <w:r w:rsidRPr="006124A7">
        <w:rPr>
          <w:rFonts w:cstheme="minorHAnsi"/>
          <w:szCs w:val="24"/>
        </w:rPr>
        <w:instrText xml:space="preserve"> REF _Ref185229869 \h </w:instrText>
      </w:r>
      <w:r w:rsidR="00412E73" w:rsidRPr="006124A7">
        <w:rPr>
          <w:rFonts w:cstheme="minorHAnsi"/>
          <w:szCs w:val="24"/>
        </w:rPr>
        <w:instrText xml:space="preserve"> \* MERGEFORMAT </w:instrText>
      </w:r>
      <w:r w:rsidRPr="006124A7">
        <w:rPr>
          <w:rFonts w:cstheme="minorHAnsi"/>
        </w:rPr>
      </w:r>
      <w:r w:rsidRPr="006124A7">
        <w:rPr>
          <w:rFonts w:cstheme="minorHAnsi"/>
        </w:rPr>
        <w:fldChar w:fldCharType="separate"/>
      </w:r>
      <w:r w:rsidR="0096555B" w:rsidRPr="006124A7">
        <w:rPr>
          <w:rFonts w:cstheme="minorHAnsi"/>
          <w:szCs w:val="24"/>
        </w:rPr>
        <w:t xml:space="preserve">Figure </w:t>
      </w:r>
      <w:r w:rsidR="0096555B" w:rsidRPr="006124A7">
        <w:rPr>
          <w:rFonts w:cstheme="minorHAnsi"/>
          <w:noProof/>
          <w:szCs w:val="24"/>
        </w:rPr>
        <w:t>8</w:t>
      </w:r>
      <w:r w:rsidRPr="006124A7">
        <w:rPr>
          <w:rFonts w:cstheme="minorHAnsi"/>
        </w:rPr>
        <w:fldChar w:fldCharType="end"/>
      </w:r>
      <w:r w:rsidRPr="006124A7">
        <w:t xml:space="preserve"> shows the cumulative QALYs gained throughout the time horizon of the model. </w:t>
      </w:r>
    </w:p>
    <w:p w14:paraId="669DA35D" w14:textId="51642477" w:rsidR="008975CB" w:rsidRPr="008975CB" w:rsidRDefault="008975CB" w:rsidP="008975CB">
      <w:pPr>
        <w:keepNext/>
        <w:keepLines/>
        <w:rPr>
          <w:rFonts w:ascii="Arial Narrow" w:hAnsi="Arial Narrow"/>
          <w:b/>
          <w:bCs/>
          <w:sz w:val="20"/>
          <w:szCs w:val="18"/>
        </w:rPr>
      </w:pPr>
      <w:bookmarkStart w:id="81" w:name="_Ref185229869"/>
      <w:r w:rsidRPr="008975CB">
        <w:rPr>
          <w:rFonts w:ascii="Arial Narrow" w:hAnsi="Arial Narrow"/>
          <w:b/>
          <w:bCs/>
          <w:sz w:val="20"/>
          <w:szCs w:val="18"/>
        </w:rPr>
        <w:t xml:space="preserve">Figure </w:t>
      </w:r>
      <w:r w:rsidRPr="008975CB">
        <w:rPr>
          <w:rFonts w:ascii="Arial Narrow" w:hAnsi="Arial Narrow"/>
          <w:b/>
          <w:bCs/>
          <w:sz w:val="20"/>
          <w:szCs w:val="18"/>
        </w:rPr>
        <w:fldChar w:fldCharType="begin" w:fldLock="1"/>
      </w:r>
      <w:r w:rsidRPr="008975CB">
        <w:rPr>
          <w:rFonts w:ascii="Arial Narrow" w:hAnsi="Arial Narrow"/>
          <w:b/>
          <w:bCs/>
          <w:sz w:val="20"/>
          <w:szCs w:val="18"/>
        </w:rPr>
        <w:instrText xml:space="preserve"> SEQ Figure \* ARABIC </w:instrText>
      </w:r>
      <w:r w:rsidRPr="008975CB">
        <w:rPr>
          <w:rFonts w:ascii="Arial Narrow" w:hAnsi="Arial Narrow"/>
          <w:b/>
          <w:bCs/>
          <w:sz w:val="20"/>
          <w:szCs w:val="18"/>
        </w:rPr>
        <w:fldChar w:fldCharType="separate"/>
      </w:r>
      <w:r w:rsidR="0096555B">
        <w:rPr>
          <w:rFonts w:ascii="Arial Narrow" w:hAnsi="Arial Narrow"/>
          <w:b/>
          <w:bCs/>
          <w:noProof/>
          <w:sz w:val="20"/>
          <w:szCs w:val="18"/>
        </w:rPr>
        <w:t>8</w:t>
      </w:r>
      <w:r w:rsidRPr="008975CB">
        <w:rPr>
          <w:rFonts w:ascii="Arial Narrow" w:hAnsi="Arial Narrow"/>
          <w:b/>
          <w:bCs/>
          <w:sz w:val="20"/>
          <w:szCs w:val="18"/>
        </w:rPr>
        <w:fldChar w:fldCharType="end"/>
      </w:r>
      <w:bookmarkEnd w:id="81"/>
      <w:r w:rsidRPr="008975CB">
        <w:rPr>
          <w:rFonts w:ascii="Arial Narrow" w:hAnsi="Arial Narrow"/>
          <w:b/>
          <w:bCs/>
          <w:sz w:val="20"/>
          <w:szCs w:val="18"/>
        </w:rPr>
        <w:t xml:space="preserve">: Cumulative QALYs (undiscounted) </w:t>
      </w:r>
    </w:p>
    <w:p w14:paraId="489101F9" w14:textId="77777777" w:rsidR="008975CB" w:rsidRPr="008975CB" w:rsidRDefault="008975CB" w:rsidP="008975CB">
      <w:pPr>
        <w:rPr>
          <w:i/>
          <w:iCs/>
        </w:rPr>
      </w:pPr>
      <w:r w:rsidRPr="008975CB">
        <w:rPr>
          <w:i/>
          <w:iCs/>
          <w:noProof/>
        </w:rPr>
        <w:drawing>
          <wp:inline distT="0" distB="0" distL="0" distR="0" wp14:anchorId="27620379" wp14:editId="535029B6">
            <wp:extent cx="5662295" cy="3016503"/>
            <wp:effectExtent l="0" t="0" r="0" b="0"/>
            <wp:docPr id="1919675807" name="Picture 1" descr="Figure 8: Cumulative QALYs (undiscounted). At 20 years, cumulative ruxolitinib is at 9 QALYs compared to 6 QALYs for BA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675807" name="Picture 1" descr="Figure 8: Cumulative QALYs (undiscounted). At 20 years, cumulative ruxolitinib is at 9 QALYs compared to 6 QALYs for BAT&#10;"/>
                    <pic:cNvPicPr/>
                  </pic:nvPicPr>
                  <pic:blipFill>
                    <a:blip r:embed="rId21"/>
                    <a:stretch>
                      <a:fillRect/>
                    </a:stretch>
                  </pic:blipFill>
                  <pic:spPr>
                    <a:xfrm>
                      <a:off x="0" y="0"/>
                      <a:ext cx="5664341" cy="3017593"/>
                    </a:xfrm>
                    <a:prstGeom prst="rect">
                      <a:avLst/>
                    </a:prstGeom>
                  </pic:spPr>
                </pic:pic>
              </a:graphicData>
            </a:graphic>
          </wp:inline>
        </w:drawing>
      </w:r>
    </w:p>
    <w:p w14:paraId="7E058977" w14:textId="77777777" w:rsidR="008975CB" w:rsidRPr="008975CB" w:rsidRDefault="008975CB" w:rsidP="0F1D33A4">
      <w:pPr>
        <w:keepLines/>
        <w:spacing w:after="120"/>
        <w:contextualSpacing/>
        <w:jc w:val="left"/>
        <w:rPr>
          <w:rFonts w:ascii="Arial Narrow" w:hAnsi="Arial Narrow"/>
          <w:snapToGrid w:val="0"/>
          <w:sz w:val="18"/>
          <w:szCs w:val="18"/>
        </w:rPr>
      </w:pPr>
      <w:r w:rsidRPr="0F1D33A4">
        <w:rPr>
          <w:rFonts w:ascii="Arial Narrow" w:hAnsi="Arial Narrow"/>
          <w:snapToGrid w:val="0"/>
          <w:sz w:val="18"/>
          <w:szCs w:val="18"/>
        </w:rPr>
        <w:t>Source: Compiled during the evaluation from information in tabs ‘Trace_Rux_pfs’ and ‘Trace_BAT_pfs’ of the economic model</w:t>
      </w:r>
    </w:p>
    <w:p w14:paraId="35779C88" w14:textId="77777777" w:rsidR="008975CB" w:rsidRPr="008975CB" w:rsidRDefault="008975CB" w:rsidP="0910F2D2">
      <w:pPr>
        <w:keepLines/>
        <w:spacing w:after="120"/>
        <w:contextualSpacing/>
        <w:jc w:val="left"/>
        <w:rPr>
          <w:rFonts w:ascii="Arial Narrow" w:hAnsi="Arial Narrow"/>
          <w:snapToGrid w:val="0"/>
          <w:sz w:val="18"/>
          <w:szCs w:val="18"/>
        </w:rPr>
      </w:pPr>
      <w:r w:rsidRPr="0910F2D2">
        <w:rPr>
          <w:rFonts w:ascii="Arial Narrow" w:hAnsi="Arial Narrow"/>
          <w:snapToGrid w:val="0"/>
          <w:sz w:val="18"/>
          <w:szCs w:val="18"/>
        </w:rPr>
        <w:t>Abbreviations: BAT, best available treatment; Cum, cumulative; QALY, quality-adjusted life year; Rux, ruxolitinib</w:t>
      </w:r>
    </w:p>
    <w:p w14:paraId="521F3F9E" w14:textId="2308A029" w:rsidR="001E668F" w:rsidRDefault="001E668F" w:rsidP="00CD0472">
      <w:pPr>
        <w:pStyle w:val="3-BodyText"/>
      </w:pPr>
      <w:r w:rsidRPr="00946411">
        <w:t>The</w:t>
      </w:r>
      <w:r w:rsidR="00D12B73" w:rsidRPr="00946411">
        <w:t xml:space="preserve"> ESC noted the</w:t>
      </w:r>
      <w:r w:rsidRPr="00946411">
        <w:t xml:space="preserve"> (undiscounted) cumulative QALYs do not diverge substantially until approximately 4 years and </w:t>
      </w:r>
      <w:r w:rsidR="00F1324B" w:rsidRPr="00946411">
        <w:t xml:space="preserve">considered </w:t>
      </w:r>
      <w:r w:rsidRPr="00946411">
        <w:t xml:space="preserve">that initial differences in PFS and OS that were assumed by the economic model, led to differences in QALY gains that were maintained throughout the time horizon (20 years) and beyond. </w:t>
      </w:r>
      <w:r w:rsidR="00CD0472" w:rsidRPr="00946411">
        <w:t>The ESC noted that</w:t>
      </w:r>
      <w:r w:rsidR="00CD0472" w:rsidRPr="0F1D33A4">
        <w:rPr>
          <w:i/>
          <w:iCs/>
        </w:rPr>
        <w:t xml:space="preserve"> </w:t>
      </w:r>
      <w:r w:rsidR="00CD0472" w:rsidRPr="0F1D33A4">
        <w:t>i</w:t>
      </w:r>
      <w:r w:rsidRPr="0F1D33A4">
        <w:t xml:space="preserve">n the economic model 72% of the incremental QALY gains occurred between years 5 and 20. </w:t>
      </w:r>
    </w:p>
    <w:p w14:paraId="114835D7" w14:textId="54E23271" w:rsidR="008975CB" w:rsidRPr="00651918" w:rsidRDefault="008975CB" w:rsidP="00651918">
      <w:pPr>
        <w:pStyle w:val="3-BodyText"/>
        <w:rPr>
          <w:i/>
          <w:iCs/>
        </w:rPr>
      </w:pPr>
      <w:r w:rsidRPr="00567618">
        <w:t xml:space="preserve">The results of key univariate sensitivity analyses conducted by the resubmission and during the evaluation are summarised in </w:t>
      </w:r>
      <w:r w:rsidRPr="00567618">
        <w:rPr>
          <w:rFonts w:cstheme="minorHAnsi"/>
        </w:rPr>
        <w:fldChar w:fldCharType="begin" w:fldLock="1"/>
      </w:r>
      <w:r w:rsidRPr="00567618">
        <w:rPr>
          <w:rFonts w:cstheme="minorHAnsi"/>
          <w:szCs w:val="24"/>
        </w:rPr>
        <w:instrText xml:space="preserve"> REF _Ref104804865 \h </w:instrText>
      </w:r>
      <w:r w:rsidR="002771D8" w:rsidRPr="00567618">
        <w:rPr>
          <w:rFonts w:cstheme="minorHAnsi"/>
          <w:szCs w:val="24"/>
        </w:rPr>
        <w:instrText xml:space="preserve"> \* MERGEFORMAT </w:instrText>
      </w:r>
      <w:r w:rsidRPr="00567618">
        <w:rPr>
          <w:rFonts w:cstheme="minorHAnsi"/>
        </w:rPr>
      </w:r>
      <w:r w:rsidRPr="00567618">
        <w:rPr>
          <w:rFonts w:cstheme="minorHAnsi"/>
        </w:rPr>
        <w:fldChar w:fldCharType="separate"/>
      </w:r>
      <w:r w:rsidR="000D4281" w:rsidRPr="00567618">
        <w:rPr>
          <w:rFonts w:cstheme="minorHAnsi"/>
          <w:szCs w:val="24"/>
        </w:rPr>
        <w:t xml:space="preserve">Table </w:t>
      </w:r>
      <w:r w:rsidR="000D4281" w:rsidRPr="00567618">
        <w:rPr>
          <w:rFonts w:cstheme="minorHAnsi"/>
          <w:noProof/>
          <w:szCs w:val="24"/>
        </w:rPr>
        <w:t>16</w:t>
      </w:r>
      <w:r w:rsidRPr="00567618">
        <w:rPr>
          <w:rFonts w:cstheme="minorHAnsi"/>
        </w:rPr>
        <w:fldChar w:fldCharType="end"/>
      </w:r>
      <w:r w:rsidRPr="00567618">
        <w:rPr>
          <w:rFonts w:cstheme="minorHAnsi"/>
          <w:szCs w:val="24"/>
        </w:rPr>
        <w:t>.</w:t>
      </w:r>
      <w:r w:rsidRPr="00567618">
        <w:t xml:space="preserve"> </w:t>
      </w:r>
    </w:p>
    <w:p w14:paraId="1A462757" w14:textId="68BCE69C" w:rsidR="008975CB" w:rsidRPr="008975CB" w:rsidRDefault="008975CB" w:rsidP="008975CB">
      <w:pPr>
        <w:keepNext/>
        <w:keepLines/>
        <w:rPr>
          <w:rFonts w:ascii="Arial Narrow" w:hAnsi="Arial Narrow"/>
          <w:b/>
          <w:bCs/>
          <w:sz w:val="20"/>
        </w:rPr>
      </w:pPr>
      <w:bookmarkStart w:id="82" w:name="_Ref104804865"/>
      <w:r w:rsidRPr="008975CB">
        <w:rPr>
          <w:rFonts w:ascii="Arial Narrow" w:hAnsi="Arial Narrow"/>
          <w:b/>
          <w:bCs/>
          <w:sz w:val="20"/>
          <w:szCs w:val="18"/>
        </w:rPr>
        <w:t xml:space="preserve">Table </w:t>
      </w:r>
      <w:r w:rsidRPr="008975CB">
        <w:rPr>
          <w:rFonts w:ascii="Arial Narrow" w:hAnsi="Arial Narrow"/>
          <w:b/>
          <w:bCs/>
          <w:sz w:val="20"/>
          <w:szCs w:val="18"/>
        </w:rPr>
        <w:fldChar w:fldCharType="begin" w:fldLock="1"/>
      </w:r>
      <w:r w:rsidRPr="008975CB">
        <w:rPr>
          <w:rFonts w:ascii="Arial Narrow" w:hAnsi="Arial Narrow"/>
          <w:b/>
          <w:bCs/>
          <w:sz w:val="20"/>
          <w:szCs w:val="18"/>
        </w:rPr>
        <w:instrText xml:space="preserve"> SEQ Table \* ARABIC </w:instrText>
      </w:r>
      <w:r w:rsidRPr="008975CB">
        <w:rPr>
          <w:rFonts w:ascii="Arial Narrow" w:hAnsi="Arial Narrow"/>
          <w:b/>
          <w:bCs/>
          <w:sz w:val="20"/>
          <w:szCs w:val="18"/>
        </w:rPr>
        <w:fldChar w:fldCharType="separate"/>
      </w:r>
      <w:r w:rsidR="001F427F">
        <w:rPr>
          <w:rFonts w:ascii="Arial Narrow" w:hAnsi="Arial Narrow"/>
          <w:b/>
          <w:bCs/>
          <w:noProof/>
          <w:sz w:val="20"/>
          <w:szCs w:val="18"/>
        </w:rPr>
        <w:t>16</w:t>
      </w:r>
      <w:r w:rsidRPr="008975CB">
        <w:rPr>
          <w:rFonts w:ascii="Arial Narrow" w:hAnsi="Arial Narrow"/>
          <w:b/>
          <w:bCs/>
          <w:sz w:val="20"/>
          <w:szCs w:val="18"/>
        </w:rPr>
        <w:fldChar w:fldCharType="end"/>
      </w:r>
      <w:bookmarkEnd w:id="82"/>
      <w:r w:rsidRPr="008975CB">
        <w:rPr>
          <w:rFonts w:ascii="Arial Narrow" w:hAnsi="Arial Narrow"/>
          <w:b/>
          <w:bCs/>
          <w:sz w:val="20"/>
          <w:szCs w:val="18"/>
        </w:rPr>
        <w:t>:</w:t>
      </w:r>
      <w:r w:rsidRPr="008975CB">
        <w:rPr>
          <w:rFonts w:ascii="Arial Narrow" w:hAnsi="Arial Narrow"/>
          <w:b/>
          <w:bCs/>
          <w:sz w:val="20"/>
        </w:rPr>
        <w:t xml:space="preserve">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6: Sensitivity analyses"/>
      </w:tblPr>
      <w:tblGrid>
        <w:gridCol w:w="2689"/>
        <w:gridCol w:w="1702"/>
        <w:gridCol w:w="1558"/>
        <w:gridCol w:w="1560"/>
        <w:gridCol w:w="1508"/>
      </w:tblGrid>
      <w:tr w:rsidR="008975CB" w:rsidRPr="008975CB" w14:paraId="4CD26F2E" w14:textId="77777777" w:rsidTr="00A268DC">
        <w:trPr>
          <w:tblHeader/>
        </w:trPr>
        <w:tc>
          <w:tcPr>
            <w:tcW w:w="1491" w:type="pct"/>
          </w:tcPr>
          <w:p w14:paraId="105FEADB" w14:textId="77777777" w:rsidR="008975CB" w:rsidRPr="00766AE0" w:rsidRDefault="008975CB" w:rsidP="00360107">
            <w:pPr>
              <w:jc w:val="left"/>
              <w:rPr>
                <w:rFonts w:ascii="Arial Narrow" w:eastAsiaTheme="majorEastAsia" w:hAnsi="Arial Narrow" w:cs="Times New Roman"/>
                <w:b/>
                <w:sz w:val="20"/>
                <w:lang w:val="en-US"/>
              </w:rPr>
            </w:pPr>
            <w:r w:rsidRPr="00766AE0">
              <w:rPr>
                <w:rFonts w:ascii="Arial Narrow" w:eastAsiaTheme="majorEastAsia" w:hAnsi="Arial Narrow" w:cs="Times New Roman"/>
                <w:b/>
                <w:sz w:val="20"/>
                <w:lang w:val="en-US"/>
              </w:rPr>
              <w:t>Analyses</w:t>
            </w:r>
          </w:p>
        </w:tc>
        <w:tc>
          <w:tcPr>
            <w:tcW w:w="944" w:type="pct"/>
            <w:tcBorders>
              <w:bottom w:val="single" w:sz="4" w:space="0" w:color="auto"/>
            </w:tcBorders>
          </w:tcPr>
          <w:p w14:paraId="4AC19A84" w14:textId="2F25D3E8" w:rsidR="008975CB" w:rsidRPr="00766AE0" w:rsidRDefault="008975CB" w:rsidP="00360107">
            <w:pPr>
              <w:jc w:val="left"/>
              <w:rPr>
                <w:rFonts w:ascii="Arial Narrow" w:eastAsiaTheme="majorEastAsia" w:hAnsi="Arial Narrow" w:cs="Times New Roman"/>
                <w:b/>
                <w:sz w:val="20"/>
                <w:lang w:val="en-US"/>
              </w:rPr>
            </w:pPr>
            <w:r w:rsidRPr="00766AE0">
              <w:rPr>
                <w:rFonts w:ascii="Arial Narrow" w:eastAsiaTheme="majorEastAsia" w:hAnsi="Arial Narrow" w:cs="Times New Roman"/>
                <w:b/>
                <w:sz w:val="20"/>
                <w:lang w:val="en-US"/>
              </w:rPr>
              <w:t>Incremental cost</w:t>
            </w:r>
            <w:r w:rsidR="00A90124">
              <w:rPr>
                <w:rFonts w:ascii="Arial Narrow" w:eastAsiaTheme="majorEastAsia" w:hAnsi="Arial Narrow" w:cs="Times New Roman"/>
                <w:b/>
                <w:sz w:val="20"/>
                <w:lang w:val="en-US"/>
              </w:rPr>
              <w:t xml:space="preserve"> ($</w:t>
            </w:r>
            <w:r w:rsidR="008D29C3">
              <w:rPr>
                <w:rFonts w:ascii="Arial Narrow" w:eastAsiaTheme="majorEastAsia" w:hAnsi="Arial Narrow" w:cs="Times New Roman"/>
                <w:b/>
                <w:sz w:val="20"/>
                <w:lang w:val="en-US"/>
              </w:rPr>
              <w:t>)</w:t>
            </w:r>
          </w:p>
        </w:tc>
        <w:tc>
          <w:tcPr>
            <w:tcW w:w="864" w:type="pct"/>
          </w:tcPr>
          <w:p w14:paraId="00519452" w14:textId="77777777" w:rsidR="008975CB" w:rsidRPr="00766AE0" w:rsidRDefault="008975CB" w:rsidP="00360107">
            <w:pPr>
              <w:jc w:val="left"/>
              <w:rPr>
                <w:rFonts w:ascii="Arial Narrow" w:eastAsiaTheme="majorEastAsia" w:hAnsi="Arial Narrow" w:cs="Times New Roman"/>
                <w:b/>
                <w:sz w:val="20"/>
                <w:lang w:val="en-US"/>
              </w:rPr>
            </w:pPr>
            <w:r w:rsidRPr="00766AE0">
              <w:rPr>
                <w:rFonts w:ascii="Arial Narrow" w:eastAsiaTheme="majorEastAsia" w:hAnsi="Arial Narrow" w:cs="Times New Roman"/>
                <w:b/>
                <w:sz w:val="20"/>
                <w:lang w:val="en-US"/>
              </w:rPr>
              <w:t>Incremental QALY</w:t>
            </w:r>
          </w:p>
        </w:tc>
        <w:tc>
          <w:tcPr>
            <w:tcW w:w="865" w:type="pct"/>
          </w:tcPr>
          <w:p w14:paraId="54B3C383" w14:textId="77777777" w:rsidR="008975CB" w:rsidRPr="00766AE0" w:rsidRDefault="008975CB" w:rsidP="00360107">
            <w:pPr>
              <w:jc w:val="left"/>
              <w:rPr>
                <w:rFonts w:ascii="Arial Narrow" w:eastAsiaTheme="majorEastAsia" w:hAnsi="Arial Narrow" w:cs="Times New Roman"/>
                <w:b/>
                <w:sz w:val="20"/>
                <w:lang w:val="en-US"/>
              </w:rPr>
            </w:pPr>
            <w:r w:rsidRPr="00766AE0">
              <w:rPr>
                <w:rFonts w:ascii="Arial Narrow" w:eastAsiaTheme="majorEastAsia" w:hAnsi="Arial Narrow" w:cs="Times New Roman"/>
                <w:b/>
                <w:sz w:val="20"/>
                <w:lang w:val="en-US"/>
              </w:rPr>
              <w:t>ICER</w:t>
            </w:r>
          </w:p>
          <w:p w14:paraId="0F605B80" w14:textId="77777777" w:rsidR="008975CB" w:rsidRPr="00766AE0" w:rsidRDefault="008975CB" w:rsidP="00360107">
            <w:pPr>
              <w:jc w:val="left"/>
              <w:rPr>
                <w:rFonts w:ascii="Arial Narrow" w:eastAsiaTheme="majorEastAsia" w:hAnsi="Arial Narrow" w:cs="Times New Roman"/>
                <w:b/>
                <w:sz w:val="20"/>
                <w:lang w:val="en-US"/>
              </w:rPr>
            </w:pPr>
            <w:r w:rsidRPr="00766AE0">
              <w:rPr>
                <w:rFonts w:ascii="Arial Narrow" w:eastAsiaTheme="majorEastAsia" w:hAnsi="Arial Narrow" w:cs="Times New Roman"/>
                <w:b/>
                <w:sz w:val="20"/>
                <w:lang w:val="en-US"/>
              </w:rPr>
              <w:t>($/QALY gained)</w:t>
            </w:r>
          </w:p>
        </w:tc>
        <w:tc>
          <w:tcPr>
            <w:tcW w:w="836" w:type="pct"/>
          </w:tcPr>
          <w:p w14:paraId="7EA2F65E" w14:textId="77777777" w:rsidR="008975CB" w:rsidRPr="00766AE0" w:rsidRDefault="008975CB" w:rsidP="00360107">
            <w:pPr>
              <w:jc w:val="left"/>
              <w:rPr>
                <w:rFonts w:ascii="Arial Narrow" w:eastAsiaTheme="majorEastAsia" w:hAnsi="Arial Narrow" w:cs="Times New Roman"/>
                <w:b/>
                <w:sz w:val="20"/>
                <w:lang w:val="en-US"/>
              </w:rPr>
            </w:pPr>
            <w:r w:rsidRPr="00766AE0">
              <w:rPr>
                <w:rFonts w:ascii="Arial Narrow" w:eastAsiaTheme="majorEastAsia" w:hAnsi="Arial Narrow" w:cs="Times New Roman"/>
                <w:b/>
                <w:sz w:val="20"/>
                <w:lang w:val="en-US"/>
              </w:rPr>
              <w:t>Change to ICER</w:t>
            </w:r>
          </w:p>
        </w:tc>
      </w:tr>
      <w:tr w:rsidR="008975CB" w:rsidRPr="008975CB" w14:paraId="39E04031" w14:textId="77777777" w:rsidTr="00A268DC">
        <w:tc>
          <w:tcPr>
            <w:tcW w:w="1491" w:type="pct"/>
          </w:tcPr>
          <w:p w14:paraId="40001B71" w14:textId="77777777" w:rsidR="008975CB" w:rsidRPr="00766AE0" w:rsidRDefault="008975CB" w:rsidP="00360107">
            <w:pPr>
              <w:jc w:val="left"/>
              <w:rPr>
                <w:rFonts w:ascii="Arial Narrow" w:eastAsiaTheme="majorEastAsia" w:hAnsi="Arial Narrow" w:cstheme="majorBidi"/>
                <w:b/>
                <w:bCs/>
                <w:sz w:val="20"/>
              </w:rPr>
            </w:pPr>
            <w:r w:rsidRPr="00766AE0">
              <w:rPr>
                <w:rFonts w:ascii="Arial Narrow" w:eastAsiaTheme="majorEastAsia" w:hAnsi="Arial Narrow" w:cstheme="majorBidi"/>
                <w:b/>
                <w:bCs/>
                <w:sz w:val="20"/>
              </w:rPr>
              <w:t>Base case</w:t>
            </w:r>
          </w:p>
        </w:tc>
        <w:tc>
          <w:tcPr>
            <w:tcW w:w="944" w:type="pct"/>
            <w:shd w:val="solid" w:color="000000" w:fill="000000"/>
          </w:tcPr>
          <w:p w14:paraId="5F298ED2" w14:textId="087AA580" w:rsidR="008975CB" w:rsidRPr="00766AE0" w:rsidRDefault="00A268DC" w:rsidP="00360107">
            <w:pPr>
              <w:jc w:val="center"/>
              <w:rPr>
                <w:rFonts w:ascii="Arial Narrow" w:eastAsiaTheme="majorEastAsia" w:hAnsi="Arial Narrow" w:cstheme="majorBidi"/>
                <w:b/>
                <w:sz w:val="20"/>
              </w:rPr>
            </w:pPr>
            <w:r w:rsidRPr="00A268DC">
              <w:rPr>
                <w:rFonts w:ascii="Arial Narrow" w:eastAsiaTheme="majorEastAsia" w:hAnsi="Arial Narrow" w:cstheme="majorBidi"/>
                <w:b/>
                <w:color w:val="000000"/>
                <w:sz w:val="20"/>
                <w14:textFill>
                  <w14:solidFill>
                    <w14:srgbClr w14:val="000000">
                      <w14:alpha w14:val="100000"/>
                    </w14:srgbClr>
                  </w14:solidFill>
                </w14:textFill>
              </w:rPr>
              <w:t>|</w:t>
            </w:r>
          </w:p>
        </w:tc>
        <w:tc>
          <w:tcPr>
            <w:tcW w:w="864" w:type="pct"/>
          </w:tcPr>
          <w:p w14:paraId="58590726" w14:textId="77777777" w:rsidR="008975CB" w:rsidRPr="00766AE0" w:rsidRDefault="008975CB" w:rsidP="00360107">
            <w:pPr>
              <w:jc w:val="center"/>
              <w:rPr>
                <w:rFonts w:ascii="Arial Narrow" w:eastAsiaTheme="majorEastAsia" w:hAnsi="Arial Narrow" w:cstheme="majorBidi"/>
                <w:b/>
                <w:sz w:val="20"/>
              </w:rPr>
            </w:pPr>
            <w:r w:rsidRPr="00766AE0">
              <w:rPr>
                <w:rFonts w:ascii="Arial Narrow" w:eastAsiaTheme="majorEastAsia" w:hAnsi="Arial Narrow" w:cstheme="majorBidi"/>
                <w:b/>
                <w:bCs/>
                <w:sz w:val="20"/>
              </w:rPr>
              <w:t>1.62</w:t>
            </w:r>
          </w:p>
        </w:tc>
        <w:tc>
          <w:tcPr>
            <w:tcW w:w="865" w:type="pct"/>
          </w:tcPr>
          <w:p w14:paraId="6A74161E" w14:textId="4CED21D9" w:rsidR="008975CB" w:rsidRPr="00766AE0" w:rsidRDefault="00A268DC" w:rsidP="00360107">
            <w:pPr>
              <w:jc w:val="center"/>
              <w:rPr>
                <w:rFonts w:ascii="Arial Narrow" w:eastAsiaTheme="majorEastAsia" w:hAnsi="Arial Narrow" w:cstheme="majorBidi"/>
                <w:b/>
                <w:sz w:val="20"/>
              </w:rPr>
            </w:pPr>
            <w:r w:rsidRPr="00A268DC">
              <w:rPr>
                <w:rFonts w:ascii="Arial Narrow" w:eastAsiaTheme="majorEastAsia" w:hAnsi="Arial Narrow" w:cstheme="majorBidi"/>
                <w:b/>
                <w:color w:val="000000"/>
                <w:sz w:val="20"/>
                <w:shd w:val="solid" w:color="000000" w:fill="000000"/>
                <w14:textFill>
                  <w14:solidFill>
                    <w14:srgbClr w14:val="000000">
                      <w14:alpha w14:val="100000"/>
                    </w14:srgbClr>
                  </w14:solidFill>
                </w14:textFill>
              </w:rPr>
              <w:t>|</w:t>
            </w:r>
            <w:r w:rsidR="00321D42" w:rsidRPr="00321D42">
              <w:rPr>
                <w:rFonts w:ascii="Arial Narrow" w:eastAsiaTheme="majorEastAsia" w:hAnsi="Arial Narrow" w:cstheme="majorBidi"/>
                <w:b/>
                <w:sz w:val="20"/>
                <w:vertAlign w:val="superscript"/>
              </w:rPr>
              <w:t>1</w:t>
            </w:r>
          </w:p>
        </w:tc>
        <w:tc>
          <w:tcPr>
            <w:tcW w:w="836" w:type="pct"/>
          </w:tcPr>
          <w:p w14:paraId="02816A86" w14:textId="77777777" w:rsidR="008975CB" w:rsidRPr="00766AE0" w:rsidRDefault="008975CB" w:rsidP="00360107">
            <w:pPr>
              <w:jc w:val="center"/>
              <w:rPr>
                <w:rFonts w:ascii="Arial Narrow" w:eastAsiaTheme="majorEastAsia" w:hAnsi="Arial Narrow" w:cstheme="majorBidi"/>
                <w:b/>
                <w:sz w:val="20"/>
              </w:rPr>
            </w:pPr>
            <w:r w:rsidRPr="00766AE0">
              <w:rPr>
                <w:rFonts w:ascii="Arial Narrow" w:eastAsiaTheme="majorEastAsia" w:hAnsi="Arial Narrow" w:cstheme="majorBidi"/>
                <w:b/>
                <w:sz w:val="20"/>
              </w:rPr>
              <w:t>-</w:t>
            </w:r>
          </w:p>
        </w:tc>
      </w:tr>
      <w:tr w:rsidR="008975CB" w:rsidRPr="008975CB" w14:paraId="7A2F47D5" w14:textId="77777777" w:rsidTr="00A268DC">
        <w:tc>
          <w:tcPr>
            <w:tcW w:w="1491" w:type="pct"/>
          </w:tcPr>
          <w:p w14:paraId="6B0B6367" w14:textId="2E290665" w:rsidR="008975CB" w:rsidRPr="00766AE0" w:rsidRDefault="008975CB" w:rsidP="00360107">
            <w:pPr>
              <w:jc w:val="left"/>
              <w:rPr>
                <w:rFonts w:ascii="Arial Narrow" w:eastAsiaTheme="majorEastAsia" w:hAnsi="Arial Narrow" w:cstheme="majorBidi"/>
                <w:b/>
                <w:bCs/>
                <w:sz w:val="20"/>
              </w:rPr>
            </w:pPr>
            <w:r w:rsidRPr="00766AE0">
              <w:rPr>
                <w:rFonts w:ascii="Arial Narrow" w:eastAsiaTheme="majorEastAsia" w:hAnsi="Arial Narrow" w:cstheme="majorBidi"/>
                <w:b/>
                <w:sz w:val="20"/>
              </w:rPr>
              <w:t>Discount rate (base case</w:t>
            </w:r>
            <w:r w:rsidR="000B78F5">
              <w:rPr>
                <w:rFonts w:ascii="Arial Narrow" w:eastAsiaTheme="majorEastAsia" w:hAnsi="Arial Narrow" w:cstheme="majorBidi"/>
                <w:b/>
                <w:sz w:val="20"/>
              </w:rPr>
              <w:t xml:space="preserve"> </w:t>
            </w:r>
            <w:r w:rsidR="000B78F5" w:rsidRPr="00A268DC">
              <w:rPr>
                <w:rFonts w:ascii="Arial Narrow" w:eastAsiaTheme="majorEastAsia" w:hAnsi="Arial Narrow" w:cstheme="majorBidi"/>
                <w:b/>
                <w:color w:val="000000"/>
                <w:spacing w:val="55"/>
                <w:sz w:val="20"/>
                <w:shd w:val="solid" w:color="000000" w:fill="000000"/>
                <w:fitText w:val="350" w:id="-694973947"/>
                <w14:textFill>
                  <w14:solidFill>
                    <w14:srgbClr w14:val="000000">
                      <w14:alpha w14:val="100000"/>
                    </w14:srgbClr>
                  </w14:solidFill>
                </w14:textFill>
              </w:rPr>
              <w:t>|||</w:t>
            </w:r>
            <w:r w:rsidR="000B78F5" w:rsidRPr="00A268DC">
              <w:rPr>
                <w:rFonts w:ascii="Arial Narrow" w:eastAsiaTheme="majorEastAsia" w:hAnsi="Arial Narrow" w:cstheme="majorBidi"/>
                <w:b/>
                <w:color w:val="000000"/>
                <w:spacing w:val="2"/>
                <w:sz w:val="20"/>
                <w:shd w:val="solid" w:color="000000" w:fill="000000"/>
                <w:fitText w:val="350" w:id="-694973947"/>
                <w14:textFill>
                  <w14:solidFill>
                    <w14:srgbClr w14:val="000000">
                      <w14:alpha w14:val="100000"/>
                    </w14:srgbClr>
                  </w14:solidFill>
                </w14:textFill>
              </w:rPr>
              <w:t>|</w:t>
            </w:r>
            <w:r w:rsidRPr="00766AE0">
              <w:rPr>
                <w:rFonts w:ascii="Arial Narrow" w:eastAsiaTheme="majorEastAsia" w:hAnsi="Arial Narrow" w:cstheme="majorBidi"/>
                <w:b/>
                <w:sz w:val="20"/>
              </w:rPr>
              <w:t>%)</w:t>
            </w:r>
          </w:p>
        </w:tc>
        <w:tc>
          <w:tcPr>
            <w:tcW w:w="944" w:type="pct"/>
            <w:tcBorders>
              <w:bottom w:val="single" w:sz="4" w:space="0" w:color="auto"/>
            </w:tcBorders>
          </w:tcPr>
          <w:p w14:paraId="2EF161D4" w14:textId="77777777" w:rsidR="008975CB" w:rsidRPr="00766AE0" w:rsidRDefault="008975CB" w:rsidP="00360107">
            <w:pPr>
              <w:jc w:val="center"/>
              <w:rPr>
                <w:rFonts w:ascii="Arial Narrow" w:eastAsiaTheme="majorEastAsia" w:hAnsi="Arial Narrow" w:cstheme="majorBidi"/>
                <w:b/>
                <w:sz w:val="20"/>
              </w:rPr>
            </w:pPr>
          </w:p>
        </w:tc>
        <w:tc>
          <w:tcPr>
            <w:tcW w:w="864" w:type="pct"/>
          </w:tcPr>
          <w:p w14:paraId="7D42BBC8" w14:textId="77777777" w:rsidR="008975CB" w:rsidRPr="00766AE0" w:rsidRDefault="008975CB" w:rsidP="00360107">
            <w:pPr>
              <w:jc w:val="center"/>
              <w:rPr>
                <w:rFonts w:ascii="Arial Narrow" w:eastAsiaTheme="majorEastAsia" w:hAnsi="Arial Narrow" w:cstheme="majorBidi"/>
                <w:b/>
                <w:bCs/>
                <w:sz w:val="20"/>
              </w:rPr>
            </w:pPr>
          </w:p>
        </w:tc>
        <w:tc>
          <w:tcPr>
            <w:tcW w:w="865" w:type="pct"/>
          </w:tcPr>
          <w:p w14:paraId="042AE996" w14:textId="77777777" w:rsidR="008975CB" w:rsidRPr="00766AE0" w:rsidRDefault="008975CB" w:rsidP="00360107">
            <w:pPr>
              <w:jc w:val="center"/>
              <w:rPr>
                <w:rFonts w:ascii="Arial Narrow" w:eastAsiaTheme="majorEastAsia" w:hAnsi="Arial Narrow" w:cstheme="majorBidi"/>
                <w:b/>
                <w:sz w:val="20"/>
              </w:rPr>
            </w:pPr>
          </w:p>
        </w:tc>
        <w:tc>
          <w:tcPr>
            <w:tcW w:w="836" w:type="pct"/>
          </w:tcPr>
          <w:p w14:paraId="7D4FD1C4" w14:textId="77777777" w:rsidR="008975CB" w:rsidRPr="00766AE0" w:rsidRDefault="008975CB" w:rsidP="00360107">
            <w:pPr>
              <w:jc w:val="center"/>
              <w:rPr>
                <w:rFonts w:ascii="Arial Narrow" w:eastAsiaTheme="majorEastAsia" w:hAnsi="Arial Narrow" w:cstheme="majorBidi"/>
                <w:b/>
                <w:sz w:val="20"/>
              </w:rPr>
            </w:pPr>
          </w:p>
        </w:tc>
      </w:tr>
      <w:tr w:rsidR="008975CB" w:rsidRPr="008975CB" w14:paraId="0AC0F87D" w14:textId="77777777" w:rsidTr="00A268DC">
        <w:tc>
          <w:tcPr>
            <w:tcW w:w="1491" w:type="pct"/>
          </w:tcPr>
          <w:p w14:paraId="02E3AB7F" w14:textId="125B2E0D" w:rsidR="008975CB" w:rsidRPr="00766AE0" w:rsidRDefault="00F87B86" w:rsidP="00360107">
            <w:pPr>
              <w:jc w:val="left"/>
              <w:rPr>
                <w:rFonts w:ascii="Arial Narrow" w:eastAsiaTheme="majorEastAsia" w:hAnsi="Arial Narrow" w:cstheme="majorBidi"/>
                <w:b/>
                <w:bCs/>
                <w:sz w:val="20"/>
              </w:rPr>
            </w:pPr>
            <w:r>
              <w:rPr>
                <w:rFonts w:ascii="Arial Narrow" w:eastAsiaTheme="majorEastAsia" w:hAnsi="Arial Narrow" w:cstheme="majorBidi"/>
                <w:bCs/>
                <w:sz w:val="20"/>
              </w:rPr>
              <w:t xml:space="preserve"> </w:t>
            </w:r>
            <w:r w:rsidR="000B78F5" w:rsidRPr="00A268DC">
              <w:rPr>
                <w:rFonts w:ascii="Arial Narrow" w:eastAsiaTheme="majorEastAsia" w:hAnsi="Arial Narrow" w:cstheme="majorBidi"/>
                <w:bCs/>
                <w:color w:val="000000"/>
                <w:spacing w:val="62"/>
                <w:w w:val="84"/>
                <w:sz w:val="20"/>
                <w:shd w:val="solid" w:color="000000" w:fill="000000"/>
                <w:fitText w:val="330" w:id="-694973946"/>
                <w14:textFill>
                  <w14:solidFill>
                    <w14:srgbClr w14:val="000000">
                      <w14:alpha w14:val="100000"/>
                    </w14:srgbClr>
                  </w14:solidFill>
                </w14:textFill>
              </w:rPr>
              <w:t>|||</w:t>
            </w:r>
            <w:r w:rsidR="000B78F5" w:rsidRPr="00A268DC">
              <w:rPr>
                <w:rFonts w:ascii="Arial Narrow" w:eastAsiaTheme="majorEastAsia" w:hAnsi="Arial Narrow" w:cstheme="majorBidi"/>
                <w:bCs/>
                <w:color w:val="000000"/>
                <w:spacing w:val="2"/>
                <w:w w:val="84"/>
                <w:sz w:val="20"/>
                <w:shd w:val="solid" w:color="000000" w:fill="000000"/>
                <w:fitText w:val="330" w:id="-694973946"/>
                <w14:textFill>
                  <w14:solidFill>
                    <w14:srgbClr w14:val="000000">
                      <w14:alpha w14:val="100000"/>
                    </w14:srgbClr>
                  </w14:solidFill>
                </w14:textFill>
              </w:rPr>
              <w:t>|</w:t>
            </w:r>
            <w:r w:rsidR="008975CB" w:rsidRPr="00766AE0">
              <w:rPr>
                <w:rFonts w:ascii="Arial Narrow" w:eastAsiaTheme="majorEastAsia" w:hAnsi="Arial Narrow" w:cstheme="majorBidi"/>
                <w:bCs/>
                <w:sz w:val="20"/>
              </w:rPr>
              <w:t>%</w:t>
            </w:r>
          </w:p>
        </w:tc>
        <w:tc>
          <w:tcPr>
            <w:tcW w:w="944" w:type="pct"/>
            <w:tcBorders>
              <w:bottom w:val="single" w:sz="4" w:space="0" w:color="auto"/>
            </w:tcBorders>
            <w:shd w:val="solid" w:color="000000" w:fill="000000"/>
          </w:tcPr>
          <w:p w14:paraId="7336D703" w14:textId="15BE48F8" w:rsidR="008975CB" w:rsidRPr="00262BA4" w:rsidRDefault="00A268DC" w:rsidP="00360107">
            <w:pPr>
              <w:jc w:val="center"/>
              <w:rPr>
                <w:rFonts w:ascii="Arial Narrow" w:eastAsiaTheme="majorEastAsia" w:hAnsi="Arial Narrow" w:cstheme="majorBidi"/>
                <w:b/>
                <w:sz w:val="20"/>
                <w:highlight w:val="darkGray"/>
              </w:rPr>
            </w:pPr>
            <w:r w:rsidRPr="00A268DC">
              <w:rPr>
                <w:rFonts w:ascii="Arial Narrow" w:eastAsiaTheme="majorEastAsia" w:hAnsi="Arial Narrow" w:cstheme="majorBidi"/>
                <w:bCs/>
                <w:color w:val="000000"/>
                <w:sz w:val="20"/>
                <w14:textFill>
                  <w14:solidFill>
                    <w14:srgbClr w14:val="000000">
                      <w14:alpha w14:val="100000"/>
                    </w14:srgbClr>
                  </w14:solidFill>
                </w14:textFill>
              </w:rPr>
              <w:t>|</w:t>
            </w:r>
          </w:p>
        </w:tc>
        <w:tc>
          <w:tcPr>
            <w:tcW w:w="864" w:type="pct"/>
          </w:tcPr>
          <w:p w14:paraId="19E390EB" w14:textId="77777777" w:rsidR="008975CB" w:rsidRPr="00766AE0" w:rsidRDefault="008975CB" w:rsidP="00360107">
            <w:pPr>
              <w:jc w:val="center"/>
              <w:rPr>
                <w:rFonts w:ascii="Arial Narrow" w:eastAsiaTheme="majorEastAsia" w:hAnsi="Arial Narrow" w:cstheme="majorBidi"/>
                <w:b/>
                <w:bCs/>
                <w:sz w:val="20"/>
              </w:rPr>
            </w:pPr>
            <w:r w:rsidRPr="00766AE0">
              <w:rPr>
                <w:rFonts w:ascii="Arial Narrow" w:eastAsiaTheme="majorEastAsia" w:hAnsi="Arial Narrow" w:cstheme="majorBidi"/>
                <w:bCs/>
                <w:sz w:val="20"/>
              </w:rPr>
              <w:t>2.57</w:t>
            </w:r>
          </w:p>
        </w:tc>
        <w:tc>
          <w:tcPr>
            <w:tcW w:w="865" w:type="pct"/>
          </w:tcPr>
          <w:p w14:paraId="4A3B5778" w14:textId="6895F550" w:rsidR="008975CB" w:rsidRPr="00262BA4" w:rsidRDefault="00A268DC" w:rsidP="00360107">
            <w:pPr>
              <w:jc w:val="center"/>
              <w:rPr>
                <w:rFonts w:ascii="Arial Narrow" w:eastAsiaTheme="majorEastAsia" w:hAnsi="Arial Narrow" w:cstheme="majorBidi"/>
                <w:b/>
                <w:sz w:val="20"/>
                <w:highlight w:val="darkGray"/>
              </w:rPr>
            </w:pPr>
            <w:r w:rsidRPr="00A268DC">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374A0B" w:rsidRPr="00374A0B">
              <w:rPr>
                <w:rFonts w:ascii="Arial Narrow" w:eastAsiaTheme="majorEastAsia" w:hAnsi="Arial Narrow" w:cstheme="majorBidi"/>
                <w:bCs/>
                <w:sz w:val="20"/>
                <w:vertAlign w:val="superscript"/>
              </w:rPr>
              <w:t>2</w:t>
            </w:r>
          </w:p>
        </w:tc>
        <w:tc>
          <w:tcPr>
            <w:tcW w:w="836" w:type="pct"/>
          </w:tcPr>
          <w:p w14:paraId="6197771A" w14:textId="262661E9" w:rsidR="008975CB" w:rsidRPr="00766AE0" w:rsidRDefault="008975CB" w:rsidP="00360107">
            <w:pPr>
              <w:jc w:val="center"/>
              <w:rPr>
                <w:rFonts w:ascii="Arial Narrow" w:eastAsiaTheme="majorEastAsia" w:hAnsi="Arial Narrow" w:cstheme="majorBidi"/>
                <w:b/>
                <w:sz w:val="20"/>
              </w:rPr>
            </w:pPr>
            <w:r w:rsidRPr="00766AE0">
              <w:rPr>
                <w:rFonts w:ascii="Arial Narrow" w:eastAsiaTheme="majorEastAsia" w:hAnsi="Arial Narrow" w:cstheme="majorBidi"/>
                <w:bCs/>
                <w:sz w:val="20"/>
              </w:rPr>
              <w:t>-</w:t>
            </w:r>
            <w:r w:rsidR="00A268DC" w:rsidRPr="00A268DC">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Pr="00766AE0">
              <w:rPr>
                <w:rFonts w:ascii="Arial Narrow" w:eastAsiaTheme="majorEastAsia" w:hAnsi="Arial Narrow" w:cstheme="majorBidi"/>
                <w:bCs/>
                <w:sz w:val="20"/>
              </w:rPr>
              <w:t>%</w:t>
            </w:r>
          </w:p>
        </w:tc>
      </w:tr>
      <w:tr w:rsidR="008975CB" w:rsidRPr="008975CB" w14:paraId="2E01C5AB" w14:textId="77777777" w:rsidTr="00A268DC">
        <w:tc>
          <w:tcPr>
            <w:tcW w:w="1491" w:type="pct"/>
          </w:tcPr>
          <w:p w14:paraId="2809974C" w14:textId="2736521C" w:rsidR="008975CB" w:rsidRPr="00766AE0" w:rsidRDefault="00F87B86" w:rsidP="00360107">
            <w:pPr>
              <w:jc w:val="left"/>
              <w:rPr>
                <w:rFonts w:ascii="Arial Narrow" w:eastAsiaTheme="majorEastAsia" w:hAnsi="Arial Narrow" w:cstheme="majorBidi"/>
                <w:b/>
                <w:bCs/>
                <w:sz w:val="20"/>
              </w:rPr>
            </w:pPr>
            <w:r>
              <w:rPr>
                <w:rFonts w:ascii="Arial Narrow" w:eastAsiaTheme="majorEastAsia" w:hAnsi="Arial Narrow" w:cstheme="majorBidi"/>
                <w:bCs/>
                <w:sz w:val="20"/>
              </w:rPr>
              <w:t xml:space="preserve"> </w:t>
            </w:r>
            <w:r w:rsidR="000B78F5" w:rsidRPr="00A268DC">
              <w:rPr>
                <w:rFonts w:ascii="Arial Narrow" w:eastAsiaTheme="majorEastAsia" w:hAnsi="Arial Narrow" w:cstheme="majorBidi"/>
                <w:bCs/>
                <w:color w:val="000000"/>
                <w:spacing w:val="53"/>
                <w:sz w:val="20"/>
                <w:shd w:val="solid" w:color="000000" w:fill="000000"/>
                <w:fitText w:val="330" w:id="-694973945"/>
                <w14:textFill>
                  <w14:solidFill>
                    <w14:srgbClr w14:val="000000">
                      <w14:alpha w14:val="100000"/>
                    </w14:srgbClr>
                  </w14:solidFill>
                </w14:textFill>
              </w:rPr>
              <w:t>|||</w:t>
            </w:r>
            <w:r w:rsidR="000B78F5" w:rsidRPr="00A268DC">
              <w:rPr>
                <w:rFonts w:ascii="Arial Narrow" w:eastAsiaTheme="majorEastAsia" w:hAnsi="Arial Narrow" w:cstheme="majorBidi"/>
                <w:bCs/>
                <w:color w:val="000000"/>
                <w:spacing w:val="1"/>
                <w:sz w:val="20"/>
                <w:shd w:val="solid" w:color="000000" w:fill="000000"/>
                <w:fitText w:val="330" w:id="-694973945"/>
                <w14:textFill>
                  <w14:solidFill>
                    <w14:srgbClr w14:val="000000">
                      <w14:alpha w14:val="100000"/>
                    </w14:srgbClr>
                  </w14:solidFill>
                </w14:textFill>
              </w:rPr>
              <w:t>|</w:t>
            </w:r>
            <w:r w:rsidR="008975CB" w:rsidRPr="00766AE0">
              <w:rPr>
                <w:rFonts w:ascii="Arial Narrow" w:eastAsiaTheme="majorEastAsia" w:hAnsi="Arial Narrow" w:cstheme="majorBidi"/>
                <w:bCs/>
                <w:sz w:val="20"/>
              </w:rPr>
              <w:t>%</w:t>
            </w:r>
          </w:p>
        </w:tc>
        <w:tc>
          <w:tcPr>
            <w:tcW w:w="944" w:type="pct"/>
            <w:shd w:val="solid" w:color="000000" w:fill="000000"/>
          </w:tcPr>
          <w:p w14:paraId="12FE07D1" w14:textId="22010DF6" w:rsidR="008975CB" w:rsidRPr="00262BA4" w:rsidRDefault="00A268DC" w:rsidP="00360107">
            <w:pPr>
              <w:jc w:val="center"/>
              <w:rPr>
                <w:rFonts w:ascii="Arial Narrow" w:eastAsiaTheme="majorEastAsia" w:hAnsi="Arial Narrow" w:cstheme="majorBidi"/>
                <w:b/>
                <w:sz w:val="20"/>
                <w:highlight w:val="darkGray"/>
              </w:rPr>
            </w:pPr>
            <w:r w:rsidRPr="00A268DC">
              <w:rPr>
                <w:rFonts w:ascii="Arial Narrow" w:eastAsiaTheme="majorEastAsia" w:hAnsi="Arial Narrow" w:cstheme="majorBidi"/>
                <w:bCs/>
                <w:color w:val="000000"/>
                <w:sz w:val="20"/>
                <w14:textFill>
                  <w14:solidFill>
                    <w14:srgbClr w14:val="000000">
                      <w14:alpha w14:val="100000"/>
                    </w14:srgbClr>
                  </w14:solidFill>
                </w14:textFill>
              </w:rPr>
              <w:t>|</w:t>
            </w:r>
          </w:p>
        </w:tc>
        <w:tc>
          <w:tcPr>
            <w:tcW w:w="864" w:type="pct"/>
          </w:tcPr>
          <w:p w14:paraId="367EA229" w14:textId="77777777" w:rsidR="008975CB" w:rsidRPr="00766AE0" w:rsidRDefault="008975CB" w:rsidP="00360107">
            <w:pPr>
              <w:jc w:val="center"/>
              <w:rPr>
                <w:rFonts w:ascii="Arial Narrow" w:eastAsiaTheme="majorEastAsia" w:hAnsi="Arial Narrow" w:cstheme="majorBidi"/>
                <w:b/>
                <w:bCs/>
                <w:sz w:val="20"/>
              </w:rPr>
            </w:pPr>
            <w:r w:rsidRPr="00766AE0">
              <w:rPr>
                <w:rFonts w:ascii="Arial Narrow" w:eastAsiaTheme="majorEastAsia" w:hAnsi="Arial Narrow" w:cstheme="majorBidi"/>
                <w:bCs/>
                <w:sz w:val="20"/>
              </w:rPr>
              <w:t>1.84</w:t>
            </w:r>
          </w:p>
        </w:tc>
        <w:tc>
          <w:tcPr>
            <w:tcW w:w="865" w:type="pct"/>
          </w:tcPr>
          <w:p w14:paraId="331FD271" w14:textId="410488E0" w:rsidR="008975CB" w:rsidRPr="00262BA4" w:rsidRDefault="00A268DC" w:rsidP="00360107">
            <w:pPr>
              <w:jc w:val="center"/>
              <w:rPr>
                <w:rFonts w:ascii="Arial Narrow" w:eastAsiaTheme="majorEastAsia" w:hAnsi="Arial Narrow" w:cstheme="majorBidi"/>
                <w:b/>
                <w:sz w:val="20"/>
                <w:highlight w:val="darkGray"/>
              </w:rPr>
            </w:pPr>
            <w:r w:rsidRPr="00A268DC">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321D42" w:rsidRPr="00321D42">
              <w:rPr>
                <w:rFonts w:ascii="Arial Narrow" w:eastAsiaTheme="majorEastAsia" w:hAnsi="Arial Narrow" w:cstheme="majorBidi"/>
                <w:b/>
                <w:sz w:val="20"/>
                <w:vertAlign w:val="superscript"/>
              </w:rPr>
              <w:t>1</w:t>
            </w:r>
          </w:p>
        </w:tc>
        <w:tc>
          <w:tcPr>
            <w:tcW w:w="836" w:type="pct"/>
          </w:tcPr>
          <w:p w14:paraId="66D900D4" w14:textId="78637FFC" w:rsidR="008975CB" w:rsidRPr="00766AE0" w:rsidRDefault="008975CB" w:rsidP="00360107">
            <w:pPr>
              <w:jc w:val="center"/>
              <w:rPr>
                <w:rFonts w:ascii="Arial Narrow" w:eastAsiaTheme="majorEastAsia" w:hAnsi="Arial Narrow" w:cstheme="majorBidi"/>
                <w:b/>
                <w:sz w:val="20"/>
              </w:rPr>
            </w:pPr>
            <w:r w:rsidRPr="00766AE0">
              <w:rPr>
                <w:rFonts w:ascii="Arial Narrow" w:eastAsiaTheme="majorEastAsia" w:hAnsi="Arial Narrow" w:cstheme="majorBidi"/>
                <w:bCs/>
                <w:sz w:val="20"/>
              </w:rPr>
              <w:t>-</w:t>
            </w:r>
            <w:r w:rsidR="00A268DC" w:rsidRPr="00A268DC">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Pr="00766AE0">
              <w:rPr>
                <w:rFonts w:ascii="Arial Narrow" w:eastAsiaTheme="majorEastAsia" w:hAnsi="Arial Narrow" w:cstheme="majorBidi"/>
                <w:bCs/>
                <w:sz w:val="20"/>
              </w:rPr>
              <w:t>%</w:t>
            </w:r>
          </w:p>
        </w:tc>
      </w:tr>
      <w:tr w:rsidR="008975CB" w:rsidRPr="008975CB" w14:paraId="12D14BA5" w14:textId="77777777" w:rsidTr="00A268DC">
        <w:tc>
          <w:tcPr>
            <w:tcW w:w="1491" w:type="pct"/>
          </w:tcPr>
          <w:p w14:paraId="1509063E" w14:textId="77777777" w:rsidR="008975CB" w:rsidRPr="00766AE0" w:rsidRDefault="008975CB" w:rsidP="00360107">
            <w:pPr>
              <w:jc w:val="left"/>
              <w:rPr>
                <w:rFonts w:ascii="Arial Narrow" w:eastAsiaTheme="majorEastAsia" w:hAnsi="Arial Narrow" w:cstheme="majorBidi"/>
                <w:b/>
                <w:bCs/>
                <w:sz w:val="20"/>
              </w:rPr>
            </w:pPr>
            <w:r w:rsidRPr="00766AE0">
              <w:rPr>
                <w:rFonts w:ascii="Arial Narrow" w:eastAsiaTheme="majorEastAsia" w:hAnsi="Arial Narrow" w:cstheme="majorBidi"/>
                <w:b/>
                <w:sz w:val="20"/>
              </w:rPr>
              <w:t>Time horizon (base case 20 years)</w:t>
            </w:r>
          </w:p>
        </w:tc>
        <w:tc>
          <w:tcPr>
            <w:tcW w:w="944" w:type="pct"/>
            <w:tcBorders>
              <w:bottom w:val="single" w:sz="4" w:space="0" w:color="auto"/>
            </w:tcBorders>
          </w:tcPr>
          <w:p w14:paraId="16413930" w14:textId="77777777" w:rsidR="008975CB" w:rsidRPr="00766AE0" w:rsidRDefault="008975CB" w:rsidP="00360107">
            <w:pPr>
              <w:jc w:val="center"/>
              <w:rPr>
                <w:rFonts w:ascii="Arial Narrow" w:eastAsiaTheme="majorEastAsia" w:hAnsi="Arial Narrow" w:cstheme="majorBidi"/>
                <w:b/>
                <w:sz w:val="20"/>
              </w:rPr>
            </w:pPr>
          </w:p>
        </w:tc>
        <w:tc>
          <w:tcPr>
            <w:tcW w:w="864" w:type="pct"/>
          </w:tcPr>
          <w:p w14:paraId="5F3BB6E9" w14:textId="77777777" w:rsidR="008975CB" w:rsidRPr="00766AE0" w:rsidRDefault="008975CB" w:rsidP="00360107">
            <w:pPr>
              <w:jc w:val="center"/>
              <w:rPr>
                <w:rFonts w:ascii="Arial Narrow" w:eastAsiaTheme="majorEastAsia" w:hAnsi="Arial Narrow" w:cstheme="majorBidi"/>
                <w:b/>
                <w:bCs/>
                <w:sz w:val="20"/>
              </w:rPr>
            </w:pPr>
          </w:p>
        </w:tc>
        <w:tc>
          <w:tcPr>
            <w:tcW w:w="865" w:type="pct"/>
          </w:tcPr>
          <w:p w14:paraId="10E4E5A2" w14:textId="77777777" w:rsidR="008975CB" w:rsidRPr="00766AE0" w:rsidRDefault="008975CB" w:rsidP="00360107">
            <w:pPr>
              <w:jc w:val="center"/>
              <w:rPr>
                <w:rFonts w:ascii="Arial Narrow" w:eastAsiaTheme="majorEastAsia" w:hAnsi="Arial Narrow" w:cstheme="majorBidi"/>
                <w:b/>
                <w:sz w:val="20"/>
              </w:rPr>
            </w:pPr>
          </w:p>
        </w:tc>
        <w:tc>
          <w:tcPr>
            <w:tcW w:w="836" w:type="pct"/>
          </w:tcPr>
          <w:p w14:paraId="384A3B4A" w14:textId="77777777" w:rsidR="008975CB" w:rsidRPr="00766AE0" w:rsidRDefault="008975CB" w:rsidP="00360107">
            <w:pPr>
              <w:jc w:val="center"/>
              <w:rPr>
                <w:rFonts w:ascii="Arial Narrow" w:eastAsiaTheme="majorEastAsia" w:hAnsi="Arial Narrow" w:cstheme="majorBidi"/>
                <w:b/>
                <w:sz w:val="20"/>
              </w:rPr>
            </w:pPr>
          </w:p>
        </w:tc>
      </w:tr>
      <w:tr w:rsidR="008975CB" w:rsidRPr="008975CB" w14:paraId="2BE0846D" w14:textId="77777777" w:rsidTr="00A268DC">
        <w:tc>
          <w:tcPr>
            <w:tcW w:w="1491" w:type="pct"/>
          </w:tcPr>
          <w:p w14:paraId="024FB08B" w14:textId="059F57A9" w:rsidR="008975CB" w:rsidRPr="00766AE0" w:rsidRDefault="00F87B86" w:rsidP="00360107">
            <w:pPr>
              <w:jc w:val="left"/>
              <w:rPr>
                <w:rFonts w:ascii="Arial Narrow" w:eastAsiaTheme="majorEastAsia" w:hAnsi="Arial Narrow" w:cstheme="majorBidi"/>
                <w:b/>
                <w:bCs/>
                <w:sz w:val="20"/>
              </w:rPr>
            </w:pPr>
            <w:r>
              <w:rPr>
                <w:rFonts w:ascii="Arial Narrow" w:eastAsiaTheme="majorEastAsia" w:hAnsi="Arial Narrow" w:cstheme="majorBidi"/>
                <w:bCs/>
                <w:sz w:val="20"/>
              </w:rPr>
              <w:t xml:space="preserve"> </w:t>
            </w:r>
            <w:r w:rsidR="008975CB" w:rsidRPr="00766AE0">
              <w:rPr>
                <w:rFonts w:ascii="Arial Narrow" w:eastAsiaTheme="majorEastAsia" w:hAnsi="Arial Narrow" w:cstheme="majorBidi"/>
                <w:bCs/>
                <w:sz w:val="20"/>
              </w:rPr>
              <w:t>15 years</w:t>
            </w:r>
          </w:p>
        </w:tc>
        <w:tc>
          <w:tcPr>
            <w:tcW w:w="944" w:type="pct"/>
            <w:tcBorders>
              <w:bottom w:val="single" w:sz="4" w:space="0" w:color="auto"/>
            </w:tcBorders>
            <w:shd w:val="solid" w:color="000000" w:fill="000000"/>
          </w:tcPr>
          <w:p w14:paraId="46346F6E" w14:textId="370883D8" w:rsidR="008975CB" w:rsidRPr="00262BA4" w:rsidRDefault="00A268DC" w:rsidP="00360107">
            <w:pPr>
              <w:jc w:val="center"/>
              <w:rPr>
                <w:rFonts w:ascii="Arial Narrow" w:eastAsiaTheme="majorEastAsia" w:hAnsi="Arial Narrow" w:cstheme="majorBidi"/>
                <w:b/>
                <w:sz w:val="20"/>
                <w:highlight w:val="darkGray"/>
              </w:rPr>
            </w:pPr>
            <w:r w:rsidRPr="00A268DC">
              <w:rPr>
                <w:rFonts w:ascii="Arial Narrow" w:eastAsiaTheme="majorEastAsia" w:hAnsi="Arial Narrow" w:cstheme="majorBidi"/>
                <w:bCs/>
                <w:color w:val="000000"/>
                <w:sz w:val="20"/>
                <w14:textFill>
                  <w14:solidFill>
                    <w14:srgbClr w14:val="000000">
                      <w14:alpha w14:val="100000"/>
                    </w14:srgbClr>
                  </w14:solidFill>
                </w14:textFill>
              </w:rPr>
              <w:t>|</w:t>
            </w:r>
          </w:p>
        </w:tc>
        <w:tc>
          <w:tcPr>
            <w:tcW w:w="864" w:type="pct"/>
          </w:tcPr>
          <w:p w14:paraId="64A3ABDF" w14:textId="77777777" w:rsidR="008975CB" w:rsidRPr="00766AE0" w:rsidRDefault="008975CB" w:rsidP="00360107">
            <w:pPr>
              <w:jc w:val="center"/>
              <w:rPr>
                <w:rFonts w:ascii="Arial Narrow" w:eastAsiaTheme="majorEastAsia" w:hAnsi="Arial Narrow" w:cstheme="majorBidi"/>
                <w:b/>
                <w:bCs/>
                <w:sz w:val="20"/>
              </w:rPr>
            </w:pPr>
            <w:r w:rsidRPr="00766AE0">
              <w:rPr>
                <w:rFonts w:ascii="Arial Narrow" w:eastAsiaTheme="majorEastAsia" w:hAnsi="Arial Narrow" w:cstheme="majorBidi"/>
                <w:bCs/>
                <w:sz w:val="20"/>
              </w:rPr>
              <w:t>1.34</w:t>
            </w:r>
          </w:p>
        </w:tc>
        <w:tc>
          <w:tcPr>
            <w:tcW w:w="865" w:type="pct"/>
          </w:tcPr>
          <w:p w14:paraId="760583D8" w14:textId="4FB168CE" w:rsidR="008975CB" w:rsidRPr="00262BA4" w:rsidRDefault="00A268DC" w:rsidP="00360107">
            <w:pPr>
              <w:jc w:val="center"/>
              <w:rPr>
                <w:rFonts w:ascii="Arial Narrow" w:eastAsiaTheme="majorEastAsia" w:hAnsi="Arial Narrow" w:cstheme="majorBidi"/>
                <w:b/>
                <w:sz w:val="20"/>
                <w:highlight w:val="darkGray"/>
              </w:rPr>
            </w:pPr>
            <w:r w:rsidRPr="00A268DC">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321D42" w:rsidRPr="00321D42">
              <w:rPr>
                <w:rFonts w:ascii="Arial Narrow" w:eastAsiaTheme="majorEastAsia" w:hAnsi="Arial Narrow" w:cstheme="majorBidi"/>
                <w:b/>
                <w:sz w:val="20"/>
                <w:vertAlign w:val="superscript"/>
              </w:rPr>
              <w:t>1</w:t>
            </w:r>
          </w:p>
        </w:tc>
        <w:tc>
          <w:tcPr>
            <w:tcW w:w="836" w:type="pct"/>
          </w:tcPr>
          <w:p w14:paraId="4C9FDCA5" w14:textId="1161F665" w:rsidR="008975CB" w:rsidRPr="00766AE0" w:rsidRDefault="008975CB" w:rsidP="00360107">
            <w:pPr>
              <w:jc w:val="center"/>
              <w:rPr>
                <w:rFonts w:ascii="Arial Narrow" w:eastAsiaTheme="majorEastAsia" w:hAnsi="Arial Narrow" w:cstheme="majorBidi"/>
                <w:b/>
                <w:sz w:val="20"/>
              </w:rPr>
            </w:pPr>
            <w:r w:rsidRPr="00766AE0">
              <w:rPr>
                <w:rFonts w:ascii="Arial Narrow" w:eastAsiaTheme="majorEastAsia" w:hAnsi="Arial Narrow" w:cstheme="majorBidi"/>
                <w:bCs/>
                <w:sz w:val="20"/>
              </w:rPr>
              <w:t>+</w:t>
            </w:r>
            <w:r w:rsidR="00A268DC" w:rsidRPr="00C0236C">
              <w:rPr>
                <w:rFonts w:ascii="Arial Narrow" w:eastAsiaTheme="majorEastAsia" w:hAnsi="Arial Narrow" w:cstheme="majorBidi" w:hint="eastAsia"/>
                <w:bCs/>
                <w:color w:val="000000"/>
                <w:w w:val="15"/>
                <w:sz w:val="20"/>
                <w:shd w:val="solid" w:color="000000" w:fill="000000"/>
                <w:fitText w:val="20" w:id="-694973686"/>
                <w14:textFill>
                  <w14:solidFill>
                    <w14:srgbClr w14:val="000000">
                      <w14:alpha w14:val="100000"/>
                    </w14:srgbClr>
                  </w14:solidFill>
                </w14:textFill>
              </w:rPr>
              <w:t xml:space="preserve">　</w:t>
            </w:r>
            <w:r w:rsidR="00A268DC" w:rsidRPr="00C0236C">
              <w:rPr>
                <w:rFonts w:ascii="Arial Narrow" w:eastAsiaTheme="majorEastAsia" w:hAnsi="Arial Narrow" w:cstheme="majorBidi"/>
                <w:bCs/>
                <w:color w:val="000000"/>
                <w:w w:val="15"/>
                <w:sz w:val="20"/>
                <w:shd w:val="solid" w:color="000000" w:fill="000000"/>
                <w:fitText w:val="20" w:id="-694973686"/>
                <w14:textFill>
                  <w14:solidFill>
                    <w14:srgbClr w14:val="000000">
                      <w14:alpha w14:val="100000"/>
                    </w14:srgbClr>
                  </w14:solidFill>
                </w14:textFill>
              </w:rPr>
              <w:t>|</w:t>
            </w:r>
            <w:r w:rsidR="00A268DC" w:rsidRPr="00C0236C">
              <w:rPr>
                <w:rFonts w:ascii="Arial Narrow" w:eastAsiaTheme="majorEastAsia" w:hAnsi="Arial Narrow" w:cstheme="majorBidi" w:hint="eastAsia"/>
                <w:bCs/>
                <w:color w:val="000000"/>
                <w:spacing w:val="-46"/>
                <w:w w:val="15"/>
                <w:sz w:val="20"/>
                <w:shd w:val="solid" w:color="000000" w:fill="000000"/>
                <w:fitText w:val="20" w:id="-694973686"/>
                <w14:textFill>
                  <w14:solidFill>
                    <w14:srgbClr w14:val="000000">
                      <w14:alpha w14:val="100000"/>
                    </w14:srgbClr>
                  </w14:solidFill>
                </w14:textFill>
              </w:rPr>
              <w:t xml:space="preserve">　</w:t>
            </w:r>
            <w:r w:rsidRPr="00766AE0">
              <w:rPr>
                <w:rFonts w:ascii="Arial Narrow" w:eastAsiaTheme="majorEastAsia" w:hAnsi="Arial Narrow" w:cstheme="majorBidi"/>
                <w:bCs/>
                <w:sz w:val="20"/>
              </w:rPr>
              <w:t>%</w:t>
            </w:r>
          </w:p>
        </w:tc>
      </w:tr>
      <w:tr w:rsidR="008975CB" w:rsidRPr="008975CB" w14:paraId="4B0D6049" w14:textId="77777777" w:rsidTr="00A268DC">
        <w:tc>
          <w:tcPr>
            <w:tcW w:w="1491" w:type="pct"/>
          </w:tcPr>
          <w:p w14:paraId="5F45254F" w14:textId="12C89EBB" w:rsidR="008975CB" w:rsidRPr="00766AE0" w:rsidRDefault="00F87B86" w:rsidP="00360107">
            <w:pPr>
              <w:jc w:val="left"/>
              <w:rPr>
                <w:rFonts w:ascii="Arial Narrow" w:eastAsiaTheme="majorEastAsia" w:hAnsi="Arial Narrow" w:cstheme="majorBidi"/>
                <w:b/>
                <w:bCs/>
                <w:sz w:val="20"/>
              </w:rPr>
            </w:pPr>
            <w:r>
              <w:rPr>
                <w:rFonts w:ascii="Arial Narrow" w:eastAsiaTheme="majorEastAsia" w:hAnsi="Arial Narrow" w:cstheme="majorBidi"/>
                <w:bCs/>
                <w:sz w:val="20"/>
              </w:rPr>
              <w:t xml:space="preserve"> </w:t>
            </w:r>
            <w:r w:rsidR="008975CB" w:rsidRPr="00766AE0">
              <w:rPr>
                <w:rFonts w:ascii="Arial Narrow" w:eastAsiaTheme="majorEastAsia" w:hAnsi="Arial Narrow" w:cstheme="majorBidi"/>
                <w:bCs/>
                <w:sz w:val="20"/>
              </w:rPr>
              <w:t>25 years</w:t>
            </w:r>
          </w:p>
        </w:tc>
        <w:tc>
          <w:tcPr>
            <w:tcW w:w="944" w:type="pct"/>
            <w:shd w:val="solid" w:color="000000" w:fill="000000"/>
          </w:tcPr>
          <w:p w14:paraId="7AB52E1F" w14:textId="37720C5B" w:rsidR="008975CB" w:rsidRPr="00262BA4" w:rsidRDefault="00A268DC" w:rsidP="00360107">
            <w:pPr>
              <w:jc w:val="center"/>
              <w:rPr>
                <w:rFonts w:ascii="Arial Narrow" w:eastAsiaTheme="majorEastAsia" w:hAnsi="Arial Narrow" w:cstheme="majorBidi"/>
                <w:b/>
                <w:sz w:val="20"/>
                <w:highlight w:val="darkGray"/>
              </w:rPr>
            </w:pPr>
            <w:r w:rsidRPr="00A268DC">
              <w:rPr>
                <w:rFonts w:ascii="Arial Narrow" w:eastAsiaTheme="majorEastAsia" w:hAnsi="Arial Narrow" w:cstheme="majorBidi"/>
                <w:bCs/>
                <w:color w:val="000000"/>
                <w:sz w:val="20"/>
                <w14:textFill>
                  <w14:solidFill>
                    <w14:srgbClr w14:val="000000">
                      <w14:alpha w14:val="100000"/>
                    </w14:srgbClr>
                  </w14:solidFill>
                </w14:textFill>
              </w:rPr>
              <w:t>|</w:t>
            </w:r>
          </w:p>
        </w:tc>
        <w:tc>
          <w:tcPr>
            <w:tcW w:w="864" w:type="pct"/>
          </w:tcPr>
          <w:p w14:paraId="13B76715" w14:textId="77777777" w:rsidR="008975CB" w:rsidRPr="00766AE0" w:rsidRDefault="008975CB" w:rsidP="00360107">
            <w:pPr>
              <w:jc w:val="center"/>
              <w:rPr>
                <w:rFonts w:ascii="Arial Narrow" w:eastAsiaTheme="majorEastAsia" w:hAnsi="Arial Narrow" w:cstheme="majorBidi"/>
                <w:b/>
                <w:bCs/>
                <w:sz w:val="20"/>
              </w:rPr>
            </w:pPr>
            <w:r w:rsidRPr="00766AE0">
              <w:rPr>
                <w:rFonts w:ascii="Arial Narrow" w:eastAsiaTheme="majorEastAsia" w:hAnsi="Arial Narrow" w:cstheme="majorBidi"/>
                <w:bCs/>
                <w:sz w:val="20"/>
              </w:rPr>
              <w:t>1.74</w:t>
            </w:r>
          </w:p>
        </w:tc>
        <w:tc>
          <w:tcPr>
            <w:tcW w:w="865" w:type="pct"/>
          </w:tcPr>
          <w:p w14:paraId="7DFA4201" w14:textId="448BFC04" w:rsidR="008975CB" w:rsidRPr="00262BA4" w:rsidRDefault="00A268DC" w:rsidP="00360107">
            <w:pPr>
              <w:jc w:val="center"/>
              <w:rPr>
                <w:rFonts w:ascii="Arial Narrow" w:eastAsiaTheme="majorEastAsia" w:hAnsi="Arial Narrow" w:cstheme="majorBidi"/>
                <w:b/>
                <w:sz w:val="20"/>
                <w:highlight w:val="darkGray"/>
              </w:rPr>
            </w:pPr>
            <w:r w:rsidRPr="00A268DC">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321D42" w:rsidRPr="00321D42">
              <w:rPr>
                <w:rFonts w:ascii="Arial Narrow" w:eastAsiaTheme="majorEastAsia" w:hAnsi="Arial Narrow" w:cstheme="majorBidi"/>
                <w:b/>
                <w:sz w:val="20"/>
                <w:vertAlign w:val="superscript"/>
              </w:rPr>
              <w:t>1</w:t>
            </w:r>
          </w:p>
        </w:tc>
        <w:tc>
          <w:tcPr>
            <w:tcW w:w="836" w:type="pct"/>
          </w:tcPr>
          <w:p w14:paraId="04C3151B" w14:textId="5664A788" w:rsidR="008975CB" w:rsidRPr="00766AE0" w:rsidRDefault="008975CB" w:rsidP="00360107">
            <w:pPr>
              <w:jc w:val="center"/>
              <w:rPr>
                <w:rFonts w:ascii="Arial Narrow" w:eastAsiaTheme="majorEastAsia" w:hAnsi="Arial Narrow" w:cstheme="majorBidi"/>
                <w:b/>
                <w:sz w:val="20"/>
              </w:rPr>
            </w:pPr>
            <w:r w:rsidRPr="00766AE0">
              <w:rPr>
                <w:rFonts w:ascii="Arial Narrow" w:eastAsiaTheme="majorEastAsia" w:hAnsi="Arial Narrow" w:cstheme="majorBidi"/>
                <w:bCs/>
                <w:sz w:val="20"/>
              </w:rPr>
              <w:t>-</w:t>
            </w:r>
            <w:r w:rsidR="00A268DC" w:rsidRPr="00A268DC">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Pr="00766AE0">
              <w:rPr>
                <w:rFonts w:ascii="Arial Narrow" w:eastAsiaTheme="majorEastAsia" w:hAnsi="Arial Narrow" w:cstheme="majorBidi"/>
                <w:bCs/>
                <w:sz w:val="20"/>
              </w:rPr>
              <w:t>%</w:t>
            </w:r>
          </w:p>
        </w:tc>
      </w:tr>
      <w:tr w:rsidR="008975CB" w:rsidRPr="008975CB" w14:paraId="1049BF61" w14:textId="77777777" w:rsidTr="00A268DC">
        <w:tc>
          <w:tcPr>
            <w:tcW w:w="1491" w:type="pct"/>
          </w:tcPr>
          <w:p w14:paraId="5B33A231" w14:textId="77777777" w:rsidR="008975CB" w:rsidRPr="00766AE0" w:rsidRDefault="008975CB" w:rsidP="00360107">
            <w:pPr>
              <w:jc w:val="left"/>
              <w:rPr>
                <w:rFonts w:ascii="Arial Narrow" w:eastAsiaTheme="majorEastAsia" w:hAnsi="Arial Narrow" w:cstheme="majorBidi"/>
                <w:b/>
                <w:bCs/>
                <w:sz w:val="20"/>
              </w:rPr>
            </w:pPr>
            <w:r w:rsidRPr="00766AE0">
              <w:rPr>
                <w:rFonts w:ascii="Arial Narrow" w:eastAsiaTheme="majorEastAsia" w:hAnsi="Arial Narrow" w:cstheme="majorBidi"/>
                <w:b/>
                <w:bCs/>
                <w:sz w:val="20"/>
              </w:rPr>
              <w:t>HR for PFS (base case 0.64)</w:t>
            </w:r>
          </w:p>
        </w:tc>
        <w:tc>
          <w:tcPr>
            <w:tcW w:w="944" w:type="pct"/>
            <w:tcBorders>
              <w:bottom w:val="single" w:sz="4" w:space="0" w:color="auto"/>
            </w:tcBorders>
          </w:tcPr>
          <w:p w14:paraId="66E20B30" w14:textId="77777777" w:rsidR="008975CB" w:rsidRPr="00766AE0" w:rsidRDefault="008975CB" w:rsidP="00360107">
            <w:pPr>
              <w:jc w:val="center"/>
              <w:rPr>
                <w:rFonts w:ascii="Arial Narrow" w:eastAsiaTheme="majorEastAsia" w:hAnsi="Arial Narrow" w:cstheme="majorBidi"/>
                <w:b/>
                <w:sz w:val="20"/>
              </w:rPr>
            </w:pPr>
          </w:p>
        </w:tc>
        <w:tc>
          <w:tcPr>
            <w:tcW w:w="864" w:type="pct"/>
          </w:tcPr>
          <w:p w14:paraId="08D42508" w14:textId="77777777" w:rsidR="008975CB" w:rsidRPr="00766AE0" w:rsidRDefault="008975CB" w:rsidP="00360107">
            <w:pPr>
              <w:jc w:val="center"/>
              <w:rPr>
                <w:rFonts w:ascii="Arial Narrow" w:eastAsiaTheme="majorEastAsia" w:hAnsi="Arial Narrow" w:cstheme="majorBidi"/>
                <w:b/>
                <w:bCs/>
                <w:sz w:val="20"/>
              </w:rPr>
            </w:pPr>
          </w:p>
        </w:tc>
        <w:tc>
          <w:tcPr>
            <w:tcW w:w="865" w:type="pct"/>
          </w:tcPr>
          <w:p w14:paraId="4D9D494C" w14:textId="77777777" w:rsidR="008975CB" w:rsidRPr="00766AE0" w:rsidRDefault="008975CB" w:rsidP="00360107">
            <w:pPr>
              <w:jc w:val="center"/>
              <w:rPr>
                <w:rFonts w:ascii="Arial Narrow" w:eastAsiaTheme="majorEastAsia" w:hAnsi="Arial Narrow" w:cstheme="majorBidi"/>
                <w:b/>
                <w:sz w:val="20"/>
              </w:rPr>
            </w:pPr>
          </w:p>
        </w:tc>
        <w:tc>
          <w:tcPr>
            <w:tcW w:w="836" w:type="pct"/>
          </w:tcPr>
          <w:p w14:paraId="2611B497" w14:textId="77777777" w:rsidR="008975CB" w:rsidRPr="00766AE0" w:rsidRDefault="008975CB" w:rsidP="00360107">
            <w:pPr>
              <w:jc w:val="center"/>
              <w:rPr>
                <w:rFonts w:ascii="Arial Narrow" w:eastAsiaTheme="majorEastAsia" w:hAnsi="Arial Narrow" w:cstheme="majorBidi"/>
                <w:b/>
                <w:sz w:val="20"/>
              </w:rPr>
            </w:pPr>
          </w:p>
        </w:tc>
      </w:tr>
      <w:tr w:rsidR="008975CB" w:rsidRPr="008975CB" w14:paraId="5DDEF744" w14:textId="77777777" w:rsidTr="00A268DC">
        <w:tc>
          <w:tcPr>
            <w:tcW w:w="1491" w:type="pct"/>
          </w:tcPr>
          <w:p w14:paraId="783F9A64" w14:textId="438D650C" w:rsidR="008975CB" w:rsidRPr="00766AE0" w:rsidRDefault="00F87B86" w:rsidP="00360107">
            <w:pPr>
              <w:jc w:val="left"/>
              <w:rPr>
                <w:rFonts w:ascii="Arial Narrow" w:eastAsiaTheme="majorEastAsia" w:hAnsi="Arial Narrow" w:cstheme="majorBidi"/>
                <w:sz w:val="20"/>
              </w:rPr>
            </w:pPr>
            <w:r>
              <w:rPr>
                <w:rFonts w:ascii="Arial Narrow" w:eastAsiaTheme="majorEastAsia" w:hAnsi="Arial Narrow" w:cstheme="majorBidi"/>
                <w:sz w:val="20"/>
              </w:rPr>
              <w:t xml:space="preserve"> </w:t>
            </w:r>
            <w:r w:rsidR="008975CB" w:rsidRPr="00766AE0">
              <w:rPr>
                <w:rFonts w:ascii="Arial Narrow" w:eastAsiaTheme="majorEastAsia" w:hAnsi="Arial Narrow" w:cstheme="majorBidi"/>
                <w:sz w:val="20"/>
              </w:rPr>
              <w:t>HR=1</w:t>
            </w:r>
          </w:p>
        </w:tc>
        <w:tc>
          <w:tcPr>
            <w:tcW w:w="944" w:type="pct"/>
            <w:shd w:val="solid" w:color="000000" w:fill="000000"/>
          </w:tcPr>
          <w:p w14:paraId="3B12EA56" w14:textId="62163F30" w:rsidR="008975CB" w:rsidRPr="00766AE0" w:rsidRDefault="00A268DC" w:rsidP="00360107">
            <w:pPr>
              <w:jc w:val="center"/>
              <w:rPr>
                <w:rFonts w:ascii="Arial Narrow" w:eastAsiaTheme="majorEastAsia" w:hAnsi="Arial Narrow" w:cstheme="majorBidi"/>
                <w:sz w:val="20"/>
              </w:rPr>
            </w:pPr>
            <w:r w:rsidRPr="00A268DC">
              <w:rPr>
                <w:rFonts w:ascii="Arial Narrow" w:eastAsiaTheme="majorEastAsia" w:hAnsi="Arial Narrow" w:cstheme="majorBidi"/>
                <w:color w:val="000000"/>
                <w:sz w:val="20"/>
                <w14:textFill>
                  <w14:solidFill>
                    <w14:srgbClr w14:val="000000">
                      <w14:alpha w14:val="100000"/>
                    </w14:srgbClr>
                  </w14:solidFill>
                </w14:textFill>
              </w:rPr>
              <w:t>|</w:t>
            </w:r>
          </w:p>
        </w:tc>
        <w:tc>
          <w:tcPr>
            <w:tcW w:w="864" w:type="pct"/>
          </w:tcPr>
          <w:p w14:paraId="5FB4B065" w14:textId="77777777" w:rsidR="008975CB" w:rsidRPr="00766AE0" w:rsidRDefault="008975CB" w:rsidP="00360107">
            <w:pPr>
              <w:jc w:val="center"/>
              <w:rPr>
                <w:rFonts w:ascii="Arial Narrow" w:eastAsiaTheme="majorEastAsia" w:hAnsi="Arial Narrow" w:cstheme="majorBidi"/>
                <w:sz w:val="20"/>
              </w:rPr>
            </w:pPr>
            <w:r w:rsidRPr="00766AE0">
              <w:rPr>
                <w:rFonts w:ascii="Arial Narrow" w:eastAsiaTheme="majorEastAsia" w:hAnsi="Arial Narrow" w:cstheme="majorBidi"/>
                <w:sz w:val="20"/>
              </w:rPr>
              <w:t>0.32</w:t>
            </w:r>
          </w:p>
        </w:tc>
        <w:tc>
          <w:tcPr>
            <w:tcW w:w="865" w:type="pct"/>
          </w:tcPr>
          <w:p w14:paraId="31DFF3A6" w14:textId="46B68CF5" w:rsidR="008975CB" w:rsidRPr="00766AE0" w:rsidRDefault="00A268DC" w:rsidP="00360107">
            <w:pPr>
              <w:jc w:val="center"/>
              <w:rPr>
                <w:rFonts w:ascii="Arial Narrow" w:eastAsiaTheme="majorEastAsia" w:hAnsi="Arial Narrow" w:cstheme="majorBidi"/>
                <w:sz w:val="20"/>
              </w:rPr>
            </w:pPr>
            <w:r w:rsidRPr="00A268DC">
              <w:rPr>
                <w:rFonts w:ascii="Arial Narrow" w:eastAsiaTheme="majorEastAsia" w:hAnsi="Arial Narrow" w:cstheme="majorBidi"/>
                <w:color w:val="000000"/>
                <w:sz w:val="20"/>
                <w:shd w:val="solid" w:color="000000" w:fill="000000"/>
                <w14:textFill>
                  <w14:solidFill>
                    <w14:srgbClr w14:val="000000">
                      <w14:alpha w14:val="100000"/>
                    </w14:srgbClr>
                  </w14:solidFill>
                </w14:textFill>
              </w:rPr>
              <w:t>|</w:t>
            </w:r>
            <w:r w:rsidR="00BC051F" w:rsidRPr="00BC051F">
              <w:rPr>
                <w:rFonts w:ascii="Arial Narrow" w:eastAsiaTheme="majorEastAsia" w:hAnsi="Arial Narrow" w:cstheme="majorBidi"/>
                <w:sz w:val="20"/>
                <w:vertAlign w:val="superscript"/>
              </w:rPr>
              <w:t>3</w:t>
            </w:r>
          </w:p>
        </w:tc>
        <w:tc>
          <w:tcPr>
            <w:tcW w:w="836" w:type="pct"/>
          </w:tcPr>
          <w:p w14:paraId="779302CA" w14:textId="0E05C2DF" w:rsidR="008975CB" w:rsidRPr="00766AE0" w:rsidRDefault="008975CB" w:rsidP="00360107">
            <w:pPr>
              <w:jc w:val="center"/>
              <w:rPr>
                <w:rFonts w:ascii="Arial Narrow" w:eastAsiaTheme="majorEastAsia" w:hAnsi="Arial Narrow" w:cstheme="majorBidi"/>
                <w:sz w:val="20"/>
              </w:rPr>
            </w:pPr>
            <w:r w:rsidRPr="00766AE0">
              <w:rPr>
                <w:rFonts w:ascii="Arial Narrow" w:eastAsiaTheme="majorEastAsia" w:hAnsi="Arial Narrow" w:cstheme="majorBidi"/>
                <w:sz w:val="20"/>
              </w:rPr>
              <w:t>+</w:t>
            </w:r>
            <w:r w:rsidR="00A268DC" w:rsidRPr="00C0236C">
              <w:rPr>
                <w:rFonts w:ascii="Arial Narrow" w:eastAsiaTheme="majorEastAsia" w:hAnsi="Arial Narrow" w:cstheme="majorBidi" w:hint="eastAsia"/>
                <w:color w:val="000000"/>
                <w:w w:val="15"/>
                <w:sz w:val="20"/>
                <w:shd w:val="solid" w:color="000000" w:fill="000000"/>
                <w:fitText w:val="20" w:id="-694973685"/>
                <w14:textFill>
                  <w14:solidFill>
                    <w14:srgbClr w14:val="000000">
                      <w14:alpha w14:val="100000"/>
                    </w14:srgbClr>
                  </w14:solidFill>
                </w14:textFill>
              </w:rPr>
              <w:t xml:space="preserve">　</w:t>
            </w:r>
            <w:r w:rsidR="00A268DC" w:rsidRPr="00C0236C">
              <w:rPr>
                <w:rFonts w:ascii="Arial Narrow" w:eastAsiaTheme="majorEastAsia" w:hAnsi="Arial Narrow" w:cstheme="majorBidi"/>
                <w:color w:val="000000"/>
                <w:w w:val="15"/>
                <w:sz w:val="20"/>
                <w:shd w:val="solid" w:color="000000" w:fill="000000"/>
                <w:fitText w:val="20" w:id="-694973685"/>
                <w14:textFill>
                  <w14:solidFill>
                    <w14:srgbClr w14:val="000000">
                      <w14:alpha w14:val="100000"/>
                    </w14:srgbClr>
                  </w14:solidFill>
                </w14:textFill>
              </w:rPr>
              <w:t>|</w:t>
            </w:r>
            <w:r w:rsidR="00A268DC" w:rsidRPr="00C0236C">
              <w:rPr>
                <w:rFonts w:ascii="Arial Narrow" w:eastAsiaTheme="majorEastAsia" w:hAnsi="Arial Narrow" w:cstheme="majorBidi" w:hint="eastAsia"/>
                <w:color w:val="000000"/>
                <w:spacing w:val="-46"/>
                <w:w w:val="15"/>
                <w:sz w:val="20"/>
                <w:shd w:val="solid" w:color="000000" w:fill="000000"/>
                <w:fitText w:val="20" w:id="-694973685"/>
                <w14:textFill>
                  <w14:solidFill>
                    <w14:srgbClr w14:val="000000">
                      <w14:alpha w14:val="100000"/>
                    </w14:srgbClr>
                  </w14:solidFill>
                </w14:textFill>
              </w:rPr>
              <w:t xml:space="preserve">　</w:t>
            </w:r>
            <w:r w:rsidRPr="00766AE0">
              <w:rPr>
                <w:rFonts w:ascii="Arial Narrow" w:eastAsiaTheme="majorEastAsia" w:hAnsi="Arial Narrow" w:cstheme="majorBidi"/>
                <w:sz w:val="20"/>
              </w:rPr>
              <w:t>%</w:t>
            </w:r>
          </w:p>
        </w:tc>
      </w:tr>
      <w:tr w:rsidR="008975CB" w:rsidRPr="008975CB" w14:paraId="7AFF0DC8" w14:textId="77777777" w:rsidTr="0910F2D2">
        <w:tc>
          <w:tcPr>
            <w:tcW w:w="5000" w:type="pct"/>
            <w:gridSpan w:val="5"/>
          </w:tcPr>
          <w:p w14:paraId="4DC0DD85" w14:textId="77777777" w:rsidR="008975CB" w:rsidRPr="00766AE0" w:rsidRDefault="008975CB" w:rsidP="00360107">
            <w:pPr>
              <w:jc w:val="left"/>
              <w:rPr>
                <w:rFonts w:ascii="Arial Narrow" w:eastAsiaTheme="majorEastAsia" w:hAnsi="Arial Narrow" w:cstheme="majorBidi"/>
                <w:b/>
                <w:sz w:val="20"/>
              </w:rPr>
            </w:pPr>
            <w:r w:rsidRPr="00766AE0">
              <w:rPr>
                <w:rFonts w:ascii="Arial Narrow" w:eastAsiaTheme="majorEastAsia" w:hAnsi="Arial Narrow" w:cstheme="majorBidi"/>
                <w:b/>
                <w:sz w:val="20"/>
              </w:rPr>
              <w:t>PFS extrapolation method (base case Weibull)</w:t>
            </w:r>
          </w:p>
        </w:tc>
      </w:tr>
      <w:tr w:rsidR="008975CB" w:rsidRPr="008975CB" w14:paraId="1A722572" w14:textId="77777777" w:rsidTr="00A268DC">
        <w:tc>
          <w:tcPr>
            <w:tcW w:w="1491" w:type="pct"/>
          </w:tcPr>
          <w:p w14:paraId="25C0A306" w14:textId="65D9631A" w:rsidR="008975CB" w:rsidRPr="00766AE0" w:rsidRDefault="00F87B86" w:rsidP="00360107">
            <w:pPr>
              <w:jc w:val="left"/>
              <w:rPr>
                <w:rFonts w:ascii="Arial Narrow" w:eastAsiaTheme="majorEastAsia" w:hAnsi="Arial Narrow" w:cs="Times New Roman"/>
                <w:snapToGrid w:val="0"/>
                <w:sz w:val="20"/>
              </w:rPr>
            </w:pPr>
            <w:r>
              <w:rPr>
                <w:rFonts w:ascii="Arial Narrow" w:eastAsiaTheme="majorEastAsia" w:hAnsi="Arial Narrow" w:cs="Times New Roman"/>
                <w:snapToGrid w:val="0"/>
                <w:sz w:val="20"/>
              </w:rPr>
              <w:t xml:space="preserve"> </w:t>
            </w:r>
            <w:r w:rsidR="008975CB" w:rsidRPr="00766AE0">
              <w:rPr>
                <w:rFonts w:ascii="Arial Narrow" w:eastAsiaTheme="majorEastAsia" w:hAnsi="Arial Narrow" w:cs="Times New Roman"/>
                <w:snapToGrid w:val="0"/>
                <w:sz w:val="20"/>
              </w:rPr>
              <w:t>Log</w:t>
            </w:r>
            <w:r w:rsidR="009E6D25">
              <w:rPr>
                <w:rFonts w:ascii="Arial Narrow" w:eastAsiaTheme="majorEastAsia" w:hAnsi="Arial Narrow" w:cs="Times New Roman"/>
                <w:snapToGrid w:val="0"/>
                <w:sz w:val="20"/>
              </w:rPr>
              <w:t xml:space="preserve"> </w:t>
            </w:r>
            <w:r w:rsidR="008975CB" w:rsidRPr="00766AE0">
              <w:rPr>
                <w:rFonts w:ascii="Arial Narrow" w:eastAsiaTheme="majorEastAsia" w:hAnsi="Arial Narrow" w:cs="Times New Roman"/>
                <w:snapToGrid w:val="0"/>
                <w:sz w:val="20"/>
              </w:rPr>
              <w:t>Logistic</w:t>
            </w:r>
          </w:p>
        </w:tc>
        <w:tc>
          <w:tcPr>
            <w:tcW w:w="944" w:type="pct"/>
            <w:tcBorders>
              <w:bottom w:val="single" w:sz="4" w:space="0" w:color="auto"/>
            </w:tcBorders>
            <w:shd w:val="solid" w:color="000000" w:fill="000000"/>
          </w:tcPr>
          <w:p w14:paraId="6A3AF046" w14:textId="0F16A095" w:rsidR="008975CB" w:rsidRPr="00262BA4" w:rsidRDefault="00A268DC" w:rsidP="00360107">
            <w:pPr>
              <w:jc w:val="center"/>
              <w:rPr>
                <w:rFonts w:ascii="Arial Narrow" w:eastAsiaTheme="majorEastAsia" w:hAnsi="Arial Narrow" w:cstheme="majorBidi"/>
                <w:sz w:val="20"/>
                <w:highlight w:val="darkGray"/>
              </w:rPr>
            </w:pPr>
            <w:r w:rsidRPr="00A268DC">
              <w:rPr>
                <w:rFonts w:ascii="Arial Narrow" w:eastAsiaTheme="majorEastAsia" w:hAnsi="Arial Narrow" w:cstheme="majorBidi"/>
                <w:color w:val="000000"/>
                <w:sz w:val="20"/>
                <w14:textFill>
                  <w14:solidFill>
                    <w14:srgbClr w14:val="000000">
                      <w14:alpha w14:val="100000"/>
                    </w14:srgbClr>
                  </w14:solidFill>
                </w14:textFill>
              </w:rPr>
              <w:t>|</w:t>
            </w:r>
          </w:p>
        </w:tc>
        <w:tc>
          <w:tcPr>
            <w:tcW w:w="864" w:type="pct"/>
          </w:tcPr>
          <w:p w14:paraId="72209820" w14:textId="77777777" w:rsidR="008975CB" w:rsidRPr="00766AE0" w:rsidRDefault="008975CB" w:rsidP="00360107">
            <w:pPr>
              <w:jc w:val="center"/>
              <w:rPr>
                <w:rFonts w:ascii="Arial Narrow" w:eastAsiaTheme="majorEastAsia" w:hAnsi="Arial Narrow" w:cstheme="majorBidi"/>
                <w:sz w:val="20"/>
              </w:rPr>
            </w:pPr>
            <w:r w:rsidRPr="00766AE0">
              <w:rPr>
                <w:rFonts w:ascii="Arial Narrow" w:eastAsiaTheme="majorEastAsia" w:hAnsi="Arial Narrow" w:cstheme="majorBidi"/>
                <w:sz w:val="20"/>
              </w:rPr>
              <w:t>1.51</w:t>
            </w:r>
          </w:p>
        </w:tc>
        <w:tc>
          <w:tcPr>
            <w:tcW w:w="865" w:type="pct"/>
          </w:tcPr>
          <w:p w14:paraId="6778F6A3" w14:textId="783A1472" w:rsidR="008975CB" w:rsidRPr="00262BA4" w:rsidRDefault="00A268DC" w:rsidP="00360107">
            <w:pPr>
              <w:jc w:val="center"/>
              <w:rPr>
                <w:rFonts w:ascii="Arial Narrow" w:eastAsiaTheme="majorEastAsia" w:hAnsi="Arial Narrow" w:cstheme="majorBidi"/>
                <w:sz w:val="20"/>
                <w:highlight w:val="darkGray"/>
              </w:rPr>
            </w:pPr>
            <w:r w:rsidRPr="00A268DC">
              <w:rPr>
                <w:rFonts w:ascii="Arial Narrow" w:eastAsiaTheme="majorEastAsia" w:hAnsi="Arial Narrow" w:cstheme="majorBidi"/>
                <w:color w:val="000000"/>
                <w:sz w:val="20"/>
                <w:shd w:val="solid" w:color="000000" w:fill="000000"/>
                <w14:textFill>
                  <w14:solidFill>
                    <w14:srgbClr w14:val="000000">
                      <w14:alpha w14:val="100000"/>
                    </w14:srgbClr>
                  </w14:solidFill>
                </w14:textFill>
              </w:rPr>
              <w:t>|</w:t>
            </w:r>
            <w:r w:rsidR="00321D42" w:rsidRPr="00321D42">
              <w:rPr>
                <w:rFonts w:ascii="Arial Narrow" w:eastAsiaTheme="majorEastAsia" w:hAnsi="Arial Narrow" w:cstheme="majorBidi"/>
                <w:b/>
                <w:sz w:val="20"/>
                <w:vertAlign w:val="superscript"/>
              </w:rPr>
              <w:t>1</w:t>
            </w:r>
          </w:p>
        </w:tc>
        <w:tc>
          <w:tcPr>
            <w:tcW w:w="836" w:type="pct"/>
          </w:tcPr>
          <w:p w14:paraId="269AC487" w14:textId="2C8EC298" w:rsidR="008975CB" w:rsidRPr="00766AE0" w:rsidRDefault="008975CB" w:rsidP="00360107">
            <w:pPr>
              <w:jc w:val="center"/>
              <w:rPr>
                <w:rFonts w:ascii="Arial Narrow" w:eastAsiaTheme="majorEastAsia" w:hAnsi="Arial Narrow" w:cstheme="majorBidi"/>
                <w:sz w:val="20"/>
              </w:rPr>
            </w:pPr>
            <w:r w:rsidRPr="00766AE0">
              <w:rPr>
                <w:rFonts w:ascii="Arial Narrow" w:eastAsiaTheme="majorEastAsia" w:hAnsi="Arial Narrow" w:cstheme="majorBidi"/>
                <w:sz w:val="20"/>
              </w:rPr>
              <w:t>+</w:t>
            </w:r>
            <w:r w:rsidR="00A268DC" w:rsidRPr="00C0236C">
              <w:rPr>
                <w:rFonts w:ascii="Arial Narrow" w:eastAsiaTheme="majorEastAsia" w:hAnsi="Arial Narrow" w:cstheme="majorBidi" w:hint="eastAsia"/>
                <w:color w:val="000000"/>
                <w:w w:val="15"/>
                <w:sz w:val="20"/>
                <w:shd w:val="solid" w:color="000000" w:fill="000000"/>
                <w:fitText w:val="20" w:id="-694973684"/>
                <w14:textFill>
                  <w14:solidFill>
                    <w14:srgbClr w14:val="000000">
                      <w14:alpha w14:val="100000"/>
                    </w14:srgbClr>
                  </w14:solidFill>
                </w14:textFill>
              </w:rPr>
              <w:t xml:space="preserve">　</w:t>
            </w:r>
            <w:r w:rsidR="00A268DC" w:rsidRPr="00C0236C">
              <w:rPr>
                <w:rFonts w:ascii="Arial Narrow" w:eastAsiaTheme="majorEastAsia" w:hAnsi="Arial Narrow" w:cstheme="majorBidi"/>
                <w:color w:val="000000"/>
                <w:w w:val="15"/>
                <w:sz w:val="20"/>
                <w:shd w:val="solid" w:color="000000" w:fill="000000"/>
                <w:fitText w:val="20" w:id="-694973684"/>
                <w14:textFill>
                  <w14:solidFill>
                    <w14:srgbClr w14:val="000000">
                      <w14:alpha w14:val="100000"/>
                    </w14:srgbClr>
                  </w14:solidFill>
                </w14:textFill>
              </w:rPr>
              <w:t>|</w:t>
            </w:r>
            <w:r w:rsidR="00A268DC" w:rsidRPr="00C0236C">
              <w:rPr>
                <w:rFonts w:ascii="Arial Narrow" w:eastAsiaTheme="majorEastAsia" w:hAnsi="Arial Narrow" w:cstheme="majorBidi" w:hint="eastAsia"/>
                <w:color w:val="000000"/>
                <w:spacing w:val="-46"/>
                <w:w w:val="15"/>
                <w:sz w:val="20"/>
                <w:shd w:val="solid" w:color="000000" w:fill="000000"/>
                <w:fitText w:val="20" w:id="-694973684"/>
                <w14:textFill>
                  <w14:solidFill>
                    <w14:srgbClr w14:val="000000">
                      <w14:alpha w14:val="100000"/>
                    </w14:srgbClr>
                  </w14:solidFill>
                </w14:textFill>
              </w:rPr>
              <w:t xml:space="preserve">　</w:t>
            </w:r>
            <w:r w:rsidRPr="00766AE0">
              <w:rPr>
                <w:rFonts w:ascii="Arial Narrow" w:eastAsiaTheme="majorEastAsia" w:hAnsi="Arial Narrow" w:cstheme="majorBidi"/>
                <w:sz w:val="20"/>
              </w:rPr>
              <w:t>%</w:t>
            </w:r>
          </w:p>
        </w:tc>
      </w:tr>
      <w:tr w:rsidR="008975CB" w:rsidRPr="008975CB" w14:paraId="2B58665E" w14:textId="77777777" w:rsidTr="00A268DC">
        <w:tc>
          <w:tcPr>
            <w:tcW w:w="1491" w:type="pct"/>
          </w:tcPr>
          <w:p w14:paraId="3CD76551" w14:textId="40E7EDB3" w:rsidR="008975CB" w:rsidRPr="00766AE0" w:rsidRDefault="00F87B86" w:rsidP="00360107">
            <w:pPr>
              <w:jc w:val="left"/>
              <w:rPr>
                <w:rFonts w:ascii="Arial Narrow" w:eastAsiaTheme="majorEastAsia" w:hAnsi="Arial Narrow" w:cs="Times New Roman"/>
                <w:snapToGrid w:val="0"/>
                <w:sz w:val="20"/>
              </w:rPr>
            </w:pPr>
            <w:r>
              <w:rPr>
                <w:rFonts w:ascii="Arial Narrow" w:eastAsiaTheme="majorEastAsia" w:hAnsi="Arial Narrow" w:cs="Times New Roman"/>
                <w:snapToGrid w:val="0"/>
                <w:sz w:val="20"/>
              </w:rPr>
              <w:t xml:space="preserve"> </w:t>
            </w:r>
            <w:r w:rsidR="008975CB" w:rsidRPr="00766AE0">
              <w:rPr>
                <w:rFonts w:ascii="Arial Narrow" w:eastAsiaTheme="majorEastAsia" w:hAnsi="Arial Narrow" w:cs="Times New Roman"/>
                <w:snapToGrid w:val="0"/>
                <w:sz w:val="20"/>
              </w:rPr>
              <w:t>Log</w:t>
            </w:r>
            <w:r w:rsidR="009E6D25">
              <w:rPr>
                <w:rFonts w:ascii="Arial Narrow" w:eastAsiaTheme="majorEastAsia" w:hAnsi="Arial Narrow" w:cs="Times New Roman"/>
                <w:snapToGrid w:val="0"/>
                <w:sz w:val="20"/>
              </w:rPr>
              <w:t xml:space="preserve"> </w:t>
            </w:r>
            <w:r w:rsidR="008975CB" w:rsidRPr="00766AE0">
              <w:rPr>
                <w:rFonts w:ascii="Arial Narrow" w:eastAsiaTheme="majorEastAsia" w:hAnsi="Arial Narrow" w:cs="Times New Roman"/>
                <w:snapToGrid w:val="0"/>
                <w:sz w:val="20"/>
              </w:rPr>
              <w:t>Normal</w:t>
            </w:r>
          </w:p>
        </w:tc>
        <w:tc>
          <w:tcPr>
            <w:tcW w:w="944" w:type="pct"/>
            <w:tcBorders>
              <w:bottom w:val="single" w:sz="4" w:space="0" w:color="auto"/>
            </w:tcBorders>
            <w:shd w:val="solid" w:color="000000" w:fill="000000"/>
          </w:tcPr>
          <w:p w14:paraId="2E56B42F" w14:textId="1DD4AAD3" w:rsidR="008975CB" w:rsidRPr="00262BA4" w:rsidRDefault="00A268DC" w:rsidP="00360107">
            <w:pPr>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bCs/>
                <w:color w:val="000000"/>
                <w:sz w:val="20"/>
                <w14:textFill>
                  <w14:solidFill>
                    <w14:srgbClr w14:val="000000">
                      <w14:alpha w14:val="100000"/>
                    </w14:srgbClr>
                  </w14:solidFill>
                </w14:textFill>
              </w:rPr>
              <w:t>|</w:t>
            </w:r>
          </w:p>
        </w:tc>
        <w:tc>
          <w:tcPr>
            <w:tcW w:w="864" w:type="pct"/>
          </w:tcPr>
          <w:p w14:paraId="4F4B4E28" w14:textId="77777777" w:rsidR="008975CB" w:rsidRPr="00766AE0" w:rsidRDefault="008975CB" w:rsidP="00360107">
            <w:pPr>
              <w:jc w:val="center"/>
              <w:rPr>
                <w:rFonts w:ascii="Arial Narrow" w:eastAsiaTheme="majorEastAsia" w:hAnsi="Arial Narrow" w:cstheme="majorBidi"/>
                <w:bCs/>
                <w:sz w:val="20"/>
              </w:rPr>
            </w:pPr>
            <w:r w:rsidRPr="00766AE0">
              <w:rPr>
                <w:rFonts w:ascii="Arial Narrow" w:eastAsiaTheme="majorEastAsia" w:hAnsi="Arial Narrow" w:cstheme="majorBidi"/>
                <w:bCs/>
                <w:sz w:val="20"/>
              </w:rPr>
              <w:t>1.53</w:t>
            </w:r>
          </w:p>
        </w:tc>
        <w:tc>
          <w:tcPr>
            <w:tcW w:w="865" w:type="pct"/>
          </w:tcPr>
          <w:p w14:paraId="170241A1" w14:textId="5C8E2C87" w:rsidR="008975CB" w:rsidRPr="00262BA4" w:rsidRDefault="00A268DC" w:rsidP="00360107">
            <w:pPr>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321D42" w:rsidRPr="00321D42">
              <w:rPr>
                <w:rFonts w:ascii="Arial Narrow" w:eastAsiaTheme="majorEastAsia" w:hAnsi="Arial Narrow" w:cstheme="majorBidi"/>
                <w:b/>
                <w:sz w:val="20"/>
                <w:vertAlign w:val="superscript"/>
              </w:rPr>
              <w:t>1</w:t>
            </w:r>
          </w:p>
        </w:tc>
        <w:tc>
          <w:tcPr>
            <w:tcW w:w="836" w:type="pct"/>
          </w:tcPr>
          <w:p w14:paraId="4C9C82F2" w14:textId="1FACA1F1" w:rsidR="008975CB" w:rsidRPr="00766AE0" w:rsidRDefault="008975CB" w:rsidP="00360107">
            <w:pPr>
              <w:jc w:val="center"/>
              <w:rPr>
                <w:rFonts w:ascii="Arial Narrow" w:eastAsiaTheme="majorEastAsia" w:hAnsi="Arial Narrow" w:cstheme="majorBidi"/>
                <w:bCs/>
                <w:sz w:val="20"/>
              </w:rPr>
            </w:pPr>
            <w:r w:rsidRPr="00766AE0">
              <w:rPr>
                <w:rFonts w:ascii="Arial Narrow" w:eastAsiaTheme="majorEastAsia" w:hAnsi="Arial Narrow" w:cstheme="majorBidi"/>
                <w:bCs/>
                <w:sz w:val="20"/>
              </w:rPr>
              <w:t>+</w:t>
            </w:r>
            <w:r w:rsidR="00A268DC" w:rsidRPr="00C0236C">
              <w:rPr>
                <w:rFonts w:ascii="Arial Narrow" w:eastAsiaTheme="majorEastAsia" w:hAnsi="Arial Narrow" w:cstheme="majorBidi" w:hint="eastAsia"/>
                <w:bCs/>
                <w:color w:val="000000"/>
                <w:w w:val="15"/>
                <w:sz w:val="20"/>
                <w:shd w:val="solid" w:color="000000" w:fill="000000"/>
                <w:fitText w:val="20" w:id="-694973683"/>
                <w14:textFill>
                  <w14:solidFill>
                    <w14:srgbClr w14:val="000000">
                      <w14:alpha w14:val="100000"/>
                    </w14:srgbClr>
                  </w14:solidFill>
                </w14:textFill>
              </w:rPr>
              <w:t xml:space="preserve">　</w:t>
            </w:r>
            <w:r w:rsidR="00A268DC" w:rsidRPr="00C0236C">
              <w:rPr>
                <w:rFonts w:ascii="Arial Narrow" w:eastAsiaTheme="majorEastAsia" w:hAnsi="Arial Narrow" w:cstheme="majorBidi"/>
                <w:bCs/>
                <w:color w:val="000000"/>
                <w:w w:val="15"/>
                <w:sz w:val="20"/>
                <w:shd w:val="solid" w:color="000000" w:fill="000000"/>
                <w:fitText w:val="20" w:id="-694973683"/>
                <w14:textFill>
                  <w14:solidFill>
                    <w14:srgbClr w14:val="000000">
                      <w14:alpha w14:val="100000"/>
                    </w14:srgbClr>
                  </w14:solidFill>
                </w14:textFill>
              </w:rPr>
              <w:t>|</w:t>
            </w:r>
            <w:r w:rsidR="00A268DC" w:rsidRPr="00C0236C">
              <w:rPr>
                <w:rFonts w:ascii="Arial Narrow" w:eastAsiaTheme="majorEastAsia" w:hAnsi="Arial Narrow" w:cstheme="majorBidi" w:hint="eastAsia"/>
                <w:bCs/>
                <w:color w:val="000000"/>
                <w:spacing w:val="-46"/>
                <w:w w:val="15"/>
                <w:sz w:val="20"/>
                <w:shd w:val="solid" w:color="000000" w:fill="000000"/>
                <w:fitText w:val="20" w:id="-694973683"/>
                <w14:textFill>
                  <w14:solidFill>
                    <w14:srgbClr w14:val="000000">
                      <w14:alpha w14:val="100000"/>
                    </w14:srgbClr>
                  </w14:solidFill>
                </w14:textFill>
              </w:rPr>
              <w:t xml:space="preserve">　</w:t>
            </w:r>
            <w:r w:rsidRPr="00766AE0">
              <w:rPr>
                <w:rFonts w:ascii="Arial Narrow" w:eastAsiaTheme="majorEastAsia" w:hAnsi="Arial Narrow" w:cstheme="majorBidi"/>
                <w:bCs/>
                <w:sz w:val="20"/>
              </w:rPr>
              <w:t>%</w:t>
            </w:r>
          </w:p>
        </w:tc>
      </w:tr>
      <w:tr w:rsidR="008975CB" w:rsidRPr="008975CB" w14:paraId="52D3C836" w14:textId="77777777" w:rsidTr="00A268DC">
        <w:tc>
          <w:tcPr>
            <w:tcW w:w="1491" w:type="pct"/>
          </w:tcPr>
          <w:p w14:paraId="795BDF90" w14:textId="5D0CA005" w:rsidR="008975CB" w:rsidRPr="00766AE0" w:rsidRDefault="00F87B86" w:rsidP="00360107">
            <w:pPr>
              <w:jc w:val="left"/>
              <w:rPr>
                <w:rFonts w:ascii="Arial Narrow" w:eastAsiaTheme="majorEastAsia" w:hAnsi="Arial Narrow" w:cs="Times New Roman"/>
                <w:snapToGrid w:val="0"/>
                <w:sz w:val="20"/>
              </w:rPr>
            </w:pPr>
            <w:r>
              <w:rPr>
                <w:rFonts w:ascii="Arial Narrow" w:eastAsiaTheme="majorEastAsia" w:hAnsi="Arial Narrow" w:cs="Times New Roman"/>
                <w:snapToGrid w:val="0"/>
                <w:sz w:val="20"/>
              </w:rPr>
              <w:lastRenderedPageBreak/>
              <w:t xml:space="preserve"> </w:t>
            </w:r>
            <w:r w:rsidR="008975CB" w:rsidRPr="00766AE0">
              <w:rPr>
                <w:rFonts w:ascii="Arial Narrow" w:eastAsiaTheme="majorEastAsia" w:hAnsi="Arial Narrow" w:cs="Times New Roman"/>
                <w:snapToGrid w:val="0"/>
                <w:sz w:val="20"/>
              </w:rPr>
              <w:t>Exponential</w:t>
            </w:r>
          </w:p>
        </w:tc>
        <w:tc>
          <w:tcPr>
            <w:tcW w:w="944" w:type="pct"/>
            <w:tcBorders>
              <w:bottom w:val="single" w:sz="4" w:space="0" w:color="auto"/>
            </w:tcBorders>
            <w:shd w:val="solid" w:color="000000" w:fill="000000"/>
          </w:tcPr>
          <w:p w14:paraId="549C9916" w14:textId="7C662683" w:rsidR="008975CB" w:rsidRPr="00262BA4" w:rsidRDefault="00A268DC" w:rsidP="00360107">
            <w:pPr>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bCs/>
                <w:color w:val="000000"/>
                <w:sz w:val="20"/>
                <w14:textFill>
                  <w14:solidFill>
                    <w14:srgbClr w14:val="000000">
                      <w14:alpha w14:val="100000"/>
                    </w14:srgbClr>
                  </w14:solidFill>
                </w14:textFill>
              </w:rPr>
              <w:t>|</w:t>
            </w:r>
          </w:p>
        </w:tc>
        <w:tc>
          <w:tcPr>
            <w:tcW w:w="864" w:type="pct"/>
          </w:tcPr>
          <w:p w14:paraId="16A9D1E9" w14:textId="77777777" w:rsidR="008975CB" w:rsidRPr="00766AE0" w:rsidRDefault="008975CB" w:rsidP="00360107">
            <w:pPr>
              <w:jc w:val="center"/>
              <w:rPr>
                <w:rFonts w:ascii="Arial Narrow" w:eastAsiaTheme="majorEastAsia" w:hAnsi="Arial Narrow" w:cstheme="majorBidi"/>
                <w:bCs/>
                <w:sz w:val="20"/>
              </w:rPr>
            </w:pPr>
            <w:r w:rsidRPr="00766AE0">
              <w:rPr>
                <w:rFonts w:ascii="Arial Narrow" w:eastAsiaTheme="majorEastAsia" w:hAnsi="Arial Narrow" w:cstheme="majorBidi"/>
                <w:bCs/>
                <w:sz w:val="20"/>
              </w:rPr>
              <w:t>1.56</w:t>
            </w:r>
          </w:p>
        </w:tc>
        <w:tc>
          <w:tcPr>
            <w:tcW w:w="865" w:type="pct"/>
          </w:tcPr>
          <w:p w14:paraId="0BE6A739" w14:textId="61296F40" w:rsidR="008975CB" w:rsidRPr="00262BA4" w:rsidRDefault="00A268DC" w:rsidP="00360107">
            <w:pPr>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321D42" w:rsidRPr="00321D42">
              <w:rPr>
                <w:rFonts w:ascii="Arial Narrow" w:eastAsiaTheme="majorEastAsia" w:hAnsi="Arial Narrow" w:cstheme="majorBidi"/>
                <w:b/>
                <w:sz w:val="20"/>
                <w:vertAlign w:val="superscript"/>
              </w:rPr>
              <w:t>1</w:t>
            </w:r>
          </w:p>
        </w:tc>
        <w:tc>
          <w:tcPr>
            <w:tcW w:w="836" w:type="pct"/>
          </w:tcPr>
          <w:p w14:paraId="2AA9E570" w14:textId="0DB00312" w:rsidR="008975CB" w:rsidRPr="00766AE0" w:rsidRDefault="008975CB" w:rsidP="00360107">
            <w:pPr>
              <w:jc w:val="center"/>
              <w:rPr>
                <w:rFonts w:ascii="Arial Narrow" w:eastAsiaTheme="majorEastAsia" w:hAnsi="Arial Narrow" w:cstheme="majorBidi"/>
                <w:bCs/>
                <w:sz w:val="20"/>
              </w:rPr>
            </w:pPr>
            <w:r w:rsidRPr="00766AE0">
              <w:rPr>
                <w:rFonts w:ascii="Arial Narrow" w:eastAsiaTheme="majorEastAsia" w:hAnsi="Arial Narrow" w:cstheme="majorBidi"/>
                <w:bCs/>
                <w:sz w:val="20"/>
              </w:rPr>
              <w:t>+</w:t>
            </w:r>
            <w:r w:rsidR="00A268DC" w:rsidRPr="00C0236C">
              <w:rPr>
                <w:rFonts w:ascii="Arial Narrow" w:eastAsiaTheme="majorEastAsia" w:hAnsi="Arial Narrow" w:cstheme="majorBidi" w:hint="eastAsia"/>
                <w:bCs/>
                <w:color w:val="000000"/>
                <w:w w:val="15"/>
                <w:sz w:val="20"/>
                <w:shd w:val="solid" w:color="000000" w:fill="000000"/>
                <w:fitText w:val="20" w:id="-694973682"/>
                <w14:textFill>
                  <w14:solidFill>
                    <w14:srgbClr w14:val="000000">
                      <w14:alpha w14:val="100000"/>
                    </w14:srgbClr>
                  </w14:solidFill>
                </w14:textFill>
              </w:rPr>
              <w:t xml:space="preserve">　</w:t>
            </w:r>
            <w:r w:rsidR="00A268DC" w:rsidRPr="00C0236C">
              <w:rPr>
                <w:rFonts w:ascii="Arial Narrow" w:eastAsiaTheme="majorEastAsia" w:hAnsi="Arial Narrow" w:cstheme="majorBidi"/>
                <w:bCs/>
                <w:color w:val="000000"/>
                <w:w w:val="15"/>
                <w:sz w:val="20"/>
                <w:shd w:val="solid" w:color="000000" w:fill="000000"/>
                <w:fitText w:val="20" w:id="-694973682"/>
                <w14:textFill>
                  <w14:solidFill>
                    <w14:srgbClr w14:val="000000">
                      <w14:alpha w14:val="100000"/>
                    </w14:srgbClr>
                  </w14:solidFill>
                </w14:textFill>
              </w:rPr>
              <w:t>|</w:t>
            </w:r>
            <w:r w:rsidR="00A268DC" w:rsidRPr="00C0236C">
              <w:rPr>
                <w:rFonts w:ascii="Arial Narrow" w:eastAsiaTheme="majorEastAsia" w:hAnsi="Arial Narrow" w:cstheme="majorBidi" w:hint="eastAsia"/>
                <w:bCs/>
                <w:color w:val="000000"/>
                <w:spacing w:val="-46"/>
                <w:w w:val="15"/>
                <w:sz w:val="20"/>
                <w:shd w:val="solid" w:color="000000" w:fill="000000"/>
                <w:fitText w:val="20" w:id="-694973682"/>
                <w14:textFill>
                  <w14:solidFill>
                    <w14:srgbClr w14:val="000000">
                      <w14:alpha w14:val="100000"/>
                    </w14:srgbClr>
                  </w14:solidFill>
                </w14:textFill>
              </w:rPr>
              <w:t xml:space="preserve">　</w:t>
            </w:r>
            <w:r w:rsidRPr="00766AE0">
              <w:rPr>
                <w:rFonts w:ascii="Arial Narrow" w:eastAsiaTheme="majorEastAsia" w:hAnsi="Arial Narrow" w:cstheme="majorBidi"/>
                <w:bCs/>
                <w:sz w:val="20"/>
              </w:rPr>
              <w:t>%</w:t>
            </w:r>
          </w:p>
        </w:tc>
      </w:tr>
      <w:tr w:rsidR="008975CB" w:rsidRPr="008975CB" w14:paraId="3E46092E" w14:textId="77777777" w:rsidTr="00A268DC">
        <w:tc>
          <w:tcPr>
            <w:tcW w:w="1491" w:type="pct"/>
          </w:tcPr>
          <w:p w14:paraId="21B4A73F" w14:textId="37BEB235" w:rsidR="008975CB" w:rsidRPr="00766AE0" w:rsidRDefault="00F87B86" w:rsidP="00360107">
            <w:pPr>
              <w:jc w:val="left"/>
              <w:rPr>
                <w:rFonts w:ascii="Arial Narrow" w:eastAsiaTheme="majorEastAsia" w:hAnsi="Arial Narrow" w:cs="Times New Roman"/>
                <w:snapToGrid w:val="0"/>
                <w:sz w:val="20"/>
              </w:rPr>
            </w:pPr>
            <w:r>
              <w:rPr>
                <w:rFonts w:ascii="Arial Narrow" w:eastAsiaTheme="majorEastAsia" w:hAnsi="Arial Narrow" w:cs="Times New Roman"/>
                <w:snapToGrid w:val="0"/>
                <w:sz w:val="20"/>
              </w:rPr>
              <w:t xml:space="preserve"> </w:t>
            </w:r>
            <w:r w:rsidR="008975CB" w:rsidRPr="00766AE0">
              <w:rPr>
                <w:rFonts w:ascii="Arial Narrow" w:eastAsiaTheme="majorEastAsia" w:hAnsi="Arial Narrow" w:cs="Times New Roman"/>
                <w:snapToGrid w:val="0"/>
                <w:sz w:val="20"/>
              </w:rPr>
              <w:t>Gompertz</w:t>
            </w:r>
          </w:p>
        </w:tc>
        <w:tc>
          <w:tcPr>
            <w:tcW w:w="944" w:type="pct"/>
            <w:shd w:val="solid" w:color="000000" w:fill="000000"/>
          </w:tcPr>
          <w:p w14:paraId="2A80D762" w14:textId="334E00DD" w:rsidR="008975CB" w:rsidRPr="00262BA4" w:rsidRDefault="00A268DC" w:rsidP="00360107">
            <w:pPr>
              <w:jc w:val="center"/>
              <w:rPr>
                <w:rFonts w:ascii="Arial Narrow" w:eastAsiaTheme="majorEastAsia" w:hAnsi="Arial Narrow" w:cstheme="majorBidi"/>
                <w:sz w:val="20"/>
                <w:highlight w:val="darkGray"/>
              </w:rPr>
            </w:pPr>
            <w:r w:rsidRPr="00A268DC">
              <w:rPr>
                <w:rFonts w:ascii="Arial Narrow" w:eastAsiaTheme="majorEastAsia" w:hAnsi="Arial Narrow" w:cstheme="majorBidi"/>
                <w:color w:val="000000"/>
                <w:sz w:val="20"/>
                <w14:textFill>
                  <w14:solidFill>
                    <w14:srgbClr w14:val="000000">
                      <w14:alpha w14:val="100000"/>
                    </w14:srgbClr>
                  </w14:solidFill>
                </w14:textFill>
              </w:rPr>
              <w:t>|</w:t>
            </w:r>
          </w:p>
        </w:tc>
        <w:tc>
          <w:tcPr>
            <w:tcW w:w="864" w:type="pct"/>
          </w:tcPr>
          <w:p w14:paraId="2BD3869F" w14:textId="77777777" w:rsidR="008975CB" w:rsidRPr="00766AE0" w:rsidRDefault="008975CB" w:rsidP="00360107">
            <w:pPr>
              <w:jc w:val="center"/>
              <w:rPr>
                <w:rFonts w:ascii="Arial Narrow" w:eastAsiaTheme="majorEastAsia" w:hAnsi="Arial Narrow" w:cstheme="majorBidi"/>
                <w:sz w:val="20"/>
              </w:rPr>
            </w:pPr>
            <w:r w:rsidRPr="00766AE0">
              <w:rPr>
                <w:rFonts w:ascii="Arial Narrow" w:eastAsiaTheme="majorEastAsia" w:hAnsi="Arial Narrow" w:cstheme="majorBidi"/>
                <w:sz w:val="20"/>
              </w:rPr>
              <w:t>1.68</w:t>
            </w:r>
          </w:p>
        </w:tc>
        <w:tc>
          <w:tcPr>
            <w:tcW w:w="865" w:type="pct"/>
          </w:tcPr>
          <w:p w14:paraId="6CE04831" w14:textId="285E0524" w:rsidR="008975CB" w:rsidRPr="00262BA4" w:rsidRDefault="00A268DC" w:rsidP="00360107">
            <w:pPr>
              <w:jc w:val="center"/>
              <w:rPr>
                <w:rFonts w:ascii="Arial Narrow" w:eastAsiaTheme="majorEastAsia" w:hAnsi="Arial Narrow" w:cstheme="majorBidi"/>
                <w:sz w:val="20"/>
                <w:highlight w:val="darkGray"/>
              </w:rPr>
            </w:pPr>
            <w:r w:rsidRPr="00A268DC">
              <w:rPr>
                <w:rFonts w:ascii="Arial Narrow" w:eastAsiaTheme="majorEastAsia" w:hAnsi="Arial Narrow" w:cstheme="majorBidi"/>
                <w:color w:val="000000"/>
                <w:sz w:val="20"/>
                <w:shd w:val="solid" w:color="000000" w:fill="000000"/>
                <w14:textFill>
                  <w14:solidFill>
                    <w14:srgbClr w14:val="000000">
                      <w14:alpha w14:val="100000"/>
                    </w14:srgbClr>
                  </w14:solidFill>
                </w14:textFill>
              </w:rPr>
              <w:t>|</w:t>
            </w:r>
            <w:r w:rsidR="00321D42" w:rsidRPr="00321D42">
              <w:rPr>
                <w:rFonts w:ascii="Arial Narrow" w:eastAsiaTheme="majorEastAsia" w:hAnsi="Arial Narrow" w:cstheme="majorBidi"/>
                <w:b/>
                <w:sz w:val="20"/>
                <w:vertAlign w:val="superscript"/>
              </w:rPr>
              <w:t>1</w:t>
            </w:r>
          </w:p>
        </w:tc>
        <w:tc>
          <w:tcPr>
            <w:tcW w:w="836" w:type="pct"/>
          </w:tcPr>
          <w:p w14:paraId="733E761C" w14:textId="56EDEABF" w:rsidR="008975CB" w:rsidRPr="00766AE0" w:rsidRDefault="008975CB" w:rsidP="00360107">
            <w:pPr>
              <w:jc w:val="center"/>
              <w:rPr>
                <w:rFonts w:ascii="Arial Narrow" w:eastAsiaTheme="majorEastAsia" w:hAnsi="Arial Narrow" w:cstheme="majorBidi"/>
                <w:sz w:val="20"/>
              </w:rPr>
            </w:pPr>
            <w:r w:rsidRPr="00766AE0">
              <w:rPr>
                <w:rFonts w:ascii="Arial Narrow" w:eastAsiaTheme="majorEastAsia" w:hAnsi="Arial Narrow" w:cstheme="majorBidi"/>
                <w:sz w:val="20"/>
              </w:rPr>
              <w:t>-</w:t>
            </w:r>
            <w:r w:rsidR="00A268DC" w:rsidRPr="00A268DC">
              <w:rPr>
                <w:rFonts w:ascii="Arial Narrow" w:eastAsiaTheme="majorEastAsia" w:hAnsi="Arial Narrow" w:cstheme="majorBidi"/>
                <w:color w:val="000000"/>
                <w:sz w:val="20"/>
                <w:shd w:val="solid" w:color="000000" w:fill="000000"/>
                <w14:textFill>
                  <w14:solidFill>
                    <w14:srgbClr w14:val="000000">
                      <w14:alpha w14:val="100000"/>
                    </w14:srgbClr>
                  </w14:solidFill>
                </w14:textFill>
              </w:rPr>
              <w:t>|</w:t>
            </w:r>
            <w:r w:rsidRPr="00766AE0">
              <w:rPr>
                <w:rFonts w:ascii="Arial Narrow" w:eastAsiaTheme="majorEastAsia" w:hAnsi="Arial Narrow" w:cstheme="majorBidi"/>
                <w:sz w:val="20"/>
              </w:rPr>
              <w:t>%</w:t>
            </w:r>
          </w:p>
        </w:tc>
      </w:tr>
      <w:tr w:rsidR="008975CB" w:rsidRPr="008975CB" w14:paraId="00EB4625" w14:textId="77777777" w:rsidTr="0910F2D2">
        <w:tc>
          <w:tcPr>
            <w:tcW w:w="5000" w:type="pct"/>
            <w:gridSpan w:val="5"/>
          </w:tcPr>
          <w:p w14:paraId="2285C535" w14:textId="77777777" w:rsidR="008975CB" w:rsidRPr="00766AE0" w:rsidRDefault="008975CB" w:rsidP="00360107">
            <w:pPr>
              <w:jc w:val="left"/>
              <w:rPr>
                <w:rFonts w:ascii="Arial Narrow" w:eastAsiaTheme="majorEastAsia" w:hAnsi="Arial Narrow" w:cstheme="majorBidi"/>
                <w:b/>
                <w:sz w:val="20"/>
              </w:rPr>
            </w:pPr>
            <w:r w:rsidRPr="00766AE0">
              <w:rPr>
                <w:rFonts w:ascii="Arial Narrow" w:eastAsiaTheme="majorEastAsia" w:hAnsi="Arial Narrow" w:cstheme="majorBidi"/>
                <w:b/>
                <w:sz w:val="20"/>
              </w:rPr>
              <w:t>Progression to AML</w:t>
            </w:r>
          </w:p>
        </w:tc>
      </w:tr>
      <w:tr w:rsidR="008975CB" w:rsidRPr="008975CB" w14:paraId="0FF9683B" w14:textId="77777777" w:rsidTr="00A268DC">
        <w:tc>
          <w:tcPr>
            <w:tcW w:w="1491" w:type="pct"/>
          </w:tcPr>
          <w:p w14:paraId="5CEE9C48" w14:textId="64D84065" w:rsidR="008975CB" w:rsidRPr="00766AE0" w:rsidRDefault="00F87B86" w:rsidP="00360107">
            <w:pPr>
              <w:jc w:val="left"/>
              <w:rPr>
                <w:rFonts w:ascii="Arial Narrow" w:eastAsiaTheme="majorEastAsia" w:hAnsi="Arial Narrow" w:cs="Times New Roman"/>
                <w:snapToGrid w:val="0"/>
                <w:sz w:val="20"/>
              </w:rPr>
            </w:pPr>
            <w:r>
              <w:rPr>
                <w:rFonts w:ascii="Arial Narrow" w:eastAsiaTheme="majorEastAsia" w:hAnsi="Arial Narrow" w:cs="Times New Roman"/>
                <w:snapToGrid w:val="0"/>
                <w:sz w:val="20"/>
              </w:rPr>
              <w:t xml:space="preserve"> </w:t>
            </w:r>
            <w:r w:rsidR="008975CB" w:rsidRPr="00766AE0">
              <w:rPr>
                <w:rFonts w:ascii="Arial Narrow" w:eastAsiaTheme="majorEastAsia" w:hAnsi="Arial Narrow" w:cs="Times New Roman"/>
                <w:snapToGrid w:val="0"/>
                <w:sz w:val="20"/>
              </w:rPr>
              <w:t>Rate from MAJIC trial</w:t>
            </w:r>
          </w:p>
        </w:tc>
        <w:tc>
          <w:tcPr>
            <w:tcW w:w="944" w:type="pct"/>
            <w:shd w:val="solid" w:color="000000" w:fill="000000"/>
          </w:tcPr>
          <w:p w14:paraId="48EE61C1" w14:textId="6D97A8BC" w:rsidR="008975CB" w:rsidRPr="00766AE0" w:rsidRDefault="00A268DC" w:rsidP="00360107">
            <w:pPr>
              <w:jc w:val="center"/>
              <w:rPr>
                <w:rFonts w:ascii="Arial Narrow" w:eastAsiaTheme="majorEastAsia" w:hAnsi="Arial Narrow" w:cstheme="majorBidi"/>
                <w:bCs/>
                <w:sz w:val="20"/>
              </w:rPr>
            </w:pPr>
            <w:r w:rsidRPr="00A268DC">
              <w:rPr>
                <w:rFonts w:ascii="Arial Narrow" w:eastAsiaTheme="majorEastAsia" w:hAnsi="Arial Narrow" w:cstheme="majorBidi"/>
                <w:bCs/>
                <w:color w:val="000000"/>
                <w:sz w:val="20"/>
                <w14:textFill>
                  <w14:solidFill>
                    <w14:srgbClr w14:val="000000">
                      <w14:alpha w14:val="100000"/>
                    </w14:srgbClr>
                  </w14:solidFill>
                </w14:textFill>
              </w:rPr>
              <w:t>|</w:t>
            </w:r>
          </w:p>
        </w:tc>
        <w:tc>
          <w:tcPr>
            <w:tcW w:w="864" w:type="pct"/>
          </w:tcPr>
          <w:p w14:paraId="7C29081E" w14:textId="77777777" w:rsidR="008975CB" w:rsidRPr="00766AE0" w:rsidRDefault="008975CB" w:rsidP="00360107">
            <w:pPr>
              <w:jc w:val="center"/>
              <w:rPr>
                <w:rFonts w:ascii="Arial Narrow" w:eastAsiaTheme="majorEastAsia" w:hAnsi="Arial Narrow" w:cstheme="majorBidi"/>
                <w:bCs/>
                <w:sz w:val="20"/>
              </w:rPr>
            </w:pPr>
            <w:r w:rsidRPr="00766AE0">
              <w:rPr>
                <w:rFonts w:ascii="Arial Narrow" w:eastAsiaTheme="majorEastAsia" w:hAnsi="Arial Narrow" w:cstheme="majorBidi"/>
                <w:bCs/>
                <w:sz w:val="20"/>
              </w:rPr>
              <w:t>1.35</w:t>
            </w:r>
          </w:p>
        </w:tc>
        <w:tc>
          <w:tcPr>
            <w:tcW w:w="865" w:type="pct"/>
          </w:tcPr>
          <w:p w14:paraId="4D297363" w14:textId="2D0B26AA" w:rsidR="008975CB" w:rsidRPr="00766AE0" w:rsidRDefault="00A268DC" w:rsidP="00360107">
            <w:pPr>
              <w:jc w:val="center"/>
              <w:rPr>
                <w:rFonts w:ascii="Arial Narrow" w:eastAsiaTheme="majorEastAsia" w:hAnsi="Arial Narrow" w:cstheme="majorBidi"/>
                <w:bCs/>
                <w:sz w:val="20"/>
              </w:rPr>
            </w:pPr>
            <w:r w:rsidRPr="00A268DC">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321D42" w:rsidRPr="00321D42">
              <w:rPr>
                <w:rFonts w:ascii="Arial Narrow" w:eastAsiaTheme="majorEastAsia" w:hAnsi="Arial Narrow" w:cstheme="majorBidi"/>
                <w:b/>
                <w:sz w:val="20"/>
                <w:vertAlign w:val="superscript"/>
              </w:rPr>
              <w:t>1</w:t>
            </w:r>
          </w:p>
        </w:tc>
        <w:tc>
          <w:tcPr>
            <w:tcW w:w="836" w:type="pct"/>
          </w:tcPr>
          <w:p w14:paraId="4A3C8CFB" w14:textId="39D0079F" w:rsidR="008975CB" w:rsidRPr="00766AE0" w:rsidRDefault="008975CB" w:rsidP="00360107">
            <w:pPr>
              <w:jc w:val="center"/>
              <w:rPr>
                <w:rFonts w:ascii="Arial Narrow" w:eastAsiaTheme="majorEastAsia" w:hAnsi="Arial Narrow" w:cstheme="majorBidi"/>
                <w:bCs/>
                <w:sz w:val="20"/>
              </w:rPr>
            </w:pPr>
            <w:r w:rsidRPr="00766AE0">
              <w:rPr>
                <w:rFonts w:ascii="Arial Narrow" w:eastAsiaTheme="majorEastAsia" w:hAnsi="Arial Narrow" w:cstheme="majorBidi"/>
                <w:bCs/>
                <w:sz w:val="20"/>
              </w:rPr>
              <w:t>+</w:t>
            </w:r>
            <w:r w:rsidR="00A268DC" w:rsidRPr="00C0236C">
              <w:rPr>
                <w:rFonts w:ascii="Arial Narrow" w:eastAsiaTheme="majorEastAsia" w:hAnsi="Arial Narrow" w:cstheme="majorBidi" w:hint="eastAsia"/>
                <w:bCs/>
                <w:color w:val="000000"/>
                <w:w w:val="15"/>
                <w:sz w:val="20"/>
                <w:shd w:val="solid" w:color="000000" w:fill="000000"/>
                <w:fitText w:val="20" w:id="-694973681"/>
                <w14:textFill>
                  <w14:solidFill>
                    <w14:srgbClr w14:val="000000">
                      <w14:alpha w14:val="100000"/>
                    </w14:srgbClr>
                  </w14:solidFill>
                </w14:textFill>
              </w:rPr>
              <w:t xml:space="preserve">　</w:t>
            </w:r>
            <w:r w:rsidR="00A268DC" w:rsidRPr="00C0236C">
              <w:rPr>
                <w:rFonts w:ascii="Arial Narrow" w:eastAsiaTheme="majorEastAsia" w:hAnsi="Arial Narrow" w:cstheme="majorBidi"/>
                <w:bCs/>
                <w:color w:val="000000"/>
                <w:w w:val="15"/>
                <w:sz w:val="20"/>
                <w:shd w:val="solid" w:color="000000" w:fill="000000"/>
                <w:fitText w:val="20" w:id="-694973681"/>
                <w14:textFill>
                  <w14:solidFill>
                    <w14:srgbClr w14:val="000000">
                      <w14:alpha w14:val="100000"/>
                    </w14:srgbClr>
                  </w14:solidFill>
                </w14:textFill>
              </w:rPr>
              <w:t>|</w:t>
            </w:r>
            <w:r w:rsidR="00A268DC" w:rsidRPr="00C0236C">
              <w:rPr>
                <w:rFonts w:ascii="Arial Narrow" w:eastAsiaTheme="majorEastAsia" w:hAnsi="Arial Narrow" w:cstheme="majorBidi" w:hint="eastAsia"/>
                <w:bCs/>
                <w:color w:val="000000"/>
                <w:spacing w:val="-46"/>
                <w:w w:val="15"/>
                <w:sz w:val="20"/>
                <w:shd w:val="solid" w:color="000000" w:fill="000000"/>
                <w:fitText w:val="20" w:id="-694973681"/>
                <w14:textFill>
                  <w14:solidFill>
                    <w14:srgbClr w14:val="000000">
                      <w14:alpha w14:val="100000"/>
                    </w14:srgbClr>
                  </w14:solidFill>
                </w14:textFill>
              </w:rPr>
              <w:t xml:space="preserve">　</w:t>
            </w:r>
            <w:r w:rsidRPr="00766AE0">
              <w:rPr>
                <w:rFonts w:ascii="Arial Narrow" w:eastAsiaTheme="majorEastAsia" w:hAnsi="Arial Narrow" w:cstheme="majorBidi"/>
                <w:bCs/>
                <w:sz w:val="20"/>
              </w:rPr>
              <w:t>%</w:t>
            </w:r>
          </w:p>
        </w:tc>
      </w:tr>
      <w:tr w:rsidR="008975CB" w:rsidRPr="008975CB" w14:paraId="6A3339A4" w14:textId="77777777" w:rsidTr="0910F2D2">
        <w:tc>
          <w:tcPr>
            <w:tcW w:w="5000" w:type="pct"/>
            <w:gridSpan w:val="5"/>
          </w:tcPr>
          <w:p w14:paraId="6E205A40" w14:textId="77777777" w:rsidR="008975CB" w:rsidRPr="00766AE0" w:rsidRDefault="008975CB" w:rsidP="0910F2D2">
            <w:pPr>
              <w:jc w:val="left"/>
              <w:rPr>
                <w:rFonts w:ascii="Arial Narrow" w:eastAsiaTheme="majorEastAsia" w:hAnsi="Arial Narrow" w:cstheme="majorBidi"/>
                <w:b/>
                <w:bCs/>
                <w:sz w:val="20"/>
                <w:szCs w:val="20"/>
              </w:rPr>
            </w:pPr>
            <w:r w:rsidRPr="0910F2D2">
              <w:rPr>
                <w:rFonts w:ascii="Arial Narrow" w:eastAsiaTheme="majorEastAsia" w:hAnsi="Arial Narrow" w:cstheme="majorBidi"/>
                <w:b/>
                <w:bCs/>
                <w:sz w:val="20"/>
                <w:szCs w:val="20"/>
              </w:rPr>
              <w:t>Pre progression utility (base case ruxolitinib 0.821, BAT 0.743)</w:t>
            </w:r>
          </w:p>
        </w:tc>
      </w:tr>
      <w:tr w:rsidR="008975CB" w:rsidRPr="008975CB" w14:paraId="5DAD13FB" w14:textId="77777777" w:rsidTr="00A268DC">
        <w:tc>
          <w:tcPr>
            <w:tcW w:w="1491" w:type="pct"/>
          </w:tcPr>
          <w:p w14:paraId="4A37341A" w14:textId="35ABE64E" w:rsidR="008975CB" w:rsidRPr="00766AE0" w:rsidRDefault="00F87B86" w:rsidP="00360107">
            <w:pPr>
              <w:jc w:val="left"/>
              <w:rPr>
                <w:rFonts w:ascii="Arial Narrow" w:eastAsiaTheme="majorEastAsia" w:hAnsi="Arial Narrow" w:cs="Times New Roman"/>
                <w:snapToGrid w:val="0"/>
                <w:sz w:val="20"/>
              </w:rPr>
            </w:pPr>
            <w:r>
              <w:rPr>
                <w:rFonts w:ascii="Arial Narrow" w:eastAsiaTheme="majorEastAsia" w:hAnsi="Arial Narrow" w:cs="Times New Roman"/>
                <w:snapToGrid w:val="0"/>
                <w:sz w:val="20"/>
              </w:rPr>
              <w:t xml:space="preserve"> </w:t>
            </w:r>
            <w:r w:rsidR="008975CB" w:rsidRPr="00766AE0">
              <w:rPr>
                <w:rFonts w:ascii="Arial Narrow" w:eastAsiaTheme="majorEastAsia" w:hAnsi="Arial Narrow" w:cs="Times New Roman"/>
                <w:snapToGrid w:val="0"/>
                <w:sz w:val="20"/>
              </w:rPr>
              <w:t xml:space="preserve">Utility equal (0.821) </w:t>
            </w:r>
          </w:p>
        </w:tc>
        <w:tc>
          <w:tcPr>
            <w:tcW w:w="944" w:type="pct"/>
            <w:tcBorders>
              <w:bottom w:val="single" w:sz="4" w:space="0" w:color="auto"/>
            </w:tcBorders>
            <w:shd w:val="solid" w:color="000000" w:fill="000000"/>
          </w:tcPr>
          <w:p w14:paraId="42D69606" w14:textId="1C28DDF4" w:rsidR="008975CB" w:rsidRPr="00262BA4" w:rsidRDefault="00A268DC" w:rsidP="00360107">
            <w:pPr>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bCs/>
                <w:color w:val="000000"/>
                <w:sz w:val="20"/>
                <w14:textFill>
                  <w14:solidFill>
                    <w14:srgbClr w14:val="000000">
                      <w14:alpha w14:val="100000"/>
                    </w14:srgbClr>
                  </w14:solidFill>
                </w14:textFill>
              </w:rPr>
              <w:t>|</w:t>
            </w:r>
          </w:p>
        </w:tc>
        <w:tc>
          <w:tcPr>
            <w:tcW w:w="864" w:type="pct"/>
          </w:tcPr>
          <w:p w14:paraId="3D463015" w14:textId="77777777" w:rsidR="008975CB" w:rsidRPr="00766AE0" w:rsidRDefault="008975CB" w:rsidP="00360107">
            <w:pPr>
              <w:jc w:val="center"/>
              <w:rPr>
                <w:rFonts w:ascii="Arial Narrow" w:eastAsiaTheme="majorEastAsia" w:hAnsi="Arial Narrow" w:cstheme="majorBidi"/>
                <w:bCs/>
                <w:sz w:val="20"/>
              </w:rPr>
            </w:pPr>
            <w:r w:rsidRPr="00766AE0">
              <w:rPr>
                <w:rFonts w:ascii="Arial Narrow" w:eastAsiaTheme="majorEastAsia" w:hAnsi="Arial Narrow" w:cstheme="majorBidi"/>
                <w:bCs/>
                <w:sz w:val="20"/>
              </w:rPr>
              <w:t>1.13</w:t>
            </w:r>
          </w:p>
        </w:tc>
        <w:tc>
          <w:tcPr>
            <w:tcW w:w="865" w:type="pct"/>
          </w:tcPr>
          <w:p w14:paraId="48AF6F8B" w14:textId="5FEAF512" w:rsidR="008975CB" w:rsidRPr="00262BA4" w:rsidRDefault="00A268DC" w:rsidP="00360107">
            <w:pPr>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3078A0" w:rsidRPr="003078A0">
              <w:rPr>
                <w:rFonts w:ascii="Arial Narrow" w:eastAsiaTheme="majorEastAsia" w:hAnsi="Arial Narrow" w:cstheme="majorBidi"/>
                <w:bCs/>
                <w:sz w:val="20"/>
                <w:vertAlign w:val="superscript"/>
              </w:rPr>
              <w:t>4</w:t>
            </w:r>
          </w:p>
        </w:tc>
        <w:tc>
          <w:tcPr>
            <w:tcW w:w="836" w:type="pct"/>
          </w:tcPr>
          <w:p w14:paraId="0D570024" w14:textId="24859874" w:rsidR="008975CB" w:rsidRPr="00766AE0" w:rsidRDefault="008975CB" w:rsidP="00360107">
            <w:pPr>
              <w:jc w:val="center"/>
              <w:rPr>
                <w:rFonts w:ascii="Arial Narrow" w:eastAsiaTheme="majorEastAsia" w:hAnsi="Arial Narrow" w:cstheme="majorBidi"/>
                <w:bCs/>
                <w:sz w:val="20"/>
              </w:rPr>
            </w:pPr>
            <w:r w:rsidRPr="00766AE0">
              <w:rPr>
                <w:rFonts w:ascii="Arial Narrow" w:eastAsiaTheme="majorEastAsia" w:hAnsi="Arial Narrow" w:cstheme="majorBidi"/>
                <w:bCs/>
                <w:sz w:val="20"/>
              </w:rPr>
              <w:t>+</w:t>
            </w:r>
            <w:r w:rsidR="00A268DC" w:rsidRPr="00C0236C">
              <w:rPr>
                <w:rFonts w:ascii="Arial Narrow" w:eastAsiaTheme="majorEastAsia" w:hAnsi="Arial Narrow" w:cstheme="majorBidi" w:hint="eastAsia"/>
                <w:bCs/>
                <w:color w:val="000000"/>
                <w:w w:val="15"/>
                <w:sz w:val="20"/>
                <w:shd w:val="solid" w:color="000000" w:fill="000000"/>
                <w:fitText w:val="20" w:id="-694973680"/>
                <w14:textFill>
                  <w14:solidFill>
                    <w14:srgbClr w14:val="000000">
                      <w14:alpha w14:val="100000"/>
                    </w14:srgbClr>
                  </w14:solidFill>
                </w14:textFill>
              </w:rPr>
              <w:t xml:space="preserve">　</w:t>
            </w:r>
            <w:r w:rsidR="00A268DC" w:rsidRPr="00C0236C">
              <w:rPr>
                <w:rFonts w:ascii="Arial Narrow" w:eastAsiaTheme="majorEastAsia" w:hAnsi="Arial Narrow" w:cstheme="majorBidi"/>
                <w:bCs/>
                <w:color w:val="000000"/>
                <w:w w:val="15"/>
                <w:sz w:val="20"/>
                <w:shd w:val="solid" w:color="000000" w:fill="000000"/>
                <w:fitText w:val="20" w:id="-694973680"/>
                <w14:textFill>
                  <w14:solidFill>
                    <w14:srgbClr w14:val="000000">
                      <w14:alpha w14:val="100000"/>
                    </w14:srgbClr>
                  </w14:solidFill>
                </w14:textFill>
              </w:rPr>
              <w:t>|</w:t>
            </w:r>
            <w:r w:rsidR="00A268DC" w:rsidRPr="00C0236C">
              <w:rPr>
                <w:rFonts w:ascii="Arial Narrow" w:eastAsiaTheme="majorEastAsia" w:hAnsi="Arial Narrow" w:cstheme="majorBidi" w:hint="eastAsia"/>
                <w:bCs/>
                <w:color w:val="000000"/>
                <w:spacing w:val="-46"/>
                <w:w w:val="15"/>
                <w:sz w:val="20"/>
                <w:shd w:val="solid" w:color="000000" w:fill="000000"/>
                <w:fitText w:val="20" w:id="-694973680"/>
                <w14:textFill>
                  <w14:solidFill>
                    <w14:srgbClr w14:val="000000">
                      <w14:alpha w14:val="100000"/>
                    </w14:srgbClr>
                  </w14:solidFill>
                </w14:textFill>
              </w:rPr>
              <w:t xml:space="preserve">　</w:t>
            </w:r>
            <w:r w:rsidRPr="00766AE0">
              <w:rPr>
                <w:rFonts w:ascii="Arial Narrow" w:eastAsiaTheme="majorEastAsia" w:hAnsi="Arial Narrow" w:cstheme="majorBidi"/>
                <w:bCs/>
                <w:sz w:val="20"/>
              </w:rPr>
              <w:t>%</w:t>
            </w:r>
          </w:p>
        </w:tc>
      </w:tr>
      <w:tr w:rsidR="008975CB" w:rsidRPr="008975CB" w14:paraId="79C87A0B" w14:textId="77777777" w:rsidTr="00A268DC">
        <w:tc>
          <w:tcPr>
            <w:tcW w:w="1491" w:type="pct"/>
          </w:tcPr>
          <w:p w14:paraId="53E47925" w14:textId="3D453345" w:rsidR="008975CB" w:rsidRPr="00766AE0" w:rsidRDefault="00F87B86" w:rsidP="00360107">
            <w:pPr>
              <w:jc w:val="left"/>
              <w:rPr>
                <w:rFonts w:ascii="Arial Narrow" w:eastAsiaTheme="majorEastAsia" w:hAnsi="Arial Narrow" w:cs="Times New Roman"/>
                <w:snapToGrid w:val="0"/>
                <w:sz w:val="20"/>
              </w:rPr>
            </w:pPr>
            <w:r>
              <w:rPr>
                <w:rFonts w:ascii="Arial Narrow" w:eastAsiaTheme="majorEastAsia" w:hAnsi="Arial Narrow" w:cs="Times New Roman"/>
                <w:snapToGrid w:val="0"/>
                <w:sz w:val="20"/>
              </w:rPr>
              <w:t xml:space="preserve"> </w:t>
            </w:r>
            <w:r w:rsidR="008975CB" w:rsidRPr="00766AE0">
              <w:rPr>
                <w:rFonts w:ascii="Arial Narrow" w:eastAsiaTheme="majorEastAsia" w:hAnsi="Arial Narrow" w:cs="Times New Roman"/>
                <w:snapToGrid w:val="0"/>
                <w:sz w:val="20"/>
              </w:rPr>
              <w:t>Utility equal (0.743)</w:t>
            </w:r>
          </w:p>
        </w:tc>
        <w:tc>
          <w:tcPr>
            <w:tcW w:w="944" w:type="pct"/>
            <w:tcBorders>
              <w:bottom w:val="single" w:sz="4" w:space="0" w:color="auto"/>
            </w:tcBorders>
            <w:shd w:val="solid" w:color="000000" w:fill="000000"/>
          </w:tcPr>
          <w:p w14:paraId="7F086F08" w14:textId="2F77603E" w:rsidR="008975CB" w:rsidRPr="00262BA4" w:rsidRDefault="00A268DC" w:rsidP="00360107">
            <w:pPr>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bCs/>
                <w:color w:val="000000"/>
                <w:sz w:val="20"/>
                <w14:textFill>
                  <w14:solidFill>
                    <w14:srgbClr w14:val="000000">
                      <w14:alpha w14:val="100000"/>
                    </w14:srgbClr>
                  </w14:solidFill>
                </w14:textFill>
              </w:rPr>
              <w:t>|</w:t>
            </w:r>
          </w:p>
        </w:tc>
        <w:tc>
          <w:tcPr>
            <w:tcW w:w="864" w:type="pct"/>
          </w:tcPr>
          <w:p w14:paraId="01988A02" w14:textId="77777777" w:rsidR="008975CB" w:rsidRPr="00766AE0" w:rsidRDefault="008975CB" w:rsidP="00360107">
            <w:pPr>
              <w:jc w:val="center"/>
              <w:rPr>
                <w:rFonts w:ascii="Arial Narrow" w:eastAsiaTheme="majorEastAsia" w:hAnsi="Arial Narrow" w:cstheme="majorBidi"/>
                <w:bCs/>
                <w:sz w:val="20"/>
              </w:rPr>
            </w:pPr>
            <w:r w:rsidRPr="00766AE0">
              <w:rPr>
                <w:rFonts w:ascii="Arial Narrow" w:eastAsiaTheme="majorEastAsia" w:hAnsi="Arial Narrow" w:cstheme="majorBidi"/>
                <w:bCs/>
                <w:sz w:val="20"/>
              </w:rPr>
              <w:t>1.00</w:t>
            </w:r>
          </w:p>
        </w:tc>
        <w:tc>
          <w:tcPr>
            <w:tcW w:w="865" w:type="pct"/>
          </w:tcPr>
          <w:p w14:paraId="53F32B31" w14:textId="7039F1E0" w:rsidR="008975CB" w:rsidRPr="00262BA4" w:rsidRDefault="00A268DC" w:rsidP="00360107">
            <w:pPr>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3078A0" w:rsidRPr="003078A0">
              <w:rPr>
                <w:rFonts w:ascii="Arial Narrow" w:eastAsiaTheme="majorEastAsia" w:hAnsi="Arial Narrow" w:cstheme="majorBidi"/>
                <w:bCs/>
                <w:sz w:val="20"/>
                <w:vertAlign w:val="superscript"/>
              </w:rPr>
              <w:t>4</w:t>
            </w:r>
          </w:p>
        </w:tc>
        <w:tc>
          <w:tcPr>
            <w:tcW w:w="836" w:type="pct"/>
          </w:tcPr>
          <w:p w14:paraId="32CCE70C" w14:textId="6BF748E8" w:rsidR="008975CB" w:rsidRPr="00766AE0" w:rsidRDefault="008975CB" w:rsidP="00360107">
            <w:pPr>
              <w:jc w:val="center"/>
              <w:rPr>
                <w:rFonts w:ascii="Arial Narrow" w:eastAsiaTheme="majorEastAsia" w:hAnsi="Arial Narrow" w:cstheme="majorBidi"/>
                <w:bCs/>
                <w:sz w:val="20"/>
              </w:rPr>
            </w:pPr>
            <w:r w:rsidRPr="00766AE0">
              <w:rPr>
                <w:rFonts w:ascii="Arial Narrow" w:eastAsiaTheme="majorEastAsia" w:hAnsi="Arial Narrow" w:cstheme="majorBidi"/>
                <w:bCs/>
                <w:sz w:val="20"/>
              </w:rPr>
              <w:t>+</w:t>
            </w:r>
            <w:r w:rsidR="00A268DC" w:rsidRPr="00C0236C">
              <w:rPr>
                <w:rFonts w:ascii="Arial Narrow" w:eastAsiaTheme="majorEastAsia" w:hAnsi="Arial Narrow" w:cstheme="majorBidi" w:hint="eastAsia"/>
                <w:bCs/>
                <w:color w:val="000000"/>
                <w:w w:val="15"/>
                <w:sz w:val="20"/>
                <w:shd w:val="solid" w:color="000000" w:fill="000000"/>
                <w:fitText w:val="20" w:id="-694973696"/>
                <w14:textFill>
                  <w14:solidFill>
                    <w14:srgbClr w14:val="000000">
                      <w14:alpha w14:val="100000"/>
                    </w14:srgbClr>
                  </w14:solidFill>
                </w14:textFill>
              </w:rPr>
              <w:t xml:space="preserve">　</w:t>
            </w:r>
            <w:r w:rsidR="00A268DC" w:rsidRPr="00C0236C">
              <w:rPr>
                <w:rFonts w:ascii="Arial Narrow" w:eastAsiaTheme="majorEastAsia" w:hAnsi="Arial Narrow" w:cstheme="majorBidi"/>
                <w:bCs/>
                <w:color w:val="000000"/>
                <w:w w:val="15"/>
                <w:sz w:val="20"/>
                <w:shd w:val="solid" w:color="000000" w:fill="000000"/>
                <w:fitText w:val="20" w:id="-694973696"/>
                <w14:textFill>
                  <w14:solidFill>
                    <w14:srgbClr w14:val="000000">
                      <w14:alpha w14:val="100000"/>
                    </w14:srgbClr>
                  </w14:solidFill>
                </w14:textFill>
              </w:rPr>
              <w:t>|</w:t>
            </w:r>
            <w:r w:rsidR="00A268DC" w:rsidRPr="00C0236C">
              <w:rPr>
                <w:rFonts w:ascii="Arial Narrow" w:eastAsiaTheme="majorEastAsia" w:hAnsi="Arial Narrow" w:cstheme="majorBidi" w:hint="eastAsia"/>
                <w:bCs/>
                <w:color w:val="000000"/>
                <w:spacing w:val="-46"/>
                <w:w w:val="15"/>
                <w:sz w:val="20"/>
                <w:shd w:val="solid" w:color="000000" w:fill="000000"/>
                <w:fitText w:val="20" w:id="-694973696"/>
                <w14:textFill>
                  <w14:solidFill>
                    <w14:srgbClr w14:val="000000">
                      <w14:alpha w14:val="100000"/>
                    </w14:srgbClr>
                  </w14:solidFill>
                </w14:textFill>
              </w:rPr>
              <w:t xml:space="preserve">　</w:t>
            </w:r>
            <w:r w:rsidRPr="00766AE0">
              <w:rPr>
                <w:rFonts w:ascii="Arial Narrow" w:eastAsiaTheme="majorEastAsia" w:hAnsi="Arial Narrow" w:cstheme="majorBidi"/>
                <w:bCs/>
                <w:sz w:val="20"/>
              </w:rPr>
              <w:t>%</w:t>
            </w:r>
          </w:p>
        </w:tc>
      </w:tr>
      <w:tr w:rsidR="008975CB" w:rsidRPr="008975CB" w14:paraId="10796DBE" w14:textId="77777777" w:rsidTr="00A268DC">
        <w:tc>
          <w:tcPr>
            <w:tcW w:w="1491" w:type="pct"/>
          </w:tcPr>
          <w:p w14:paraId="1AFEEB2A" w14:textId="24A39AD7" w:rsidR="008975CB" w:rsidRPr="00766AE0" w:rsidRDefault="00F87B86" w:rsidP="00360107">
            <w:pPr>
              <w:jc w:val="left"/>
              <w:rPr>
                <w:rFonts w:ascii="Arial Narrow" w:eastAsiaTheme="majorEastAsia" w:hAnsi="Arial Narrow" w:cs="Times New Roman"/>
                <w:snapToGrid w:val="0"/>
                <w:sz w:val="20"/>
              </w:rPr>
            </w:pPr>
            <w:r>
              <w:rPr>
                <w:rFonts w:ascii="Arial Narrow" w:eastAsiaTheme="majorEastAsia" w:hAnsi="Arial Narrow" w:cs="Times New Roman"/>
                <w:snapToGrid w:val="0"/>
                <w:sz w:val="20"/>
              </w:rPr>
              <w:t xml:space="preserve"> </w:t>
            </w:r>
            <w:r w:rsidR="008975CB" w:rsidRPr="00766AE0">
              <w:rPr>
                <w:rFonts w:ascii="Arial Narrow" w:eastAsiaTheme="majorEastAsia" w:hAnsi="Arial Narrow" w:cs="Times New Roman"/>
                <w:snapToGrid w:val="0"/>
                <w:sz w:val="20"/>
              </w:rPr>
              <w:t>Utilities from Response</w:t>
            </w:r>
          </w:p>
        </w:tc>
        <w:tc>
          <w:tcPr>
            <w:tcW w:w="944" w:type="pct"/>
            <w:shd w:val="solid" w:color="000000" w:fill="000000"/>
          </w:tcPr>
          <w:p w14:paraId="409064C7" w14:textId="1F27BA51" w:rsidR="008975CB" w:rsidRPr="00262BA4" w:rsidRDefault="00A268DC" w:rsidP="00360107">
            <w:pPr>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bCs/>
                <w:color w:val="000000"/>
                <w:sz w:val="20"/>
                <w14:textFill>
                  <w14:solidFill>
                    <w14:srgbClr w14:val="000000">
                      <w14:alpha w14:val="100000"/>
                    </w14:srgbClr>
                  </w14:solidFill>
                </w14:textFill>
              </w:rPr>
              <w:t>|</w:t>
            </w:r>
          </w:p>
        </w:tc>
        <w:tc>
          <w:tcPr>
            <w:tcW w:w="864" w:type="pct"/>
          </w:tcPr>
          <w:p w14:paraId="7E76FACF" w14:textId="77777777" w:rsidR="008975CB" w:rsidRPr="00766AE0" w:rsidRDefault="008975CB" w:rsidP="00360107">
            <w:pPr>
              <w:jc w:val="center"/>
              <w:rPr>
                <w:rFonts w:ascii="Arial Narrow" w:eastAsiaTheme="majorEastAsia" w:hAnsi="Arial Narrow" w:cstheme="majorBidi"/>
                <w:bCs/>
                <w:sz w:val="20"/>
              </w:rPr>
            </w:pPr>
            <w:r w:rsidRPr="00766AE0">
              <w:rPr>
                <w:rFonts w:ascii="Arial Narrow" w:eastAsiaTheme="majorEastAsia" w:hAnsi="Arial Narrow" w:cstheme="majorBidi"/>
                <w:bCs/>
                <w:sz w:val="20"/>
              </w:rPr>
              <w:t>1.86</w:t>
            </w:r>
          </w:p>
        </w:tc>
        <w:tc>
          <w:tcPr>
            <w:tcW w:w="865" w:type="pct"/>
          </w:tcPr>
          <w:p w14:paraId="3580D335" w14:textId="62378493" w:rsidR="008975CB" w:rsidRPr="00262BA4" w:rsidRDefault="00A268DC" w:rsidP="00360107">
            <w:pPr>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BC051F" w:rsidRPr="00374A0B">
              <w:rPr>
                <w:rFonts w:ascii="Arial Narrow" w:eastAsiaTheme="majorEastAsia" w:hAnsi="Arial Narrow" w:cstheme="majorBidi"/>
                <w:bCs/>
                <w:sz w:val="20"/>
                <w:vertAlign w:val="superscript"/>
              </w:rPr>
              <w:t>2</w:t>
            </w:r>
          </w:p>
        </w:tc>
        <w:tc>
          <w:tcPr>
            <w:tcW w:w="836" w:type="pct"/>
          </w:tcPr>
          <w:p w14:paraId="2A336369" w14:textId="4E585E0B" w:rsidR="008975CB" w:rsidRPr="00766AE0" w:rsidRDefault="008975CB" w:rsidP="00360107">
            <w:pPr>
              <w:jc w:val="center"/>
              <w:rPr>
                <w:rFonts w:ascii="Arial Narrow" w:eastAsiaTheme="majorEastAsia" w:hAnsi="Arial Narrow" w:cstheme="majorBidi"/>
                <w:bCs/>
                <w:sz w:val="20"/>
              </w:rPr>
            </w:pPr>
            <w:r w:rsidRPr="00766AE0">
              <w:rPr>
                <w:rFonts w:ascii="Arial Narrow" w:eastAsiaTheme="majorEastAsia" w:hAnsi="Arial Narrow" w:cstheme="majorBidi"/>
                <w:bCs/>
                <w:sz w:val="20"/>
              </w:rPr>
              <w:t>-</w:t>
            </w:r>
            <w:r w:rsidR="00A268DC" w:rsidRPr="00A268DC">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Pr="00766AE0">
              <w:rPr>
                <w:rFonts w:ascii="Arial Narrow" w:eastAsiaTheme="majorEastAsia" w:hAnsi="Arial Narrow" w:cstheme="majorBidi"/>
                <w:bCs/>
                <w:sz w:val="20"/>
              </w:rPr>
              <w:t>%</w:t>
            </w:r>
          </w:p>
        </w:tc>
      </w:tr>
      <w:tr w:rsidR="008975CB" w:rsidRPr="008975CB" w14:paraId="7DABCE53" w14:textId="77777777" w:rsidTr="0910F2D2">
        <w:tc>
          <w:tcPr>
            <w:tcW w:w="5000" w:type="pct"/>
            <w:gridSpan w:val="5"/>
          </w:tcPr>
          <w:p w14:paraId="1D73C726" w14:textId="77777777" w:rsidR="008975CB" w:rsidRPr="00766AE0" w:rsidRDefault="008975CB" w:rsidP="00360107">
            <w:pPr>
              <w:jc w:val="left"/>
              <w:rPr>
                <w:rFonts w:ascii="Arial Narrow" w:eastAsiaTheme="majorEastAsia" w:hAnsi="Arial Narrow" w:cstheme="majorBidi"/>
                <w:b/>
                <w:sz w:val="20"/>
              </w:rPr>
            </w:pPr>
            <w:r w:rsidRPr="00766AE0">
              <w:rPr>
                <w:rFonts w:ascii="Arial Narrow" w:eastAsiaTheme="majorEastAsia" w:hAnsi="Arial Narrow" w:cstheme="majorBidi"/>
                <w:b/>
                <w:sz w:val="20"/>
              </w:rPr>
              <w:t>Mortality rate</w:t>
            </w:r>
          </w:p>
        </w:tc>
      </w:tr>
      <w:tr w:rsidR="008975CB" w:rsidRPr="008975CB" w14:paraId="32F89CCA" w14:textId="77777777" w:rsidTr="00A268DC">
        <w:tc>
          <w:tcPr>
            <w:tcW w:w="1491" w:type="pct"/>
          </w:tcPr>
          <w:p w14:paraId="431737F8" w14:textId="2FEF47CA" w:rsidR="008975CB" w:rsidRPr="00766AE0" w:rsidRDefault="00F87B86" w:rsidP="00360107">
            <w:pPr>
              <w:jc w:val="left"/>
              <w:rPr>
                <w:rFonts w:ascii="Arial Narrow" w:eastAsiaTheme="majorEastAsia" w:hAnsi="Arial Narrow" w:cs="Times New Roman"/>
                <w:snapToGrid w:val="0"/>
                <w:sz w:val="20"/>
              </w:rPr>
            </w:pPr>
            <w:r>
              <w:rPr>
                <w:rFonts w:ascii="Arial Narrow" w:eastAsiaTheme="majorEastAsia" w:hAnsi="Arial Narrow" w:cs="Times New Roman"/>
                <w:snapToGrid w:val="0"/>
                <w:sz w:val="20"/>
              </w:rPr>
              <w:t xml:space="preserve"> </w:t>
            </w:r>
            <w:r w:rsidR="008975CB" w:rsidRPr="00766AE0">
              <w:rPr>
                <w:rFonts w:ascii="Arial Narrow" w:eastAsiaTheme="majorEastAsia" w:hAnsi="Arial Narrow" w:cs="Times New Roman"/>
                <w:snapToGrid w:val="0"/>
                <w:sz w:val="20"/>
              </w:rPr>
              <w:t>Intermediate between</w:t>
            </w:r>
            <w:r w:rsidR="00282D3A">
              <w:rPr>
                <w:rFonts w:ascii="Arial Narrow" w:eastAsiaTheme="majorEastAsia" w:hAnsi="Arial Narrow" w:cs="Times New Roman"/>
                <w:snapToGrid w:val="0"/>
                <w:sz w:val="20"/>
              </w:rPr>
              <w:br/>
            </w:r>
            <w:r>
              <w:rPr>
                <w:rFonts w:ascii="Arial Narrow" w:eastAsiaTheme="majorEastAsia" w:hAnsi="Arial Narrow" w:cs="Times New Roman"/>
                <w:snapToGrid w:val="0"/>
                <w:sz w:val="20"/>
              </w:rPr>
              <w:t xml:space="preserve"> </w:t>
            </w:r>
            <w:r w:rsidR="008975CB" w:rsidRPr="00766AE0">
              <w:rPr>
                <w:rFonts w:ascii="Arial Narrow" w:eastAsiaTheme="majorEastAsia" w:hAnsi="Arial Narrow" w:cs="Times New Roman"/>
                <w:snapToGrid w:val="0"/>
                <w:sz w:val="20"/>
              </w:rPr>
              <w:t>MAJIC and general</w:t>
            </w:r>
          </w:p>
          <w:p w14:paraId="6CCAFBA2" w14:textId="20F45D4A" w:rsidR="008975CB" w:rsidRPr="00766AE0" w:rsidRDefault="00F87B86" w:rsidP="00360107">
            <w:pPr>
              <w:jc w:val="left"/>
              <w:rPr>
                <w:rFonts w:ascii="Arial Narrow" w:eastAsiaTheme="majorEastAsia" w:hAnsi="Arial Narrow" w:cs="Times New Roman"/>
                <w:snapToGrid w:val="0"/>
                <w:sz w:val="20"/>
              </w:rPr>
            </w:pPr>
            <w:r>
              <w:rPr>
                <w:rFonts w:ascii="Arial Narrow" w:eastAsiaTheme="majorEastAsia" w:hAnsi="Arial Narrow" w:cs="Times New Roman"/>
                <w:snapToGrid w:val="0"/>
                <w:sz w:val="20"/>
              </w:rPr>
              <w:t xml:space="preserve"> </w:t>
            </w:r>
            <w:r w:rsidR="008975CB" w:rsidRPr="00766AE0">
              <w:rPr>
                <w:rFonts w:ascii="Arial Narrow" w:eastAsiaTheme="majorEastAsia" w:hAnsi="Arial Narrow" w:cs="Times New Roman"/>
                <w:snapToGrid w:val="0"/>
                <w:sz w:val="20"/>
              </w:rPr>
              <w:t>population</w:t>
            </w:r>
          </w:p>
        </w:tc>
        <w:tc>
          <w:tcPr>
            <w:tcW w:w="944" w:type="pct"/>
            <w:shd w:val="solid" w:color="000000" w:fill="000000"/>
          </w:tcPr>
          <w:p w14:paraId="42246E30" w14:textId="3D51BA50" w:rsidR="008975CB" w:rsidRPr="00766AE0" w:rsidRDefault="00A268DC" w:rsidP="00360107">
            <w:pPr>
              <w:jc w:val="center"/>
              <w:rPr>
                <w:rFonts w:ascii="Arial Narrow" w:eastAsiaTheme="majorEastAsia" w:hAnsi="Arial Narrow" w:cstheme="majorBidi"/>
                <w:bCs/>
                <w:sz w:val="20"/>
              </w:rPr>
            </w:pPr>
            <w:r w:rsidRPr="00A268DC">
              <w:rPr>
                <w:rFonts w:ascii="Arial Narrow" w:eastAsiaTheme="majorEastAsia" w:hAnsi="Arial Narrow" w:cstheme="majorBidi"/>
                <w:bCs/>
                <w:color w:val="000000"/>
                <w:sz w:val="20"/>
                <w14:textFill>
                  <w14:solidFill>
                    <w14:srgbClr w14:val="000000">
                      <w14:alpha w14:val="100000"/>
                    </w14:srgbClr>
                  </w14:solidFill>
                </w14:textFill>
              </w:rPr>
              <w:t>|</w:t>
            </w:r>
          </w:p>
        </w:tc>
        <w:tc>
          <w:tcPr>
            <w:tcW w:w="864" w:type="pct"/>
          </w:tcPr>
          <w:p w14:paraId="0AA3F67E" w14:textId="77777777" w:rsidR="008975CB" w:rsidRPr="00766AE0" w:rsidRDefault="008975CB" w:rsidP="00360107">
            <w:pPr>
              <w:jc w:val="center"/>
              <w:rPr>
                <w:rFonts w:ascii="Arial Narrow" w:eastAsiaTheme="majorEastAsia" w:hAnsi="Arial Narrow" w:cstheme="majorBidi"/>
                <w:bCs/>
                <w:sz w:val="20"/>
              </w:rPr>
            </w:pPr>
            <w:r w:rsidRPr="00766AE0">
              <w:rPr>
                <w:rFonts w:ascii="Arial Narrow" w:eastAsiaTheme="majorEastAsia" w:hAnsi="Arial Narrow" w:cstheme="majorBidi"/>
                <w:bCs/>
                <w:sz w:val="20"/>
              </w:rPr>
              <w:t>1.07</w:t>
            </w:r>
          </w:p>
        </w:tc>
        <w:tc>
          <w:tcPr>
            <w:tcW w:w="865" w:type="pct"/>
          </w:tcPr>
          <w:p w14:paraId="4F33E516" w14:textId="1D663D0B" w:rsidR="008975CB" w:rsidRPr="00766AE0" w:rsidRDefault="00A268DC" w:rsidP="00360107">
            <w:pPr>
              <w:jc w:val="center"/>
              <w:rPr>
                <w:rFonts w:ascii="Arial Narrow" w:eastAsiaTheme="majorEastAsia" w:hAnsi="Arial Narrow" w:cstheme="majorBidi"/>
                <w:bCs/>
                <w:sz w:val="20"/>
              </w:rPr>
            </w:pPr>
            <w:r w:rsidRPr="00A268DC">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3078A0" w:rsidRPr="003078A0">
              <w:rPr>
                <w:rFonts w:ascii="Arial Narrow" w:eastAsiaTheme="majorEastAsia" w:hAnsi="Arial Narrow" w:cstheme="majorBidi"/>
                <w:bCs/>
                <w:sz w:val="20"/>
                <w:vertAlign w:val="superscript"/>
              </w:rPr>
              <w:t>4</w:t>
            </w:r>
          </w:p>
        </w:tc>
        <w:tc>
          <w:tcPr>
            <w:tcW w:w="836" w:type="pct"/>
          </w:tcPr>
          <w:p w14:paraId="14E8685E" w14:textId="0CEFB50D" w:rsidR="008975CB" w:rsidRPr="00766AE0" w:rsidRDefault="008975CB" w:rsidP="00360107">
            <w:pPr>
              <w:jc w:val="center"/>
              <w:rPr>
                <w:rFonts w:ascii="Arial Narrow" w:eastAsiaTheme="majorEastAsia" w:hAnsi="Arial Narrow" w:cstheme="majorBidi"/>
                <w:bCs/>
                <w:sz w:val="20"/>
              </w:rPr>
            </w:pPr>
            <w:r w:rsidRPr="00766AE0">
              <w:rPr>
                <w:rFonts w:ascii="Arial Narrow" w:eastAsiaTheme="majorEastAsia" w:hAnsi="Arial Narrow" w:cstheme="majorBidi"/>
                <w:bCs/>
                <w:sz w:val="20"/>
              </w:rPr>
              <w:t>+</w:t>
            </w:r>
            <w:r w:rsidR="00A268DC" w:rsidRPr="00C0236C">
              <w:rPr>
                <w:rFonts w:ascii="Arial Narrow" w:eastAsiaTheme="majorEastAsia" w:hAnsi="Arial Narrow" w:cstheme="majorBidi" w:hint="eastAsia"/>
                <w:bCs/>
                <w:color w:val="000000"/>
                <w:w w:val="15"/>
                <w:sz w:val="20"/>
                <w:shd w:val="solid" w:color="000000" w:fill="000000"/>
                <w:fitText w:val="20" w:id="-694973695"/>
                <w14:textFill>
                  <w14:solidFill>
                    <w14:srgbClr w14:val="000000">
                      <w14:alpha w14:val="100000"/>
                    </w14:srgbClr>
                  </w14:solidFill>
                </w14:textFill>
              </w:rPr>
              <w:t xml:space="preserve">　</w:t>
            </w:r>
            <w:r w:rsidR="00A268DC" w:rsidRPr="00C0236C">
              <w:rPr>
                <w:rFonts w:ascii="Arial Narrow" w:eastAsiaTheme="majorEastAsia" w:hAnsi="Arial Narrow" w:cstheme="majorBidi"/>
                <w:bCs/>
                <w:color w:val="000000"/>
                <w:w w:val="15"/>
                <w:sz w:val="20"/>
                <w:shd w:val="solid" w:color="000000" w:fill="000000"/>
                <w:fitText w:val="20" w:id="-694973695"/>
                <w14:textFill>
                  <w14:solidFill>
                    <w14:srgbClr w14:val="000000">
                      <w14:alpha w14:val="100000"/>
                    </w14:srgbClr>
                  </w14:solidFill>
                </w14:textFill>
              </w:rPr>
              <w:t>|</w:t>
            </w:r>
            <w:r w:rsidR="00A268DC" w:rsidRPr="00C0236C">
              <w:rPr>
                <w:rFonts w:ascii="Arial Narrow" w:eastAsiaTheme="majorEastAsia" w:hAnsi="Arial Narrow" w:cstheme="majorBidi" w:hint="eastAsia"/>
                <w:bCs/>
                <w:color w:val="000000"/>
                <w:spacing w:val="-46"/>
                <w:w w:val="15"/>
                <w:sz w:val="20"/>
                <w:shd w:val="solid" w:color="000000" w:fill="000000"/>
                <w:fitText w:val="20" w:id="-694973695"/>
                <w14:textFill>
                  <w14:solidFill>
                    <w14:srgbClr w14:val="000000">
                      <w14:alpha w14:val="100000"/>
                    </w14:srgbClr>
                  </w14:solidFill>
                </w14:textFill>
              </w:rPr>
              <w:t xml:space="preserve">　</w:t>
            </w:r>
            <w:r w:rsidRPr="00766AE0">
              <w:rPr>
                <w:rFonts w:ascii="Arial Narrow" w:eastAsiaTheme="majorEastAsia" w:hAnsi="Arial Narrow" w:cstheme="majorBidi"/>
                <w:bCs/>
                <w:sz w:val="20"/>
              </w:rPr>
              <w:t>%</w:t>
            </w:r>
          </w:p>
        </w:tc>
      </w:tr>
      <w:tr w:rsidR="008975CB" w:rsidRPr="008975CB" w14:paraId="53DDA535" w14:textId="77777777" w:rsidTr="0910F2D2">
        <w:tc>
          <w:tcPr>
            <w:tcW w:w="5000" w:type="pct"/>
            <w:gridSpan w:val="5"/>
          </w:tcPr>
          <w:p w14:paraId="06A3C588" w14:textId="77777777" w:rsidR="008975CB" w:rsidRPr="00766AE0" w:rsidRDefault="008975CB" w:rsidP="00360107">
            <w:pPr>
              <w:jc w:val="left"/>
              <w:rPr>
                <w:rFonts w:ascii="Arial Narrow" w:eastAsiaTheme="majorEastAsia" w:hAnsi="Arial Narrow" w:cstheme="majorBidi"/>
                <w:b/>
                <w:sz w:val="20"/>
              </w:rPr>
            </w:pPr>
            <w:r w:rsidRPr="00766AE0">
              <w:rPr>
                <w:rFonts w:ascii="Arial Narrow" w:eastAsiaTheme="majorEastAsia" w:hAnsi="Arial Narrow" w:cstheme="majorBidi"/>
                <w:b/>
                <w:sz w:val="20"/>
              </w:rPr>
              <w:t>Adverse events</w:t>
            </w:r>
          </w:p>
        </w:tc>
      </w:tr>
      <w:tr w:rsidR="008975CB" w:rsidRPr="008975CB" w14:paraId="65EF19EC" w14:textId="77777777" w:rsidTr="00A268DC">
        <w:tc>
          <w:tcPr>
            <w:tcW w:w="1491" w:type="pct"/>
          </w:tcPr>
          <w:p w14:paraId="7917C1EF" w14:textId="2A0F7641" w:rsidR="008975CB" w:rsidRPr="00766AE0" w:rsidRDefault="00F87B86" w:rsidP="00360107">
            <w:pPr>
              <w:jc w:val="left"/>
              <w:rPr>
                <w:rFonts w:ascii="Arial Narrow" w:eastAsiaTheme="majorEastAsia" w:hAnsi="Arial Narrow" w:cs="Times New Roman"/>
                <w:snapToGrid w:val="0"/>
                <w:sz w:val="20"/>
              </w:rPr>
            </w:pPr>
            <w:r>
              <w:rPr>
                <w:rFonts w:ascii="Arial Narrow" w:eastAsiaTheme="majorEastAsia" w:hAnsi="Arial Narrow" w:cs="Times New Roman"/>
                <w:snapToGrid w:val="0"/>
                <w:sz w:val="20"/>
              </w:rPr>
              <w:t xml:space="preserve"> </w:t>
            </w:r>
            <w:r w:rsidR="008975CB" w:rsidRPr="00766AE0">
              <w:rPr>
                <w:rFonts w:ascii="Arial Narrow" w:eastAsiaTheme="majorEastAsia" w:hAnsi="Arial Narrow" w:cs="Times New Roman"/>
                <w:snapToGrid w:val="0"/>
                <w:sz w:val="20"/>
              </w:rPr>
              <w:t>No disutility applied</w:t>
            </w:r>
          </w:p>
        </w:tc>
        <w:tc>
          <w:tcPr>
            <w:tcW w:w="944" w:type="pct"/>
            <w:tcBorders>
              <w:bottom w:val="single" w:sz="4" w:space="0" w:color="auto"/>
            </w:tcBorders>
            <w:shd w:val="solid" w:color="000000" w:fill="000000"/>
          </w:tcPr>
          <w:p w14:paraId="1F77EC4E" w14:textId="5869C52F" w:rsidR="008975CB" w:rsidRPr="00262BA4" w:rsidRDefault="00A268DC" w:rsidP="00360107">
            <w:pPr>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bCs/>
                <w:color w:val="000000"/>
                <w:sz w:val="20"/>
                <w14:textFill>
                  <w14:solidFill>
                    <w14:srgbClr w14:val="000000">
                      <w14:alpha w14:val="100000"/>
                    </w14:srgbClr>
                  </w14:solidFill>
                </w14:textFill>
              </w:rPr>
              <w:t>|</w:t>
            </w:r>
          </w:p>
        </w:tc>
        <w:tc>
          <w:tcPr>
            <w:tcW w:w="864" w:type="pct"/>
          </w:tcPr>
          <w:p w14:paraId="56B13730" w14:textId="77777777" w:rsidR="008975CB" w:rsidRPr="00766AE0" w:rsidRDefault="008975CB" w:rsidP="00360107">
            <w:pPr>
              <w:jc w:val="center"/>
              <w:rPr>
                <w:rFonts w:ascii="Arial Narrow" w:eastAsiaTheme="majorEastAsia" w:hAnsi="Arial Narrow" w:cstheme="majorBidi"/>
                <w:bCs/>
                <w:sz w:val="20"/>
              </w:rPr>
            </w:pPr>
            <w:r w:rsidRPr="00766AE0">
              <w:rPr>
                <w:rFonts w:ascii="Arial Narrow" w:eastAsiaTheme="majorEastAsia" w:hAnsi="Arial Narrow" w:cstheme="majorBidi"/>
                <w:bCs/>
                <w:sz w:val="20"/>
              </w:rPr>
              <w:t>1.61</w:t>
            </w:r>
          </w:p>
        </w:tc>
        <w:tc>
          <w:tcPr>
            <w:tcW w:w="865" w:type="pct"/>
          </w:tcPr>
          <w:p w14:paraId="679F17E2" w14:textId="402D59CE" w:rsidR="008975CB" w:rsidRPr="00262BA4" w:rsidRDefault="00A268DC" w:rsidP="00360107">
            <w:pPr>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321D42" w:rsidRPr="00321D42">
              <w:rPr>
                <w:rFonts w:ascii="Arial Narrow" w:eastAsiaTheme="majorEastAsia" w:hAnsi="Arial Narrow" w:cstheme="majorBidi"/>
                <w:b/>
                <w:sz w:val="20"/>
                <w:vertAlign w:val="superscript"/>
              </w:rPr>
              <w:t>1</w:t>
            </w:r>
          </w:p>
        </w:tc>
        <w:tc>
          <w:tcPr>
            <w:tcW w:w="836" w:type="pct"/>
          </w:tcPr>
          <w:p w14:paraId="5D642512" w14:textId="7F1E7BE8" w:rsidR="008975CB" w:rsidRPr="00766AE0" w:rsidRDefault="008975CB" w:rsidP="00360107">
            <w:pPr>
              <w:jc w:val="center"/>
              <w:rPr>
                <w:rFonts w:ascii="Arial Narrow" w:eastAsiaTheme="majorEastAsia" w:hAnsi="Arial Narrow" w:cstheme="majorBidi"/>
                <w:bCs/>
                <w:sz w:val="20"/>
              </w:rPr>
            </w:pPr>
            <w:r w:rsidRPr="00766AE0">
              <w:rPr>
                <w:rFonts w:ascii="Arial Narrow" w:eastAsiaTheme="majorEastAsia" w:hAnsi="Arial Narrow" w:cstheme="majorBidi"/>
                <w:bCs/>
                <w:sz w:val="20"/>
              </w:rPr>
              <w:t>+</w:t>
            </w:r>
            <w:r w:rsidR="00A268DC" w:rsidRPr="00C0236C">
              <w:rPr>
                <w:rFonts w:ascii="Arial Narrow" w:eastAsiaTheme="majorEastAsia" w:hAnsi="Arial Narrow" w:cstheme="majorBidi" w:hint="eastAsia"/>
                <w:bCs/>
                <w:color w:val="000000"/>
                <w:w w:val="15"/>
                <w:sz w:val="20"/>
                <w:shd w:val="solid" w:color="000000" w:fill="000000"/>
                <w:fitText w:val="20" w:id="-694973694"/>
                <w14:textFill>
                  <w14:solidFill>
                    <w14:srgbClr w14:val="000000">
                      <w14:alpha w14:val="100000"/>
                    </w14:srgbClr>
                  </w14:solidFill>
                </w14:textFill>
              </w:rPr>
              <w:t xml:space="preserve">　</w:t>
            </w:r>
            <w:r w:rsidR="00A268DC" w:rsidRPr="00C0236C">
              <w:rPr>
                <w:rFonts w:ascii="Arial Narrow" w:eastAsiaTheme="majorEastAsia" w:hAnsi="Arial Narrow" w:cstheme="majorBidi"/>
                <w:bCs/>
                <w:color w:val="000000"/>
                <w:w w:val="15"/>
                <w:sz w:val="20"/>
                <w:shd w:val="solid" w:color="000000" w:fill="000000"/>
                <w:fitText w:val="20" w:id="-694973694"/>
                <w14:textFill>
                  <w14:solidFill>
                    <w14:srgbClr w14:val="000000">
                      <w14:alpha w14:val="100000"/>
                    </w14:srgbClr>
                  </w14:solidFill>
                </w14:textFill>
              </w:rPr>
              <w:t>|</w:t>
            </w:r>
            <w:r w:rsidR="00A268DC" w:rsidRPr="00C0236C">
              <w:rPr>
                <w:rFonts w:ascii="Arial Narrow" w:eastAsiaTheme="majorEastAsia" w:hAnsi="Arial Narrow" w:cstheme="majorBidi" w:hint="eastAsia"/>
                <w:bCs/>
                <w:color w:val="000000"/>
                <w:spacing w:val="-46"/>
                <w:w w:val="15"/>
                <w:sz w:val="20"/>
                <w:shd w:val="solid" w:color="000000" w:fill="000000"/>
                <w:fitText w:val="20" w:id="-694973694"/>
                <w14:textFill>
                  <w14:solidFill>
                    <w14:srgbClr w14:val="000000">
                      <w14:alpha w14:val="100000"/>
                    </w14:srgbClr>
                  </w14:solidFill>
                </w14:textFill>
              </w:rPr>
              <w:t xml:space="preserve">　</w:t>
            </w:r>
            <w:r w:rsidRPr="00766AE0">
              <w:rPr>
                <w:rFonts w:ascii="Arial Narrow" w:eastAsiaTheme="majorEastAsia" w:hAnsi="Arial Narrow" w:cstheme="majorBidi"/>
                <w:bCs/>
                <w:sz w:val="20"/>
              </w:rPr>
              <w:t>%</w:t>
            </w:r>
          </w:p>
        </w:tc>
      </w:tr>
      <w:tr w:rsidR="008975CB" w:rsidRPr="008975CB" w14:paraId="6B4F9190" w14:textId="77777777" w:rsidTr="00A268DC">
        <w:tc>
          <w:tcPr>
            <w:tcW w:w="1491" w:type="pct"/>
          </w:tcPr>
          <w:p w14:paraId="20C272A4" w14:textId="44893123" w:rsidR="008975CB" w:rsidRPr="00766AE0" w:rsidRDefault="00F87B86" w:rsidP="00360107">
            <w:pPr>
              <w:jc w:val="left"/>
              <w:rPr>
                <w:rFonts w:ascii="Arial Narrow" w:eastAsiaTheme="majorEastAsia" w:hAnsi="Arial Narrow" w:cs="Times New Roman"/>
                <w:snapToGrid w:val="0"/>
                <w:sz w:val="20"/>
              </w:rPr>
            </w:pPr>
            <w:r>
              <w:rPr>
                <w:rFonts w:ascii="Arial Narrow" w:eastAsiaTheme="majorEastAsia" w:hAnsi="Arial Narrow" w:cstheme="majorBidi"/>
                <w:bCs/>
                <w:snapToGrid w:val="0"/>
                <w:sz w:val="20"/>
              </w:rPr>
              <w:t xml:space="preserve"> </w:t>
            </w:r>
            <w:r w:rsidR="008975CB" w:rsidRPr="00766AE0">
              <w:rPr>
                <w:rFonts w:ascii="Arial Narrow" w:eastAsiaTheme="majorEastAsia" w:hAnsi="Arial Narrow" w:cstheme="majorBidi"/>
                <w:bCs/>
                <w:snapToGrid w:val="0"/>
                <w:sz w:val="20"/>
              </w:rPr>
              <w:t>All AEs removed</w:t>
            </w:r>
          </w:p>
        </w:tc>
        <w:tc>
          <w:tcPr>
            <w:tcW w:w="944" w:type="pct"/>
            <w:shd w:val="solid" w:color="000000" w:fill="000000"/>
          </w:tcPr>
          <w:p w14:paraId="5EB4B360" w14:textId="68B0004C" w:rsidR="008975CB" w:rsidRPr="00262BA4" w:rsidRDefault="00A268DC" w:rsidP="00360107">
            <w:pPr>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bCs/>
                <w:color w:val="000000"/>
                <w:sz w:val="20"/>
                <w14:textFill>
                  <w14:solidFill>
                    <w14:srgbClr w14:val="000000">
                      <w14:alpha w14:val="100000"/>
                    </w14:srgbClr>
                  </w14:solidFill>
                </w14:textFill>
              </w:rPr>
              <w:t>|</w:t>
            </w:r>
          </w:p>
        </w:tc>
        <w:tc>
          <w:tcPr>
            <w:tcW w:w="864" w:type="pct"/>
          </w:tcPr>
          <w:p w14:paraId="555253BF" w14:textId="77777777" w:rsidR="008975CB" w:rsidRPr="00766AE0" w:rsidRDefault="008975CB" w:rsidP="00360107">
            <w:pPr>
              <w:jc w:val="center"/>
              <w:rPr>
                <w:rFonts w:ascii="Arial Narrow" w:eastAsiaTheme="majorEastAsia" w:hAnsi="Arial Narrow" w:cstheme="majorBidi"/>
                <w:bCs/>
                <w:sz w:val="20"/>
              </w:rPr>
            </w:pPr>
            <w:r w:rsidRPr="00766AE0">
              <w:rPr>
                <w:rFonts w:ascii="Arial Narrow" w:eastAsiaTheme="majorEastAsia" w:hAnsi="Arial Narrow" w:cstheme="majorBidi"/>
                <w:bCs/>
                <w:sz w:val="20"/>
              </w:rPr>
              <w:t>1.61</w:t>
            </w:r>
          </w:p>
        </w:tc>
        <w:tc>
          <w:tcPr>
            <w:tcW w:w="865" w:type="pct"/>
          </w:tcPr>
          <w:p w14:paraId="5263B97A" w14:textId="27B4ABA0" w:rsidR="008975CB" w:rsidRPr="00262BA4" w:rsidRDefault="00A268DC" w:rsidP="00360107">
            <w:pPr>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321D42" w:rsidRPr="00321D42">
              <w:rPr>
                <w:rFonts w:ascii="Arial Narrow" w:eastAsiaTheme="majorEastAsia" w:hAnsi="Arial Narrow" w:cstheme="majorBidi"/>
                <w:b/>
                <w:sz w:val="20"/>
                <w:vertAlign w:val="superscript"/>
              </w:rPr>
              <w:t>1</w:t>
            </w:r>
          </w:p>
        </w:tc>
        <w:tc>
          <w:tcPr>
            <w:tcW w:w="836" w:type="pct"/>
          </w:tcPr>
          <w:p w14:paraId="56CF5729" w14:textId="473E3F20" w:rsidR="008975CB" w:rsidRPr="00766AE0" w:rsidRDefault="008975CB" w:rsidP="00360107">
            <w:pPr>
              <w:jc w:val="center"/>
              <w:rPr>
                <w:rFonts w:ascii="Arial Narrow" w:eastAsiaTheme="majorEastAsia" w:hAnsi="Arial Narrow" w:cstheme="majorBidi"/>
                <w:bCs/>
                <w:sz w:val="20"/>
              </w:rPr>
            </w:pPr>
            <w:r w:rsidRPr="00766AE0">
              <w:rPr>
                <w:rFonts w:ascii="Arial Narrow" w:eastAsiaTheme="majorEastAsia" w:hAnsi="Arial Narrow" w:cstheme="majorBidi"/>
                <w:bCs/>
                <w:sz w:val="20"/>
              </w:rPr>
              <w:t>+</w:t>
            </w:r>
            <w:r w:rsidR="00A268DC" w:rsidRPr="00C0236C">
              <w:rPr>
                <w:rFonts w:ascii="Arial Narrow" w:eastAsiaTheme="majorEastAsia" w:hAnsi="Arial Narrow" w:cstheme="majorBidi" w:hint="eastAsia"/>
                <w:bCs/>
                <w:color w:val="000000"/>
                <w:w w:val="15"/>
                <w:sz w:val="20"/>
                <w:shd w:val="solid" w:color="000000" w:fill="000000"/>
                <w:fitText w:val="20" w:id="-694973693"/>
                <w14:textFill>
                  <w14:solidFill>
                    <w14:srgbClr w14:val="000000">
                      <w14:alpha w14:val="100000"/>
                    </w14:srgbClr>
                  </w14:solidFill>
                </w14:textFill>
              </w:rPr>
              <w:t xml:space="preserve">　</w:t>
            </w:r>
            <w:r w:rsidR="00A268DC" w:rsidRPr="00C0236C">
              <w:rPr>
                <w:rFonts w:ascii="Arial Narrow" w:eastAsiaTheme="majorEastAsia" w:hAnsi="Arial Narrow" w:cstheme="majorBidi"/>
                <w:bCs/>
                <w:color w:val="000000"/>
                <w:w w:val="15"/>
                <w:sz w:val="20"/>
                <w:shd w:val="solid" w:color="000000" w:fill="000000"/>
                <w:fitText w:val="20" w:id="-694973693"/>
                <w14:textFill>
                  <w14:solidFill>
                    <w14:srgbClr w14:val="000000">
                      <w14:alpha w14:val="100000"/>
                    </w14:srgbClr>
                  </w14:solidFill>
                </w14:textFill>
              </w:rPr>
              <w:t>|</w:t>
            </w:r>
            <w:r w:rsidR="00A268DC" w:rsidRPr="00C0236C">
              <w:rPr>
                <w:rFonts w:ascii="Arial Narrow" w:eastAsiaTheme="majorEastAsia" w:hAnsi="Arial Narrow" w:cstheme="majorBidi" w:hint="eastAsia"/>
                <w:bCs/>
                <w:color w:val="000000"/>
                <w:spacing w:val="-46"/>
                <w:w w:val="15"/>
                <w:sz w:val="20"/>
                <w:shd w:val="solid" w:color="000000" w:fill="000000"/>
                <w:fitText w:val="20" w:id="-694973693"/>
                <w14:textFill>
                  <w14:solidFill>
                    <w14:srgbClr w14:val="000000">
                      <w14:alpha w14:val="100000"/>
                    </w14:srgbClr>
                  </w14:solidFill>
                </w14:textFill>
              </w:rPr>
              <w:t xml:space="preserve">　</w:t>
            </w:r>
            <w:r w:rsidRPr="00766AE0">
              <w:rPr>
                <w:rFonts w:ascii="Arial Narrow" w:eastAsiaTheme="majorEastAsia" w:hAnsi="Arial Narrow" w:cstheme="majorBidi"/>
                <w:bCs/>
                <w:sz w:val="20"/>
              </w:rPr>
              <w:t>%</w:t>
            </w:r>
          </w:p>
        </w:tc>
      </w:tr>
      <w:tr w:rsidR="008975CB" w:rsidRPr="008975CB" w14:paraId="471CF77A" w14:textId="77777777" w:rsidTr="0910F2D2">
        <w:tc>
          <w:tcPr>
            <w:tcW w:w="5000" w:type="pct"/>
            <w:gridSpan w:val="5"/>
          </w:tcPr>
          <w:p w14:paraId="66904110" w14:textId="0372FFC3" w:rsidR="008975CB" w:rsidRPr="00766AE0" w:rsidRDefault="008975CB" w:rsidP="0910F2D2">
            <w:pPr>
              <w:jc w:val="left"/>
              <w:rPr>
                <w:rFonts w:ascii="Arial Narrow" w:eastAsiaTheme="majorEastAsia" w:hAnsi="Arial Narrow" w:cstheme="majorBidi"/>
                <w:b/>
                <w:bCs/>
                <w:sz w:val="20"/>
                <w:szCs w:val="20"/>
              </w:rPr>
            </w:pPr>
            <w:r w:rsidRPr="0910F2D2">
              <w:rPr>
                <w:rFonts w:ascii="Arial Narrow" w:eastAsiaTheme="majorEastAsia" w:hAnsi="Arial Narrow" w:cstheme="majorBidi"/>
                <w:b/>
                <w:bCs/>
                <w:sz w:val="20"/>
                <w:szCs w:val="20"/>
              </w:rPr>
              <w:t>Per cycle cost ruxolitinib (base case $</w:t>
            </w:r>
            <w:r w:rsidR="00A268DC" w:rsidRPr="00A268DC">
              <w:rPr>
                <w:rFonts w:ascii="Arial Narrow" w:eastAsiaTheme="majorEastAsia" w:hAnsi="Arial Narrow" w:cstheme="majorBidi"/>
                <w:b/>
                <w:bCs/>
                <w:color w:val="000000"/>
                <w:spacing w:val="58"/>
                <w:sz w:val="20"/>
                <w:szCs w:val="20"/>
                <w:shd w:val="solid" w:color="000000" w:fill="000000"/>
                <w:fitText w:val="360" w:id="-694973692"/>
                <w14:textFill>
                  <w14:solidFill>
                    <w14:srgbClr w14:val="000000">
                      <w14:alpha w14:val="100000"/>
                    </w14:srgbClr>
                  </w14:solidFill>
                </w14:textFill>
              </w:rPr>
              <w:t>|||</w:t>
            </w:r>
            <w:r w:rsidR="00A268DC" w:rsidRPr="00A268DC">
              <w:rPr>
                <w:rFonts w:ascii="Arial Narrow" w:eastAsiaTheme="majorEastAsia" w:hAnsi="Arial Narrow" w:cstheme="majorBidi"/>
                <w:b/>
                <w:bCs/>
                <w:color w:val="000000"/>
                <w:spacing w:val="3"/>
                <w:sz w:val="20"/>
                <w:szCs w:val="20"/>
                <w:shd w:val="solid" w:color="000000" w:fill="000000"/>
                <w:fitText w:val="360" w:id="-694973692"/>
                <w14:textFill>
                  <w14:solidFill>
                    <w14:srgbClr w14:val="000000">
                      <w14:alpha w14:val="100000"/>
                    </w14:srgbClr>
                  </w14:solidFill>
                </w14:textFill>
              </w:rPr>
              <w:t>|</w:t>
            </w:r>
            <w:r w:rsidR="00C37707" w:rsidRPr="0910F2D2">
              <w:rPr>
                <w:rFonts w:ascii="Arial Narrow" w:eastAsiaTheme="majorEastAsia" w:hAnsi="Arial Narrow" w:cstheme="majorBidi"/>
                <w:b/>
                <w:bCs/>
                <w:sz w:val="20"/>
                <w:szCs w:val="20"/>
              </w:rPr>
              <w:t xml:space="preserve"> based on relative dose intensity from RESPONSE-2 trial</w:t>
            </w:r>
            <w:r w:rsidRPr="0910F2D2">
              <w:rPr>
                <w:rFonts w:ascii="Arial Narrow" w:eastAsiaTheme="majorEastAsia" w:hAnsi="Arial Narrow" w:cstheme="majorBidi"/>
                <w:b/>
                <w:bCs/>
                <w:sz w:val="20"/>
                <w:szCs w:val="20"/>
              </w:rPr>
              <w:t>)</w:t>
            </w:r>
          </w:p>
        </w:tc>
      </w:tr>
      <w:tr w:rsidR="00D7068B" w:rsidRPr="008975CB" w14:paraId="7D1DF464" w14:textId="77777777" w:rsidTr="00A268DC">
        <w:tc>
          <w:tcPr>
            <w:tcW w:w="1491" w:type="pct"/>
          </w:tcPr>
          <w:p w14:paraId="2A379A2B" w14:textId="2867ADEA" w:rsidR="000C5288" w:rsidRPr="00766AE0" w:rsidRDefault="00F87B86" w:rsidP="00360107">
            <w:pPr>
              <w:jc w:val="left"/>
              <w:rPr>
                <w:rFonts w:ascii="Arial Narrow" w:eastAsiaTheme="majorEastAsia" w:hAnsi="Arial Narrow" w:cs="Times New Roman"/>
                <w:snapToGrid w:val="0"/>
                <w:sz w:val="20"/>
              </w:rPr>
            </w:pPr>
            <w:r>
              <w:rPr>
                <w:rFonts w:ascii="Arial Narrow" w:eastAsiaTheme="majorEastAsia" w:hAnsi="Arial Narrow" w:cs="Times New Roman"/>
                <w:snapToGrid w:val="0"/>
                <w:sz w:val="20"/>
              </w:rPr>
              <w:t xml:space="preserve"> </w:t>
            </w:r>
            <w:r w:rsidR="00581F32" w:rsidRPr="00766AE0">
              <w:rPr>
                <w:rFonts w:ascii="Arial Narrow" w:eastAsiaTheme="majorEastAsia" w:hAnsi="Arial Narrow" w:cs="Times New Roman"/>
                <w:snapToGrid w:val="0"/>
                <w:sz w:val="20"/>
              </w:rPr>
              <w:t xml:space="preserve">Weighted average </w:t>
            </w:r>
            <w:r w:rsidR="002A547F" w:rsidRPr="00766AE0">
              <w:rPr>
                <w:rFonts w:ascii="Arial Narrow" w:eastAsiaTheme="majorEastAsia" w:hAnsi="Arial Narrow" w:cs="Times New Roman"/>
                <w:snapToGrid w:val="0"/>
                <w:sz w:val="20"/>
              </w:rPr>
              <w:t xml:space="preserve">dose </w:t>
            </w:r>
            <w:r w:rsidR="00282D3A">
              <w:rPr>
                <w:rFonts w:ascii="Arial Narrow" w:eastAsiaTheme="majorEastAsia" w:hAnsi="Arial Narrow" w:cs="Times New Roman"/>
                <w:snapToGrid w:val="0"/>
                <w:sz w:val="20"/>
              </w:rPr>
              <w:br/>
            </w:r>
            <w:r>
              <w:rPr>
                <w:rFonts w:ascii="Arial Narrow" w:eastAsiaTheme="majorEastAsia" w:hAnsi="Arial Narrow" w:cs="Times New Roman"/>
                <w:snapToGrid w:val="0"/>
                <w:sz w:val="20"/>
              </w:rPr>
              <w:t xml:space="preserve"> </w:t>
            </w:r>
            <w:r w:rsidR="003C4076" w:rsidRPr="00766AE0">
              <w:rPr>
                <w:rFonts w:ascii="Arial Narrow" w:eastAsiaTheme="majorEastAsia" w:hAnsi="Arial Narrow" w:cs="Times New Roman"/>
                <w:snapToGrid w:val="0"/>
                <w:sz w:val="20"/>
              </w:rPr>
              <w:t xml:space="preserve">from </w:t>
            </w:r>
            <w:r w:rsidR="00581F32" w:rsidRPr="00766AE0">
              <w:rPr>
                <w:rFonts w:ascii="Arial Narrow" w:eastAsiaTheme="majorEastAsia" w:hAnsi="Arial Narrow" w:cs="Times New Roman"/>
                <w:snapToGrid w:val="0"/>
                <w:sz w:val="20"/>
              </w:rPr>
              <w:t>RESPONSE and</w:t>
            </w:r>
            <w:r w:rsidR="00282D3A">
              <w:rPr>
                <w:rFonts w:ascii="Arial Narrow" w:eastAsiaTheme="majorEastAsia" w:hAnsi="Arial Narrow" w:cs="Times New Roman"/>
                <w:snapToGrid w:val="0"/>
                <w:sz w:val="20"/>
              </w:rPr>
              <w:br/>
            </w:r>
            <w:r>
              <w:rPr>
                <w:rFonts w:ascii="Arial Narrow" w:eastAsiaTheme="majorEastAsia" w:hAnsi="Arial Narrow" w:cs="Times New Roman"/>
                <w:snapToGrid w:val="0"/>
                <w:sz w:val="20"/>
              </w:rPr>
              <w:t xml:space="preserve"> </w:t>
            </w:r>
            <w:r w:rsidR="00581F32" w:rsidRPr="00766AE0">
              <w:rPr>
                <w:rFonts w:ascii="Arial Narrow" w:eastAsiaTheme="majorEastAsia" w:hAnsi="Arial Narrow" w:cs="Times New Roman"/>
                <w:snapToGrid w:val="0"/>
                <w:sz w:val="20"/>
              </w:rPr>
              <w:t>RESPONSE-2 trials</w:t>
            </w:r>
            <w:r w:rsidR="002A547F" w:rsidRPr="00766AE0">
              <w:rPr>
                <w:rFonts w:ascii="Arial Narrow" w:eastAsiaTheme="majorEastAsia" w:hAnsi="Arial Narrow" w:cs="Times New Roman"/>
                <w:snapToGrid w:val="0"/>
                <w:sz w:val="20"/>
              </w:rPr>
              <w:t xml:space="preserve"> ($</w:t>
            </w:r>
            <w:r w:rsidR="00A268DC" w:rsidRPr="00A268DC">
              <w:rPr>
                <w:rFonts w:ascii="Arial Narrow" w:eastAsiaTheme="majorEastAsia" w:hAnsi="Arial Narrow" w:cs="Times New Roman"/>
                <w:snapToGrid w:val="0"/>
                <w:color w:val="000000"/>
                <w:spacing w:val="53"/>
                <w:sz w:val="20"/>
                <w:shd w:val="solid" w:color="000000" w:fill="000000"/>
                <w:fitText w:val="330" w:id="-694973691"/>
                <w14:textFill>
                  <w14:solidFill>
                    <w14:srgbClr w14:val="000000">
                      <w14:alpha w14:val="100000"/>
                    </w14:srgbClr>
                  </w14:solidFill>
                </w14:textFill>
              </w:rPr>
              <w:t>|||</w:t>
            </w:r>
            <w:r w:rsidR="00A268DC" w:rsidRPr="00A268DC">
              <w:rPr>
                <w:rFonts w:ascii="Arial Narrow" w:eastAsiaTheme="majorEastAsia" w:hAnsi="Arial Narrow" w:cs="Times New Roman"/>
                <w:snapToGrid w:val="0"/>
                <w:color w:val="000000"/>
                <w:spacing w:val="1"/>
                <w:sz w:val="20"/>
                <w:shd w:val="solid" w:color="000000" w:fill="000000"/>
                <w:fitText w:val="330" w:id="-694973691"/>
                <w14:textFill>
                  <w14:solidFill>
                    <w14:srgbClr w14:val="000000">
                      <w14:alpha w14:val="100000"/>
                    </w14:srgbClr>
                  </w14:solidFill>
                </w14:textFill>
              </w:rPr>
              <w:t>|</w:t>
            </w:r>
            <w:r w:rsidR="002A547F" w:rsidRPr="00766AE0">
              <w:rPr>
                <w:rFonts w:ascii="Arial Narrow" w:eastAsiaTheme="majorEastAsia" w:hAnsi="Arial Narrow" w:cs="Times New Roman"/>
                <w:snapToGrid w:val="0"/>
                <w:sz w:val="20"/>
              </w:rPr>
              <w:t>)</w:t>
            </w:r>
          </w:p>
        </w:tc>
        <w:tc>
          <w:tcPr>
            <w:tcW w:w="944" w:type="pct"/>
            <w:tcBorders>
              <w:bottom w:val="single" w:sz="4" w:space="0" w:color="auto"/>
            </w:tcBorders>
            <w:shd w:val="solid" w:color="000000" w:fill="000000"/>
          </w:tcPr>
          <w:p w14:paraId="3222270F" w14:textId="3D717306" w:rsidR="000C5288" w:rsidRPr="00766AE0" w:rsidRDefault="00A268DC" w:rsidP="00360107">
            <w:pPr>
              <w:jc w:val="center"/>
              <w:rPr>
                <w:rFonts w:ascii="Arial Narrow" w:eastAsiaTheme="majorEastAsia" w:hAnsi="Arial Narrow" w:cstheme="majorBidi"/>
                <w:sz w:val="20"/>
              </w:rPr>
            </w:pPr>
            <w:r w:rsidRPr="00A268DC">
              <w:rPr>
                <w:rFonts w:ascii="Arial Narrow" w:eastAsiaTheme="majorEastAsia" w:hAnsi="Arial Narrow" w:cstheme="majorBidi"/>
                <w:color w:val="000000"/>
                <w:sz w:val="20"/>
                <w14:textFill>
                  <w14:solidFill>
                    <w14:srgbClr w14:val="000000">
                      <w14:alpha w14:val="100000"/>
                    </w14:srgbClr>
                  </w14:solidFill>
                </w14:textFill>
              </w:rPr>
              <w:t>|</w:t>
            </w:r>
          </w:p>
        </w:tc>
        <w:tc>
          <w:tcPr>
            <w:tcW w:w="864" w:type="pct"/>
          </w:tcPr>
          <w:p w14:paraId="63413035" w14:textId="0308E381" w:rsidR="000C5288" w:rsidRPr="00766AE0" w:rsidRDefault="001C78DE" w:rsidP="00360107">
            <w:pPr>
              <w:jc w:val="center"/>
              <w:rPr>
                <w:rFonts w:ascii="Arial Narrow" w:eastAsiaTheme="majorEastAsia" w:hAnsi="Arial Narrow" w:cstheme="majorBidi"/>
                <w:sz w:val="20"/>
              </w:rPr>
            </w:pPr>
            <w:r w:rsidRPr="00766AE0">
              <w:rPr>
                <w:rFonts w:ascii="Arial Narrow" w:eastAsiaTheme="majorEastAsia" w:hAnsi="Arial Narrow" w:cstheme="majorBidi"/>
                <w:sz w:val="20"/>
              </w:rPr>
              <w:t>1.62</w:t>
            </w:r>
          </w:p>
        </w:tc>
        <w:tc>
          <w:tcPr>
            <w:tcW w:w="865" w:type="pct"/>
          </w:tcPr>
          <w:p w14:paraId="56E33F37" w14:textId="0F70CC41" w:rsidR="000C5288" w:rsidRPr="00262BA4" w:rsidRDefault="00A268DC" w:rsidP="00360107">
            <w:pPr>
              <w:jc w:val="center"/>
              <w:rPr>
                <w:rFonts w:ascii="Arial Narrow" w:eastAsiaTheme="majorEastAsia" w:hAnsi="Arial Narrow" w:cstheme="majorBidi"/>
                <w:sz w:val="20"/>
                <w:highlight w:val="darkGray"/>
              </w:rPr>
            </w:pPr>
            <w:r w:rsidRPr="00A268DC">
              <w:rPr>
                <w:rFonts w:ascii="Arial Narrow" w:eastAsiaTheme="majorEastAsia" w:hAnsi="Arial Narrow" w:cstheme="majorBidi"/>
                <w:color w:val="000000"/>
                <w:sz w:val="20"/>
                <w:shd w:val="solid" w:color="000000" w:fill="000000"/>
                <w14:textFill>
                  <w14:solidFill>
                    <w14:srgbClr w14:val="000000">
                      <w14:alpha w14:val="100000"/>
                    </w14:srgbClr>
                  </w14:solidFill>
                </w14:textFill>
              </w:rPr>
              <w:t>|</w:t>
            </w:r>
            <w:r w:rsidR="00321D42" w:rsidRPr="00321D42">
              <w:rPr>
                <w:rFonts w:ascii="Arial Narrow" w:eastAsiaTheme="majorEastAsia" w:hAnsi="Arial Narrow" w:cstheme="majorBidi"/>
                <w:b/>
                <w:sz w:val="20"/>
                <w:vertAlign w:val="superscript"/>
              </w:rPr>
              <w:t>1</w:t>
            </w:r>
          </w:p>
        </w:tc>
        <w:tc>
          <w:tcPr>
            <w:tcW w:w="836" w:type="pct"/>
          </w:tcPr>
          <w:p w14:paraId="66FCF247" w14:textId="5DF3FA62" w:rsidR="000C5288" w:rsidRPr="00766AE0" w:rsidRDefault="001C78DE" w:rsidP="00360107">
            <w:pPr>
              <w:jc w:val="center"/>
              <w:rPr>
                <w:rFonts w:ascii="Arial Narrow" w:eastAsiaTheme="majorEastAsia" w:hAnsi="Arial Narrow" w:cstheme="majorBidi"/>
                <w:sz w:val="20"/>
              </w:rPr>
            </w:pPr>
            <w:r w:rsidRPr="00766AE0">
              <w:rPr>
                <w:rFonts w:ascii="Arial Narrow" w:eastAsiaTheme="majorEastAsia" w:hAnsi="Arial Narrow" w:cstheme="majorBidi"/>
                <w:sz w:val="20"/>
              </w:rPr>
              <w:t>+</w:t>
            </w:r>
            <w:r w:rsidR="00A268DC" w:rsidRPr="00C0236C">
              <w:rPr>
                <w:rFonts w:ascii="Arial Narrow" w:eastAsiaTheme="majorEastAsia" w:hAnsi="Arial Narrow" w:cstheme="majorBidi" w:hint="eastAsia"/>
                <w:color w:val="000000"/>
                <w:w w:val="15"/>
                <w:sz w:val="20"/>
                <w:shd w:val="solid" w:color="000000" w:fill="000000"/>
                <w:fitText w:val="20" w:id="-694973690"/>
                <w14:textFill>
                  <w14:solidFill>
                    <w14:srgbClr w14:val="000000">
                      <w14:alpha w14:val="100000"/>
                    </w14:srgbClr>
                  </w14:solidFill>
                </w14:textFill>
              </w:rPr>
              <w:t xml:space="preserve">　</w:t>
            </w:r>
            <w:r w:rsidR="00A268DC" w:rsidRPr="00C0236C">
              <w:rPr>
                <w:rFonts w:ascii="Arial Narrow" w:eastAsiaTheme="majorEastAsia" w:hAnsi="Arial Narrow" w:cstheme="majorBidi"/>
                <w:color w:val="000000"/>
                <w:w w:val="15"/>
                <w:sz w:val="20"/>
                <w:shd w:val="solid" w:color="000000" w:fill="000000"/>
                <w:fitText w:val="20" w:id="-694973690"/>
                <w14:textFill>
                  <w14:solidFill>
                    <w14:srgbClr w14:val="000000">
                      <w14:alpha w14:val="100000"/>
                    </w14:srgbClr>
                  </w14:solidFill>
                </w14:textFill>
              </w:rPr>
              <w:t>|</w:t>
            </w:r>
            <w:r w:rsidR="00A268DC" w:rsidRPr="00C0236C">
              <w:rPr>
                <w:rFonts w:ascii="Arial Narrow" w:eastAsiaTheme="majorEastAsia" w:hAnsi="Arial Narrow" w:cstheme="majorBidi" w:hint="eastAsia"/>
                <w:color w:val="000000"/>
                <w:spacing w:val="-46"/>
                <w:w w:val="15"/>
                <w:sz w:val="20"/>
                <w:shd w:val="solid" w:color="000000" w:fill="000000"/>
                <w:fitText w:val="20" w:id="-694973690"/>
                <w14:textFill>
                  <w14:solidFill>
                    <w14:srgbClr w14:val="000000">
                      <w14:alpha w14:val="100000"/>
                    </w14:srgbClr>
                  </w14:solidFill>
                </w14:textFill>
              </w:rPr>
              <w:t xml:space="preserve">　</w:t>
            </w:r>
            <w:r w:rsidRPr="00766AE0">
              <w:rPr>
                <w:rFonts w:ascii="Arial Narrow" w:eastAsiaTheme="majorEastAsia" w:hAnsi="Arial Narrow" w:cstheme="majorBidi"/>
                <w:sz w:val="20"/>
              </w:rPr>
              <w:t>%</w:t>
            </w:r>
          </w:p>
        </w:tc>
      </w:tr>
      <w:tr w:rsidR="008975CB" w:rsidRPr="008975CB" w14:paraId="66B3FBD9" w14:textId="77777777" w:rsidTr="00A268DC">
        <w:tc>
          <w:tcPr>
            <w:tcW w:w="1491" w:type="pct"/>
          </w:tcPr>
          <w:p w14:paraId="3D4ED60B" w14:textId="6BED75FB" w:rsidR="008975CB" w:rsidRPr="00766AE0" w:rsidRDefault="00F87B86" w:rsidP="00360107">
            <w:pPr>
              <w:jc w:val="left"/>
              <w:rPr>
                <w:rFonts w:ascii="Arial Narrow" w:eastAsiaTheme="majorEastAsia" w:hAnsi="Arial Narrow" w:cs="Times New Roman"/>
                <w:snapToGrid w:val="0"/>
                <w:sz w:val="20"/>
              </w:rPr>
            </w:pPr>
            <w:r>
              <w:rPr>
                <w:rFonts w:ascii="Arial Narrow" w:eastAsiaTheme="majorEastAsia" w:hAnsi="Arial Narrow" w:cs="Times New Roman"/>
                <w:snapToGrid w:val="0"/>
                <w:sz w:val="20"/>
              </w:rPr>
              <w:t xml:space="preserve"> </w:t>
            </w:r>
            <w:r w:rsidR="008975CB" w:rsidRPr="00766AE0">
              <w:rPr>
                <w:rFonts w:ascii="Arial Narrow" w:eastAsiaTheme="majorEastAsia" w:hAnsi="Arial Narrow" w:cs="Times New Roman"/>
                <w:snapToGrid w:val="0"/>
                <w:sz w:val="20"/>
              </w:rPr>
              <w:t>RESPONSE dosage ($</w:t>
            </w:r>
            <w:r w:rsidR="00A268DC" w:rsidRPr="00A268DC">
              <w:rPr>
                <w:rFonts w:ascii="Arial Narrow" w:eastAsiaTheme="majorEastAsia" w:hAnsi="Arial Narrow" w:cs="Times New Roman"/>
                <w:snapToGrid w:val="0"/>
                <w:color w:val="000000"/>
                <w:spacing w:val="53"/>
                <w:sz w:val="20"/>
                <w:shd w:val="solid" w:color="000000" w:fill="000000"/>
                <w:fitText w:val="330" w:id="-694973689"/>
                <w14:textFill>
                  <w14:solidFill>
                    <w14:srgbClr w14:val="000000">
                      <w14:alpha w14:val="100000"/>
                    </w14:srgbClr>
                  </w14:solidFill>
                </w14:textFill>
              </w:rPr>
              <w:t>|||</w:t>
            </w:r>
            <w:r w:rsidR="00A268DC" w:rsidRPr="00A268DC">
              <w:rPr>
                <w:rFonts w:ascii="Arial Narrow" w:eastAsiaTheme="majorEastAsia" w:hAnsi="Arial Narrow" w:cs="Times New Roman"/>
                <w:snapToGrid w:val="0"/>
                <w:color w:val="000000"/>
                <w:spacing w:val="1"/>
                <w:sz w:val="20"/>
                <w:shd w:val="solid" w:color="000000" w:fill="000000"/>
                <w:fitText w:val="330" w:id="-694973689"/>
                <w14:textFill>
                  <w14:solidFill>
                    <w14:srgbClr w14:val="000000">
                      <w14:alpha w14:val="100000"/>
                    </w14:srgbClr>
                  </w14:solidFill>
                </w14:textFill>
              </w:rPr>
              <w:t>|</w:t>
            </w:r>
            <w:r w:rsidR="008975CB" w:rsidRPr="00766AE0">
              <w:rPr>
                <w:rFonts w:ascii="Arial Narrow" w:eastAsiaTheme="majorEastAsia" w:hAnsi="Arial Narrow" w:cs="Times New Roman"/>
                <w:snapToGrid w:val="0"/>
                <w:sz w:val="20"/>
              </w:rPr>
              <w:t>)</w:t>
            </w:r>
          </w:p>
        </w:tc>
        <w:tc>
          <w:tcPr>
            <w:tcW w:w="944" w:type="pct"/>
            <w:shd w:val="solid" w:color="000000" w:fill="000000"/>
          </w:tcPr>
          <w:p w14:paraId="14762BDB" w14:textId="0323CEA1" w:rsidR="008975CB" w:rsidRPr="00766AE0" w:rsidRDefault="00A268DC" w:rsidP="00360107">
            <w:pPr>
              <w:jc w:val="center"/>
              <w:rPr>
                <w:rFonts w:ascii="Arial Narrow" w:eastAsiaTheme="majorEastAsia" w:hAnsi="Arial Narrow" w:cstheme="majorBidi"/>
                <w:sz w:val="20"/>
              </w:rPr>
            </w:pPr>
            <w:r w:rsidRPr="00A268DC">
              <w:rPr>
                <w:rFonts w:ascii="Arial Narrow" w:eastAsiaTheme="majorEastAsia" w:hAnsi="Arial Narrow" w:cstheme="majorBidi"/>
                <w:color w:val="000000"/>
                <w:sz w:val="20"/>
                <w14:textFill>
                  <w14:solidFill>
                    <w14:srgbClr w14:val="000000">
                      <w14:alpha w14:val="100000"/>
                    </w14:srgbClr>
                  </w14:solidFill>
                </w14:textFill>
              </w:rPr>
              <w:t>|</w:t>
            </w:r>
          </w:p>
        </w:tc>
        <w:tc>
          <w:tcPr>
            <w:tcW w:w="864" w:type="pct"/>
          </w:tcPr>
          <w:p w14:paraId="147D2B75" w14:textId="77777777" w:rsidR="008975CB" w:rsidRPr="00766AE0" w:rsidRDefault="008975CB" w:rsidP="00360107">
            <w:pPr>
              <w:jc w:val="center"/>
              <w:rPr>
                <w:rFonts w:ascii="Arial Narrow" w:eastAsiaTheme="majorEastAsia" w:hAnsi="Arial Narrow" w:cstheme="majorBidi"/>
                <w:sz w:val="20"/>
              </w:rPr>
            </w:pPr>
            <w:r w:rsidRPr="00766AE0">
              <w:rPr>
                <w:rFonts w:ascii="Arial Narrow" w:eastAsiaTheme="majorEastAsia" w:hAnsi="Arial Narrow" w:cstheme="majorBidi"/>
                <w:sz w:val="20"/>
              </w:rPr>
              <w:t>1.62</w:t>
            </w:r>
          </w:p>
        </w:tc>
        <w:tc>
          <w:tcPr>
            <w:tcW w:w="865" w:type="pct"/>
          </w:tcPr>
          <w:p w14:paraId="20F8D224" w14:textId="66B392C1" w:rsidR="008975CB" w:rsidRPr="00262BA4" w:rsidRDefault="00A268DC" w:rsidP="00360107">
            <w:pPr>
              <w:jc w:val="center"/>
              <w:rPr>
                <w:rFonts w:ascii="Arial Narrow" w:eastAsiaTheme="majorEastAsia" w:hAnsi="Arial Narrow" w:cstheme="majorBidi"/>
                <w:sz w:val="20"/>
                <w:highlight w:val="darkGray"/>
              </w:rPr>
            </w:pPr>
            <w:r w:rsidRPr="00A268DC">
              <w:rPr>
                <w:rFonts w:ascii="Arial Narrow" w:eastAsiaTheme="majorEastAsia" w:hAnsi="Arial Narrow" w:cstheme="majorBidi"/>
                <w:color w:val="000000"/>
                <w:sz w:val="20"/>
                <w:shd w:val="solid" w:color="000000" w:fill="000000"/>
                <w14:textFill>
                  <w14:solidFill>
                    <w14:srgbClr w14:val="000000">
                      <w14:alpha w14:val="100000"/>
                    </w14:srgbClr>
                  </w14:solidFill>
                </w14:textFill>
              </w:rPr>
              <w:t>|</w:t>
            </w:r>
            <w:r w:rsidR="00321D42" w:rsidRPr="00321D42">
              <w:rPr>
                <w:rFonts w:ascii="Arial Narrow" w:eastAsiaTheme="majorEastAsia" w:hAnsi="Arial Narrow" w:cstheme="majorBidi"/>
                <w:b/>
                <w:sz w:val="20"/>
                <w:vertAlign w:val="superscript"/>
              </w:rPr>
              <w:t>1</w:t>
            </w:r>
          </w:p>
        </w:tc>
        <w:tc>
          <w:tcPr>
            <w:tcW w:w="836" w:type="pct"/>
          </w:tcPr>
          <w:p w14:paraId="04A2701F" w14:textId="60DC35F7" w:rsidR="008975CB" w:rsidRPr="00766AE0" w:rsidRDefault="008975CB" w:rsidP="00360107">
            <w:pPr>
              <w:jc w:val="center"/>
              <w:rPr>
                <w:rFonts w:ascii="Arial Narrow" w:eastAsiaTheme="majorEastAsia" w:hAnsi="Arial Narrow" w:cstheme="majorBidi"/>
                <w:sz w:val="20"/>
              </w:rPr>
            </w:pPr>
            <w:r w:rsidRPr="00766AE0">
              <w:rPr>
                <w:rFonts w:ascii="Arial Narrow" w:eastAsiaTheme="majorEastAsia" w:hAnsi="Arial Narrow" w:cstheme="majorBidi"/>
                <w:sz w:val="20"/>
              </w:rPr>
              <w:t>+</w:t>
            </w:r>
            <w:r w:rsidR="00A268DC" w:rsidRPr="00C0236C">
              <w:rPr>
                <w:rFonts w:ascii="Arial Narrow" w:eastAsiaTheme="majorEastAsia" w:hAnsi="Arial Narrow" w:cstheme="majorBidi" w:hint="eastAsia"/>
                <w:color w:val="000000"/>
                <w:w w:val="15"/>
                <w:sz w:val="20"/>
                <w:shd w:val="solid" w:color="000000" w:fill="000000"/>
                <w:fitText w:val="20" w:id="-694973688"/>
                <w14:textFill>
                  <w14:solidFill>
                    <w14:srgbClr w14:val="000000">
                      <w14:alpha w14:val="100000"/>
                    </w14:srgbClr>
                  </w14:solidFill>
                </w14:textFill>
              </w:rPr>
              <w:t xml:space="preserve">　</w:t>
            </w:r>
            <w:r w:rsidR="00A268DC" w:rsidRPr="00C0236C">
              <w:rPr>
                <w:rFonts w:ascii="Arial Narrow" w:eastAsiaTheme="majorEastAsia" w:hAnsi="Arial Narrow" w:cstheme="majorBidi"/>
                <w:color w:val="000000"/>
                <w:w w:val="15"/>
                <w:sz w:val="20"/>
                <w:shd w:val="solid" w:color="000000" w:fill="000000"/>
                <w:fitText w:val="20" w:id="-694973688"/>
                <w14:textFill>
                  <w14:solidFill>
                    <w14:srgbClr w14:val="000000">
                      <w14:alpha w14:val="100000"/>
                    </w14:srgbClr>
                  </w14:solidFill>
                </w14:textFill>
              </w:rPr>
              <w:t>|</w:t>
            </w:r>
            <w:r w:rsidR="00A268DC" w:rsidRPr="00C0236C">
              <w:rPr>
                <w:rFonts w:ascii="Arial Narrow" w:eastAsiaTheme="majorEastAsia" w:hAnsi="Arial Narrow" w:cstheme="majorBidi" w:hint="eastAsia"/>
                <w:color w:val="000000"/>
                <w:spacing w:val="-46"/>
                <w:w w:val="15"/>
                <w:sz w:val="20"/>
                <w:shd w:val="solid" w:color="000000" w:fill="000000"/>
                <w:fitText w:val="20" w:id="-694973688"/>
                <w14:textFill>
                  <w14:solidFill>
                    <w14:srgbClr w14:val="000000">
                      <w14:alpha w14:val="100000"/>
                    </w14:srgbClr>
                  </w14:solidFill>
                </w14:textFill>
              </w:rPr>
              <w:t xml:space="preserve">　</w:t>
            </w:r>
            <w:r w:rsidRPr="00766AE0">
              <w:rPr>
                <w:rFonts w:ascii="Arial Narrow" w:eastAsiaTheme="majorEastAsia" w:hAnsi="Arial Narrow" w:cstheme="majorBidi"/>
                <w:sz w:val="20"/>
              </w:rPr>
              <w:t>%</w:t>
            </w:r>
          </w:p>
        </w:tc>
      </w:tr>
      <w:tr w:rsidR="008975CB" w:rsidRPr="008975CB" w14:paraId="0256CD14" w14:textId="77777777" w:rsidTr="0910F2D2">
        <w:tc>
          <w:tcPr>
            <w:tcW w:w="5000" w:type="pct"/>
            <w:gridSpan w:val="5"/>
          </w:tcPr>
          <w:p w14:paraId="21D1A294" w14:textId="77777777" w:rsidR="008975CB" w:rsidRPr="00766AE0" w:rsidRDefault="008975CB" w:rsidP="00360107">
            <w:pPr>
              <w:jc w:val="left"/>
              <w:rPr>
                <w:rFonts w:ascii="Arial Narrow" w:eastAsiaTheme="majorEastAsia" w:hAnsi="Arial Narrow" w:cstheme="majorBidi"/>
                <w:b/>
                <w:sz w:val="20"/>
              </w:rPr>
            </w:pPr>
            <w:r w:rsidRPr="00766AE0">
              <w:rPr>
                <w:rFonts w:ascii="Arial Narrow" w:eastAsiaTheme="majorEastAsia" w:hAnsi="Arial Narrow" w:cstheme="majorBidi"/>
                <w:b/>
                <w:sz w:val="20"/>
              </w:rPr>
              <w:t>BAT costs (base case $340.99 per cycle)</w:t>
            </w:r>
          </w:p>
        </w:tc>
      </w:tr>
      <w:tr w:rsidR="008975CB" w:rsidRPr="008975CB" w14:paraId="174D9558" w14:textId="77777777" w:rsidTr="00A268DC">
        <w:tc>
          <w:tcPr>
            <w:tcW w:w="1491" w:type="pct"/>
          </w:tcPr>
          <w:p w14:paraId="22E2C889" w14:textId="7C55D32E" w:rsidR="008975CB" w:rsidRPr="00766AE0" w:rsidRDefault="00F87B86" w:rsidP="00360107">
            <w:pPr>
              <w:jc w:val="left"/>
              <w:rPr>
                <w:rFonts w:ascii="Arial Narrow" w:eastAsiaTheme="majorEastAsia" w:hAnsi="Arial Narrow" w:cs="Times New Roman"/>
                <w:snapToGrid w:val="0"/>
                <w:sz w:val="20"/>
              </w:rPr>
            </w:pPr>
            <w:r>
              <w:rPr>
                <w:rFonts w:ascii="Arial Narrow" w:eastAsiaTheme="majorEastAsia" w:hAnsi="Arial Narrow" w:cs="Times New Roman"/>
                <w:snapToGrid w:val="0"/>
                <w:sz w:val="20"/>
              </w:rPr>
              <w:t xml:space="preserve"> </w:t>
            </w:r>
            <w:r w:rsidR="008975CB" w:rsidRPr="00766AE0">
              <w:rPr>
                <w:rFonts w:ascii="Arial Narrow" w:eastAsiaTheme="majorEastAsia" w:hAnsi="Arial Narrow" w:cs="Times New Roman"/>
                <w:snapToGrid w:val="0"/>
                <w:sz w:val="20"/>
              </w:rPr>
              <w:t xml:space="preserve">Combination therapy valued at </w:t>
            </w:r>
            <w:r w:rsidR="00280FBD">
              <w:rPr>
                <w:rFonts w:ascii="Arial Narrow" w:eastAsiaTheme="majorEastAsia" w:hAnsi="Arial Narrow" w:cs="Times New Roman"/>
                <w:snapToGrid w:val="0"/>
                <w:sz w:val="20"/>
              </w:rPr>
              <w:br/>
            </w:r>
            <w:r>
              <w:rPr>
                <w:rFonts w:ascii="Arial Narrow" w:eastAsiaTheme="majorEastAsia" w:hAnsi="Arial Narrow" w:cs="Times New Roman"/>
                <w:snapToGrid w:val="0"/>
                <w:sz w:val="20"/>
              </w:rPr>
              <w:t xml:space="preserve"> </w:t>
            </w:r>
            <w:r w:rsidR="008975CB" w:rsidRPr="00766AE0">
              <w:rPr>
                <w:rFonts w:ascii="Arial Narrow" w:eastAsiaTheme="majorEastAsia" w:hAnsi="Arial Narrow" w:cs="Times New Roman"/>
                <w:snapToGrid w:val="0"/>
                <w:sz w:val="20"/>
              </w:rPr>
              <w:t>cost of most</w:t>
            </w:r>
            <w:r w:rsidR="00280FBD">
              <w:rPr>
                <w:rFonts w:ascii="Arial Narrow" w:eastAsiaTheme="majorEastAsia" w:hAnsi="Arial Narrow" w:cs="Times New Roman"/>
                <w:snapToGrid w:val="0"/>
                <w:sz w:val="20"/>
              </w:rPr>
              <w:t xml:space="preserve"> </w:t>
            </w:r>
            <w:r w:rsidR="008975CB" w:rsidRPr="00766AE0">
              <w:rPr>
                <w:rFonts w:ascii="Arial Narrow" w:eastAsiaTheme="majorEastAsia" w:hAnsi="Arial Narrow" w:cs="Times New Roman"/>
                <w:snapToGrid w:val="0"/>
                <w:sz w:val="20"/>
              </w:rPr>
              <w:t>expensive drug</w:t>
            </w:r>
          </w:p>
        </w:tc>
        <w:tc>
          <w:tcPr>
            <w:tcW w:w="944" w:type="pct"/>
            <w:tcBorders>
              <w:bottom w:val="single" w:sz="4" w:space="0" w:color="auto"/>
            </w:tcBorders>
            <w:shd w:val="solid" w:color="000000" w:fill="000000"/>
          </w:tcPr>
          <w:p w14:paraId="7133FB12" w14:textId="3B7E1689" w:rsidR="008975CB" w:rsidRPr="00262BA4" w:rsidRDefault="00A268DC" w:rsidP="00360107">
            <w:pPr>
              <w:jc w:val="center"/>
              <w:rPr>
                <w:rFonts w:ascii="Arial Narrow" w:eastAsiaTheme="majorEastAsia" w:hAnsi="Arial Narrow" w:cstheme="majorBidi"/>
                <w:sz w:val="20"/>
                <w:highlight w:val="darkGray"/>
              </w:rPr>
            </w:pPr>
            <w:r w:rsidRPr="00A268DC">
              <w:rPr>
                <w:rFonts w:ascii="Arial Narrow" w:eastAsiaTheme="majorEastAsia" w:hAnsi="Arial Narrow" w:cstheme="majorBidi"/>
                <w:color w:val="000000"/>
                <w:sz w:val="20"/>
                <w14:textFill>
                  <w14:solidFill>
                    <w14:srgbClr w14:val="000000">
                      <w14:alpha w14:val="100000"/>
                    </w14:srgbClr>
                  </w14:solidFill>
                </w14:textFill>
              </w:rPr>
              <w:t>|</w:t>
            </w:r>
          </w:p>
        </w:tc>
        <w:tc>
          <w:tcPr>
            <w:tcW w:w="864" w:type="pct"/>
          </w:tcPr>
          <w:p w14:paraId="7233D06E" w14:textId="77777777" w:rsidR="008975CB" w:rsidRPr="00766AE0" w:rsidRDefault="008975CB" w:rsidP="00360107">
            <w:pPr>
              <w:jc w:val="center"/>
              <w:rPr>
                <w:rFonts w:ascii="Arial Narrow" w:eastAsiaTheme="majorEastAsia" w:hAnsi="Arial Narrow" w:cstheme="majorBidi"/>
                <w:sz w:val="20"/>
              </w:rPr>
            </w:pPr>
            <w:r w:rsidRPr="00766AE0">
              <w:rPr>
                <w:rFonts w:ascii="Arial Narrow" w:eastAsiaTheme="majorEastAsia" w:hAnsi="Arial Narrow" w:cstheme="majorBidi"/>
                <w:sz w:val="20"/>
              </w:rPr>
              <w:t>1.62</w:t>
            </w:r>
          </w:p>
        </w:tc>
        <w:tc>
          <w:tcPr>
            <w:tcW w:w="865" w:type="pct"/>
          </w:tcPr>
          <w:p w14:paraId="48D00592" w14:textId="4F4DDD88" w:rsidR="008975CB" w:rsidRPr="00262BA4" w:rsidRDefault="00A268DC" w:rsidP="00360107">
            <w:pPr>
              <w:jc w:val="center"/>
              <w:rPr>
                <w:rFonts w:ascii="Arial Narrow" w:eastAsiaTheme="majorEastAsia" w:hAnsi="Arial Narrow" w:cstheme="majorBidi"/>
                <w:sz w:val="20"/>
                <w:highlight w:val="darkGray"/>
              </w:rPr>
            </w:pPr>
            <w:r w:rsidRPr="00A268DC">
              <w:rPr>
                <w:rFonts w:ascii="Arial Narrow" w:eastAsiaTheme="majorEastAsia" w:hAnsi="Arial Narrow" w:cstheme="majorBidi"/>
                <w:color w:val="000000"/>
                <w:sz w:val="20"/>
                <w:shd w:val="solid" w:color="000000" w:fill="000000"/>
                <w14:textFill>
                  <w14:solidFill>
                    <w14:srgbClr w14:val="000000">
                      <w14:alpha w14:val="100000"/>
                    </w14:srgbClr>
                  </w14:solidFill>
                </w14:textFill>
              </w:rPr>
              <w:t>|</w:t>
            </w:r>
            <w:r w:rsidR="00321D42" w:rsidRPr="00321D42">
              <w:rPr>
                <w:rFonts w:ascii="Arial Narrow" w:eastAsiaTheme="majorEastAsia" w:hAnsi="Arial Narrow" w:cstheme="majorBidi"/>
                <w:b/>
                <w:sz w:val="20"/>
                <w:vertAlign w:val="superscript"/>
              </w:rPr>
              <w:t>1</w:t>
            </w:r>
          </w:p>
        </w:tc>
        <w:tc>
          <w:tcPr>
            <w:tcW w:w="836" w:type="pct"/>
          </w:tcPr>
          <w:p w14:paraId="6F728462" w14:textId="141BC793" w:rsidR="008975CB" w:rsidRPr="00766AE0" w:rsidRDefault="008975CB" w:rsidP="00360107">
            <w:pPr>
              <w:jc w:val="center"/>
              <w:rPr>
                <w:rFonts w:ascii="Arial Narrow" w:eastAsiaTheme="majorEastAsia" w:hAnsi="Arial Narrow" w:cstheme="majorBidi"/>
                <w:sz w:val="20"/>
              </w:rPr>
            </w:pPr>
            <w:r w:rsidRPr="00766AE0">
              <w:rPr>
                <w:rFonts w:ascii="Arial Narrow" w:eastAsiaTheme="majorEastAsia" w:hAnsi="Arial Narrow" w:cstheme="majorBidi"/>
                <w:sz w:val="20"/>
              </w:rPr>
              <w:t>+</w:t>
            </w:r>
            <w:r w:rsidR="00A268DC" w:rsidRPr="00C0236C">
              <w:rPr>
                <w:rFonts w:ascii="Arial Narrow" w:eastAsiaTheme="majorEastAsia" w:hAnsi="Arial Narrow" w:cstheme="majorBidi" w:hint="eastAsia"/>
                <w:color w:val="000000"/>
                <w:w w:val="15"/>
                <w:sz w:val="20"/>
                <w:shd w:val="solid" w:color="000000" w:fill="000000"/>
                <w:fitText w:val="20" w:id="-694973687"/>
                <w14:textFill>
                  <w14:solidFill>
                    <w14:srgbClr w14:val="000000">
                      <w14:alpha w14:val="100000"/>
                    </w14:srgbClr>
                  </w14:solidFill>
                </w14:textFill>
              </w:rPr>
              <w:t xml:space="preserve">　</w:t>
            </w:r>
            <w:r w:rsidR="00A268DC" w:rsidRPr="00C0236C">
              <w:rPr>
                <w:rFonts w:ascii="Arial Narrow" w:eastAsiaTheme="majorEastAsia" w:hAnsi="Arial Narrow" w:cstheme="majorBidi"/>
                <w:color w:val="000000"/>
                <w:w w:val="15"/>
                <w:sz w:val="20"/>
                <w:shd w:val="solid" w:color="000000" w:fill="000000"/>
                <w:fitText w:val="20" w:id="-694973687"/>
                <w14:textFill>
                  <w14:solidFill>
                    <w14:srgbClr w14:val="000000">
                      <w14:alpha w14:val="100000"/>
                    </w14:srgbClr>
                  </w14:solidFill>
                </w14:textFill>
              </w:rPr>
              <w:t>|</w:t>
            </w:r>
            <w:r w:rsidR="00A268DC" w:rsidRPr="00C0236C">
              <w:rPr>
                <w:rFonts w:ascii="Arial Narrow" w:eastAsiaTheme="majorEastAsia" w:hAnsi="Arial Narrow" w:cstheme="majorBidi" w:hint="eastAsia"/>
                <w:color w:val="000000"/>
                <w:spacing w:val="-46"/>
                <w:w w:val="15"/>
                <w:sz w:val="20"/>
                <w:shd w:val="solid" w:color="000000" w:fill="000000"/>
                <w:fitText w:val="20" w:id="-694973687"/>
                <w14:textFill>
                  <w14:solidFill>
                    <w14:srgbClr w14:val="000000">
                      <w14:alpha w14:val="100000"/>
                    </w14:srgbClr>
                  </w14:solidFill>
                </w14:textFill>
              </w:rPr>
              <w:t xml:space="preserve">　</w:t>
            </w:r>
            <w:r w:rsidRPr="00766AE0">
              <w:rPr>
                <w:rFonts w:ascii="Arial Narrow" w:eastAsiaTheme="majorEastAsia" w:hAnsi="Arial Narrow" w:cstheme="majorBidi"/>
                <w:sz w:val="20"/>
              </w:rPr>
              <w:t>%</w:t>
            </w:r>
          </w:p>
        </w:tc>
      </w:tr>
      <w:tr w:rsidR="008975CB" w:rsidRPr="008975CB" w14:paraId="7D335173" w14:textId="77777777" w:rsidTr="00A268DC">
        <w:tc>
          <w:tcPr>
            <w:tcW w:w="1491" w:type="pct"/>
          </w:tcPr>
          <w:p w14:paraId="0D5B2A76" w14:textId="4F07CCD4" w:rsidR="008975CB" w:rsidRPr="00766AE0" w:rsidRDefault="00F87B86" w:rsidP="00360107">
            <w:pPr>
              <w:jc w:val="left"/>
              <w:rPr>
                <w:rFonts w:ascii="Arial Narrow" w:eastAsiaTheme="majorEastAsia" w:hAnsi="Arial Narrow" w:cs="Times New Roman"/>
                <w:snapToGrid w:val="0"/>
                <w:sz w:val="20"/>
              </w:rPr>
            </w:pPr>
            <w:r>
              <w:rPr>
                <w:rFonts w:ascii="Arial Narrow" w:eastAsiaTheme="majorEastAsia" w:hAnsi="Arial Narrow" w:cs="Times New Roman"/>
                <w:snapToGrid w:val="0"/>
                <w:sz w:val="20"/>
              </w:rPr>
              <w:t xml:space="preserve"> </w:t>
            </w:r>
            <w:r w:rsidR="008975CB" w:rsidRPr="00766AE0">
              <w:rPr>
                <w:rFonts w:ascii="Arial Narrow" w:eastAsiaTheme="majorEastAsia" w:hAnsi="Arial Narrow" w:cs="Times New Roman"/>
                <w:snapToGrid w:val="0"/>
                <w:sz w:val="20"/>
              </w:rPr>
              <w:t>Combination therapy values at</w:t>
            </w:r>
            <w:r w:rsidR="00280FBD">
              <w:rPr>
                <w:rFonts w:ascii="Arial Narrow" w:eastAsiaTheme="majorEastAsia" w:hAnsi="Arial Narrow" w:cs="Times New Roman"/>
                <w:snapToGrid w:val="0"/>
                <w:sz w:val="20"/>
              </w:rPr>
              <w:br/>
            </w:r>
            <w:r>
              <w:rPr>
                <w:rFonts w:ascii="Arial Narrow" w:eastAsiaTheme="majorEastAsia" w:hAnsi="Arial Narrow" w:cs="Times New Roman"/>
                <w:snapToGrid w:val="0"/>
                <w:sz w:val="20"/>
              </w:rPr>
              <w:t xml:space="preserve"> </w:t>
            </w:r>
            <w:r w:rsidR="008975CB" w:rsidRPr="00766AE0">
              <w:rPr>
                <w:rFonts w:ascii="Arial Narrow" w:eastAsiaTheme="majorEastAsia" w:hAnsi="Arial Narrow" w:cs="Times New Roman"/>
                <w:snapToGrid w:val="0"/>
                <w:sz w:val="20"/>
              </w:rPr>
              <w:t>cost of least expensive drug</w:t>
            </w:r>
          </w:p>
        </w:tc>
        <w:tc>
          <w:tcPr>
            <w:tcW w:w="944" w:type="pct"/>
            <w:tcBorders>
              <w:bottom w:val="single" w:sz="4" w:space="0" w:color="auto"/>
            </w:tcBorders>
            <w:shd w:val="solid" w:color="000000" w:fill="000000"/>
          </w:tcPr>
          <w:p w14:paraId="7D78BB44" w14:textId="29613EFB" w:rsidR="008975CB" w:rsidRPr="00262BA4" w:rsidRDefault="00A268DC" w:rsidP="00360107">
            <w:pPr>
              <w:jc w:val="center"/>
              <w:rPr>
                <w:rFonts w:ascii="Arial Narrow" w:eastAsiaTheme="majorEastAsia" w:hAnsi="Arial Narrow" w:cstheme="majorBidi"/>
                <w:sz w:val="20"/>
                <w:highlight w:val="darkGray"/>
              </w:rPr>
            </w:pPr>
            <w:r w:rsidRPr="00A268DC">
              <w:rPr>
                <w:rFonts w:ascii="Arial Narrow" w:eastAsiaTheme="majorEastAsia" w:hAnsi="Arial Narrow" w:cstheme="majorBidi"/>
                <w:color w:val="000000"/>
                <w:sz w:val="20"/>
                <w14:textFill>
                  <w14:solidFill>
                    <w14:srgbClr w14:val="000000">
                      <w14:alpha w14:val="100000"/>
                    </w14:srgbClr>
                  </w14:solidFill>
                </w14:textFill>
              </w:rPr>
              <w:t>|</w:t>
            </w:r>
          </w:p>
        </w:tc>
        <w:tc>
          <w:tcPr>
            <w:tcW w:w="864" w:type="pct"/>
          </w:tcPr>
          <w:p w14:paraId="1BB52E12" w14:textId="77777777" w:rsidR="008975CB" w:rsidRPr="00766AE0" w:rsidRDefault="008975CB" w:rsidP="00360107">
            <w:pPr>
              <w:jc w:val="center"/>
              <w:rPr>
                <w:rFonts w:ascii="Arial Narrow" w:eastAsiaTheme="majorEastAsia" w:hAnsi="Arial Narrow" w:cstheme="majorBidi"/>
                <w:sz w:val="20"/>
              </w:rPr>
            </w:pPr>
            <w:r w:rsidRPr="00766AE0">
              <w:rPr>
                <w:rFonts w:ascii="Arial Narrow" w:eastAsiaTheme="majorEastAsia" w:hAnsi="Arial Narrow" w:cstheme="majorBidi"/>
                <w:sz w:val="20"/>
              </w:rPr>
              <w:t>1.62</w:t>
            </w:r>
          </w:p>
        </w:tc>
        <w:tc>
          <w:tcPr>
            <w:tcW w:w="865" w:type="pct"/>
          </w:tcPr>
          <w:p w14:paraId="10B52084" w14:textId="421B7140" w:rsidR="008975CB" w:rsidRPr="00262BA4" w:rsidRDefault="00A268DC" w:rsidP="00360107">
            <w:pPr>
              <w:jc w:val="center"/>
              <w:rPr>
                <w:rFonts w:ascii="Arial Narrow" w:eastAsiaTheme="majorEastAsia" w:hAnsi="Arial Narrow" w:cstheme="majorBidi"/>
                <w:sz w:val="20"/>
                <w:highlight w:val="darkGray"/>
              </w:rPr>
            </w:pPr>
            <w:r w:rsidRPr="00A268DC">
              <w:rPr>
                <w:rFonts w:ascii="Arial Narrow" w:eastAsiaTheme="majorEastAsia" w:hAnsi="Arial Narrow" w:cstheme="majorBidi"/>
                <w:color w:val="000000"/>
                <w:sz w:val="20"/>
                <w:shd w:val="solid" w:color="000000" w:fill="000000"/>
                <w14:textFill>
                  <w14:solidFill>
                    <w14:srgbClr w14:val="000000">
                      <w14:alpha w14:val="100000"/>
                    </w14:srgbClr>
                  </w14:solidFill>
                </w14:textFill>
              </w:rPr>
              <w:t>|</w:t>
            </w:r>
            <w:r w:rsidR="00321D42" w:rsidRPr="00321D42">
              <w:rPr>
                <w:rFonts w:ascii="Arial Narrow" w:eastAsiaTheme="majorEastAsia" w:hAnsi="Arial Narrow" w:cstheme="majorBidi"/>
                <w:b/>
                <w:sz w:val="20"/>
                <w:vertAlign w:val="superscript"/>
              </w:rPr>
              <w:t>1</w:t>
            </w:r>
          </w:p>
        </w:tc>
        <w:tc>
          <w:tcPr>
            <w:tcW w:w="836" w:type="pct"/>
          </w:tcPr>
          <w:p w14:paraId="0FAD0F5E" w14:textId="2F934D10" w:rsidR="008975CB" w:rsidRPr="00766AE0" w:rsidRDefault="008975CB" w:rsidP="00360107">
            <w:pPr>
              <w:jc w:val="center"/>
              <w:rPr>
                <w:rFonts w:ascii="Arial Narrow" w:eastAsiaTheme="majorEastAsia" w:hAnsi="Arial Narrow" w:cstheme="majorBidi"/>
                <w:sz w:val="20"/>
              </w:rPr>
            </w:pPr>
            <w:r w:rsidRPr="00766AE0">
              <w:rPr>
                <w:rFonts w:ascii="Arial Narrow" w:eastAsiaTheme="majorEastAsia" w:hAnsi="Arial Narrow" w:cstheme="majorBidi"/>
                <w:sz w:val="20"/>
              </w:rPr>
              <w:t>+</w:t>
            </w:r>
            <w:r w:rsidR="00A268DC" w:rsidRPr="00C0236C">
              <w:rPr>
                <w:rFonts w:ascii="Arial Narrow" w:eastAsiaTheme="majorEastAsia" w:hAnsi="Arial Narrow" w:cstheme="majorBidi" w:hint="eastAsia"/>
                <w:color w:val="000000"/>
                <w:w w:val="15"/>
                <w:sz w:val="20"/>
                <w:shd w:val="solid" w:color="000000" w:fill="000000"/>
                <w:fitText w:val="20" w:id="-694973686"/>
                <w14:textFill>
                  <w14:solidFill>
                    <w14:srgbClr w14:val="000000">
                      <w14:alpha w14:val="100000"/>
                    </w14:srgbClr>
                  </w14:solidFill>
                </w14:textFill>
              </w:rPr>
              <w:t xml:space="preserve">　</w:t>
            </w:r>
            <w:r w:rsidR="00A268DC" w:rsidRPr="00C0236C">
              <w:rPr>
                <w:rFonts w:ascii="Arial Narrow" w:eastAsiaTheme="majorEastAsia" w:hAnsi="Arial Narrow" w:cstheme="majorBidi"/>
                <w:color w:val="000000"/>
                <w:w w:val="15"/>
                <w:sz w:val="20"/>
                <w:shd w:val="solid" w:color="000000" w:fill="000000"/>
                <w:fitText w:val="20" w:id="-694973686"/>
                <w14:textFill>
                  <w14:solidFill>
                    <w14:srgbClr w14:val="000000">
                      <w14:alpha w14:val="100000"/>
                    </w14:srgbClr>
                  </w14:solidFill>
                </w14:textFill>
              </w:rPr>
              <w:t>|</w:t>
            </w:r>
            <w:r w:rsidR="00A268DC" w:rsidRPr="00C0236C">
              <w:rPr>
                <w:rFonts w:ascii="Arial Narrow" w:eastAsiaTheme="majorEastAsia" w:hAnsi="Arial Narrow" w:cstheme="majorBidi" w:hint="eastAsia"/>
                <w:color w:val="000000"/>
                <w:spacing w:val="-46"/>
                <w:w w:val="15"/>
                <w:sz w:val="20"/>
                <w:shd w:val="solid" w:color="000000" w:fill="000000"/>
                <w:fitText w:val="20" w:id="-694973686"/>
                <w14:textFill>
                  <w14:solidFill>
                    <w14:srgbClr w14:val="000000">
                      <w14:alpha w14:val="100000"/>
                    </w14:srgbClr>
                  </w14:solidFill>
                </w14:textFill>
              </w:rPr>
              <w:t xml:space="preserve">　</w:t>
            </w:r>
            <w:r w:rsidRPr="00766AE0">
              <w:rPr>
                <w:rFonts w:ascii="Arial Narrow" w:eastAsiaTheme="majorEastAsia" w:hAnsi="Arial Narrow" w:cstheme="majorBidi"/>
                <w:sz w:val="20"/>
              </w:rPr>
              <w:t>%</w:t>
            </w:r>
          </w:p>
        </w:tc>
      </w:tr>
      <w:tr w:rsidR="008975CB" w:rsidRPr="008975CB" w14:paraId="2EBE9ED0" w14:textId="77777777" w:rsidTr="00A268DC">
        <w:tc>
          <w:tcPr>
            <w:tcW w:w="1491" w:type="pct"/>
          </w:tcPr>
          <w:p w14:paraId="34C8B3D8" w14:textId="281B4A65" w:rsidR="008975CB" w:rsidRPr="00766AE0" w:rsidRDefault="00F87B86" w:rsidP="00360107">
            <w:pPr>
              <w:jc w:val="left"/>
              <w:rPr>
                <w:rFonts w:ascii="Arial Narrow" w:eastAsiaTheme="majorEastAsia" w:hAnsi="Arial Narrow" w:cs="Times New Roman"/>
                <w:snapToGrid w:val="0"/>
                <w:sz w:val="20"/>
              </w:rPr>
            </w:pPr>
            <w:r>
              <w:rPr>
                <w:rFonts w:ascii="Arial Narrow" w:eastAsiaTheme="majorEastAsia" w:hAnsi="Arial Narrow" w:cs="Times New Roman"/>
                <w:snapToGrid w:val="0"/>
                <w:sz w:val="20"/>
              </w:rPr>
              <w:t xml:space="preserve"> </w:t>
            </w:r>
            <w:r w:rsidR="008975CB" w:rsidRPr="00766AE0">
              <w:rPr>
                <w:rFonts w:ascii="Arial Narrow" w:eastAsiaTheme="majorEastAsia" w:hAnsi="Arial Narrow" w:cs="Times New Roman"/>
                <w:snapToGrid w:val="0"/>
                <w:sz w:val="20"/>
              </w:rPr>
              <w:t xml:space="preserve">Ratio of peginterferon </w:t>
            </w:r>
            <w:r w:rsidR="008975CB" w:rsidRPr="00766AE0">
              <w:rPr>
                <w:rFonts w:ascii="Arial Narrow" w:hAnsi="Arial Narrow" w:cs="Times New Roman"/>
                <w:snapToGrid w:val="0"/>
                <w:sz w:val="20"/>
              </w:rPr>
              <w:t>α</w:t>
            </w:r>
            <w:r w:rsidR="008975CB" w:rsidRPr="00766AE0">
              <w:rPr>
                <w:rFonts w:ascii="Arial Narrow" w:eastAsiaTheme="majorEastAsia" w:hAnsi="Arial Narrow" w:cs="Times New Roman"/>
                <w:snapToGrid w:val="0"/>
                <w:sz w:val="20"/>
              </w:rPr>
              <w:t xml:space="preserve">-2a to </w:t>
            </w:r>
            <w:r w:rsidR="00280FBD">
              <w:rPr>
                <w:rFonts w:ascii="Arial Narrow" w:eastAsiaTheme="majorEastAsia" w:hAnsi="Arial Narrow" w:cs="Times New Roman"/>
                <w:snapToGrid w:val="0"/>
                <w:sz w:val="20"/>
              </w:rPr>
              <w:br/>
            </w:r>
            <w:r>
              <w:rPr>
                <w:rFonts w:ascii="Arial Narrow" w:eastAsiaTheme="majorEastAsia" w:hAnsi="Arial Narrow" w:cs="Times New Roman"/>
                <w:snapToGrid w:val="0"/>
                <w:sz w:val="20"/>
              </w:rPr>
              <w:t xml:space="preserve"> </w:t>
            </w:r>
            <w:r w:rsidR="008975CB" w:rsidRPr="00766AE0">
              <w:rPr>
                <w:rFonts w:ascii="Arial Narrow" w:eastAsiaTheme="majorEastAsia" w:hAnsi="Arial Narrow" w:cs="Times New Roman"/>
                <w:snapToGrid w:val="0"/>
                <w:sz w:val="20"/>
              </w:rPr>
              <w:t>HC/HU (16/84)</w:t>
            </w:r>
          </w:p>
        </w:tc>
        <w:tc>
          <w:tcPr>
            <w:tcW w:w="944" w:type="pct"/>
            <w:tcBorders>
              <w:bottom w:val="single" w:sz="4" w:space="0" w:color="auto"/>
            </w:tcBorders>
            <w:shd w:val="solid" w:color="000000" w:fill="000000"/>
          </w:tcPr>
          <w:p w14:paraId="12A8441B" w14:textId="64CB8C44" w:rsidR="008975CB" w:rsidRPr="00262BA4" w:rsidRDefault="00A268DC" w:rsidP="00360107">
            <w:pPr>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bCs/>
                <w:color w:val="000000"/>
                <w:sz w:val="20"/>
                <w14:textFill>
                  <w14:solidFill>
                    <w14:srgbClr w14:val="000000">
                      <w14:alpha w14:val="100000"/>
                    </w14:srgbClr>
                  </w14:solidFill>
                </w14:textFill>
              </w:rPr>
              <w:t>|</w:t>
            </w:r>
          </w:p>
        </w:tc>
        <w:tc>
          <w:tcPr>
            <w:tcW w:w="864" w:type="pct"/>
          </w:tcPr>
          <w:p w14:paraId="5C498318" w14:textId="77777777" w:rsidR="008975CB" w:rsidRPr="00766AE0" w:rsidRDefault="008975CB" w:rsidP="00360107">
            <w:pPr>
              <w:jc w:val="center"/>
              <w:rPr>
                <w:rFonts w:ascii="Arial Narrow" w:eastAsiaTheme="majorEastAsia" w:hAnsi="Arial Narrow" w:cstheme="majorBidi"/>
                <w:bCs/>
                <w:sz w:val="20"/>
              </w:rPr>
            </w:pPr>
            <w:r w:rsidRPr="00766AE0">
              <w:rPr>
                <w:rFonts w:ascii="Arial Narrow" w:eastAsiaTheme="majorEastAsia" w:hAnsi="Arial Narrow" w:cstheme="majorBidi"/>
                <w:bCs/>
                <w:sz w:val="20"/>
              </w:rPr>
              <w:t>1.62</w:t>
            </w:r>
          </w:p>
        </w:tc>
        <w:tc>
          <w:tcPr>
            <w:tcW w:w="865" w:type="pct"/>
          </w:tcPr>
          <w:p w14:paraId="0B370DE8" w14:textId="0343270D" w:rsidR="008975CB" w:rsidRPr="00262BA4" w:rsidRDefault="00A268DC" w:rsidP="00360107">
            <w:pPr>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321D42" w:rsidRPr="00321D42">
              <w:rPr>
                <w:rFonts w:ascii="Arial Narrow" w:eastAsiaTheme="majorEastAsia" w:hAnsi="Arial Narrow" w:cstheme="majorBidi"/>
                <w:b/>
                <w:sz w:val="20"/>
                <w:vertAlign w:val="superscript"/>
              </w:rPr>
              <w:t>1</w:t>
            </w:r>
          </w:p>
        </w:tc>
        <w:tc>
          <w:tcPr>
            <w:tcW w:w="836" w:type="pct"/>
          </w:tcPr>
          <w:p w14:paraId="5A1D3D1E" w14:textId="1B4D5AD0" w:rsidR="008975CB" w:rsidRPr="00766AE0" w:rsidRDefault="008975CB" w:rsidP="00360107">
            <w:pPr>
              <w:jc w:val="center"/>
              <w:rPr>
                <w:rFonts w:ascii="Arial Narrow" w:eastAsiaTheme="majorEastAsia" w:hAnsi="Arial Narrow" w:cstheme="majorBidi"/>
                <w:bCs/>
                <w:sz w:val="20"/>
              </w:rPr>
            </w:pPr>
            <w:r w:rsidRPr="00766AE0">
              <w:rPr>
                <w:rFonts w:ascii="Arial Narrow" w:eastAsiaTheme="majorEastAsia" w:hAnsi="Arial Narrow" w:cstheme="majorBidi"/>
                <w:bCs/>
                <w:sz w:val="20"/>
              </w:rPr>
              <w:t>+</w:t>
            </w:r>
            <w:r w:rsidR="00A268DC" w:rsidRPr="00C0236C">
              <w:rPr>
                <w:rFonts w:ascii="Arial Narrow" w:eastAsiaTheme="majorEastAsia" w:hAnsi="Arial Narrow" w:cstheme="majorBidi" w:hint="eastAsia"/>
                <w:bCs/>
                <w:color w:val="000000"/>
                <w:w w:val="15"/>
                <w:sz w:val="20"/>
                <w:shd w:val="solid" w:color="000000" w:fill="000000"/>
                <w:fitText w:val="20" w:id="-694973685"/>
                <w14:textFill>
                  <w14:solidFill>
                    <w14:srgbClr w14:val="000000">
                      <w14:alpha w14:val="100000"/>
                    </w14:srgbClr>
                  </w14:solidFill>
                </w14:textFill>
              </w:rPr>
              <w:t xml:space="preserve">　</w:t>
            </w:r>
            <w:r w:rsidR="00A268DC" w:rsidRPr="00C0236C">
              <w:rPr>
                <w:rFonts w:ascii="Arial Narrow" w:eastAsiaTheme="majorEastAsia" w:hAnsi="Arial Narrow" w:cstheme="majorBidi"/>
                <w:bCs/>
                <w:color w:val="000000"/>
                <w:w w:val="15"/>
                <w:sz w:val="20"/>
                <w:shd w:val="solid" w:color="000000" w:fill="000000"/>
                <w:fitText w:val="20" w:id="-694973685"/>
                <w14:textFill>
                  <w14:solidFill>
                    <w14:srgbClr w14:val="000000">
                      <w14:alpha w14:val="100000"/>
                    </w14:srgbClr>
                  </w14:solidFill>
                </w14:textFill>
              </w:rPr>
              <w:t>|</w:t>
            </w:r>
            <w:r w:rsidR="00A268DC" w:rsidRPr="00C0236C">
              <w:rPr>
                <w:rFonts w:ascii="Arial Narrow" w:eastAsiaTheme="majorEastAsia" w:hAnsi="Arial Narrow" w:cstheme="majorBidi" w:hint="eastAsia"/>
                <w:bCs/>
                <w:color w:val="000000"/>
                <w:spacing w:val="-46"/>
                <w:w w:val="15"/>
                <w:sz w:val="20"/>
                <w:shd w:val="solid" w:color="000000" w:fill="000000"/>
                <w:fitText w:val="20" w:id="-694973685"/>
                <w14:textFill>
                  <w14:solidFill>
                    <w14:srgbClr w14:val="000000">
                      <w14:alpha w14:val="100000"/>
                    </w14:srgbClr>
                  </w14:solidFill>
                </w14:textFill>
              </w:rPr>
              <w:t xml:space="preserve">　</w:t>
            </w:r>
            <w:r w:rsidRPr="00766AE0">
              <w:rPr>
                <w:rFonts w:ascii="Arial Narrow" w:eastAsiaTheme="majorEastAsia" w:hAnsi="Arial Narrow" w:cstheme="majorBidi"/>
                <w:bCs/>
                <w:sz w:val="20"/>
              </w:rPr>
              <w:t>%</w:t>
            </w:r>
          </w:p>
        </w:tc>
      </w:tr>
      <w:tr w:rsidR="008975CB" w:rsidRPr="008975CB" w14:paraId="147B7FA3" w14:textId="77777777" w:rsidTr="00A268DC">
        <w:tc>
          <w:tcPr>
            <w:tcW w:w="1491" w:type="pct"/>
          </w:tcPr>
          <w:p w14:paraId="61DF4F27" w14:textId="0B6819FA" w:rsidR="008975CB" w:rsidRPr="00766AE0" w:rsidRDefault="00F87B86" w:rsidP="00360107">
            <w:pPr>
              <w:jc w:val="left"/>
              <w:rPr>
                <w:rFonts w:ascii="Arial Narrow" w:eastAsiaTheme="majorEastAsia" w:hAnsi="Arial Narrow" w:cs="Times New Roman"/>
                <w:snapToGrid w:val="0"/>
                <w:sz w:val="20"/>
              </w:rPr>
            </w:pPr>
            <w:r>
              <w:rPr>
                <w:rFonts w:ascii="Arial Narrow" w:eastAsiaTheme="majorEastAsia" w:hAnsi="Arial Narrow" w:cs="Times New Roman"/>
                <w:snapToGrid w:val="0"/>
                <w:sz w:val="20"/>
              </w:rPr>
              <w:t xml:space="preserve"> </w:t>
            </w:r>
            <w:r w:rsidR="008975CB" w:rsidRPr="00766AE0">
              <w:rPr>
                <w:rFonts w:ascii="Arial Narrow" w:eastAsiaTheme="majorEastAsia" w:hAnsi="Arial Narrow" w:cs="Times New Roman"/>
                <w:snapToGrid w:val="0"/>
                <w:sz w:val="20"/>
              </w:rPr>
              <w:t xml:space="preserve">Ratio of peginterferon </w:t>
            </w:r>
            <w:r w:rsidR="008975CB" w:rsidRPr="00766AE0">
              <w:rPr>
                <w:rFonts w:ascii="Arial Narrow" w:hAnsi="Arial Narrow" w:cs="Times New Roman"/>
                <w:snapToGrid w:val="0"/>
                <w:sz w:val="20"/>
              </w:rPr>
              <w:t>α</w:t>
            </w:r>
            <w:r w:rsidR="008975CB" w:rsidRPr="00766AE0">
              <w:rPr>
                <w:rFonts w:ascii="Arial Narrow" w:eastAsiaTheme="majorEastAsia" w:hAnsi="Arial Narrow" w:cs="Times New Roman"/>
                <w:snapToGrid w:val="0"/>
                <w:sz w:val="20"/>
              </w:rPr>
              <w:t xml:space="preserve">-2a to </w:t>
            </w:r>
            <w:r w:rsidR="00280FBD">
              <w:rPr>
                <w:rFonts w:ascii="Arial Narrow" w:eastAsiaTheme="majorEastAsia" w:hAnsi="Arial Narrow" w:cs="Times New Roman"/>
                <w:snapToGrid w:val="0"/>
                <w:sz w:val="20"/>
              </w:rPr>
              <w:br/>
            </w:r>
            <w:r>
              <w:rPr>
                <w:rFonts w:ascii="Arial Narrow" w:eastAsiaTheme="majorEastAsia" w:hAnsi="Arial Narrow" w:cs="Times New Roman"/>
                <w:snapToGrid w:val="0"/>
                <w:sz w:val="20"/>
              </w:rPr>
              <w:t xml:space="preserve"> </w:t>
            </w:r>
            <w:r w:rsidR="008975CB" w:rsidRPr="00766AE0">
              <w:rPr>
                <w:rFonts w:ascii="Arial Narrow" w:eastAsiaTheme="majorEastAsia" w:hAnsi="Arial Narrow" w:cs="Times New Roman"/>
                <w:snapToGrid w:val="0"/>
                <w:sz w:val="20"/>
              </w:rPr>
              <w:t>HC/HU (21/79)</w:t>
            </w:r>
          </w:p>
        </w:tc>
        <w:tc>
          <w:tcPr>
            <w:tcW w:w="944" w:type="pct"/>
            <w:shd w:val="solid" w:color="000000" w:fill="000000"/>
          </w:tcPr>
          <w:p w14:paraId="4EEC70D8" w14:textId="152D6853" w:rsidR="008975CB" w:rsidRPr="00262BA4" w:rsidRDefault="00A268DC" w:rsidP="00360107">
            <w:pPr>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bCs/>
                <w:color w:val="000000"/>
                <w:sz w:val="20"/>
                <w14:textFill>
                  <w14:solidFill>
                    <w14:srgbClr w14:val="000000">
                      <w14:alpha w14:val="100000"/>
                    </w14:srgbClr>
                  </w14:solidFill>
                </w14:textFill>
              </w:rPr>
              <w:t>|</w:t>
            </w:r>
          </w:p>
        </w:tc>
        <w:tc>
          <w:tcPr>
            <w:tcW w:w="864" w:type="pct"/>
          </w:tcPr>
          <w:p w14:paraId="5FB1FAF7" w14:textId="77777777" w:rsidR="008975CB" w:rsidRPr="00766AE0" w:rsidRDefault="008975CB" w:rsidP="00360107">
            <w:pPr>
              <w:jc w:val="center"/>
              <w:rPr>
                <w:rFonts w:ascii="Arial Narrow" w:eastAsiaTheme="majorEastAsia" w:hAnsi="Arial Narrow" w:cstheme="majorBidi"/>
                <w:bCs/>
                <w:sz w:val="20"/>
              </w:rPr>
            </w:pPr>
            <w:r w:rsidRPr="00766AE0">
              <w:rPr>
                <w:rFonts w:ascii="Arial Narrow" w:eastAsiaTheme="majorEastAsia" w:hAnsi="Arial Narrow" w:cstheme="majorBidi"/>
                <w:bCs/>
                <w:sz w:val="20"/>
              </w:rPr>
              <w:t>1.62</w:t>
            </w:r>
          </w:p>
        </w:tc>
        <w:tc>
          <w:tcPr>
            <w:tcW w:w="865" w:type="pct"/>
          </w:tcPr>
          <w:p w14:paraId="49F5B02B" w14:textId="313285B5" w:rsidR="008975CB" w:rsidRPr="00262BA4" w:rsidRDefault="00A268DC" w:rsidP="00360107">
            <w:pPr>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321D42" w:rsidRPr="00321D42">
              <w:rPr>
                <w:rFonts w:ascii="Arial Narrow" w:eastAsiaTheme="majorEastAsia" w:hAnsi="Arial Narrow" w:cstheme="majorBidi"/>
                <w:b/>
                <w:sz w:val="20"/>
                <w:vertAlign w:val="superscript"/>
              </w:rPr>
              <w:t>1</w:t>
            </w:r>
          </w:p>
        </w:tc>
        <w:tc>
          <w:tcPr>
            <w:tcW w:w="836" w:type="pct"/>
          </w:tcPr>
          <w:p w14:paraId="717444AC" w14:textId="6AF508B3" w:rsidR="008975CB" w:rsidRPr="00766AE0" w:rsidRDefault="008975CB" w:rsidP="00360107">
            <w:pPr>
              <w:jc w:val="center"/>
              <w:rPr>
                <w:rFonts w:ascii="Arial Narrow" w:eastAsiaTheme="majorEastAsia" w:hAnsi="Arial Narrow" w:cstheme="majorBidi"/>
                <w:sz w:val="20"/>
              </w:rPr>
            </w:pPr>
            <w:r w:rsidRPr="00766AE0">
              <w:rPr>
                <w:rFonts w:ascii="Arial Narrow" w:eastAsiaTheme="majorEastAsia" w:hAnsi="Arial Narrow" w:cstheme="majorBidi"/>
                <w:sz w:val="20"/>
              </w:rPr>
              <w:t>+</w:t>
            </w:r>
            <w:r w:rsidR="00A268DC" w:rsidRPr="00C0236C">
              <w:rPr>
                <w:rFonts w:ascii="Arial Narrow" w:eastAsiaTheme="majorEastAsia" w:hAnsi="Arial Narrow" w:cstheme="majorBidi" w:hint="eastAsia"/>
                <w:color w:val="000000"/>
                <w:w w:val="15"/>
                <w:sz w:val="20"/>
                <w:shd w:val="solid" w:color="000000" w:fill="000000"/>
                <w:fitText w:val="20" w:id="-694973684"/>
                <w14:textFill>
                  <w14:solidFill>
                    <w14:srgbClr w14:val="000000">
                      <w14:alpha w14:val="100000"/>
                    </w14:srgbClr>
                  </w14:solidFill>
                </w14:textFill>
              </w:rPr>
              <w:t xml:space="preserve">　</w:t>
            </w:r>
            <w:r w:rsidR="00A268DC" w:rsidRPr="00C0236C">
              <w:rPr>
                <w:rFonts w:ascii="Arial Narrow" w:eastAsiaTheme="majorEastAsia" w:hAnsi="Arial Narrow" w:cstheme="majorBidi"/>
                <w:color w:val="000000"/>
                <w:w w:val="15"/>
                <w:sz w:val="20"/>
                <w:shd w:val="solid" w:color="000000" w:fill="000000"/>
                <w:fitText w:val="20" w:id="-694973684"/>
                <w14:textFill>
                  <w14:solidFill>
                    <w14:srgbClr w14:val="000000">
                      <w14:alpha w14:val="100000"/>
                    </w14:srgbClr>
                  </w14:solidFill>
                </w14:textFill>
              </w:rPr>
              <w:t>|</w:t>
            </w:r>
            <w:r w:rsidR="00A268DC" w:rsidRPr="00C0236C">
              <w:rPr>
                <w:rFonts w:ascii="Arial Narrow" w:eastAsiaTheme="majorEastAsia" w:hAnsi="Arial Narrow" w:cstheme="majorBidi" w:hint="eastAsia"/>
                <w:color w:val="000000"/>
                <w:spacing w:val="-46"/>
                <w:w w:val="15"/>
                <w:sz w:val="20"/>
                <w:shd w:val="solid" w:color="000000" w:fill="000000"/>
                <w:fitText w:val="20" w:id="-694973684"/>
                <w14:textFill>
                  <w14:solidFill>
                    <w14:srgbClr w14:val="000000">
                      <w14:alpha w14:val="100000"/>
                    </w14:srgbClr>
                  </w14:solidFill>
                </w14:textFill>
              </w:rPr>
              <w:t xml:space="preserve">　</w:t>
            </w:r>
            <w:r w:rsidRPr="00766AE0">
              <w:rPr>
                <w:rFonts w:ascii="Arial Narrow" w:eastAsiaTheme="majorEastAsia" w:hAnsi="Arial Narrow" w:cstheme="majorBidi"/>
                <w:sz w:val="20"/>
              </w:rPr>
              <w:t>%</w:t>
            </w:r>
          </w:p>
        </w:tc>
      </w:tr>
      <w:tr w:rsidR="008975CB" w:rsidRPr="00567618" w14:paraId="7BD5FDB6" w14:textId="77777777" w:rsidTr="0910F2D2">
        <w:tc>
          <w:tcPr>
            <w:tcW w:w="5000" w:type="pct"/>
            <w:gridSpan w:val="5"/>
          </w:tcPr>
          <w:p w14:paraId="60DC3B26" w14:textId="77777777" w:rsidR="008975CB" w:rsidRPr="00766AE0" w:rsidRDefault="008975CB" w:rsidP="00360107">
            <w:pPr>
              <w:jc w:val="left"/>
              <w:rPr>
                <w:rFonts w:ascii="Arial Narrow" w:eastAsiaTheme="majorEastAsia" w:hAnsi="Arial Narrow" w:cstheme="majorBidi"/>
                <w:b/>
                <w:sz w:val="20"/>
              </w:rPr>
            </w:pPr>
            <w:r w:rsidRPr="00766AE0">
              <w:rPr>
                <w:rFonts w:ascii="Arial Narrow" w:eastAsiaTheme="majorEastAsia" w:hAnsi="Arial Narrow" w:cstheme="majorBidi"/>
                <w:b/>
                <w:sz w:val="20"/>
              </w:rPr>
              <w:t>Treatment effectiveness against key events</w:t>
            </w:r>
          </w:p>
        </w:tc>
      </w:tr>
      <w:tr w:rsidR="008975CB" w:rsidRPr="00567618" w14:paraId="6C9803FD" w14:textId="77777777" w:rsidTr="00A268DC">
        <w:tc>
          <w:tcPr>
            <w:tcW w:w="1491" w:type="pct"/>
          </w:tcPr>
          <w:p w14:paraId="5B73384F" w14:textId="634E28D5" w:rsidR="008975CB" w:rsidRPr="00766AE0" w:rsidRDefault="00F87B86" w:rsidP="00360107">
            <w:pPr>
              <w:jc w:val="left"/>
              <w:rPr>
                <w:rFonts w:ascii="Arial Narrow" w:eastAsiaTheme="majorEastAsia" w:hAnsi="Arial Narrow" w:cs="Times New Roman"/>
                <w:snapToGrid w:val="0"/>
                <w:sz w:val="20"/>
              </w:rPr>
            </w:pPr>
            <w:r>
              <w:rPr>
                <w:rFonts w:ascii="Arial Narrow" w:eastAsiaTheme="majorEastAsia" w:hAnsi="Arial Narrow" w:cs="Times New Roman"/>
                <w:snapToGrid w:val="0"/>
                <w:sz w:val="20"/>
              </w:rPr>
              <w:t xml:space="preserve"> </w:t>
            </w:r>
            <w:r w:rsidR="008975CB" w:rsidRPr="00766AE0">
              <w:rPr>
                <w:rFonts w:ascii="Arial Narrow" w:eastAsiaTheme="majorEastAsia" w:hAnsi="Arial Narrow" w:cs="Times New Roman"/>
                <w:snapToGrid w:val="0"/>
                <w:sz w:val="20"/>
              </w:rPr>
              <w:t>TE (IRR=1)</w:t>
            </w:r>
          </w:p>
        </w:tc>
        <w:tc>
          <w:tcPr>
            <w:tcW w:w="944" w:type="pct"/>
            <w:tcBorders>
              <w:bottom w:val="single" w:sz="4" w:space="0" w:color="auto"/>
            </w:tcBorders>
            <w:shd w:val="solid" w:color="000000" w:fill="000000"/>
          </w:tcPr>
          <w:p w14:paraId="6E441F04" w14:textId="5FCD8216" w:rsidR="008975CB" w:rsidRPr="00262BA4" w:rsidRDefault="00A268DC" w:rsidP="00360107">
            <w:pPr>
              <w:jc w:val="center"/>
              <w:rPr>
                <w:rFonts w:ascii="Arial Narrow" w:eastAsiaTheme="majorEastAsia" w:hAnsi="Arial Narrow" w:cstheme="majorBidi"/>
                <w:sz w:val="20"/>
                <w:highlight w:val="darkGray"/>
              </w:rPr>
            </w:pPr>
            <w:r w:rsidRPr="00A268DC">
              <w:rPr>
                <w:rFonts w:ascii="Arial Narrow" w:eastAsiaTheme="majorEastAsia" w:hAnsi="Arial Narrow" w:cstheme="majorBidi"/>
                <w:color w:val="000000"/>
                <w:sz w:val="20"/>
                <w14:textFill>
                  <w14:solidFill>
                    <w14:srgbClr w14:val="000000">
                      <w14:alpha w14:val="100000"/>
                    </w14:srgbClr>
                  </w14:solidFill>
                </w14:textFill>
              </w:rPr>
              <w:t>|</w:t>
            </w:r>
          </w:p>
        </w:tc>
        <w:tc>
          <w:tcPr>
            <w:tcW w:w="864" w:type="pct"/>
          </w:tcPr>
          <w:p w14:paraId="4666C102" w14:textId="77777777" w:rsidR="008975CB" w:rsidRPr="00766AE0" w:rsidRDefault="008975CB" w:rsidP="00360107">
            <w:pPr>
              <w:jc w:val="center"/>
              <w:rPr>
                <w:rFonts w:ascii="Arial Narrow" w:eastAsiaTheme="majorEastAsia" w:hAnsi="Arial Narrow" w:cstheme="majorBidi"/>
                <w:sz w:val="20"/>
              </w:rPr>
            </w:pPr>
            <w:r w:rsidRPr="00766AE0">
              <w:rPr>
                <w:rFonts w:ascii="Arial Narrow" w:eastAsiaTheme="majorEastAsia" w:hAnsi="Arial Narrow" w:cstheme="majorBidi"/>
                <w:sz w:val="20"/>
              </w:rPr>
              <w:t>1.60</w:t>
            </w:r>
          </w:p>
        </w:tc>
        <w:tc>
          <w:tcPr>
            <w:tcW w:w="865" w:type="pct"/>
          </w:tcPr>
          <w:p w14:paraId="6F073A92" w14:textId="5C4A4A76" w:rsidR="008975CB" w:rsidRPr="00262BA4" w:rsidRDefault="00A268DC" w:rsidP="00360107">
            <w:pPr>
              <w:jc w:val="center"/>
              <w:rPr>
                <w:rFonts w:ascii="Arial Narrow" w:eastAsiaTheme="majorEastAsia" w:hAnsi="Arial Narrow" w:cstheme="majorBidi"/>
                <w:sz w:val="20"/>
                <w:highlight w:val="darkGray"/>
              </w:rPr>
            </w:pPr>
            <w:r w:rsidRPr="00A268DC">
              <w:rPr>
                <w:rFonts w:ascii="Arial Narrow" w:eastAsiaTheme="majorEastAsia" w:hAnsi="Arial Narrow" w:cstheme="majorBidi"/>
                <w:color w:val="000000"/>
                <w:sz w:val="20"/>
                <w:shd w:val="solid" w:color="000000" w:fill="000000"/>
                <w14:textFill>
                  <w14:solidFill>
                    <w14:srgbClr w14:val="000000">
                      <w14:alpha w14:val="100000"/>
                    </w14:srgbClr>
                  </w14:solidFill>
                </w14:textFill>
              </w:rPr>
              <w:t>|</w:t>
            </w:r>
            <w:r w:rsidR="00321D42" w:rsidRPr="00321D42">
              <w:rPr>
                <w:rFonts w:ascii="Arial Narrow" w:eastAsiaTheme="majorEastAsia" w:hAnsi="Arial Narrow" w:cstheme="majorBidi"/>
                <w:b/>
                <w:sz w:val="20"/>
                <w:vertAlign w:val="superscript"/>
              </w:rPr>
              <w:t>1</w:t>
            </w:r>
          </w:p>
        </w:tc>
        <w:tc>
          <w:tcPr>
            <w:tcW w:w="836" w:type="pct"/>
          </w:tcPr>
          <w:p w14:paraId="035EF2DF" w14:textId="16BD7ECE" w:rsidR="008975CB" w:rsidRPr="00766AE0" w:rsidRDefault="008975CB" w:rsidP="00360107">
            <w:pPr>
              <w:jc w:val="center"/>
              <w:rPr>
                <w:rFonts w:ascii="Arial Narrow" w:eastAsiaTheme="majorEastAsia" w:hAnsi="Arial Narrow" w:cstheme="majorBidi"/>
                <w:sz w:val="20"/>
              </w:rPr>
            </w:pPr>
            <w:r w:rsidRPr="00766AE0">
              <w:rPr>
                <w:rFonts w:ascii="Arial Narrow" w:eastAsiaTheme="majorEastAsia" w:hAnsi="Arial Narrow" w:cstheme="majorBidi"/>
                <w:sz w:val="20"/>
              </w:rPr>
              <w:t>+</w:t>
            </w:r>
            <w:r w:rsidR="00A268DC" w:rsidRPr="00C0236C">
              <w:rPr>
                <w:rFonts w:ascii="Arial Narrow" w:eastAsiaTheme="majorEastAsia" w:hAnsi="Arial Narrow" w:cstheme="majorBidi" w:hint="eastAsia"/>
                <w:color w:val="000000"/>
                <w:w w:val="15"/>
                <w:sz w:val="20"/>
                <w:shd w:val="solid" w:color="000000" w:fill="000000"/>
                <w:fitText w:val="20" w:id="-694973440"/>
                <w14:textFill>
                  <w14:solidFill>
                    <w14:srgbClr w14:val="000000">
                      <w14:alpha w14:val="100000"/>
                    </w14:srgbClr>
                  </w14:solidFill>
                </w14:textFill>
              </w:rPr>
              <w:t xml:space="preserve">　</w:t>
            </w:r>
            <w:r w:rsidR="00A268DC" w:rsidRPr="00C0236C">
              <w:rPr>
                <w:rFonts w:ascii="Arial Narrow" w:eastAsiaTheme="majorEastAsia" w:hAnsi="Arial Narrow" w:cstheme="majorBidi"/>
                <w:color w:val="000000"/>
                <w:w w:val="15"/>
                <w:sz w:val="20"/>
                <w:shd w:val="solid" w:color="000000" w:fill="000000"/>
                <w:fitText w:val="20" w:id="-694973440"/>
                <w14:textFill>
                  <w14:solidFill>
                    <w14:srgbClr w14:val="000000">
                      <w14:alpha w14:val="100000"/>
                    </w14:srgbClr>
                  </w14:solidFill>
                </w14:textFill>
              </w:rPr>
              <w:t>|</w:t>
            </w:r>
            <w:r w:rsidR="00A268DC" w:rsidRPr="00C0236C">
              <w:rPr>
                <w:rFonts w:ascii="Arial Narrow" w:eastAsiaTheme="majorEastAsia" w:hAnsi="Arial Narrow" w:cstheme="majorBidi" w:hint="eastAsia"/>
                <w:color w:val="000000"/>
                <w:spacing w:val="-46"/>
                <w:w w:val="15"/>
                <w:sz w:val="20"/>
                <w:shd w:val="solid" w:color="000000" w:fill="000000"/>
                <w:fitText w:val="20" w:id="-694973440"/>
                <w14:textFill>
                  <w14:solidFill>
                    <w14:srgbClr w14:val="000000">
                      <w14:alpha w14:val="100000"/>
                    </w14:srgbClr>
                  </w14:solidFill>
                </w14:textFill>
              </w:rPr>
              <w:t xml:space="preserve">　</w:t>
            </w:r>
            <w:r w:rsidRPr="00766AE0">
              <w:rPr>
                <w:rFonts w:ascii="Arial Narrow" w:eastAsiaTheme="majorEastAsia" w:hAnsi="Arial Narrow" w:cstheme="majorBidi"/>
                <w:sz w:val="20"/>
              </w:rPr>
              <w:t>%</w:t>
            </w:r>
          </w:p>
        </w:tc>
      </w:tr>
      <w:tr w:rsidR="008975CB" w:rsidRPr="00567618" w14:paraId="06E711ED" w14:textId="77777777" w:rsidTr="00A268DC">
        <w:tc>
          <w:tcPr>
            <w:tcW w:w="1491" w:type="pct"/>
          </w:tcPr>
          <w:p w14:paraId="1EDDFCD8" w14:textId="27BABE22" w:rsidR="008975CB" w:rsidRPr="00766AE0" w:rsidRDefault="00F87B86" w:rsidP="00360107">
            <w:pPr>
              <w:jc w:val="left"/>
              <w:rPr>
                <w:rFonts w:ascii="Arial Narrow" w:eastAsiaTheme="majorEastAsia" w:hAnsi="Arial Narrow" w:cs="Times New Roman"/>
                <w:snapToGrid w:val="0"/>
                <w:sz w:val="20"/>
              </w:rPr>
            </w:pPr>
            <w:r>
              <w:rPr>
                <w:rFonts w:ascii="Arial Narrow" w:eastAsiaTheme="majorEastAsia" w:hAnsi="Arial Narrow" w:cs="Times New Roman"/>
                <w:snapToGrid w:val="0"/>
                <w:sz w:val="20"/>
              </w:rPr>
              <w:t xml:space="preserve"> </w:t>
            </w:r>
            <w:r w:rsidR="008975CB" w:rsidRPr="00766AE0">
              <w:rPr>
                <w:rFonts w:ascii="Arial Narrow" w:eastAsiaTheme="majorEastAsia" w:hAnsi="Arial Narrow" w:cs="Times New Roman"/>
                <w:snapToGrid w:val="0"/>
                <w:sz w:val="20"/>
              </w:rPr>
              <w:t>Bleeding/haemorrhage</w:t>
            </w:r>
            <w:r w:rsidR="000102F6">
              <w:rPr>
                <w:rFonts w:ascii="Arial Narrow" w:eastAsiaTheme="majorEastAsia" w:hAnsi="Arial Narrow" w:cs="Times New Roman"/>
                <w:snapToGrid w:val="0"/>
                <w:sz w:val="20"/>
              </w:rPr>
              <w:t xml:space="preserve"> </w:t>
            </w:r>
            <w:r w:rsidR="008975CB" w:rsidRPr="00766AE0">
              <w:rPr>
                <w:rFonts w:ascii="Arial Narrow" w:eastAsiaTheme="majorEastAsia" w:hAnsi="Arial Narrow" w:cs="Times New Roman"/>
                <w:snapToGrid w:val="0"/>
                <w:sz w:val="20"/>
              </w:rPr>
              <w:t>(IRR=1)</w:t>
            </w:r>
          </w:p>
        </w:tc>
        <w:tc>
          <w:tcPr>
            <w:tcW w:w="944" w:type="pct"/>
            <w:tcBorders>
              <w:bottom w:val="single" w:sz="4" w:space="0" w:color="auto"/>
            </w:tcBorders>
            <w:shd w:val="solid" w:color="000000" w:fill="000000"/>
          </w:tcPr>
          <w:p w14:paraId="4539AEBA" w14:textId="29686CB9" w:rsidR="008975CB" w:rsidRPr="00262BA4" w:rsidRDefault="00A268DC" w:rsidP="00360107">
            <w:pPr>
              <w:jc w:val="center"/>
              <w:rPr>
                <w:rFonts w:ascii="Arial Narrow" w:eastAsiaTheme="majorEastAsia" w:hAnsi="Arial Narrow" w:cstheme="majorBidi"/>
                <w:sz w:val="20"/>
                <w:highlight w:val="darkGray"/>
              </w:rPr>
            </w:pPr>
            <w:r w:rsidRPr="00A268DC">
              <w:rPr>
                <w:rFonts w:ascii="Arial Narrow" w:eastAsiaTheme="majorEastAsia" w:hAnsi="Arial Narrow" w:cstheme="majorBidi"/>
                <w:color w:val="000000"/>
                <w:sz w:val="20"/>
                <w14:textFill>
                  <w14:solidFill>
                    <w14:srgbClr w14:val="000000">
                      <w14:alpha w14:val="100000"/>
                    </w14:srgbClr>
                  </w14:solidFill>
                </w14:textFill>
              </w:rPr>
              <w:t>|</w:t>
            </w:r>
          </w:p>
        </w:tc>
        <w:tc>
          <w:tcPr>
            <w:tcW w:w="864" w:type="pct"/>
          </w:tcPr>
          <w:p w14:paraId="50F1019E" w14:textId="77777777" w:rsidR="008975CB" w:rsidRPr="00766AE0" w:rsidRDefault="008975CB" w:rsidP="00360107">
            <w:pPr>
              <w:jc w:val="center"/>
              <w:rPr>
                <w:rFonts w:ascii="Arial Narrow" w:eastAsiaTheme="majorEastAsia" w:hAnsi="Arial Narrow" w:cstheme="majorBidi"/>
                <w:sz w:val="20"/>
              </w:rPr>
            </w:pPr>
            <w:r w:rsidRPr="00766AE0">
              <w:rPr>
                <w:rFonts w:ascii="Arial Narrow" w:eastAsiaTheme="majorEastAsia" w:hAnsi="Arial Narrow" w:cstheme="majorBidi"/>
                <w:sz w:val="20"/>
              </w:rPr>
              <w:t>1.60</w:t>
            </w:r>
          </w:p>
        </w:tc>
        <w:tc>
          <w:tcPr>
            <w:tcW w:w="865" w:type="pct"/>
          </w:tcPr>
          <w:p w14:paraId="48D7E164" w14:textId="6DF8DF86" w:rsidR="008975CB" w:rsidRPr="00262BA4" w:rsidRDefault="00A268DC" w:rsidP="00360107">
            <w:pPr>
              <w:jc w:val="center"/>
              <w:rPr>
                <w:rFonts w:ascii="Arial Narrow" w:eastAsiaTheme="majorEastAsia" w:hAnsi="Arial Narrow" w:cstheme="majorBidi"/>
                <w:sz w:val="20"/>
                <w:highlight w:val="darkGray"/>
              </w:rPr>
            </w:pPr>
            <w:r w:rsidRPr="00A268DC">
              <w:rPr>
                <w:rFonts w:ascii="Arial Narrow" w:eastAsiaTheme="majorEastAsia" w:hAnsi="Arial Narrow" w:cstheme="majorBidi"/>
                <w:color w:val="000000"/>
                <w:sz w:val="20"/>
                <w:shd w:val="solid" w:color="000000" w:fill="000000"/>
                <w14:textFill>
                  <w14:solidFill>
                    <w14:srgbClr w14:val="000000">
                      <w14:alpha w14:val="100000"/>
                    </w14:srgbClr>
                  </w14:solidFill>
                </w14:textFill>
              </w:rPr>
              <w:t>|</w:t>
            </w:r>
            <w:r w:rsidR="00321D42" w:rsidRPr="00321D42">
              <w:rPr>
                <w:rFonts w:ascii="Arial Narrow" w:eastAsiaTheme="majorEastAsia" w:hAnsi="Arial Narrow" w:cstheme="majorBidi"/>
                <w:b/>
                <w:sz w:val="20"/>
                <w:vertAlign w:val="superscript"/>
              </w:rPr>
              <w:t>1</w:t>
            </w:r>
          </w:p>
        </w:tc>
        <w:tc>
          <w:tcPr>
            <w:tcW w:w="836" w:type="pct"/>
          </w:tcPr>
          <w:p w14:paraId="1CEE8EC0" w14:textId="1CBA6CAB" w:rsidR="008975CB" w:rsidRPr="00766AE0" w:rsidRDefault="008975CB" w:rsidP="00360107">
            <w:pPr>
              <w:jc w:val="center"/>
              <w:rPr>
                <w:rFonts w:ascii="Arial Narrow" w:eastAsiaTheme="majorEastAsia" w:hAnsi="Arial Narrow" w:cstheme="majorBidi"/>
                <w:sz w:val="20"/>
              </w:rPr>
            </w:pPr>
            <w:r w:rsidRPr="00766AE0">
              <w:rPr>
                <w:rFonts w:ascii="Arial Narrow" w:eastAsiaTheme="majorEastAsia" w:hAnsi="Arial Narrow" w:cstheme="majorBidi"/>
                <w:sz w:val="20"/>
              </w:rPr>
              <w:t>+</w:t>
            </w:r>
            <w:r w:rsidR="00A268DC" w:rsidRPr="00C0236C">
              <w:rPr>
                <w:rFonts w:ascii="Arial Narrow" w:eastAsiaTheme="majorEastAsia" w:hAnsi="Arial Narrow" w:cstheme="majorBidi" w:hint="eastAsia"/>
                <w:color w:val="000000"/>
                <w:w w:val="15"/>
                <w:sz w:val="20"/>
                <w:shd w:val="solid" w:color="000000" w:fill="000000"/>
                <w:fitText w:val="20" w:id="-694973439"/>
                <w14:textFill>
                  <w14:solidFill>
                    <w14:srgbClr w14:val="000000">
                      <w14:alpha w14:val="100000"/>
                    </w14:srgbClr>
                  </w14:solidFill>
                </w14:textFill>
              </w:rPr>
              <w:t xml:space="preserve">　</w:t>
            </w:r>
            <w:r w:rsidR="00A268DC" w:rsidRPr="00C0236C">
              <w:rPr>
                <w:rFonts w:ascii="Arial Narrow" w:eastAsiaTheme="majorEastAsia" w:hAnsi="Arial Narrow" w:cstheme="majorBidi"/>
                <w:color w:val="000000"/>
                <w:w w:val="15"/>
                <w:sz w:val="20"/>
                <w:shd w:val="solid" w:color="000000" w:fill="000000"/>
                <w:fitText w:val="20" w:id="-694973439"/>
                <w14:textFill>
                  <w14:solidFill>
                    <w14:srgbClr w14:val="000000">
                      <w14:alpha w14:val="100000"/>
                    </w14:srgbClr>
                  </w14:solidFill>
                </w14:textFill>
              </w:rPr>
              <w:t>|</w:t>
            </w:r>
            <w:r w:rsidR="00A268DC" w:rsidRPr="00C0236C">
              <w:rPr>
                <w:rFonts w:ascii="Arial Narrow" w:eastAsiaTheme="majorEastAsia" w:hAnsi="Arial Narrow" w:cstheme="majorBidi" w:hint="eastAsia"/>
                <w:color w:val="000000"/>
                <w:spacing w:val="-46"/>
                <w:w w:val="15"/>
                <w:sz w:val="20"/>
                <w:shd w:val="solid" w:color="000000" w:fill="000000"/>
                <w:fitText w:val="20" w:id="-694973439"/>
                <w14:textFill>
                  <w14:solidFill>
                    <w14:srgbClr w14:val="000000">
                      <w14:alpha w14:val="100000"/>
                    </w14:srgbClr>
                  </w14:solidFill>
                </w14:textFill>
              </w:rPr>
              <w:t xml:space="preserve">　</w:t>
            </w:r>
            <w:r w:rsidRPr="00766AE0">
              <w:rPr>
                <w:rFonts w:ascii="Arial Narrow" w:eastAsiaTheme="majorEastAsia" w:hAnsi="Arial Narrow" w:cstheme="majorBidi"/>
                <w:sz w:val="20"/>
              </w:rPr>
              <w:t>%</w:t>
            </w:r>
          </w:p>
        </w:tc>
      </w:tr>
      <w:tr w:rsidR="008975CB" w:rsidRPr="00567618" w14:paraId="04CFAA79" w14:textId="77777777" w:rsidTr="00A268DC">
        <w:tc>
          <w:tcPr>
            <w:tcW w:w="1491" w:type="pct"/>
          </w:tcPr>
          <w:p w14:paraId="69A77116" w14:textId="68DDEA56" w:rsidR="008975CB" w:rsidRPr="00766AE0" w:rsidRDefault="00F87B86" w:rsidP="00360107">
            <w:pPr>
              <w:jc w:val="left"/>
              <w:rPr>
                <w:rFonts w:ascii="Arial Narrow" w:eastAsiaTheme="majorEastAsia" w:hAnsi="Arial Narrow" w:cs="Times New Roman"/>
                <w:snapToGrid w:val="0"/>
                <w:sz w:val="20"/>
              </w:rPr>
            </w:pPr>
            <w:r>
              <w:rPr>
                <w:rFonts w:ascii="Arial Narrow" w:eastAsiaTheme="majorEastAsia" w:hAnsi="Arial Narrow" w:cs="Times New Roman"/>
                <w:snapToGrid w:val="0"/>
                <w:sz w:val="20"/>
              </w:rPr>
              <w:t xml:space="preserve"> </w:t>
            </w:r>
            <w:r w:rsidR="008975CB" w:rsidRPr="00766AE0">
              <w:rPr>
                <w:rFonts w:ascii="Arial Narrow" w:eastAsiaTheme="majorEastAsia" w:hAnsi="Arial Narrow" w:cs="Times New Roman"/>
                <w:snapToGrid w:val="0"/>
                <w:sz w:val="20"/>
              </w:rPr>
              <w:t>Key events removed</w:t>
            </w:r>
          </w:p>
        </w:tc>
        <w:tc>
          <w:tcPr>
            <w:tcW w:w="944" w:type="pct"/>
            <w:shd w:val="solid" w:color="000000" w:fill="000000"/>
          </w:tcPr>
          <w:p w14:paraId="57AA377A" w14:textId="0FA825BB" w:rsidR="008975CB" w:rsidRPr="00262BA4" w:rsidRDefault="00A268DC" w:rsidP="00360107">
            <w:pPr>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bCs/>
                <w:color w:val="000000"/>
                <w:sz w:val="20"/>
                <w14:textFill>
                  <w14:solidFill>
                    <w14:srgbClr w14:val="000000">
                      <w14:alpha w14:val="100000"/>
                    </w14:srgbClr>
                  </w14:solidFill>
                </w14:textFill>
              </w:rPr>
              <w:t>|</w:t>
            </w:r>
          </w:p>
        </w:tc>
        <w:tc>
          <w:tcPr>
            <w:tcW w:w="864" w:type="pct"/>
          </w:tcPr>
          <w:p w14:paraId="381F1F09" w14:textId="77777777" w:rsidR="008975CB" w:rsidRPr="00766AE0" w:rsidRDefault="008975CB" w:rsidP="00360107">
            <w:pPr>
              <w:jc w:val="center"/>
              <w:rPr>
                <w:rFonts w:ascii="Arial Narrow" w:eastAsiaTheme="majorEastAsia" w:hAnsi="Arial Narrow" w:cstheme="majorBidi"/>
                <w:bCs/>
                <w:sz w:val="20"/>
              </w:rPr>
            </w:pPr>
            <w:r w:rsidRPr="00766AE0">
              <w:rPr>
                <w:rFonts w:ascii="Arial Narrow" w:eastAsiaTheme="majorEastAsia" w:hAnsi="Arial Narrow" w:cstheme="majorBidi"/>
                <w:bCs/>
                <w:sz w:val="20"/>
              </w:rPr>
              <w:t>1.59</w:t>
            </w:r>
          </w:p>
        </w:tc>
        <w:tc>
          <w:tcPr>
            <w:tcW w:w="865" w:type="pct"/>
          </w:tcPr>
          <w:p w14:paraId="1CF65C56" w14:textId="52A522A0" w:rsidR="008975CB" w:rsidRPr="00262BA4" w:rsidRDefault="00A268DC" w:rsidP="00360107">
            <w:pPr>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321D42" w:rsidRPr="00321D42">
              <w:rPr>
                <w:rFonts w:ascii="Arial Narrow" w:eastAsiaTheme="majorEastAsia" w:hAnsi="Arial Narrow" w:cstheme="majorBidi"/>
                <w:b/>
                <w:sz w:val="20"/>
                <w:vertAlign w:val="superscript"/>
              </w:rPr>
              <w:t>1</w:t>
            </w:r>
          </w:p>
        </w:tc>
        <w:tc>
          <w:tcPr>
            <w:tcW w:w="836" w:type="pct"/>
          </w:tcPr>
          <w:p w14:paraId="32410E55" w14:textId="1B796FFC" w:rsidR="008975CB" w:rsidRPr="00766AE0" w:rsidRDefault="008975CB" w:rsidP="00360107">
            <w:pPr>
              <w:jc w:val="center"/>
              <w:rPr>
                <w:rFonts w:ascii="Arial Narrow" w:eastAsiaTheme="majorEastAsia" w:hAnsi="Arial Narrow" w:cstheme="majorBidi"/>
                <w:bCs/>
                <w:sz w:val="20"/>
              </w:rPr>
            </w:pPr>
            <w:r w:rsidRPr="00766AE0">
              <w:rPr>
                <w:rFonts w:ascii="Arial Narrow" w:eastAsiaTheme="majorEastAsia" w:hAnsi="Arial Narrow" w:cstheme="majorBidi"/>
                <w:bCs/>
                <w:sz w:val="20"/>
              </w:rPr>
              <w:t>+</w:t>
            </w:r>
            <w:r w:rsidR="00A268DC" w:rsidRPr="00C0236C">
              <w:rPr>
                <w:rFonts w:ascii="Arial Narrow" w:eastAsiaTheme="majorEastAsia" w:hAnsi="Arial Narrow" w:cstheme="majorBidi" w:hint="eastAsia"/>
                <w:bCs/>
                <w:color w:val="000000"/>
                <w:w w:val="15"/>
                <w:sz w:val="20"/>
                <w:shd w:val="solid" w:color="000000" w:fill="000000"/>
                <w:fitText w:val="20" w:id="-694973438"/>
                <w14:textFill>
                  <w14:solidFill>
                    <w14:srgbClr w14:val="000000">
                      <w14:alpha w14:val="100000"/>
                    </w14:srgbClr>
                  </w14:solidFill>
                </w14:textFill>
              </w:rPr>
              <w:t xml:space="preserve">　</w:t>
            </w:r>
            <w:r w:rsidR="00A268DC" w:rsidRPr="00C0236C">
              <w:rPr>
                <w:rFonts w:ascii="Arial Narrow" w:eastAsiaTheme="majorEastAsia" w:hAnsi="Arial Narrow" w:cstheme="majorBidi"/>
                <w:bCs/>
                <w:color w:val="000000"/>
                <w:w w:val="15"/>
                <w:sz w:val="20"/>
                <w:shd w:val="solid" w:color="000000" w:fill="000000"/>
                <w:fitText w:val="20" w:id="-694973438"/>
                <w14:textFill>
                  <w14:solidFill>
                    <w14:srgbClr w14:val="000000">
                      <w14:alpha w14:val="100000"/>
                    </w14:srgbClr>
                  </w14:solidFill>
                </w14:textFill>
              </w:rPr>
              <w:t>|</w:t>
            </w:r>
            <w:r w:rsidR="00A268DC" w:rsidRPr="00C0236C">
              <w:rPr>
                <w:rFonts w:ascii="Arial Narrow" w:eastAsiaTheme="majorEastAsia" w:hAnsi="Arial Narrow" w:cstheme="majorBidi" w:hint="eastAsia"/>
                <w:bCs/>
                <w:color w:val="000000"/>
                <w:spacing w:val="-46"/>
                <w:w w:val="15"/>
                <w:sz w:val="20"/>
                <w:shd w:val="solid" w:color="000000" w:fill="000000"/>
                <w:fitText w:val="20" w:id="-694973438"/>
                <w14:textFill>
                  <w14:solidFill>
                    <w14:srgbClr w14:val="000000">
                      <w14:alpha w14:val="100000"/>
                    </w14:srgbClr>
                  </w14:solidFill>
                </w14:textFill>
              </w:rPr>
              <w:t xml:space="preserve">　</w:t>
            </w:r>
            <w:r w:rsidRPr="00766AE0">
              <w:rPr>
                <w:rFonts w:ascii="Arial Narrow" w:eastAsiaTheme="majorEastAsia" w:hAnsi="Arial Narrow" w:cstheme="majorBidi"/>
                <w:bCs/>
                <w:sz w:val="20"/>
              </w:rPr>
              <w:t>%</w:t>
            </w:r>
          </w:p>
        </w:tc>
      </w:tr>
    </w:tbl>
    <w:p w14:paraId="2DCBA466" w14:textId="77777777" w:rsidR="008975CB" w:rsidRPr="00567618" w:rsidRDefault="008975CB" w:rsidP="00360107">
      <w:pPr>
        <w:rPr>
          <w:rFonts w:ascii="Arial Narrow" w:hAnsi="Arial Narrow"/>
          <w:sz w:val="18"/>
        </w:rPr>
      </w:pPr>
      <w:r w:rsidRPr="00567618">
        <w:rPr>
          <w:rFonts w:ascii="Arial Narrow" w:hAnsi="Arial Narrow"/>
          <w:sz w:val="18"/>
        </w:rPr>
        <w:t>Source: Table 3-36, p193 of the resubmission, and compiled during evaluation using Attachment 3 Economic model</w:t>
      </w:r>
    </w:p>
    <w:p w14:paraId="764E6D60" w14:textId="77777777" w:rsidR="007A7860" w:rsidRDefault="008975CB" w:rsidP="007A7860">
      <w:pPr>
        <w:rPr>
          <w:rFonts w:ascii="Arial Narrow" w:hAnsi="Arial Narrow"/>
          <w:snapToGrid w:val="0"/>
          <w:sz w:val="18"/>
          <w:szCs w:val="22"/>
        </w:rPr>
      </w:pPr>
      <w:bookmarkStart w:id="83" w:name="_Toc22897646"/>
      <w:bookmarkStart w:id="84" w:name="_Toc184797848"/>
      <w:r w:rsidRPr="00567618">
        <w:rPr>
          <w:rFonts w:ascii="Arial Narrow" w:hAnsi="Arial Narrow"/>
          <w:snapToGrid w:val="0"/>
          <w:sz w:val="18"/>
          <w:szCs w:val="22"/>
        </w:rPr>
        <w:t>Abbreviations: AE, adverse event; AML, acute myeloid leukemia; BAT, best available treatment; G1, Grade 1; G2, Grade 2; G3, Grade3; G4, Grade 4; ICER, incremental cost-effectiveness ratio; IRR, incident rate ratio; LFT, liver function test; MDS, myelodysplastic syndrome; MF, myelofibrosis; NMSC, non-melanoma skin cancer; PFS, progression</w:t>
      </w:r>
      <w:r w:rsidR="00EF310D">
        <w:rPr>
          <w:rFonts w:ascii="Arial Narrow" w:hAnsi="Arial Narrow"/>
          <w:snapToGrid w:val="0"/>
          <w:sz w:val="18"/>
          <w:szCs w:val="22"/>
        </w:rPr>
        <w:t>-</w:t>
      </w:r>
      <w:r w:rsidRPr="00567618">
        <w:rPr>
          <w:rFonts w:ascii="Arial Narrow" w:hAnsi="Arial Narrow"/>
          <w:snapToGrid w:val="0"/>
          <w:sz w:val="18"/>
          <w:szCs w:val="22"/>
        </w:rPr>
        <w:t>free survival; QALY, quality-adjusted life year; TE,</w:t>
      </w:r>
      <w:r w:rsidRPr="008975CB">
        <w:rPr>
          <w:rFonts w:ascii="Arial Narrow" w:hAnsi="Arial Narrow"/>
          <w:snapToGrid w:val="0"/>
          <w:sz w:val="18"/>
          <w:szCs w:val="22"/>
        </w:rPr>
        <w:t xml:space="preserve"> thromboembolic event</w:t>
      </w:r>
      <w:r w:rsidR="007A7860">
        <w:rPr>
          <w:rFonts w:ascii="Arial Narrow" w:hAnsi="Arial Narrow"/>
          <w:snapToGrid w:val="0"/>
          <w:sz w:val="18"/>
          <w:szCs w:val="22"/>
        </w:rPr>
        <w:t xml:space="preserve"> </w:t>
      </w:r>
    </w:p>
    <w:p w14:paraId="1ADDFD87" w14:textId="39FBF7A9" w:rsidR="007A7860" w:rsidRPr="0026681F" w:rsidRDefault="007A7860" w:rsidP="007A7860">
      <w:pPr>
        <w:rPr>
          <w:rFonts w:ascii="Arial Narrow" w:hAnsi="Arial Narrow"/>
          <w:i/>
          <w:iCs/>
          <w:snapToGrid w:val="0"/>
          <w:sz w:val="18"/>
          <w:szCs w:val="22"/>
        </w:rPr>
      </w:pPr>
      <w:r w:rsidRPr="0026681F">
        <w:rPr>
          <w:rFonts w:ascii="Arial Narrow" w:hAnsi="Arial Narrow"/>
          <w:i/>
          <w:iCs/>
          <w:snapToGrid w:val="0"/>
          <w:sz w:val="18"/>
          <w:szCs w:val="22"/>
        </w:rPr>
        <w:t>The redacted values correspond to the following ranges</w:t>
      </w:r>
      <w:r w:rsidR="0026681F" w:rsidRPr="0026681F">
        <w:rPr>
          <w:rFonts w:ascii="Arial Narrow" w:hAnsi="Arial Narrow"/>
          <w:i/>
          <w:iCs/>
          <w:snapToGrid w:val="0"/>
          <w:sz w:val="18"/>
          <w:szCs w:val="22"/>
        </w:rPr>
        <w:t>:</w:t>
      </w:r>
    </w:p>
    <w:p w14:paraId="1ABAD9C7" w14:textId="77777777" w:rsidR="004651BF" w:rsidRPr="0026681F" w:rsidRDefault="00321D42" w:rsidP="007A7860">
      <w:pPr>
        <w:rPr>
          <w:rFonts w:ascii="Arial Narrow" w:hAnsi="Arial Narrow"/>
          <w:i/>
          <w:iCs/>
          <w:snapToGrid w:val="0"/>
          <w:sz w:val="18"/>
          <w:szCs w:val="22"/>
        </w:rPr>
      </w:pPr>
      <w:r w:rsidRPr="00180C3C">
        <w:rPr>
          <w:rFonts w:ascii="Arial Narrow" w:hAnsi="Arial Narrow"/>
          <w:i/>
          <w:iCs/>
          <w:snapToGrid w:val="0"/>
          <w:sz w:val="18"/>
          <w:szCs w:val="22"/>
          <w:vertAlign w:val="superscript"/>
        </w:rPr>
        <w:t>1</w:t>
      </w:r>
      <w:r w:rsidR="007A7860" w:rsidRPr="0026681F">
        <w:rPr>
          <w:rFonts w:ascii="Arial Narrow" w:hAnsi="Arial Narrow"/>
          <w:i/>
          <w:iCs/>
          <w:snapToGrid w:val="0"/>
          <w:sz w:val="18"/>
          <w:szCs w:val="22"/>
        </w:rPr>
        <w:t xml:space="preserve"> $55,000 to &lt; $75,000</w:t>
      </w:r>
      <w:r w:rsidR="004651BF" w:rsidRPr="0026681F">
        <w:rPr>
          <w:rFonts w:ascii="Arial Narrow" w:hAnsi="Arial Narrow"/>
          <w:i/>
          <w:iCs/>
          <w:snapToGrid w:val="0"/>
          <w:sz w:val="18"/>
          <w:szCs w:val="22"/>
        </w:rPr>
        <w:t xml:space="preserve"> </w:t>
      </w:r>
    </w:p>
    <w:p w14:paraId="252A7F65" w14:textId="77777777" w:rsidR="00680773" w:rsidRPr="0026681F" w:rsidRDefault="004651BF" w:rsidP="007A7860">
      <w:pPr>
        <w:rPr>
          <w:rFonts w:ascii="Arial Narrow" w:hAnsi="Arial Narrow"/>
          <w:i/>
          <w:iCs/>
          <w:snapToGrid w:val="0"/>
          <w:sz w:val="18"/>
          <w:szCs w:val="22"/>
        </w:rPr>
      </w:pPr>
      <w:r w:rsidRPr="00180C3C">
        <w:rPr>
          <w:rFonts w:ascii="Arial Narrow" w:hAnsi="Arial Narrow"/>
          <w:i/>
          <w:iCs/>
          <w:snapToGrid w:val="0"/>
          <w:sz w:val="18"/>
          <w:szCs w:val="22"/>
          <w:vertAlign w:val="superscript"/>
        </w:rPr>
        <w:t>2</w:t>
      </w:r>
      <w:r w:rsidRPr="0026681F">
        <w:rPr>
          <w:rFonts w:ascii="Arial Narrow" w:hAnsi="Arial Narrow"/>
          <w:i/>
          <w:iCs/>
          <w:snapToGrid w:val="0"/>
          <w:sz w:val="18"/>
          <w:szCs w:val="22"/>
        </w:rPr>
        <w:t xml:space="preserve"> $45,000 to &lt; $55,000</w:t>
      </w:r>
      <w:r w:rsidR="00680773" w:rsidRPr="0026681F">
        <w:rPr>
          <w:rFonts w:ascii="Arial Narrow" w:hAnsi="Arial Narrow"/>
          <w:i/>
          <w:iCs/>
          <w:snapToGrid w:val="0"/>
          <w:sz w:val="18"/>
          <w:szCs w:val="22"/>
        </w:rPr>
        <w:t xml:space="preserve"> </w:t>
      </w:r>
    </w:p>
    <w:p w14:paraId="28D49B7A" w14:textId="77777777" w:rsidR="00E87070" w:rsidRPr="0026681F" w:rsidRDefault="00680773" w:rsidP="007A7860">
      <w:pPr>
        <w:rPr>
          <w:rFonts w:ascii="Arial Narrow" w:hAnsi="Arial Narrow"/>
          <w:i/>
          <w:iCs/>
          <w:snapToGrid w:val="0"/>
          <w:sz w:val="18"/>
          <w:szCs w:val="22"/>
        </w:rPr>
      </w:pPr>
      <w:r w:rsidRPr="00180C3C">
        <w:rPr>
          <w:rFonts w:ascii="Arial Narrow" w:hAnsi="Arial Narrow"/>
          <w:i/>
          <w:iCs/>
          <w:snapToGrid w:val="0"/>
          <w:sz w:val="18"/>
          <w:szCs w:val="22"/>
          <w:vertAlign w:val="superscript"/>
        </w:rPr>
        <w:t>3</w:t>
      </w:r>
      <w:r w:rsidRPr="0026681F">
        <w:rPr>
          <w:rFonts w:ascii="Arial Narrow" w:hAnsi="Arial Narrow"/>
          <w:i/>
          <w:iCs/>
          <w:snapToGrid w:val="0"/>
          <w:sz w:val="18"/>
          <w:szCs w:val="22"/>
        </w:rPr>
        <w:t xml:space="preserve"> $155,000 to &lt; $255,000</w:t>
      </w:r>
      <w:r w:rsidR="00E87070" w:rsidRPr="0026681F">
        <w:rPr>
          <w:rFonts w:ascii="Arial Narrow" w:hAnsi="Arial Narrow"/>
          <w:i/>
          <w:iCs/>
          <w:snapToGrid w:val="0"/>
          <w:sz w:val="18"/>
          <w:szCs w:val="22"/>
        </w:rPr>
        <w:t xml:space="preserve"> </w:t>
      </w:r>
    </w:p>
    <w:p w14:paraId="786E989F" w14:textId="6134274D" w:rsidR="008975CB" w:rsidRPr="0026681F" w:rsidRDefault="00E87070" w:rsidP="007A7860">
      <w:pPr>
        <w:rPr>
          <w:rFonts w:ascii="Arial Narrow" w:hAnsi="Arial Narrow"/>
          <w:i/>
          <w:iCs/>
          <w:snapToGrid w:val="0"/>
          <w:sz w:val="18"/>
          <w:szCs w:val="22"/>
        </w:rPr>
      </w:pPr>
      <w:r w:rsidRPr="00180C3C">
        <w:rPr>
          <w:rFonts w:ascii="Arial Narrow" w:hAnsi="Arial Narrow"/>
          <w:i/>
          <w:iCs/>
          <w:snapToGrid w:val="0"/>
          <w:sz w:val="18"/>
          <w:szCs w:val="22"/>
          <w:vertAlign w:val="superscript"/>
        </w:rPr>
        <w:t>4</w:t>
      </w:r>
      <w:r w:rsidRPr="0026681F">
        <w:rPr>
          <w:rFonts w:ascii="Arial Narrow" w:hAnsi="Arial Narrow"/>
          <w:i/>
          <w:iCs/>
          <w:snapToGrid w:val="0"/>
          <w:sz w:val="18"/>
          <w:szCs w:val="22"/>
        </w:rPr>
        <w:t xml:space="preserve"> $75,000 to &lt; $95,000</w:t>
      </w:r>
    </w:p>
    <w:p w14:paraId="1A2A66E5" w14:textId="77777777" w:rsidR="004D1283" w:rsidRDefault="004D1283" w:rsidP="008975CB">
      <w:pPr>
        <w:rPr>
          <w:rFonts w:ascii="Arial Narrow" w:hAnsi="Arial Narrow"/>
          <w:snapToGrid w:val="0"/>
          <w:sz w:val="18"/>
          <w:szCs w:val="22"/>
        </w:rPr>
      </w:pPr>
    </w:p>
    <w:p w14:paraId="3FD4388D" w14:textId="55B0D7A5" w:rsidR="00166DC9" w:rsidRPr="00567618" w:rsidRDefault="00166DC9" w:rsidP="00166DC9">
      <w:pPr>
        <w:pStyle w:val="3-BodyText"/>
      </w:pPr>
      <w:r w:rsidRPr="00567618">
        <w:t>The results of the sensitivity analysis showed that the economic model was most sensitive to the baseline difference in PFS, the difference in pre</w:t>
      </w:r>
      <w:r w:rsidR="00363C7E">
        <w:t>-</w:t>
      </w:r>
      <w:r w:rsidRPr="00567618">
        <w:t xml:space="preserve">progression utility, pre-progression OS, and the adjustment used to alter the rate of progression to AML. </w:t>
      </w:r>
    </w:p>
    <w:p w14:paraId="2DD6D359" w14:textId="693D472F" w:rsidR="00360107" w:rsidRPr="000E57D9" w:rsidRDefault="7FD99645" w:rsidP="78149E43">
      <w:pPr>
        <w:pStyle w:val="3-BodyText"/>
        <w:rPr>
          <w:i/>
          <w:iCs/>
          <w:lang w:val="en-GB"/>
        </w:rPr>
      </w:pPr>
      <w:r w:rsidRPr="78149E43">
        <w:rPr>
          <w:lang w:val="en-GB"/>
        </w:rPr>
        <w:t xml:space="preserve">Sensitivity analysis conducted by the resubmission also demonstrated that the model was sensitive to the ratio of peginterferon to HC/HU. The resubmission did not present a base case ratio, and it </w:t>
      </w:r>
      <w:r w:rsidR="000849FF">
        <w:rPr>
          <w:lang w:val="en-GB"/>
        </w:rPr>
        <w:t>wa</w:t>
      </w:r>
      <w:r w:rsidRPr="78149E43">
        <w:rPr>
          <w:lang w:val="en-GB"/>
        </w:rPr>
        <w:t xml:space="preserve">s unclear how these analyses were conducted. The model was not designed to easily explore changing the ratio of peginterferon to HC/HU, and </w:t>
      </w:r>
      <w:r w:rsidRPr="78149E43">
        <w:rPr>
          <w:lang w:val="en-GB"/>
        </w:rPr>
        <w:lastRenderedPageBreak/>
        <w:t xml:space="preserve">the model appears to be moderately sensitive to this assumption. The PBAC previously noted the range of 16-39% peginterferon use from the clinical trials to be reasonable (para 7.13, ruxolitinib, PSD, November 2019 PBAC meeting), however noting this may have changed since 2019 (para </w:t>
      </w:r>
      <w:r w:rsidR="00166DC9" w:rsidRPr="78149E43">
        <w:rPr>
          <w:lang w:val="en-GB"/>
        </w:rPr>
        <w:fldChar w:fldCharType="begin" w:fldLock="1"/>
      </w:r>
      <w:r w:rsidR="00166DC9" w:rsidRPr="78149E43">
        <w:rPr>
          <w:lang w:val="en-GB"/>
        </w:rPr>
        <w:instrText xml:space="preserve"> REF _Ref187662972 \r \h  \* MERGEFORMAT </w:instrText>
      </w:r>
      <w:r w:rsidR="00166DC9" w:rsidRPr="78149E43">
        <w:rPr>
          <w:lang w:val="en-GB"/>
        </w:rPr>
      </w:r>
      <w:r w:rsidR="00166DC9" w:rsidRPr="78149E43">
        <w:rPr>
          <w:lang w:val="en-GB"/>
        </w:rPr>
        <w:fldChar w:fldCharType="separate"/>
      </w:r>
      <w:r w:rsidR="00FD29A8">
        <w:rPr>
          <w:lang w:val="en-GB"/>
        </w:rPr>
        <w:t>5.3</w:t>
      </w:r>
      <w:r w:rsidR="00166DC9" w:rsidRPr="78149E43">
        <w:rPr>
          <w:lang w:val="en-GB"/>
        </w:rPr>
        <w:fldChar w:fldCharType="end"/>
      </w:r>
      <w:r w:rsidRPr="78149E43">
        <w:rPr>
          <w:lang w:val="en-GB"/>
        </w:rPr>
        <w:t>).</w:t>
      </w:r>
    </w:p>
    <w:p w14:paraId="145E2DB6" w14:textId="1C851FEF" w:rsidR="009B0B68" w:rsidRPr="00946411" w:rsidRDefault="24B0137B" w:rsidP="0F1D33A4">
      <w:pPr>
        <w:pStyle w:val="3-BodyText"/>
      </w:pPr>
      <w:r w:rsidRPr="00946411">
        <w:t>The PSCR</w:t>
      </w:r>
      <w:r w:rsidR="00F87B86">
        <w:t xml:space="preserve"> </w:t>
      </w:r>
      <w:r w:rsidR="01732A48" w:rsidRPr="00946411">
        <w:t>argued that t</w:t>
      </w:r>
      <w:r w:rsidR="004D1283" w:rsidRPr="00946411">
        <w:t>he 5-year follow up data from MAJIC demonstrate</w:t>
      </w:r>
      <w:r w:rsidR="0B63604F" w:rsidRPr="00946411">
        <w:t>d</w:t>
      </w:r>
      <w:r w:rsidR="004D1283" w:rsidRPr="00946411">
        <w:t xml:space="preserve"> a trend towards a substantial benefit in PFS (HR</w:t>
      </w:r>
      <w:r w:rsidR="00756370">
        <w:t xml:space="preserve"> </w:t>
      </w:r>
      <w:r w:rsidR="004D1283" w:rsidRPr="00946411">
        <w:t xml:space="preserve">0.64, 95% CI: 0.35, 1.14; p=0.13) and OS </w:t>
      </w:r>
      <w:r w:rsidR="00756370">
        <w:br/>
      </w:r>
      <w:r w:rsidR="004D1283" w:rsidRPr="00946411">
        <w:t>(HR</w:t>
      </w:r>
      <w:r w:rsidR="00756370">
        <w:t xml:space="preserve"> </w:t>
      </w:r>
      <w:r w:rsidR="004D1283" w:rsidRPr="00946411">
        <w:t xml:space="preserve">0.72, 95% CI: 0.35, 1.48; p=0.38) in favour of ruxolitinib. </w:t>
      </w:r>
      <w:r w:rsidR="57915F43" w:rsidRPr="00946411">
        <w:t xml:space="preserve">In addition, the PSCR argued that </w:t>
      </w:r>
      <w:r w:rsidR="1E431A6F" w:rsidRPr="00946411">
        <w:t>significant improvements in clinically relevant endpoints including complete hae</w:t>
      </w:r>
      <w:r w:rsidR="2543BFCE" w:rsidRPr="00946411">
        <w:t>matological response (p=0.02), duration of response (p&lt;0.01), EFS (p=0</w:t>
      </w:r>
      <w:r w:rsidR="1768773D" w:rsidRPr="00946411">
        <w:t>.04) and a reduction in the risk of thromboembolic events (p=0.05) all favour</w:t>
      </w:r>
      <w:r w:rsidR="00A01484" w:rsidRPr="00946411">
        <w:t>ed</w:t>
      </w:r>
      <w:r w:rsidR="1768773D" w:rsidRPr="00946411">
        <w:t xml:space="preserve"> </w:t>
      </w:r>
      <w:r w:rsidR="15ADDD6F" w:rsidRPr="00946411">
        <w:t>ruxolitinib. As such, the PSCR</w:t>
      </w:r>
      <w:r w:rsidR="00F87B86">
        <w:t xml:space="preserve"> </w:t>
      </w:r>
      <w:r w:rsidR="15ADDD6F" w:rsidRPr="00946411">
        <w:t xml:space="preserve">stated that the totality of the evidence presented supported </w:t>
      </w:r>
      <w:r w:rsidR="102FA30D" w:rsidRPr="00946411">
        <w:t xml:space="preserve">the therapeutic claim of improvement in PFS and OS in patients with PV treated with ruxolitinib. </w:t>
      </w:r>
    </w:p>
    <w:p w14:paraId="15F91DF2" w14:textId="4F4D65C4" w:rsidR="004D1283" w:rsidRDefault="004D1283" w:rsidP="00FF682D">
      <w:pPr>
        <w:pStyle w:val="3-BodyText"/>
        <w:rPr>
          <w:lang w:val="en-GB"/>
        </w:rPr>
      </w:pPr>
      <w:r w:rsidRPr="00946411">
        <w:rPr>
          <w:lang w:val="en-GB"/>
        </w:rPr>
        <w:t xml:space="preserve">The ESC </w:t>
      </w:r>
      <w:r w:rsidR="00182B1C" w:rsidRPr="00946411">
        <w:rPr>
          <w:lang w:val="en-GB"/>
        </w:rPr>
        <w:t>considered</w:t>
      </w:r>
      <w:r w:rsidRPr="00946411">
        <w:rPr>
          <w:lang w:val="en-GB"/>
        </w:rPr>
        <w:t xml:space="preserve"> that it is likely patients do benefit from ruxolitinib treatment</w:t>
      </w:r>
      <w:r w:rsidR="007575F3" w:rsidRPr="00946411">
        <w:rPr>
          <w:lang w:val="en-GB"/>
        </w:rPr>
        <w:t xml:space="preserve"> (para </w:t>
      </w:r>
      <w:r w:rsidR="00627EF0" w:rsidRPr="00946411">
        <w:rPr>
          <w:lang w:val="en-GB"/>
        </w:rPr>
        <w:fldChar w:fldCharType="begin" w:fldLock="1"/>
      </w:r>
      <w:r w:rsidR="00627EF0" w:rsidRPr="00946411">
        <w:rPr>
          <w:lang w:val="en-GB"/>
        </w:rPr>
        <w:instrText xml:space="preserve"> REF _Ref190685686 \r \h </w:instrText>
      </w:r>
      <w:r w:rsidR="006D5A87" w:rsidRPr="00946411">
        <w:rPr>
          <w:lang w:val="en-GB"/>
        </w:rPr>
        <w:instrText xml:space="preserve"> \* MERGEFORMAT </w:instrText>
      </w:r>
      <w:r w:rsidR="00627EF0" w:rsidRPr="00946411">
        <w:rPr>
          <w:lang w:val="en-GB"/>
        </w:rPr>
      </w:r>
      <w:r w:rsidR="00627EF0" w:rsidRPr="00946411">
        <w:rPr>
          <w:lang w:val="en-GB"/>
        </w:rPr>
        <w:fldChar w:fldCharType="separate"/>
      </w:r>
      <w:r w:rsidR="00FD29A8">
        <w:rPr>
          <w:lang w:val="en-GB"/>
        </w:rPr>
        <w:t>6.54</w:t>
      </w:r>
      <w:r w:rsidR="00627EF0" w:rsidRPr="00946411">
        <w:rPr>
          <w:lang w:val="en-GB"/>
        </w:rPr>
        <w:fldChar w:fldCharType="end"/>
      </w:r>
      <w:r w:rsidR="000200CE" w:rsidRPr="00946411">
        <w:rPr>
          <w:lang w:val="en-GB"/>
        </w:rPr>
        <w:t>)</w:t>
      </w:r>
      <w:r w:rsidR="000300DF" w:rsidRPr="00946411">
        <w:rPr>
          <w:lang w:val="en-GB"/>
        </w:rPr>
        <w:t xml:space="preserve">, however the </w:t>
      </w:r>
      <w:r w:rsidR="00520F9B" w:rsidRPr="00946411">
        <w:rPr>
          <w:lang w:val="en-GB"/>
        </w:rPr>
        <w:t xml:space="preserve">economic </w:t>
      </w:r>
      <w:r w:rsidR="000300DF" w:rsidRPr="00946411">
        <w:rPr>
          <w:lang w:val="en-GB"/>
        </w:rPr>
        <w:t>model w</w:t>
      </w:r>
      <w:r w:rsidR="00520F9B" w:rsidRPr="00946411">
        <w:rPr>
          <w:lang w:val="en-GB"/>
        </w:rPr>
        <w:t>as based on endpoints where statistical significance was not demonstrated</w:t>
      </w:r>
      <w:r w:rsidR="000200CE" w:rsidRPr="00946411">
        <w:rPr>
          <w:lang w:val="en-GB"/>
        </w:rPr>
        <w:t>.</w:t>
      </w:r>
      <w:r w:rsidR="00520F9B" w:rsidRPr="00946411">
        <w:rPr>
          <w:lang w:val="en-GB"/>
        </w:rPr>
        <w:t xml:space="preserve"> T</w:t>
      </w:r>
      <w:r w:rsidR="002772DC" w:rsidRPr="00946411">
        <w:rPr>
          <w:lang w:val="en-GB"/>
        </w:rPr>
        <w:t xml:space="preserve">he ESC considered </w:t>
      </w:r>
      <w:r w:rsidR="0039437F" w:rsidRPr="00946411">
        <w:rPr>
          <w:lang w:val="en-GB"/>
        </w:rPr>
        <w:t xml:space="preserve">that </w:t>
      </w:r>
      <w:r w:rsidR="002772DC" w:rsidRPr="00946411">
        <w:rPr>
          <w:lang w:val="en-GB"/>
        </w:rPr>
        <w:t>e</w:t>
      </w:r>
      <w:r w:rsidR="00360107" w:rsidRPr="00946411">
        <w:rPr>
          <w:lang w:val="en-GB"/>
        </w:rPr>
        <w:t xml:space="preserve">xtrapolation based on initial differences in PFS and OS at 5 years, that were not </w:t>
      </w:r>
      <w:r w:rsidR="00175A5D" w:rsidRPr="00946411">
        <w:rPr>
          <w:lang w:val="en-GB"/>
        </w:rPr>
        <w:t>statistically significant</w:t>
      </w:r>
      <w:r w:rsidR="00360107" w:rsidRPr="00946411">
        <w:rPr>
          <w:lang w:val="en-GB"/>
        </w:rPr>
        <w:t>, led to differences in health outcomes that were compounded over time</w:t>
      </w:r>
      <w:r w:rsidR="00286D87" w:rsidRPr="00946411">
        <w:rPr>
          <w:lang w:val="en-GB"/>
        </w:rPr>
        <w:t xml:space="preserve"> and drove the economic model</w:t>
      </w:r>
      <w:r w:rsidR="00346967" w:rsidRPr="00946411">
        <w:rPr>
          <w:lang w:val="en-GB"/>
        </w:rPr>
        <w:t xml:space="preserve"> </w:t>
      </w:r>
      <w:r w:rsidR="00633D96" w:rsidRPr="00946411">
        <w:rPr>
          <w:lang w:val="en-GB"/>
        </w:rPr>
        <w:t xml:space="preserve">results </w:t>
      </w:r>
      <w:r w:rsidR="00346967" w:rsidRPr="00946411">
        <w:rPr>
          <w:lang w:val="en-GB"/>
        </w:rPr>
        <w:t>(</w:t>
      </w:r>
      <w:r w:rsidR="00346967" w:rsidRPr="00946411">
        <w:rPr>
          <w:lang w:val="en-GB"/>
        </w:rPr>
        <w:fldChar w:fldCharType="begin" w:fldLock="1"/>
      </w:r>
      <w:r w:rsidR="00346967" w:rsidRPr="00946411">
        <w:rPr>
          <w:lang w:val="en-GB"/>
        </w:rPr>
        <w:instrText xml:space="preserve"> REF _Ref185226343 \h </w:instrText>
      </w:r>
      <w:r w:rsidR="004402A0" w:rsidRPr="00946411">
        <w:rPr>
          <w:lang w:val="en-GB"/>
        </w:rPr>
        <w:instrText xml:space="preserve"> \* MERGEFORMAT </w:instrText>
      </w:r>
      <w:r w:rsidR="00346967" w:rsidRPr="00946411">
        <w:rPr>
          <w:lang w:val="en-GB"/>
        </w:rPr>
      </w:r>
      <w:r w:rsidR="00346967" w:rsidRPr="00946411">
        <w:rPr>
          <w:lang w:val="en-GB"/>
        </w:rPr>
        <w:fldChar w:fldCharType="separate"/>
      </w:r>
      <w:r w:rsidR="00CF6E5F" w:rsidRPr="00CF6E5F">
        <w:rPr>
          <w:lang w:val="en-GB"/>
        </w:rPr>
        <w:t>Figure 7</w:t>
      </w:r>
      <w:r w:rsidR="00346967" w:rsidRPr="00946411">
        <w:rPr>
          <w:lang w:val="en-GB"/>
        </w:rPr>
        <w:fldChar w:fldCharType="end"/>
      </w:r>
      <w:r w:rsidR="00BA6A06" w:rsidRPr="00946411">
        <w:rPr>
          <w:lang w:val="en-GB"/>
        </w:rPr>
        <w:t xml:space="preserve"> and </w:t>
      </w:r>
      <w:r w:rsidR="004402A0" w:rsidRPr="00946411">
        <w:rPr>
          <w:lang w:val="en-GB"/>
        </w:rPr>
        <w:fldChar w:fldCharType="begin" w:fldLock="1"/>
      </w:r>
      <w:r w:rsidR="004402A0" w:rsidRPr="00946411">
        <w:rPr>
          <w:lang w:val="en-GB"/>
        </w:rPr>
        <w:instrText xml:space="preserve"> REF _Ref185226387 \h  \* MERGEFORMAT </w:instrText>
      </w:r>
      <w:r w:rsidR="004402A0" w:rsidRPr="00946411">
        <w:rPr>
          <w:lang w:val="en-GB"/>
        </w:rPr>
      </w:r>
      <w:r w:rsidR="004402A0" w:rsidRPr="00946411">
        <w:rPr>
          <w:lang w:val="en-GB"/>
        </w:rPr>
        <w:fldChar w:fldCharType="separate"/>
      </w:r>
      <w:r w:rsidR="00CF6E5F" w:rsidRPr="00CF6E5F">
        <w:rPr>
          <w:lang w:val="en-GB"/>
        </w:rPr>
        <w:t>Table 14</w:t>
      </w:r>
      <w:r w:rsidR="004402A0" w:rsidRPr="00946411">
        <w:rPr>
          <w:lang w:val="en-GB"/>
        </w:rPr>
        <w:fldChar w:fldCharType="end"/>
      </w:r>
      <w:r w:rsidR="004402A0" w:rsidRPr="00946411">
        <w:rPr>
          <w:lang w:val="en-GB"/>
        </w:rPr>
        <w:t>)</w:t>
      </w:r>
      <w:r w:rsidR="00360107" w:rsidRPr="00946411">
        <w:rPr>
          <w:lang w:val="en-GB"/>
        </w:rPr>
        <w:t xml:space="preserve">. </w:t>
      </w:r>
      <w:r w:rsidR="009B1D1A" w:rsidRPr="00946411">
        <w:rPr>
          <w:lang w:val="en-GB"/>
        </w:rPr>
        <w:t>T</w:t>
      </w:r>
      <w:r w:rsidR="009927C5" w:rsidRPr="00946411">
        <w:rPr>
          <w:lang w:val="en-GB"/>
        </w:rPr>
        <w:t xml:space="preserve">he ESC </w:t>
      </w:r>
      <w:r w:rsidR="00760EB8" w:rsidRPr="00946411">
        <w:rPr>
          <w:lang w:val="en-GB"/>
        </w:rPr>
        <w:t xml:space="preserve">noted the </w:t>
      </w:r>
      <w:r w:rsidR="00C93B66" w:rsidRPr="00946411">
        <w:rPr>
          <w:lang w:val="en-GB"/>
        </w:rPr>
        <w:t xml:space="preserve">removal of differences in PFS increased the ICER </w:t>
      </w:r>
      <w:r w:rsidR="0045232F" w:rsidRPr="00946411">
        <w:rPr>
          <w:lang w:val="en-GB"/>
        </w:rPr>
        <w:t xml:space="preserve">from </w:t>
      </w:r>
      <w:r w:rsidR="008B41F1" w:rsidRPr="008B41F1">
        <w:rPr>
          <w:lang w:val="en-GB"/>
        </w:rPr>
        <w:t>$55,000 to &lt; $75,000</w:t>
      </w:r>
      <w:r w:rsidR="00F87B86">
        <w:rPr>
          <w:lang w:val="en-GB"/>
        </w:rPr>
        <w:t xml:space="preserve"> </w:t>
      </w:r>
      <w:r w:rsidR="00C93B66" w:rsidRPr="00946411">
        <w:rPr>
          <w:lang w:val="en-GB"/>
        </w:rPr>
        <w:t xml:space="preserve">to </w:t>
      </w:r>
      <w:r w:rsidR="00580BE9" w:rsidRPr="00580BE9">
        <w:rPr>
          <w:lang w:val="en-GB"/>
        </w:rPr>
        <w:t>$155,000 to &lt; $255,000</w:t>
      </w:r>
      <w:r w:rsidR="0026681F">
        <w:rPr>
          <w:lang w:val="en-GB"/>
        </w:rPr>
        <w:t xml:space="preserve"> </w:t>
      </w:r>
      <w:r w:rsidR="00C93B66" w:rsidRPr="00946411">
        <w:rPr>
          <w:lang w:val="en-GB"/>
        </w:rPr>
        <w:t xml:space="preserve">per QALY gained. </w:t>
      </w:r>
      <w:r w:rsidR="006F7225" w:rsidRPr="00946411">
        <w:rPr>
          <w:lang w:val="en-GB"/>
        </w:rPr>
        <w:t xml:space="preserve">The ESC </w:t>
      </w:r>
      <w:r w:rsidR="00D40526" w:rsidRPr="00946411">
        <w:rPr>
          <w:lang w:val="en-GB"/>
        </w:rPr>
        <w:t xml:space="preserve">noted </w:t>
      </w:r>
      <w:r w:rsidR="00812DD2" w:rsidRPr="00946411">
        <w:rPr>
          <w:lang w:val="en-GB"/>
        </w:rPr>
        <w:t xml:space="preserve">that </w:t>
      </w:r>
      <w:r w:rsidR="00D40526" w:rsidRPr="00946411">
        <w:rPr>
          <w:lang w:val="en-GB"/>
        </w:rPr>
        <w:t xml:space="preserve">the model was also driven by an </w:t>
      </w:r>
      <w:r w:rsidR="00FD462B" w:rsidRPr="00946411">
        <w:rPr>
          <w:lang w:val="en-GB"/>
        </w:rPr>
        <w:t>assumed</w:t>
      </w:r>
      <w:r w:rsidR="00D40526" w:rsidRPr="00946411">
        <w:rPr>
          <w:lang w:val="en-GB"/>
        </w:rPr>
        <w:t xml:space="preserve"> difference in pre-progression utilities</w:t>
      </w:r>
      <w:r w:rsidR="008C4CDA" w:rsidRPr="00946411">
        <w:rPr>
          <w:lang w:val="en-GB"/>
        </w:rPr>
        <w:t xml:space="preserve"> that was uncertain and favoured ruxolitinib</w:t>
      </w:r>
      <w:r w:rsidR="00277091" w:rsidRPr="00946411">
        <w:rPr>
          <w:lang w:val="en-GB"/>
        </w:rPr>
        <w:t xml:space="preserve"> (</w:t>
      </w:r>
      <w:r w:rsidR="00641D7E" w:rsidRPr="00946411">
        <w:rPr>
          <w:lang w:val="en-GB"/>
        </w:rPr>
        <w:t xml:space="preserve">para </w:t>
      </w:r>
      <w:r w:rsidR="00641D7E" w:rsidRPr="00946411">
        <w:rPr>
          <w:lang w:val="en-GB"/>
        </w:rPr>
        <w:fldChar w:fldCharType="begin" w:fldLock="1"/>
      </w:r>
      <w:r w:rsidR="00641D7E" w:rsidRPr="00946411">
        <w:rPr>
          <w:lang w:val="en-GB"/>
        </w:rPr>
        <w:instrText xml:space="preserve"> REF _Ref190693228 \r \h </w:instrText>
      </w:r>
      <w:r w:rsidR="006D5A87" w:rsidRPr="00946411">
        <w:rPr>
          <w:lang w:val="en-GB"/>
        </w:rPr>
        <w:instrText xml:space="preserve"> \* MERGEFORMAT </w:instrText>
      </w:r>
      <w:r w:rsidR="00641D7E" w:rsidRPr="00946411">
        <w:rPr>
          <w:lang w:val="en-GB"/>
        </w:rPr>
      </w:r>
      <w:r w:rsidR="00641D7E" w:rsidRPr="00946411">
        <w:rPr>
          <w:lang w:val="en-GB"/>
        </w:rPr>
        <w:fldChar w:fldCharType="separate"/>
      </w:r>
      <w:r w:rsidR="00E76C64">
        <w:rPr>
          <w:lang w:val="en-GB"/>
        </w:rPr>
        <w:t>6.72</w:t>
      </w:r>
      <w:r w:rsidR="00641D7E" w:rsidRPr="00946411">
        <w:rPr>
          <w:lang w:val="en-GB"/>
        </w:rPr>
        <w:fldChar w:fldCharType="end"/>
      </w:r>
      <w:r w:rsidR="00641D7E" w:rsidRPr="00946411">
        <w:rPr>
          <w:lang w:val="en-GB"/>
        </w:rPr>
        <w:t xml:space="preserve">). </w:t>
      </w:r>
      <w:r w:rsidR="001937A7" w:rsidRPr="00946411">
        <w:rPr>
          <w:lang w:val="en-GB"/>
        </w:rPr>
        <w:t xml:space="preserve">The ESC noted that </w:t>
      </w:r>
      <w:r w:rsidR="004052EF" w:rsidRPr="00946411">
        <w:rPr>
          <w:lang w:val="en-GB"/>
        </w:rPr>
        <w:t>w</w:t>
      </w:r>
      <w:r w:rsidR="001937A7" w:rsidRPr="00946411">
        <w:rPr>
          <w:lang w:val="en-GB"/>
        </w:rPr>
        <w:t xml:space="preserve">hen the mean utility value for ruxolitinib (0.821) was applied in both arms the ICER increased from </w:t>
      </w:r>
      <w:r w:rsidR="008B41F1" w:rsidRPr="008B41F1">
        <w:rPr>
          <w:lang w:val="en-GB"/>
        </w:rPr>
        <w:t xml:space="preserve">$55,000 to &lt; $75,000 </w:t>
      </w:r>
      <w:r w:rsidR="001937A7" w:rsidRPr="00946411">
        <w:rPr>
          <w:lang w:val="en-GB"/>
        </w:rPr>
        <w:t xml:space="preserve">per QALY gained to </w:t>
      </w:r>
      <w:r w:rsidR="00F51351" w:rsidRPr="00F51351">
        <w:rPr>
          <w:lang w:val="en-GB"/>
        </w:rPr>
        <w:t>$75,000 to &lt; $95,000</w:t>
      </w:r>
      <w:r w:rsidR="00F51351" w:rsidRPr="00F51351" w:rsidDel="00F51351">
        <w:rPr>
          <w:lang w:val="en-GB"/>
        </w:rPr>
        <w:t xml:space="preserve"> </w:t>
      </w:r>
      <w:r w:rsidR="001937A7" w:rsidRPr="00946411">
        <w:rPr>
          <w:lang w:val="en-GB"/>
        </w:rPr>
        <w:t>(+</w:t>
      </w:r>
      <w:r w:rsidR="009309CC" w:rsidRPr="00C0236C">
        <w:rPr>
          <w:color w:val="000000"/>
          <w:w w:val="15"/>
          <w:shd w:val="solid" w:color="000000" w:fill="000000"/>
          <w:fitText w:val="-20" w:id="-683985920"/>
          <w:lang w:val="en-GB"/>
          <w14:textFill>
            <w14:solidFill>
              <w14:srgbClr w14:val="000000">
                <w14:alpha w14:val="100000"/>
              </w14:srgbClr>
            </w14:solidFill>
          </w14:textFill>
        </w:rPr>
        <w:t xml:space="preserve">|  </w:t>
      </w:r>
      <w:r w:rsidR="009309CC" w:rsidRPr="00C0236C">
        <w:rPr>
          <w:color w:val="000000"/>
          <w:spacing w:val="-69"/>
          <w:w w:val="15"/>
          <w:shd w:val="solid" w:color="000000" w:fill="000000"/>
          <w:fitText w:val="-20" w:id="-683985920"/>
          <w:lang w:val="en-GB"/>
          <w14:textFill>
            <w14:solidFill>
              <w14:srgbClr w14:val="000000">
                <w14:alpha w14:val="100000"/>
              </w14:srgbClr>
            </w14:solidFill>
          </w14:textFill>
        </w:rPr>
        <w:t>|</w:t>
      </w:r>
      <w:r w:rsidR="001937A7" w:rsidRPr="00946411">
        <w:rPr>
          <w:lang w:val="en-GB"/>
        </w:rPr>
        <w:t>%).</w:t>
      </w:r>
      <w:r w:rsidR="004052EF" w:rsidRPr="00946411">
        <w:rPr>
          <w:lang w:val="en-GB"/>
        </w:rPr>
        <w:t xml:space="preserve"> Overall, the </w:t>
      </w:r>
      <w:r w:rsidR="00FE4D78" w:rsidRPr="00946411">
        <w:rPr>
          <w:lang w:val="en-GB"/>
        </w:rPr>
        <w:t xml:space="preserve">ESC </w:t>
      </w:r>
      <w:r w:rsidR="0032684F" w:rsidRPr="00946411">
        <w:rPr>
          <w:lang w:val="en-GB"/>
        </w:rPr>
        <w:t xml:space="preserve">considered the modelled benefits </w:t>
      </w:r>
      <w:r w:rsidR="001C1FA1" w:rsidRPr="00946411">
        <w:rPr>
          <w:lang w:val="en-GB"/>
        </w:rPr>
        <w:t>to be highly uncertain due to the lack of clinical data to support the claimed benefits</w:t>
      </w:r>
      <w:r w:rsidR="004B7189" w:rsidRPr="00946411">
        <w:rPr>
          <w:lang w:val="en-GB"/>
        </w:rPr>
        <w:t xml:space="preserve"> the model was based upon</w:t>
      </w:r>
      <w:r w:rsidR="00A015D5" w:rsidRPr="00946411">
        <w:rPr>
          <w:lang w:val="en-GB"/>
        </w:rPr>
        <w:t xml:space="preserve">. The ESC considered that it would be informative for the PBAC for the benefits observed in the trial </w:t>
      </w:r>
      <w:r w:rsidR="00AA579A" w:rsidRPr="00946411">
        <w:rPr>
          <w:lang w:val="en-GB"/>
        </w:rPr>
        <w:t xml:space="preserve">to be compared with the </w:t>
      </w:r>
      <w:r w:rsidR="002F24C6" w:rsidRPr="00946411">
        <w:rPr>
          <w:lang w:val="en-GB"/>
        </w:rPr>
        <w:t xml:space="preserve">modelled </w:t>
      </w:r>
      <w:r w:rsidR="00AA579A" w:rsidRPr="00946411">
        <w:rPr>
          <w:lang w:val="en-GB"/>
        </w:rPr>
        <w:t>benefits</w:t>
      </w:r>
      <w:r w:rsidR="008A0BFA" w:rsidRPr="00946411">
        <w:rPr>
          <w:lang w:val="en-GB"/>
        </w:rPr>
        <w:t xml:space="preserve"> </w:t>
      </w:r>
      <w:r w:rsidR="001A33B7" w:rsidRPr="00946411">
        <w:rPr>
          <w:lang w:val="en-GB"/>
        </w:rPr>
        <w:t>(i</w:t>
      </w:r>
      <w:r w:rsidR="00003E2A" w:rsidRPr="00946411">
        <w:rPr>
          <w:lang w:val="en-GB"/>
        </w:rPr>
        <w:t>.</w:t>
      </w:r>
      <w:r w:rsidR="001A33B7" w:rsidRPr="00946411">
        <w:rPr>
          <w:lang w:val="en-GB"/>
        </w:rPr>
        <w:t>e</w:t>
      </w:r>
      <w:r w:rsidR="00003E2A" w:rsidRPr="00946411">
        <w:rPr>
          <w:lang w:val="en-GB"/>
        </w:rPr>
        <w:t>.</w:t>
      </w:r>
      <w:r w:rsidR="001A33B7" w:rsidRPr="00946411">
        <w:rPr>
          <w:lang w:val="en-GB"/>
        </w:rPr>
        <w:t xml:space="preserve"> the model outputs</w:t>
      </w:r>
      <w:r w:rsidR="00A86C51" w:rsidRPr="00946411">
        <w:rPr>
          <w:lang w:val="en-GB"/>
        </w:rPr>
        <w:t xml:space="preserve">). The ESC </w:t>
      </w:r>
      <w:r w:rsidR="005B38DD" w:rsidRPr="00946411">
        <w:rPr>
          <w:lang w:val="en-GB"/>
        </w:rPr>
        <w:t xml:space="preserve">noted this </w:t>
      </w:r>
      <w:r w:rsidR="00440F6F" w:rsidRPr="00946411">
        <w:rPr>
          <w:lang w:val="en-GB"/>
        </w:rPr>
        <w:t>could potentially be supported by</w:t>
      </w:r>
      <w:r w:rsidR="00350276" w:rsidRPr="00946411">
        <w:rPr>
          <w:lang w:val="en-GB"/>
        </w:rPr>
        <w:t xml:space="preserve"> </w:t>
      </w:r>
      <w:r w:rsidR="008B20CC" w:rsidRPr="00946411">
        <w:rPr>
          <w:lang w:val="en-GB"/>
        </w:rPr>
        <w:t>comparing the trial based cost</w:t>
      </w:r>
      <w:r w:rsidR="00E239CD">
        <w:rPr>
          <w:lang w:val="en-GB"/>
        </w:rPr>
        <w:t>-per-</w:t>
      </w:r>
      <w:r w:rsidR="008B20CC" w:rsidRPr="00946411">
        <w:rPr>
          <w:lang w:val="en-GB"/>
        </w:rPr>
        <w:t xml:space="preserve">responder </w:t>
      </w:r>
      <w:r w:rsidR="00923B2B" w:rsidRPr="00946411">
        <w:rPr>
          <w:lang w:val="en-GB"/>
        </w:rPr>
        <w:t xml:space="preserve">(noting that this was the primary outcome of the trials) </w:t>
      </w:r>
      <w:r w:rsidR="008B20CC" w:rsidRPr="00946411">
        <w:rPr>
          <w:lang w:val="en-GB"/>
        </w:rPr>
        <w:t>with the result from the economic model.</w:t>
      </w:r>
      <w:bookmarkStart w:id="85" w:name="_Ref190695441"/>
    </w:p>
    <w:p w14:paraId="63CBD2E4" w14:textId="1E2B3660" w:rsidR="003D33C8" w:rsidRDefault="00AE7C51" w:rsidP="00FF682D">
      <w:pPr>
        <w:pStyle w:val="3-BodyText"/>
        <w:rPr>
          <w:lang w:val="en-GB"/>
        </w:rPr>
      </w:pPr>
      <w:bookmarkStart w:id="86" w:name="_Ref194308756"/>
      <w:r>
        <w:rPr>
          <w:lang w:val="en-GB"/>
        </w:rPr>
        <w:t>The pre-PBAC response</w:t>
      </w:r>
      <w:r w:rsidR="00F87B86">
        <w:rPr>
          <w:lang w:val="en-GB"/>
        </w:rPr>
        <w:t xml:space="preserve"> </w:t>
      </w:r>
      <w:r w:rsidR="00EC5E55">
        <w:rPr>
          <w:lang w:val="en-GB"/>
        </w:rPr>
        <w:t>pr</w:t>
      </w:r>
      <w:r w:rsidR="00CE20B0">
        <w:rPr>
          <w:lang w:val="en-GB"/>
        </w:rPr>
        <w:t>oposed</w:t>
      </w:r>
      <w:r w:rsidR="00EC5E55">
        <w:rPr>
          <w:lang w:val="en-GB"/>
        </w:rPr>
        <w:t xml:space="preserve"> a revised base case </w:t>
      </w:r>
      <w:r w:rsidR="000C3427">
        <w:rPr>
          <w:lang w:val="en-GB"/>
        </w:rPr>
        <w:t>that</w:t>
      </w:r>
      <w:r w:rsidR="00CE20B0">
        <w:rPr>
          <w:lang w:val="en-GB"/>
        </w:rPr>
        <w:t>:</w:t>
      </w:r>
      <w:bookmarkEnd w:id="86"/>
    </w:p>
    <w:p w14:paraId="088E517B" w14:textId="02C7BFF7" w:rsidR="00CE20B0" w:rsidRDefault="002A7E7C" w:rsidP="009E06E3">
      <w:pPr>
        <w:numPr>
          <w:ilvl w:val="0"/>
          <w:numId w:val="10"/>
        </w:numPr>
        <w:spacing w:before="60" w:after="60"/>
        <w:ind w:left="993"/>
        <w:rPr>
          <w:lang w:val="en-GB"/>
        </w:rPr>
      </w:pPr>
      <w:r>
        <w:rPr>
          <w:lang w:val="en-GB"/>
        </w:rPr>
        <w:t xml:space="preserve">Assumed pre-progression survival for ruxolitinib is between that modelled from MAJIC and </w:t>
      </w:r>
      <w:r w:rsidR="00F6064A">
        <w:rPr>
          <w:lang w:val="en-GB"/>
        </w:rPr>
        <w:t>an assumption of no pre-progression survival</w:t>
      </w:r>
      <w:r w:rsidR="00EC747D">
        <w:rPr>
          <w:lang w:val="en-GB"/>
        </w:rPr>
        <w:t xml:space="preserve"> benefits for ruxolitinib;</w:t>
      </w:r>
    </w:p>
    <w:p w14:paraId="0106C14F" w14:textId="58FAB235" w:rsidR="00EC747D" w:rsidRDefault="00EC747D" w:rsidP="009E06E3">
      <w:pPr>
        <w:numPr>
          <w:ilvl w:val="0"/>
          <w:numId w:val="10"/>
        </w:numPr>
        <w:spacing w:before="60" w:after="60"/>
        <w:ind w:left="993"/>
        <w:rPr>
          <w:lang w:val="en-GB"/>
        </w:rPr>
      </w:pPr>
      <w:r>
        <w:rPr>
          <w:lang w:val="en-GB"/>
        </w:rPr>
        <w:t xml:space="preserve">Changed the rate of AML to be between </w:t>
      </w:r>
      <w:r w:rsidR="006446F4">
        <w:rPr>
          <w:lang w:val="en-GB"/>
        </w:rPr>
        <w:t xml:space="preserve">that of MAJIC and </w:t>
      </w:r>
      <w:r w:rsidR="0085522F" w:rsidRPr="0085522F">
        <w:rPr>
          <w:lang w:val="en-GB"/>
        </w:rPr>
        <w:fldChar w:fldCharType="begin" w:fldLock="1">
          <w:fldData xml:space="preserve">PEVuZE5vdGU+PENpdGUgQXV0aG9yWWVhcj0iMSI+PEF1dGhvcj5BbHZhcmV6LUxhcnLDoW48L0F1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</w:fldData>
        </w:fldChar>
      </w:r>
      <w:r w:rsidR="0085522F" w:rsidRPr="0085522F">
        <w:rPr>
          <w:lang w:val="en-GB"/>
        </w:rPr>
        <w:instrText xml:space="preserve"> ADDIN EN.CITE </w:instrText>
      </w:r>
      <w:r w:rsidR="0085522F" w:rsidRPr="0085522F">
        <w:rPr>
          <w:lang w:val="en-GB"/>
        </w:rPr>
        <w:fldChar w:fldCharType="begin" w:fldLock="1">
          <w:fldData xml:space="preserve">PEVuZE5vdGU+PENpdGUgQXV0aG9yWWVhcj0iMSI+PEF1dGhvcj5BbHZhcmV6LUxhcnLDoW48L0F1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</w:fldData>
        </w:fldChar>
      </w:r>
      <w:r w:rsidR="0085522F" w:rsidRPr="0085522F">
        <w:rPr>
          <w:lang w:val="en-GB"/>
        </w:rPr>
        <w:instrText xml:space="preserve"> ADDIN EN.CITE.DATA </w:instrText>
      </w:r>
      <w:r w:rsidR="0085522F" w:rsidRPr="0085522F">
        <w:rPr>
          <w:lang w:val="en-GB"/>
        </w:rPr>
      </w:r>
      <w:r w:rsidR="0085522F" w:rsidRPr="0085522F">
        <w:rPr>
          <w:lang w:val="en-GB"/>
        </w:rPr>
        <w:fldChar w:fldCharType="end"/>
      </w:r>
      <w:r w:rsidR="0085522F" w:rsidRPr="0085522F">
        <w:rPr>
          <w:lang w:val="en-GB"/>
        </w:rPr>
      </w:r>
      <w:r w:rsidR="0085522F" w:rsidRPr="0085522F">
        <w:rPr>
          <w:lang w:val="en-GB"/>
        </w:rPr>
        <w:fldChar w:fldCharType="separate"/>
      </w:r>
      <w:r w:rsidR="0085522F" w:rsidRPr="0085522F">
        <w:rPr>
          <w:lang w:val="en-GB"/>
        </w:rPr>
        <w:t>Alvarez-Larrán et al. (2022)</w:t>
      </w:r>
      <w:r w:rsidR="0085522F" w:rsidRPr="0085522F">
        <w:rPr>
          <w:lang w:val="en-GB"/>
        </w:rPr>
        <w:fldChar w:fldCharType="end"/>
      </w:r>
      <w:r w:rsidR="003B14AE">
        <w:rPr>
          <w:lang w:val="en-GB"/>
        </w:rPr>
        <w:t>; and</w:t>
      </w:r>
    </w:p>
    <w:p w14:paraId="0D54E172" w14:textId="7A058D19" w:rsidR="003B14AE" w:rsidRPr="00870B44" w:rsidRDefault="003B14AE" w:rsidP="009E06E3">
      <w:pPr>
        <w:numPr>
          <w:ilvl w:val="0"/>
          <w:numId w:val="10"/>
        </w:numPr>
        <w:spacing w:before="60" w:after="60"/>
        <w:ind w:left="993"/>
        <w:rPr>
          <w:lang w:val="en-GB"/>
        </w:rPr>
      </w:pPr>
      <w:r>
        <w:rPr>
          <w:lang w:val="en-GB"/>
        </w:rPr>
        <w:t xml:space="preserve">Reduced the EMP </w:t>
      </w:r>
      <w:r w:rsidR="00C77F81">
        <w:rPr>
          <w:lang w:val="en-GB"/>
        </w:rPr>
        <w:t xml:space="preserve">from </w:t>
      </w:r>
      <w:r w:rsidR="00543FF2">
        <w:rPr>
          <w:lang w:val="en-GB"/>
        </w:rPr>
        <w:t>$</w:t>
      </w:r>
      <w:r w:rsidR="00A268DC" w:rsidRPr="00C0236C">
        <w:rPr>
          <w:color w:val="000000"/>
          <w:w w:val="15"/>
          <w:shd w:val="solid" w:color="000000" w:fill="000000"/>
          <w:fitText w:val="-20" w:id="-694973437"/>
          <w:lang w:val="en-GB"/>
          <w14:textFill>
            <w14:solidFill>
              <w14:srgbClr w14:val="000000">
                <w14:alpha w14:val="100000"/>
              </w14:srgbClr>
            </w14:solidFill>
          </w14:textFill>
        </w:rPr>
        <w:t>|</w:t>
      </w:r>
      <w:r w:rsidR="00F87B86" w:rsidRPr="00C0236C">
        <w:rPr>
          <w:color w:val="000000"/>
          <w:w w:val="15"/>
          <w:shd w:val="solid" w:color="000000" w:fill="000000"/>
          <w:fitText w:val="-20" w:id="-694973437"/>
          <w:lang w:val="en-GB"/>
          <w14:textFill>
            <w14:solidFill>
              <w14:srgbClr w14:val="000000">
                <w14:alpha w14:val="100000"/>
              </w14:srgbClr>
            </w14:solidFill>
          </w14:textFill>
        </w:rPr>
        <w:t xml:space="preserve"> </w:t>
      </w:r>
      <w:r w:rsidR="00A268DC" w:rsidRPr="00C0236C">
        <w:rPr>
          <w:color w:val="000000"/>
          <w:spacing w:val="-61"/>
          <w:w w:val="15"/>
          <w:shd w:val="solid" w:color="000000" w:fill="000000"/>
          <w:fitText w:val="-20" w:id="-694973437"/>
          <w:lang w:val="en-GB"/>
          <w14:textFill>
            <w14:solidFill>
              <w14:srgbClr w14:val="000000">
                <w14:alpha w14:val="100000"/>
              </w14:srgbClr>
            </w14:solidFill>
          </w14:textFill>
        </w:rPr>
        <w:t>|</w:t>
      </w:r>
      <w:r w:rsidR="00543FF2">
        <w:rPr>
          <w:lang w:val="en-GB"/>
        </w:rPr>
        <w:t xml:space="preserve"> to </w:t>
      </w:r>
      <w:r w:rsidR="00543FF2">
        <w:t>$</w:t>
      </w:r>
      <w:r w:rsidR="00A268DC" w:rsidRPr="00C0236C">
        <w:rPr>
          <w:color w:val="000000"/>
          <w:w w:val="15"/>
          <w:shd w:val="solid" w:color="000000" w:fill="000000"/>
          <w:fitText w:val="-20" w:id="-694973436"/>
          <w14:textFill>
            <w14:solidFill>
              <w14:srgbClr w14:val="000000">
                <w14:alpha w14:val="100000"/>
              </w14:srgbClr>
            </w14:solidFill>
          </w14:textFill>
        </w:rPr>
        <w:t>|</w:t>
      </w:r>
      <w:r w:rsidR="00F87B86" w:rsidRPr="00C0236C">
        <w:rPr>
          <w:color w:val="000000"/>
          <w:w w:val="15"/>
          <w:shd w:val="solid" w:color="000000" w:fill="000000"/>
          <w:fitText w:val="-20" w:id="-694973436"/>
          <w14:textFill>
            <w14:solidFill>
              <w14:srgbClr w14:val="000000">
                <w14:alpha w14:val="100000"/>
              </w14:srgbClr>
            </w14:solidFill>
          </w14:textFill>
        </w:rPr>
        <w:t xml:space="preserve"> </w:t>
      </w:r>
      <w:r w:rsidR="00A268DC" w:rsidRPr="00C0236C">
        <w:rPr>
          <w:color w:val="000000"/>
          <w:spacing w:val="-61"/>
          <w:w w:val="15"/>
          <w:shd w:val="solid" w:color="000000" w:fill="000000"/>
          <w:fitText w:val="-20" w:id="-694973436"/>
          <w14:textFill>
            <w14:solidFill>
              <w14:srgbClr w14:val="000000">
                <w14:alpha w14:val="100000"/>
              </w14:srgbClr>
            </w14:solidFill>
          </w14:textFill>
        </w:rPr>
        <w:t>|</w:t>
      </w:r>
      <w:r w:rsidR="00543FF2">
        <w:t xml:space="preserve"> for across all strengths. </w:t>
      </w:r>
    </w:p>
    <w:p w14:paraId="2304F021" w14:textId="04D3F31A" w:rsidR="00850D82" w:rsidRDefault="00870B44" w:rsidP="006452F7">
      <w:pPr>
        <w:spacing w:before="60" w:after="120"/>
        <w:ind w:left="720"/>
      </w:pPr>
      <w:r>
        <w:t>The pre-PBAC response</w:t>
      </w:r>
      <w:r w:rsidR="00F87B86">
        <w:t xml:space="preserve"> </w:t>
      </w:r>
      <w:r>
        <w:t>stated that the</w:t>
      </w:r>
      <w:r w:rsidR="00EE6312">
        <w:t xml:space="preserve">se changes resulted in a revised ICER of </w:t>
      </w:r>
      <w:r w:rsidR="00787FB1" w:rsidRPr="00787FB1">
        <w:t xml:space="preserve">$55,000 to &lt; $75,000 </w:t>
      </w:r>
      <w:r w:rsidR="00EE6312">
        <w:t>per QALY gained</w:t>
      </w:r>
      <w:r w:rsidR="00535C5D">
        <w:t xml:space="preserve">. </w:t>
      </w:r>
    </w:p>
    <w:p w14:paraId="25B290D1" w14:textId="58F43694" w:rsidR="00870B44" w:rsidRPr="00CD2D9A" w:rsidRDefault="00226E98" w:rsidP="00850D82">
      <w:pPr>
        <w:pStyle w:val="3-BodyText"/>
        <w:rPr>
          <w:lang w:val="en-GB"/>
        </w:rPr>
      </w:pPr>
      <w:r>
        <w:t xml:space="preserve">The pre-PBAC response </w:t>
      </w:r>
      <w:r w:rsidR="00136039">
        <w:t>also provided a cost</w:t>
      </w:r>
      <w:r w:rsidR="00E239CD">
        <w:t>-</w:t>
      </w:r>
      <w:r w:rsidR="00136039">
        <w:t>per</w:t>
      </w:r>
      <w:r w:rsidR="00E239CD">
        <w:t>-</w:t>
      </w:r>
      <w:r w:rsidR="00136039">
        <w:t>responder analysis (</w:t>
      </w:r>
      <w:r w:rsidR="00CD2D9A">
        <w:fldChar w:fldCharType="begin" w:fldLock="1"/>
      </w:r>
      <w:r w:rsidR="00CD2D9A">
        <w:instrText xml:space="preserve"> REF _Ref194249307 \h </w:instrText>
      </w:r>
      <w:r w:rsidR="00CD2D9A">
        <w:fldChar w:fldCharType="separate"/>
      </w:r>
      <w:r w:rsidR="00CD2D9A">
        <w:t xml:space="preserve">Table </w:t>
      </w:r>
      <w:r w:rsidR="00CD2D9A">
        <w:rPr>
          <w:noProof/>
        </w:rPr>
        <w:t>17</w:t>
      </w:r>
      <w:r w:rsidR="00CD2D9A">
        <w:fldChar w:fldCharType="end"/>
      </w:r>
      <w:r w:rsidR="00CD2D9A">
        <w:t>)</w:t>
      </w:r>
      <w:r w:rsidR="00396829">
        <w:t xml:space="preserve"> based on </w:t>
      </w:r>
      <w:r w:rsidR="00E858AE">
        <w:t>patients remaining in</w:t>
      </w:r>
      <w:r w:rsidR="00396829">
        <w:t xml:space="preserve"> response at 5 years</w:t>
      </w:r>
      <w:r w:rsidR="009964A3">
        <w:t>.</w:t>
      </w:r>
    </w:p>
    <w:p w14:paraId="2E632F5B" w14:textId="210D707D" w:rsidR="00CD2D9A" w:rsidRPr="00136039" w:rsidRDefault="00CD2D9A" w:rsidP="00CD2D9A">
      <w:pPr>
        <w:pStyle w:val="Caption"/>
        <w:rPr>
          <w:lang w:val="en-GB"/>
        </w:rPr>
      </w:pPr>
      <w:bookmarkStart w:id="87" w:name="_Ref194249307"/>
      <w:r>
        <w:lastRenderedPageBreak/>
        <w:t xml:space="preserve">Table </w:t>
      </w:r>
      <w:r w:rsidR="001F427F">
        <w:fldChar w:fldCharType="begin" w:fldLock="1"/>
      </w:r>
      <w:r w:rsidR="001F427F">
        <w:instrText xml:space="preserve"> SEQ Table \* ARABIC </w:instrText>
      </w:r>
      <w:r w:rsidR="001F427F">
        <w:fldChar w:fldCharType="separate"/>
      </w:r>
      <w:r w:rsidR="001F427F">
        <w:rPr>
          <w:noProof/>
        </w:rPr>
        <w:t>17</w:t>
      </w:r>
      <w:r w:rsidR="001F427F">
        <w:rPr>
          <w:noProof/>
        </w:rPr>
        <w:fldChar w:fldCharType="end"/>
      </w:r>
      <w:bookmarkEnd w:id="87"/>
      <w:r>
        <w:t>: Economic evaluation: cost</w:t>
      </w:r>
      <w:r w:rsidR="00BA4B90">
        <w:t>-</w:t>
      </w:r>
      <w:r>
        <w:t>per</w:t>
      </w:r>
      <w:r w:rsidR="00BA4B90">
        <w:t>-</w:t>
      </w:r>
      <w:r>
        <w:t>responder analysis - pre-PBAC response</w:t>
      </w:r>
    </w:p>
    <w:tbl>
      <w:tblPr>
        <w:tblStyle w:val="Summarybox72"/>
        <w:tblW w:w="5028" w:type="pct"/>
        <w:tblLook w:val="04A0" w:firstRow="1" w:lastRow="0" w:firstColumn="1" w:lastColumn="0" w:noHBand="0" w:noVBand="1"/>
        <w:tblCaption w:val="Table 17: Economic evaluation: cost-per-responder analysis - pre-PBAC response"/>
      </w:tblPr>
      <w:tblGrid>
        <w:gridCol w:w="2493"/>
        <w:gridCol w:w="1064"/>
        <w:gridCol w:w="809"/>
        <w:gridCol w:w="814"/>
        <w:gridCol w:w="1064"/>
        <w:gridCol w:w="669"/>
        <w:gridCol w:w="816"/>
        <w:gridCol w:w="1338"/>
      </w:tblGrid>
      <w:tr w:rsidR="00CA1FEE" w:rsidRPr="007A5667" w14:paraId="537E1F60" w14:textId="77777777" w:rsidTr="00AD2E6F">
        <w:tc>
          <w:tcPr>
            <w:tcW w:w="1374" w:type="pct"/>
            <w:vMerge w:val="restart"/>
            <w:shd w:val="clear" w:color="auto" w:fill="auto"/>
          </w:tcPr>
          <w:p w14:paraId="18885FCB" w14:textId="77777777" w:rsidR="00CD2D9A" w:rsidRPr="007A5667" w:rsidRDefault="00CD2D9A" w:rsidP="009E5A28">
            <w:pPr>
              <w:pStyle w:val="In-tableHeading"/>
              <w:rPr>
                <w:sz w:val="20"/>
                <w:szCs w:val="22"/>
              </w:rPr>
            </w:pPr>
          </w:p>
        </w:tc>
        <w:tc>
          <w:tcPr>
            <w:tcW w:w="1482" w:type="pct"/>
            <w:gridSpan w:val="3"/>
            <w:shd w:val="clear" w:color="auto" w:fill="auto"/>
          </w:tcPr>
          <w:p w14:paraId="42CFB434" w14:textId="77777777" w:rsidR="00CD2D9A" w:rsidRPr="007A5667" w:rsidRDefault="00CD2D9A" w:rsidP="009E5A28">
            <w:pPr>
              <w:pStyle w:val="In-tableHeading"/>
              <w:rPr>
                <w:bCs/>
                <w:color w:val="000000"/>
                <w:sz w:val="20"/>
                <w:szCs w:val="22"/>
              </w:rPr>
            </w:pPr>
            <w:r w:rsidRPr="007A5667">
              <w:rPr>
                <w:bCs/>
                <w:color w:val="000000"/>
                <w:sz w:val="20"/>
                <w:szCs w:val="22"/>
              </w:rPr>
              <w:t>Cost</w:t>
            </w:r>
          </w:p>
        </w:tc>
        <w:tc>
          <w:tcPr>
            <w:tcW w:w="1406" w:type="pct"/>
            <w:gridSpan w:val="3"/>
            <w:shd w:val="clear" w:color="auto" w:fill="auto"/>
          </w:tcPr>
          <w:p w14:paraId="35411757" w14:textId="77777777" w:rsidR="00CD2D9A" w:rsidRPr="007A5667" w:rsidRDefault="00CD2D9A" w:rsidP="009E5A28">
            <w:pPr>
              <w:pStyle w:val="In-tableHeading"/>
              <w:rPr>
                <w:bCs/>
                <w:color w:val="000000"/>
                <w:sz w:val="20"/>
                <w:szCs w:val="22"/>
              </w:rPr>
            </w:pPr>
            <w:r w:rsidRPr="007A5667">
              <w:rPr>
                <w:bCs/>
                <w:color w:val="000000"/>
                <w:sz w:val="20"/>
                <w:szCs w:val="22"/>
              </w:rPr>
              <w:t>Response</w:t>
            </w:r>
          </w:p>
        </w:tc>
        <w:tc>
          <w:tcPr>
            <w:tcW w:w="738" w:type="pct"/>
            <w:vMerge w:val="restart"/>
            <w:shd w:val="clear" w:color="auto" w:fill="auto"/>
            <w:vAlign w:val="center"/>
          </w:tcPr>
          <w:p w14:paraId="1D294664" w14:textId="77777777" w:rsidR="00CD2D9A" w:rsidRPr="007A5667" w:rsidRDefault="00CD2D9A" w:rsidP="009E5A28">
            <w:pPr>
              <w:pStyle w:val="In-tableHeading"/>
              <w:rPr>
                <w:bCs/>
                <w:color w:val="000000"/>
                <w:sz w:val="20"/>
                <w:szCs w:val="22"/>
              </w:rPr>
            </w:pPr>
            <w:r w:rsidRPr="007A5667">
              <w:rPr>
                <w:bCs/>
                <w:color w:val="000000"/>
                <w:sz w:val="20"/>
                <w:szCs w:val="22"/>
              </w:rPr>
              <w:t>ICER</w:t>
            </w:r>
          </w:p>
        </w:tc>
      </w:tr>
      <w:tr w:rsidR="00D96CCA" w:rsidRPr="007A5667" w14:paraId="778EB0AB" w14:textId="77777777" w:rsidTr="00AD2E6F">
        <w:tc>
          <w:tcPr>
            <w:tcW w:w="1374" w:type="pct"/>
            <w:vMerge/>
            <w:shd w:val="clear" w:color="auto" w:fill="auto"/>
          </w:tcPr>
          <w:p w14:paraId="288696CB" w14:textId="77777777" w:rsidR="00CD2D9A" w:rsidRPr="007A5667" w:rsidRDefault="00CD2D9A" w:rsidP="009E5A28">
            <w:pPr>
              <w:pStyle w:val="In-tableHeading"/>
              <w:rPr>
                <w:sz w:val="20"/>
                <w:szCs w:val="22"/>
              </w:rPr>
            </w:pPr>
          </w:p>
        </w:tc>
        <w:tc>
          <w:tcPr>
            <w:tcW w:w="587" w:type="pct"/>
            <w:shd w:val="clear" w:color="auto" w:fill="auto"/>
          </w:tcPr>
          <w:p w14:paraId="4E53B952" w14:textId="73B9C0B9" w:rsidR="00CD2D9A" w:rsidRPr="007A5667" w:rsidRDefault="00D96CCA" w:rsidP="009E5A28">
            <w:pPr>
              <w:pStyle w:val="In-tableHeading"/>
              <w:rPr>
                <w:bCs/>
                <w:color w:val="000000"/>
                <w:sz w:val="20"/>
                <w:szCs w:val="22"/>
              </w:rPr>
            </w:pPr>
            <w:r>
              <w:rPr>
                <w:bCs/>
                <w:color w:val="000000"/>
                <w:sz w:val="20"/>
                <w:szCs w:val="22"/>
              </w:rPr>
              <w:t>Ruxolitinib</w:t>
            </w:r>
          </w:p>
        </w:tc>
        <w:tc>
          <w:tcPr>
            <w:tcW w:w="446" w:type="pct"/>
            <w:shd w:val="clear" w:color="auto" w:fill="auto"/>
          </w:tcPr>
          <w:p w14:paraId="7CF954E1" w14:textId="7F56A392" w:rsidR="00CD2D9A" w:rsidRPr="007A5667" w:rsidRDefault="00D96CCA" w:rsidP="009E5A28">
            <w:pPr>
              <w:pStyle w:val="In-tableHeading"/>
              <w:rPr>
                <w:bCs/>
                <w:color w:val="000000"/>
                <w:sz w:val="20"/>
                <w:szCs w:val="22"/>
              </w:rPr>
            </w:pPr>
            <w:r>
              <w:rPr>
                <w:bCs/>
                <w:color w:val="000000"/>
                <w:sz w:val="20"/>
                <w:szCs w:val="22"/>
              </w:rPr>
              <w:t>BAT</w:t>
            </w:r>
          </w:p>
        </w:tc>
        <w:tc>
          <w:tcPr>
            <w:tcW w:w="449" w:type="pct"/>
            <w:shd w:val="clear" w:color="auto" w:fill="auto"/>
          </w:tcPr>
          <w:p w14:paraId="043A30A1" w14:textId="77777777" w:rsidR="00CD2D9A" w:rsidRPr="007A5667" w:rsidRDefault="00CD2D9A" w:rsidP="009E5A28">
            <w:pPr>
              <w:pStyle w:val="In-tableHeading"/>
              <w:rPr>
                <w:bCs/>
                <w:color w:val="000000"/>
                <w:sz w:val="20"/>
                <w:szCs w:val="22"/>
              </w:rPr>
            </w:pPr>
            <w:r w:rsidRPr="007A5667">
              <w:rPr>
                <w:bCs/>
                <w:color w:val="000000"/>
                <w:sz w:val="20"/>
                <w:szCs w:val="22"/>
              </w:rPr>
              <w:t>Incr.</w:t>
            </w:r>
          </w:p>
        </w:tc>
        <w:tc>
          <w:tcPr>
            <w:tcW w:w="587" w:type="pct"/>
            <w:shd w:val="clear" w:color="auto" w:fill="auto"/>
          </w:tcPr>
          <w:p w14:paraId="476851C0" w14:textId="70382C70" w:rsidR="00CD2D9A" w:rsidRPr="007A5667" w:rsidRDefault="00D96CCA" w:rsidP="009E5A28">
            <w:pPr>
              <w:pStyle w:val="In-tableHeading"/>
              <w:rPr>
                <w:bCs/>
                <w:color w:val="000000"/>
                <w:sz w:val="20"/>
                <w:szCs w:val="22"/>
              </w:rPr>
            </w:pPr>
            <w:r>
              <w:rPr>
                <w:bCs/>
                <w:color w:val="000000"/>
                <w:sz w:val="20"/>
                <w:szCs w:val="22"/>
              </w:rPr>
              <w:t>Ruxolitinib</w:t>
            </w:r>
          </w:p>
        </w:tc>
        <w:tc>
          <w:tcPr>
            <w:tcW w:w="369" w:type="pct"/>
            <w:shd w:val="clear" w:color="auto" w:fill="auto"/>
          </w:tcPr>
          <w:p w14:paraId="0815149C" w14:textId="752B14A5" w:rsidR="00CD2D9A" w:rsidRPr="007A5667" w:rsidRDefault="00D96CCA" w:rsidP="009E5A28">
            <w:pPr>
              <w:pStyle w:val="In-tableHeading"/>
              <w:rPr>
                <w:bCs/>
                <w:color w:val="000000"/>
                <w:sz w:val="20"/>
                <w:szCs w:val="22"/>
              </w:rPr>
            </w:pPr>
            <w:r>
              <w:rPr>
                <w:bCs/>
                <w:color w:val="000000"/>
                <w:sz w:val="20"/>
                <w:szCs w:val="22"/>
              </w:rPr>
              <w:t>BAT</w:t>
            </w:r>
          </w:p>
        </w:tc>
        <w:tc>
          <w:tcPr>
            <w:tcW w:w="450" w:type="pct"/>
            <w:shd w:val="clear" w:color="auto" w:fill="auto"/>
          </w:tcPr>
          <w:p w14:paraId="2BC460B1" w14:textId="77777777" w:rsidR="00CD2D9A" w:rsidRPr="007A5667" w:rsidRDefault="00CD2D9A" w:rsidP="009E5A28">
            <w:pPr>
              <w:pStyle w:val="In-tableHeading"/>
              <w:rPr>
                <w:bCs/>
                <w:color w:val="000000"/>
                <w:sz w:val="20"/>
                <w:szCs w:val="22"/>
              </w:rPr>
            </w:pPr>
            <w:r w:rsidRPr="007A5667">
              <w:rPr>
                <w:bCs/>
                <w:color w:val="000000"/>
                <w:sz w:val="20"/>
                <w:szCs w:val="22"/>
              </w:rPr>
              <w:t xml:space="preserve">Incr. </w:t>
            </w:r>
          </w:p>
        </w:tc>
        <w:tc>
          <w:tcPr>
            <w:tcW w:w="738" w:type="pct"/>
            <w:vMerge/>
            <w:shd w:val="clear" w:color="auto" w:fill="auto"/>
          </w:tcPr>
          <w:p w14:paraId="27BE2CBC" w14:textId="77777777" w:rsidR="00CD2D9A" w:rsidRPr="007A5667" w:rsidRDefault="00CD2D9A" w:rsidP="009E5A28">
            <w:pPr>
              <w:pStyle w:val="In-tableHeading"/>
              <w:rPr>
                <w:bCs/>
                <w:color w:val="000000"/>
                <w:sz w:val="20"/>
                <w:szCs w:val="22"/>
              </w:rPr>
            </w:pPr>
          </w:p>
        </w:tc>
      </w:tr>
      <w:tr w:rsidR="00D96CCA" w:rsidRPr="007A5667" w14:paraId="039FF4D2" w14:textId="77777777" w:rsidTr="00AD2E6F">
        <w:tc>
          <w:tcPr>
            <w:tcW w:w="1374" w:type="pct"/>
            <w:shd w:val="clear" w:color="auto" w:fill="auto"/>
          </w:tcPr>
          <w:p w14:paraId="7D2E5B74" w14:textId="0A1C9B1A" w:rsidR="00CD2D9A" w:rsidRPr="00F320CC" w:rsidRDefault="00E74AE3" w:rsidP="00CA1FEE">
            <w:pPr>
              <w:pStyle w:val="TableText0"/>
              <w:jc w:val="center"/>
              <w:rPr>
                <w:sz w:val="20"/>
                <w:vertAlign w:val="superscript"/>
              </w:rPr>
            </w:pPr>
            <w:r>
              <w:rPr>
                <w:sz w:val="20"/>
              </w:rPr>
              <w:t>Overall response (CR or PR)</w:t>
            </w:r>
            <w:r w:rsidR="009A59F4">
              <w:rPr>
                <w:sz w:val="20"/>
              </w:rPr>
              <w:t xml:space="preserve"> at </w:t>
            </w:r>
            <w:r w:rsidR="0013097E">
              <w:rPr>
                <w:sz w:val="20"/>
              </w:rPr>
              <w:t>5 years</w:t>
            </w:r>
            <w:r w:rsidR="00F320CC">
              <w:rPr>
                <w:sz w:val="20"/>
              </w:rPr>
              <w:t xml:space="preserve"> </w:t>
            </w:r>
            <w:r w:rsidR="00F320CC">
              <w:rPr>
                <w:sz w:val="20"/>
                <w:vertAlign w:val="superscript"/>
              </w:rPr>
              <w:t>a</w:t>
            </w:r>
          </w:p>
        </w:tc>
        <w:tc>
          <w:tcPr>
            <w:tcW w:w="587" w:type="pct"/>
            <w:shd w:val="clear" w:color="auto" w:fill="auto"/>
          </w:tcPr>
          <w:p w14:paraId="767777C9" w14:textId="62DF05DC" w:rsidR="00CD2D9A" w:rsidRPr="007A5667" w:rsidRDefault="00CD2D9A" w:rsidP="00CA1FEE">
            <w:pPr>
              <w:pStyle w:val="TableText0"/>
              <w:jc w:val="center"/>
              <w:rPr>
                <w:sz w:val="20"/>
              </w:rPr>
            </w:pPr>
            <w:r w:rsidRPr="007A5667">
              <w:rPr>
                <w:rFonts w:cs="Calibri"/>
                <w:sz w:val="20"/>
              </w:rPr>
              <w:t>$</w:t>
            </w:r>
            <w:r w:rsidR="00A268DC" w:rsidRPr="00A268DC">
              <w:rPr>
                <w:rFonts w:cs="Calibri"/>
                <w:color w:val="000000"/>
                <w:spacing w:val="84"/>
                <w:sz w:val="20"/>
                <w:shd w:val="solid" w:color="000000" w:fill="000000"/>
                <w:fitText w:val="170" w:id="-694973435"/>
                <w14:textFill>
                  <w14:solidFill>
                    <w14:srgbClr w14:val="000000">
                      <w14:alpha w14:val="100000"/>
                    </w14:srgbClr>
                  </w14:solidFill>
                </w14:textFill>
              </w:rPr>
              <w:t>|</w:t>
            </w:r>
            <w:r w:rsidR="00A268DC" w:rsidRPr="00A268DC">
              <w:rPr>
                <w:rFonts w:cs="Calibri"/>
                <w:color w:val="000000"/>
                <w:spacing w:val="1"/>
                <w:sz w:val="20"/>
                <w:shd w:val="solid" w:color="000000" w:fill="000000"/>
                <w:fitText w:val="170" w:id="-694973435"/>
                <w14:textFill>
                  <w14:solidFill>
                    <w14:srgbClr w14:val="000000">
                      <w14:alpha w14:val="100000"/>
                    </w14:srgbClr>
                  </w14:solidFill>
                </w14:textFill>
              </w:rPr>
              <w:t>|</w:t>
            </w:r>
          </w:p>
        </w:tc>
        <w:tc>
          <w:tcPr>
            <w:tcW w:w="446" w:type="pct"/>
            <w:shd w:val="clear" w:color="auto" w:fill="auto"/>
          </w:tcPr>
          <w:p w14:paraId="603B4398" w14:textId="2DDF6EDC" w:rsidR="00CD2D9A" w:rsidRPr="007A5667" w:rsidRDefault="00CD2D9A" w:rsidP="00CA1FEE">
            <w:pPr>
              <w:pStyle w:val="TableText0"/>
              <w:jc w:val="center"/>
              <w:rPr>
                <w:sz w:val="20"/>
              </w:rPr>
            </w:pPr>
            <w:r w:rsidRPr="007A5667">
              <w:rPr>
                <w:rFonts w:cs="Calibri"/>
                <w:sz w:val="20"/>
              </w:rPr>
              <w:t>$</w:t>
            </w:r>
            <w:r w:rsidR="006D5772">
              <w:rPr>
                <w:rFonts w:cs="Calibri"/>
                <w:sz w:val="20"/>
              </w:rPr>
              <w:t>52,251</w:t>
            </w:r>
          </w:p>
        </w:tc>
        <w:tc>
          <w:tcPr>
            <w:tcW w:w="449" w:type="pct"/>
            <w:shd w:val="clear" w:color="auto" w:fill="auto"/>
          </w:tcPr>
          <w:p w14:paraId="5C9CF582" w14:textId="4EF4107E" w:rsidR="00CD2D9A" w:rsidRPr="007A5667" w:rsidRDefault="00CD2D9A" w:rsidP="00CA1FEE">
            <w:pPr>
              <w:pStyle w:val="TableText0"/>
              <w:jc w:val="center"/>
              <w:rPr>
                <w:sz w:val="20"/>
              </w:rPr>
            </w:pPr>
            <w:r w:rsidRPr="007A5667">
              <w:rPr>
                <w:rFonts w:cs="Calibri"/>
                <w:sz w:val="20"/>
              </w:rPr>
              <w:t>$</w:t>
            </w:r>
            <w:r w:rsidR="00A268DC" w:rsidRPr="00050CAF">
              <w:rPr>
                <w:rFonts w:cs="Calibri"/>
                <w:color w:val="000000"/>
                <w:spacing w:val="204"/>
                <w:sz w:val="20"/>
                <w:shd w:val="solid" w:color="000000" w:fill="000000"/>
                <w:fitText w:val="290" w:id="-694973434"/>
                <w14:textFill>
                  <w14:solidFill>
                    <w14:srgbClr w14:val="000000">
                      <w14:alpha w14:val="100000"/>
                    </w14:srgbClr>
                  </w14:solidFill>
                </w14:textFill>
              </w:rPr>
              <w:t>|</w:t>
            </w:r>
            <w:r w:rsidR="00A268DC" w:rsidRPr="00050CAF">
              <w:rPr>
                <w:rFonts w:cs="Calibri"/>
                <w:color w:val="000000"/>
                <w:sz w:val="20"/>
                <w:shd w:val="solid" w:color="000000" w:fill="000000"/>
                <w:fitText w:val="290" w:id="-694973434"/>
                <w14:textFill>
                  <w14:solidFill>
                    <w14:srgbClr w14:val="000000">
                      <w14:alpha w14:val="100000"/>
                    </w14:srgbClr>
                  </w14:solidFill>
                </w14:textFill>
              </w:rPr>
              <w:t>|</w:t>
            </w:r>
          </w:p>
        </w:tc>
        <w:tc>
          <w:tcPr>
            <w:tcW w:w="587" w:type="pct"/>
            <w:shd w:val="clear" w:color="auto" w:fill="auto"/>
          </w:tcPr>
          <w:p w14:paraId="0C836D86" w14:textId="1EF5F39A" w:rsidR="00CD2D9A" w:rsidRPr="007A5667" w:rsidRDefault="00CD2D9A" w:rsidP="00CA1FEE">
            <w:pPr>
              <w:pStyle w:val="TableText0"/>
              <w:jc w:val="center"/>
              <w:rPr>
                <w:sz w:val="20"/>
              </w:rPr>
            </w:pPr>
            <w:r w:rsidRPr="007A5667">
              <w:rPr>
                <w:rFonts w:cs="Calibri"/>
                <w:sz w:val="20"/>
              </w:rPr>
              <w:t>8</w:t>
            </w:r>
            <w:r w:rsidR="006D5772">
              <w:rPr>
                <w:rFonts w:cs="Calibri"/>
                <w:sz w:val="20"/>
              </w:rPr>
              <w:t>8</w:t>
            </w:r>
            <w:r w:rsidRPr="007A5667">
              <w:rPr>
                <w:rFonts w:cs="Calibri"/>
                <w:sz w:val="20"/>
              </w:rPr>
              <w:t>%</w:t>
            </w:r>
          </w:p>
        </w:tc>
        <w:tc>
          <w:tcPr>
            <w:tcW w:w="369" w:type="pct"/>
            <w:shd w:val="clear" w:color="auto" w:fill="auto"/>
          </w:tcPr>
          <w:p w14:paraId="290D535F" w14:textId="150D350B" w:rsidR="00CD2D9A" w:rsidRPr="007A5667" w:rsidRDefault="006D5772" w:rsidP="00CA1FEE">
            <w:pPr>
              <w:pStyle w:val="TableText0"/>
              <w:jc w:val="center"/>
              <w:rPr>
                <w:sz w:val="20"/>
              </w:rPr>
            </w:pPr>
            <w:r>
              <w:rPr>
                <w:rFonts w:cs="Calibri"/>
                <w:sz w:val="20"/>
              </w:rPr>
              <w:t>41</w:t>
            </w:r>
            <w:r w:rsidR="00CD2D9A" w:rsidRPr="007A5667">
              <w:rPr>
                <w:rFonts w:cs="Calibri"/>
                <w:sz w:val="20"/>
              </w:rPr>
              <w:t>%</w:t>
            </w:r>
          </w:p>
        </w:tc>
        <w:tc>
          <w:tcPr>
            <w:tcW w:w="450" w:type="pct"/>
            <w:shd w:val="clear" w:color="auto" w:fill="auto"/>
          </w:tcPr>
          <w:p w14:paraId="7F4424FF" w14:textId="011FB358" w:rsidR="00CD2D9A" w:rsidRPr="007A5667" w:rsidRDefault="006D5772" w:rsidP="00CA1FEE">
            <w:pPr>
              <w:pStyle w:val="TableText0"/>
              <w:jc w:val="center"/>
              <w:rPr>
                <w:sz w:val="20"/>
              </w:rPr>
            </w:pPr>
            <w:r>
              <w:rPr>
                <w:rFonts w:cs="Calibri"/>
                <w:sz w:val="20"/>
              </w:rPr>
              <w:t>47</w:t>
            </w:r>
            <w:r w:rsidR="00CD2D9A" w:rsidRPr="007A5667">
              <w:rPr>
                <w:rFonts w:cs="Calibri"/>
                <w:sz w:val="20"/>
              </w:rPr>
              <w:t>%</w:t>
            </w:r>
          </w:p>
        </w:tc>
        <w:tc>
          <w:tcPr>
            <w:tcW w:w="738" w:type="pct"/>
            <w:shd w:val="clear" w:color="auto" w:fill="auto"/>
          </w:tcPr>
          <w:p w14:paraId="744C4165" w14:textId="4FE1C07A" w:rsidR="00CD2D9A" w:rsidRPr="007A5667" w:rsidRDefault="00CD2D9A" w:rsidP="00CA1FEE">
            <w:pPr>
              <w:pStyle w:val="TableText0"/>
              <w:jc w:val="center"/>
              <w:rPr>
                <w:sz w:val="20"/>
              </w:rPr>
            </w:pPr>
            <w:r w:rsidRPr="007A5667">
              <w:rPr>
                <w:rFonts w:cs="Calibri"/>
                <w:sz w:val="20"/>
              </w:rPr>
              <w:t>$</w:t>
            </w:r>
            <w:r w:rsidR="00A268DC" w:rsidRPr="006F1436">
              <w:rPr>
                <w:rFonts w:cs="Calibri"/>
                <w:color w:val="000000"/>
                <w:spacing w:val="49"/>
                <w:sz w:val="20"/>
                <w:shd w:val="solid" w:color="000000" w:fill="000000"/>
                <w:fitText w:val="320" w:id="-694973433"/>
                <w14:textFill>
                  <w14:solidFill>
                    <w14:srgbClr w14:val="000000">
                      <w14:alpha w14:val="100000"/>
                    </w14:srgbClr>
                  </w14:solidFill>
                </w14:textFill>
              </w:rPr>
              <w:t>|||</w:t>
            </w:r>
            <w:r w:rsidR="00A268DC" w:rsidRPr="006F1436">
              <w:rPr>
                <w:rFonts w:cs="Calibri"/>
                <w:color w:val="000000"/>
                <w:spacing w:val="3"/>
                <w:sz w:val="20"/>
                <w:shd w:val="solid" w:color="000000" w:fill="000000"/>
                <w:fitText w:val="320" w:id="-694973433"/>
                <w14:textFill>
                  <w14:solidFill>
                    <w14:srgbClr w14:val="000000">
                      <w14:alpha w14:val="100000"/>
                    </w14:srgbClr>
                  </w14:solidFill>
                </w14:textFill>
              </w:rPr>
              <w:t>|</w:t>
            </w:r>
            <w:r w:rsidR="00F13AD2" w:rsidRPr="008A3425">
              <w:rPr>
                <w:rFonts w:cs="Calibri"/>
                <w:sz w:val="20"/>
                <w:vertAlign w:val="superscript"/>
              </w:rPr>
              <w:t>1</w:t>
            </w:r>
            <w:r w:rsidRPr="007A5667">
              <w:rPr>
                <w:rFonts w:cs="Calibri"/>
                <w:sz w:val="20"/>
              </w:rPr>
              <w:t>/</w:t>
            </w:r>
            <w:r w:rsidR="00CA1FEE">
              <w:rPr>
                <w:rFonts w:cs="Calibri"/>
                <w:sz w:val="20"/>
              </w:rPr>
              <w:t>overall response</w:t>
            </w:r>
          </w:p>
        </w:tc>
      </w:tr>
    </w:tbl>
    <w:p w14:paraId="7F5D4258" w14:textId="03D6A155" w:rsidR="00B12B7E" w:rsidRDefault="00B12B7E" w:rsidP="003964D4">
      <w:pPr>
        <w:pStyle w:val="TableFooter"/>
        <w:rPr>
          <w:vertAlign w:val="superscript"/>
          <w:lang w:val="en-GB"/>
        </w:rPr>
      </w:pPr>
      <w:r w:rsidRPr="00567618">
        <w:t>Source: Table</w:t>
      </w:r>
      <w:r>
        <w:t xml:space="preserve"> 3 of the pre-PBAC response</w:t>
      </w:r>
    </w:p>
    <w:p w14:paraId="128C879C" w14:textId="77777777" w:rsidR="00CF13CF" w:rsidRDefault="00F320CC" w:rsidP="00CF13CF">
      <w:pPr>
        <w:pStyle w:val="TableFooter"/>
      </w:pPr>
      <w:r w:rsidRPr="00B12B7E">
        <w:rPr>
          <w:vertAlign w:val="superscript"/>
        </w:rPr>
        <w:t>a</w:t>
      </w:r>
      <w:r w:rsidRPr="00B12B7E">
        <w:t xml:space="preserve"> </w:t>
      </w:r>
      <w:r w:rsidR="00B12B7E" w:rsidRPr="00B12B7E">
        <w:t>Assumes a</w:t>
      </w:r>
      <w:r w:rsidR="007C69C9">
        <w:t xml:space="preserve"> 5-year time horizon, including all costs with discounting, rate of AML set to MAJIC</w:t>
      </w:r>
      <w:r w:rsidR="00713001">
        <w:t xml:space="preserve"> (i.e. trial based)</w:t>
      </w:r>
    </w:p>
    <w:p w14:paraId="64DE7129" w14:textId="0CD4DEDB" w:rsidR="00CF13CF" w:rsidRPr="00E03429" w:rsidRDefault="00CF13CF" w:rsidP="00CF13CF">
      <w:pPr>
        <w:pStyle w:val="TableFooter"/>
        <w:rPr>
          <w:i/>
          <w:iCs/>
        </w:rPr>
      </w:pPr>
      <w:r w:rsidRPr="00E03429">
        <w:rPr>
          <w:i/>
          <w:iCs/>
        </w:rPr>
        <w:t>The redacted values correspond to the following ranges</w:t>
      </w:r>
      <w:r w:rsidR="00E03429" w:rsidRPr="00E03429">
        <w:rPr>
          <w:i/>
          <w:iCs/>
        </w:rPr>
        <w:t>:</w:t>
      </w:r>
    </w:p>
    <w:p w14:paraId="0F15874C" w14:textId="728B7415" w:rsidR="00BD4030" w:rsidRPr="00E03429" w:rsidRDefault="00CF13CF" w:rsidP="00CF13CF">
      <w:pPr>
        <w:pStyle w:val="TableFooter"/>
        <w:rPr>
          <w:i/>
          <w:iCs/>
        </w:rPr>
      </w:pPr>
      <w:r w:rsidRPr="00E03429">
        <w:rPr>
          <w:i/>
          <w:iCs/>
          <w:vertAlign w:val="superscript"/>
        </w:rPr>
        <w:t>1</w:t>
      </w:r>
      <w:r w:rsidRPr="00E03429">
        <w:rPr>
          <w:i/>
          <w:iCs/>
        </w:rPr>
        <w:t xml:space="preserve"> $45,000 to &lt; $55,000</w:t>
      </w:r>
    </w:p>
    <w:p w14:paraId="124D24FB" w14:textId="60A21DB1" w:rsidR="00136039" w:rsidRDefault="00E239CD" w:rsidP="006452F7">
      <w:pPr>
        <w:pStyle w:val="3-BodyText"/>
        <w:spacing w:before="120" w:after="120"/>
      </w:pPr>
      <w:r>
        <w:t xml:space="preserve">The PBAC noted previous recommendations it had made using an incremental cost-per-responder analysis, as outlined in </w:t>
      </w:r>
      <w:r w:rsidR="00526507">
        <w:fldChar w:fldCharType="begin" w:fldLock="1"/>
      </w:r>
      <w:r w:rsidR="00526507">
        <w:instrText xml:space="preserve"> REF _Ref194252170 \h </w:instrText>
      </w:r>
      <w:r w:rsidR="00526507">
        <w:fldChar w:fldCharType="separate"/>
      </w:r>
      <w:r w:rsidR="00526507">
        <w:t xml:space="preserve">Table </w:t>
      </w:r>
      <w:r w:rsidR="00526507">
        <w:rPr>
          <w:noProof/>
        </w:rPr>
        <w:t>18</w:t>
      </w:r>
      <w:r w:rsidR="00526507">
        <w:fldChar w:fldCharType="end"/>
      </w:r>
      <w:r w:rsidR="00526507">
        <w:t xml:space="preserve">. </w:t>
      </w:r>
    </w:p>
    <w:p w14:paraId="7F17B791" w14:textId="12E2BACB" w:rsidR="00526507" w:rsidRDefault="00526507" w:rsidP="00526507">
      <w:pPr>
        <w:pStyle w:val="Caption"/>
      </w:pPr>
      <w:bookmarkStart w:id="88" w:name="_Ref194252170"/>
      <w:r>
        <w:t xml:space="preserve">Table </w:t>
      </w:r>
      <w:r w:rsidR="001F427F">
        <w:fldChar w:fldCharType="begin" w:fldLock="1"/>
      </w:r>
      <w:r w:rsidR="001F427F">
        <w:instrText xml:space="preserve"> SEQ Table \* ARABIC </w:instrText>
      </w:r>
      <w:r w:rsidR="001F427F">
        <w:fldChar w:fldCharType="separate"/>
      </w:r>
      <w:r w:rsidR="001F427F">
        <w:rPr>
          <w:noProof/>
        </w:rPr>
        <w:t>18</w:t>
      </w:r>
      <w:r w:rsidR="001F427F">
        <w:rPr>
          <w:noProof/>
        </w:rPr>
        <w:fldChar w:fldCharType="end"/>
      </w:r>
      <w:bookmarkEnd w:id="88"/>
      <w:r>
        <w:t>: Examples of cost-per-responder analyses previously considered by the PBAC</w:t>
      </w:r>
    </w:p>
    <w:tbl>
      <w:tblPr>
        <w:tblStyle w:val="TableGrid"/>
        <w:tblW w:w="0" w:type="auto"/>
        <w:tblLook w:val="04A0" w:firstRow="1" w:lastRow="0" w:firstColumn="1" w:lastColumn="0" w:noHBand="0" w:noVBand="1"/>
        <w:tblCaption w:val="Table 18: Examples of cost-per-responder analyses previously considered by the PBAC"/>
      </w:tblPr>
      <w:tblGrid>
        <w:gridCol w:w="4248"/>
        <w:gridCol w:w="4769"/>
      </w:tblGrid>
      <w:tr w:rsidR="00E239CD" w:rsidRPr="003964D4" w14:paraId="60701C2F" w14:textId="77777777" w:rsidTr="003964D4">
        <w:tc>
          <w:tcPr>
            <w:tcW w:w="4248" w:type="dxa"/>
          </w:tcPr>
          <w:p w14:paraId="6E0C63B7" w14:textId="66B333D9" w:rsidR="00E239CD" w:rsidRPr="003964D4" w:rsidRDefault="00E239CD" w:rsidP="003964D4">
            <w:pPr>
              <w:pStyle w:val="In-tableHeading"/>
              <w:rPr>
                <w:bCs/>
                <w:color w:val="000000"/>
                <w:szCs w:val="22"/>
              </w:rPr>
            </w:pPr>
            <w:r w:rsidRPr="00E239CD">
              <w:rPr>
                <w:rFonts w:cstheme="minorBidi"/>
                <w:bCs/>
                <w:color w:val="000000"/>
                <w:szCs w:val="22"/>
              </w:rPr>
              <w:t>Drug &amp; condition (PBAC meeting)</w:t>
            </w:r>
          </w:p>
        </w:tc>
        <w:tc>
          <w:tcPr>
            <w:tcW w:w="4769" w:type="dxa"/>
          </w:tcPr>
          <w:p w14:paraId="6C5A54B2" w14:textId="56823092" w:rsidR="00E239CD" w:rsidRPr="003964D4" w:rsidRDefault="00E239CD" w:rsidP="003964D4">
            <w:pPr>
              <w:pStyle w:val="In-tableHeading"/>
              <w:rPr>
                <w:bCs/>
                <w:color w:val="000000"/>
                <w:szCs w:val="22"/>
              </w:rPr>
            </w:pPr>
            <w:r w:rsidRPr="003964D4">
              <w:rPr>
                <w:bCs/>
                <w:color w:val="000000"/>
                <w:szCs w:val="22"/>
              </w:rPr>
              <w:t>Cost-per-responder</w:t>
            </w:r>
          </w:p>
        </w:tc>
      </w:tr>
      <w:tr w:rsidR="00E239CD" w:rsidRPr="003964D4" w14:paraId="6D8591DC" w14:textId="77777777" w:rsidTr="003964D4">
        <w:tc>
          <w:tcPr>
            <w:tcW w:w="4248" w:type="dxa"/>
          </w:tcPr>
          <w:p w14:paraId="47F62A17" w14:textId="6C23177A" w:rsidR="00E239CD" w:rsidRPr="003964D4" w:rsidRDefault="00E239CD" w:rsidP="00E239CD">
            <w:pPr>
              <w:pStyle w:val="3-BodyText"/>
              <w:numPr>
                <w:ilvl w:val="0"/>
                <w:numId w:val="0"/>
              </w:numPr>
              <w:rPr>
                <w:rFonts w:ascii="Arial Narrow" w:hAnsi="Arial Narrow"/>
                <w:sz w:val="20"/>
                <w:szCs w:val="20"/>
              </w:rPr>
            </w:pPr>
            <w:r w:rsidRPr="003964D4">
              <w:rPr>
                <w:rFonts w:ascii="Arial Narrow" w:hAnsi="Arial Narrow"/>
                <w:sz w:val="20"/>
                <w:szCs w:val="20"/>
              </w:rPr>
              <w:t>Ravulizumab for neuromyelitis optica spectrum disorders (NMOSD)</w:t>
            </w:r>
            <w:r w:rsidR="003964D4">
              <w:rPr>
                <w:rFonts w:ascii="Arial Narrow" w:hAnsi="Arial Narrow"/>
                <w:sz w:val="20"/>
                <w:szCs w:val="20"/>
              </w:rPr>
              <w:t xml:space="preserve"> </w:t>
            </w:r>
            <w:r w:rsidRPr="003964D4">
              <w:rPr>
                <w:rFonts w:ascii="Arial Narrow" w:hAnsi="Arial Narrow"/>
                <w:sz w:val="20"/>
                <w:szCs w:val="20"/>
              </w:rPr>
              <w:t>(November 2024)</w:t>
            </w:r>
          </w:p>
        </w:tc>
        <w:tc>
          <w:tcPr>
            <w:tcW w:w="4769" w:type="dxa"/>
          </w:tcPr>
          <w:p w14:paraId="49B9873A" w14:textId="6F57940A" w:rsidR="00E239CD" w:rsidRPr="003964D4" w:rsidRDefault="003964D4" w:rsidP="00E239CD">
            <w:pPr>
              <w:pStyle w:val="3-BodyText"/>
              <w:numPr>
                <w:ilvl w:val="0"/>
                <w:numId w:val="0"/>
              </w:numPr>
              <w:rPr>
                <w:rFonts w:ascii="Arial Narrow" w:hAnsi="Arial Narrow"/>
                <w:sz w:val="20"/>
                <w:szCs w:val="20"/>
                <w:vertAlign w:val="superscript"/>
              </w:rPr>
            </w:pPr>
            <w:r w:rsidRPr="003964D4">
              <w:rPr>
                <w:rFonts w:ascii="Arial Narrow" w:hAnsi="Arial Narrow"/>
                <w:sz w:val="20"/>
                <w:szCs w:val="20"/>
              </w:rPr>
              <w:t>The cost-per-relapse avoided was around $115,000 to</w:t>
            </w:r>
            <w:r>
              <w:rPr>
                <w:rFonts w:ascii="Arial Narrow" w:hAnsi="Arial Narrow"/>
                <w:sz w:val="20"/>
                <w:szCs w:val="20"/>
              </w:rPr>
              <w:t xml:space="preserve"> </w:t>
            </w:r>
            <w:r w:rsidRPr="003964D4">
              <w:rPr>
                <w:rFonts w:ascii="Arial Narrow" w:hAnsi="Arial Narrow"/>
                <w:sz w:val="20"/>
                <w:szCs w:val="20"/>
              </w:rPr>
              <w:t xml:space="preserve">&lt; $135,000 per 26 weeks. The PBAC noted this was very high </w:t>
            </w:r>
            <w:r w:rsidRPr="003964D4">
              <w:rPr>
                <w:rFonts w:ascii="Arial Narrow" w:hAnsi="Arial Narrow"/>
                <w:sz w:val="20"/>
                <w:szCs w:val="20"/>
                <w:vertAlign w:val="superscript"/>
              </w:rPr>
              <w:t>a</w:t>
            </w:r>
          </w:p>
        </w:tc>
      </w:tr>
      <w:tr w:rsidR="00E239CD" w:rsidRPr="003964D4" w14:paraId="1FD94634" w14:textId="77777777" w:rsidTr="003964D4">
        <w:tc>
          <w:tcPr>
            <w:tcW w:w="4248" w:type="dxa"/>
          </w:tcPr>
          <w:p w14:paraId="3839A44D" w14:textId="7F802442" w:rsidR="00E239CD" w:rsidRPr="003964D4" w:rsidRDefault="00E239CD" w:rsidP="00E239CD">
            <w:pPr>
              <w:pStyle w:val="3-BodyText"/>
              <w:numPr>
                <w:ilvl w:val="0"/>
                <w:numId w:val="0"/>
              </w:numPr>
              <w:ind w:left="720" w:hanging="720"/>
              <w:rPr>
                <w:rFonts w:ascii="Arial Narrow" w:hAnsi="Arial Narrow"/>
                <w:sz w:val="20"/>
                <w:szCs w:val="20"/>
              </w:rPr>
            </w:pPr>
            <w:r w:rsidRPr="00E239CD">
              <w:rPr>
                <w:rFonts w:ascii="Arial Narrow" w:hAnsi="Arial Narrow"/>
                <w:sz w:val="20"/>
                <w:szCs w:val="20"/>
              </w:rPr>
              <w:t>Osilodrostat for Cushing’s Syndrome</w:t>
            </w:r>
            <w:r w:rsidR="003964D4">
              <w:rPr>
                <w:rFonts w:ascii="Arial Narrow" w:hAnsi="Arial Narrow"/>
                <w:sz w:val="20"/>
                <w:szCs w:val="20"/>
              </w:rPr>
              <w:t xml:space="preserve"> </w:t>
            </w:r>
            <w:r w:rsidRPr="00E239CD">
              <w:rPr>
                <w:rFonts w:ascii="Arial Narrow" w:hAnsi="Arial Narrow"/>
                <w:sz w:val="20"/>
                <w:szCs w:val="20"/>
              </w:rPr>
              <w:t>(September 2024)</w:t>
            </w:r>
          </w:p>
        </w:tc>
        <w:tc>
          <w:tcPr>
            <w:tcW w:w="4769" w:type="dxa"/>
          </w:tcPr>
          <w:p w14:paraId="1660EFB9" w14:textId="2C3EB6E7" w:rsidR="00E239CD" w:rsidRPr="003964D4" w:rsidRDefault="00526507" w:rsidP="00E239CD">
            <w:pPr>
              <w:pStyle w:val="3-BodyText"/>
              <w:numPr>
                <w:ilvl w:val="0"/>
                <w:numId w:val="0"/>
              </w:numPr>
              <w:rPr>
                <w:rFonts w:ascii="Arial Narrow" w:hAnsi="Arial Narrow"/>
                <w:sz w:val="20"/>
                <w:szCs w:val="20"/>
              </w:rPr>
            </w:pPr>
            <w:r>
              <w:rPr>
                <w:rFonts w:ascii="Arial Narrow" w:hAnsi="Arial Narrow"/>
                <w:sz w:val="20"/>
                <w:szCs w:val="20"/>
              </w:rPr>
              <w:t>The cost-per-responder of [redacted as per PSD] over a period of 26 weeks</w:t>
            </w:r>
          </w:p>
        </w:tc>
      </w:tr>
      <w:tr w:rsidR="00E239CD" w:rsidRPr="003964D4" w14:paraId="7F5873A8" w14:textId="77777777" w:rsidTr="003964D4">
        <w:tc>
          <w:tcPr>
            <w:tcW w:w="4248" w:type="dxa"/>
          </w:tcPr>
          <w:p w14:paraId="6D6702FE" w14:textId="60E4B044" w:rsidR="00E239CD" w:rsidRPr="003964D4" w:rsidRDefault="00E239CD" w:rsidP="003964D4">
            <w:pPr>
              <w:pStyle w:val="3-BodyText"/>
              <w:numPr>
                <w:ilvl w:val="0"/>
                <w:numId w:val="0"/>
              </w:numPr>
              <w:rPr>
                <w:rFonts w:ascii="Arial Narrow" w:hAnsi="Arial Narrow"/>
                <w:sz w:val="20"/>
                <w:szCs w:val="20"/>
              </w:rPr>
            </w:pPr>
            <w:r w:rsidRPr="00E239CD">
              <w:rPr>
                <w:rFonts w:ascii="Arial Narrow" w:hAnsi="Arial Narrow"/>
                <w:sz w:val="20"/>
                <w:szCs w:val="20"/>
              </w:rPr>
              <w:t>Bevacizumab for relapsed or refractory</w:t>
            </w:r>
            <w:r w:rsidR="003964D4">
              <w:rPr>
                <w:rFonts w:ascii="Arial Narrow" w:hAnsi="Arial Narrow"/>
                <w:sz w:val="20"/>
                <w:szCs w:val="20"/>
              </w:rPr>
              <w:t xml:space="preserve"> </w:t>
            </w:r>
            <w:r w:rsidRPr="00E239CD">
              <w:rPr>
                <w:rFonts w:ascii="Arial Narrow" w:hAnsi="Arial Narrow"/>
                <w:sz w:val="20"/>
                <w:szCs w:val="20"/>
              </w:rPr>
              <w:t>glioblastoma (May 2019)</w:t>
            </w:r>
          </w:p>
        </w:tc>
        <w:tc>
          <w:tcPr>
            <w:tcW w:w="4769" w:type="dxa"/>
          </w:tcPr>
          <w:p w14:paraId="23EABCC4" w14:textId="48E7769C" w:rsidR="00E239CD" w:rsidRPr="003964D4" w:rsidRDefault="003964D4" w:rsidP="00E239CD">
            <w:pPr>
              <w:pStyle w:val="3-BodyText"/>
              <w:numPr>
                <w:ilvl w:val="0"/>
                <w:numId w:val="0"/>
              </w:numPr>
              <w:rPr>
                <w:rFonts w:ascii="Arial Narrow" w:hAnsi="Arial Narrow"/>
                <w:sz w:val="20"/>
                <w:szCs w:val="20"/>
              </w:rPr>
            </w:pPr>
            <w:r w:rsidRPr="003964D4">
              <w:rPr>
                <w:rFonts w:ascii="Arial Narrow" w:hAnsi="Arial Narrow"/>
                <w:sz w:val="20"/>
                <w:szCs w:val="20"/>
              </w:rPr>
              <w:t>The cost-per-responder (ORR) was [redacted as per PSD]</w:t>
            </w:r>
          </w:p>
        </w:tc>
      </w:tr>
      <w:tr w:rsidR="00E239CD" w:rsidRPr="003964D4" w14:paraId="29C67D97" w14:textId="77777777" w:rsidTr="003964D4">
        <w:tc>
          <w:tcPr>
            <w:tcW w:w="4248" w:type="dxa"/>
          </w:tcPr>
          <w:p w14:paraId="7F59E6AB" w14:textId="542A9F03" w:rsidR="00E239CD" w:rsidRPr="003964D4" w:rsidRDefault="003964D4" w:rsidP="003964D4">
            <w:pPr>
              <w:pStyle w:val="3-BodyText"/>
              <w:numPr>
                <w:ilvl w:val="0"/>
                <w:numId w:val="0"/>
              </w:numPr>
              <w:rPr>
                <w:rFonts w:ascii="Arial Narrow" w:hAnsi="Arial Narrow"/>
                <w:sz w:val="20"/>
                <w:szCs w:val="20"/>
              </w:rPr>
            </w:pPr>
            <w:r w:rsidRPr="003964D4">
              <w:rPr>
                <w:rFonts w:ascii="Arial Narrow" w:hAnsi="Arial Narrow"/>
                <w:sz w:val="20"/>
                <w:szCs w:val="20"/>
              </w:rPr>
              <w:t>Brentuximab vedotin for refractory or relapsed CD30 positive cutaneous T-cell lymphomas (CTCL)</w:t>
            </w:r>
            <w:r>
              <w:rPr>
                <w:rFonts w:ascii="Arial Narrow" w:hAnsi="Arial Narrow"/>
                <w:sz w:val="20"/>
                <w:szCs w:val="20"/>
              </w:rPr>
              <w:t xml:space="preserve"> </w:t>
            </w:r>
            <w:r w:rsidRPr="003964D4">
              <w:rPr>
                <w:rFonts w:ascii="Arial Narrow" w:hAnsi="Arial Narrow"/>
                <w:sz w:val="20"/>
                <w:szCs w:val="20"/>
              </w:rPr>
              <w:t>(Nov 2018)</w:t>
            </w:r>
          </w:p>
        </w:tc>
        <w:tc>
          <w:tcPr>
            <w:tcW w:w="4769" w:type="dxa"/>
          </w:tcPr>
          <w:p w14:paraId="36F32B07" w14:textId="668B4CF8" w:rsidR="00E239CD" w:rsidRPr="003964D4" w:rsidRDefault="003964D4" w:rsidP="00E239CD">
            <w:pPr>
              <w:pStyle w:val="3-BodyText"/>
              <w:numPr>
                <w:ilvl w:val="0"/>
                <w:numId w:val="0"/>
              </w:numPr>
              <w:rPr>
                <w:rFonts w:ascii="Arial Narrow" w:hAnsi="Arial Narrow"/>
                <w:sz w:val="20"/>
                <w:szCs w:val="20"/>
              </w:rPr>
            </w:pPr>
            <w:r w:rsidRPr="003964D4">
              <w:rPr>
                <w:rFonts w:ascii="Arial Narrow" w:hAnsi="Arial Narrow"/>
                <w:sz w:val="20"/>
                <w:szCs w:val="20"/>
              </w:rPr>
              <w:t>The cost-per-responder (ORR) was $45,000 - $75,000 and the cost per additional year without progression was $15,000 - $45,000</w:t>
            </w:r>
          </w:p>
        </w:tc>
      </w:tr>
      <w:tr w:rsidR="00E239CD" w:rsidRPr="003964D4" w14:paraId="7007D16D" w14:textId="77777777" w:rsidTr="003964D4">
        <w:tc>
          <w:tcPr>
            <w:tcW w:w="4248" w:type="dxa"/>
          </w:tcPr>
          <w:p w14:paraId="3ECCDFB9" w14:textId="3EF5EE9B" w:rsidR="00E239CD" w:rsidRPr="003964D4" w:rsidRDefault="003964D4" w:rsidP="003964D4">
            <w:pPr>
              <w:pStyle w:val="3-BodyText"/>
              <w:numPr>
                <w:ilvl w:val="0"/>
                <w:numId w:val="0"/>
              </w:numPr>
              <w:rPr>
                <w:rFonts w:ascii="Arial Narrow" w:hAnsi="Arial Narrow"/>
                <w:sz w:val="20"/>
                <w:szCs w:val="20"/>
              </w:rPr>
            </w:pPr>
            <w:r w:rsidRPr="003964D4">
              <w:rPr>
                <w:rFonts w:ascii="Arial Narrow" w:hAnsi="Arial Narrow"/>
                <w:sz w:val="20"/>
                <w:szCs w:val="20"/>
              </w:rPr>
              <w:t>Vorinostat for refractory or relapsed cutaneous T-cell lymphoma (CTCL) March 2017</w:t>
            </w:r>
          </w:p>
        </w:tc>
        <w:tc>
          <w:tcPr>
            <w:tcW w:w="4769" w:type="dxa"/>
          </w:tcPr>
          <w:p w14:paraId="54AF9C30" w14:textId="0EF37028" w:rsidR="00E239CD" w:rsidRPr="003964D4" w:rsidRDefault="003964D4" w:rsidP="00E239CD">
            <w:pPr>
              <w:pStyle w:val="3-BodyText"/>
              <w:numPr>
                <w:ilvl w:val="0"/>
                <w:numId w:val="0"/>
              </w:numPr>
              <w:rPr>
                <w:rFonts w:ascii="Arial Narrow" w:hAnsi="Arial Narrow"/>
                <w:sz w:val="20"/>
                <w:szCs w:val="20"/>
              </w:rPr>
            </w:pPr>
            <w:r w:rsidRPr="003964D4">
              <w:rPr>
                <w:rFonts w:ascii="Arial Narrow" w:hAnsi="Arial Narrow"/>
                <w:sz w:val="20"/>
                <w:szCs w:val="20"/>
              </w:rPr>
              <w:t>Cost-per-responder was [redacted as per PSD]</w:t>
            </w:r>
          </w:p>
        </w:tc>
      </w:tr>
      <w:tr w:rsidR="00E239CD" w:rsidRPr="003964D4" w14:paraId="46786D82" w14:textId="77777777" w:rsidTr="003964D4">
        <w:tc>
          <w:tcPr>
            <w:tcW w:w="4248" w:type="dxa"/>
          </w:tcPr>
          <w:p w14:paraId="72E13034" w14:textId="64A58330" w:rsidR="00E239CD" w:rsidRPr="003964D4" w:rsidRDefault="003964D4" w:rsidP="003964D4">
            <w:pPr>
              <w:pStyle w:val="3-BodyText"/>
              <w:numPr>
                <w:ilvl w:val="0"/>
                <w:numId w:val="0"/>
              </w:numPr>
              <w:rPr>
                <w:rFonts w:ascii="Arial Narrow" w:hAnsi="Arial Narrow"/>
                <w:sz w:val="20"/>
                <w:szCs w:val="20"/>
              </w:rPr>
            </w:pPr>
            <w:r w:rsidRPr="003964D4">
              <w:rPr>
                <w:rFonts w:ascii="Arial Narrow" w:hAnsi="Arial Narrow"/>
                <w:sz w:val="20"/>
                <w:szCs w:val="20"/>
              </w:rPr>
              <w:t>Clostridium botulinum type A toxin haemagglutinin complex (Dysport®)</w:t>
            </w:r>
            <w:r>
              <w:rPr>
                <w:rFonts w:ascii="Arial Narrow" w:hAnsi="Arial Narrow"/>
                <w:sz w:val="20"/>
                <w:szCs w:val="20"/>
              </w:rPr>
              <w:t xml:space="preserve"> </w:t>
            </w:r>
            <w:r w:rsidRPr="003964D4">
              <w:rPr>
                <w:rFonts w:ascii="Arial Narrow" w:hAnsi="Arial Narrow"/>
                <w:sz w:val="20"/>
                <w:szCs w:val="20"/>
              </w:rPr>
              <w:t>for focal spasticity of the upper limb following a stroke, to also include spasticity following acute events other than stroke (March 2019)</w:t>
            </w:r>
          </w:p>
        </w:tc>
        <w:tc>
          <w:tcPr>
            <w:tcW w:w="4769" w:type="dxa"/>
          </w:tcPr>
          <w:p w14:paraId="44031CE6" w14:textId="491057A2" w:rsidR="00E239CD" w:rsidRPr="003964D4" w:rsidRDefault="003964D4" w:rsidP="00E239CD">
            <w:pPr>
              <w:pStyle w:val="3-BodyText"/>
              <w:numPr>
                <w:ilvl w:val="0"/>
                <w:numId w:val="0"/>
              </w:numPr>
              <w:rPr>
                <w:rFonts w:ascii="Arial Narrow" w:hAnsi="Arial Narrow"/>
                <w:sz w:val="20"/>
                <w:szCs w:val="20"/>
              </w:rPr>
            </w:pPr>
            <w:r w:rsidRPr="003964D4">
              <w:rPr>
                <w:rFonts w:ascii="Arial Narrow" w:hAnsi="Arial Narrow"/>
                <w:sz w:val="20"/>
                <w:szCs w:val="20"/>
              </w:rPr>
              <w:t>Cost-per-responder: less than $15,000</w:t>
            </w:r>
          </w:p>
        </w:tc>
      </w:tr>
      <w:tr w:rsidR="00E239CD" w:rsidRPr="003964D4" w14:paraId="01F4CF59" w14:textId="77777777" w:rsidTr="003964D4">
        <w:tc>
          <w:tcPr>
            <w:tcW w:w="4248" w:type="dxa"/>
          </w:tcPr>
          <w:p w14:paraId="338B2B96" w14:textId="579F4E2C" w:rsidR="00E239CD" w:rsidRPr="003964D4" w:rsidRDefault="003964D4" w:rsidP="003964D4">
            <w:pPr>
              <w:pStyle w:val="3-BodyText"/>
              <w:numPr>
                <w:ilvl w:val="0"/>
                <w:numId w:val="0"/>
              </w:numPr>
              <w:rPr>
                <w:rFonts w:ascii="Arial Narrow" w:hAnsi="Arial Narrow"/>
                <w:sz w:val="20"/>
                <w:szCs w:val="20"/>
              </w:rPr>
            </w:pPr>
            <w:r w:rsidRPr="003964D4">
              <w:rPr>
                <w:rFonts w:ascii="Arial Narrow" w:hAnsi="Arial Narrow"/>
                <w:sz w:val="20"/>
                <w:szCs w:val="20"/>
              </w:rPr>
              <w:t>Denosumab giant cell tumour of bone (November 2013)</w:t>
            </w:r>
          </w:p>
        </w:tc>
        <w:tc>
          <w:tcPr>
            <w:tcW w:w="4769" w:type="dxa"/>
          </w:tcPr>
          <w:p w14:paraId="7D13F6ED" w14:textId="12633B7A" w:rsidR="00E239CD" w:rsidRPr="003964D4" w:rsidRDefault="003964D4" w:rsidP="00E239CD">
            <w:pPr>
              <w:pStyle w:val="3-BodyText"/>
              <w:numPr>
                <w:ilvl w:val="0"/>
                <w:numId w:val="0"/>
              </w:numPr>
              <w:rPr>
                <w:rFonts w:ascii="Arial Narrow" w:hAnsi="Arial Narrow"/>
                <w:sz w:val="20"/>
                <w:szCs w:val="20"/>
              </w:rPr>
            </w:pPr>
            <w:r w:rsidRPr="003964D4">
              <w:rPr>
                <w:rFonts w:ascii="Arial Narrow" w:hAnsi="Arial Narrow"/>
                <w:sz w:val="20"/>
                <w:szCs w:val="20"/>
              </w:rPr>
              <w:t>Incremental cost-per-responder of less than $15,000</w:t>
            </w:r>
          </w:p>
        </w:tc>
      </w:tr>
      <w:tr w:rsidR="00E239CD" w:rsidRPr="003964D4" w14:paraId="1F3A8E36" w14:textId="77777777" w:rsidTr="003964D4">
        <w:tc>
          <w:tcPr>
            <w:tcW w:w="4248" w:type="dxa"/>
          </w:tcPr>
          <w:p w14:paraId="6C5A7696" w14:textId="64EF20CB" w:rsidR="00E239CD" w:rsidRPr="003964D4" w:rsidRDefault="003964D4" w:rsidP="003964D4">
            <w:pPr>
              <w:pStyle w:val="3-BodyText"/>
              <w:numPr>
                <w:ilvl w:val="0"/>
                <w:numId w:val="0"/>
              </w:numPr>
              <w:rPr>
                <w:rFonts w:ascii="Arial Narrow" w:hAnsi="Arial Narrow"/>
                <w:sz w:val="20"/>
                <w:szCs w:val="20"/>
              </w:rPr>
            </w:pPr>
            <w:r w:rsidRPr="003964D4">
              <w:rPr>
                <w:rFonts w:ascii="Arial Narrow" w:hAnsi="Arial Narrow"/>
                <w:sz w:val="20"/>
                <w:szCs w:val="20"/>
              </w:rPr>
              <w:t>Etanercept severe chronic plaque psoriasis in patients &gt;1 8 years (March 2012)</w:t>
            </w:r>
          </w:p>
        </w:tc>
        <w:tc>
          <w:tcPr>
            <w:tcW w:w="4769" w:type="dxa"/>
          </w:tcPr>
          <w:p w14:paraId="65844AE8" w14:textId="67F22105" w:rsidR="00E239CD" w:rsidRPr="003964D4" w:rsidRDefault="003964D4" w:rsidP="00E239CD">
            <w:pPr>
              <w:pStyle w:val="3-BodyText"/>
              <w:numPr>
                <w:ilvl w:val="0"/>
                <w:numId w:val="0"/>
              </w:numPr>
              <w:rPr>
                <w:rFonts w:ascii="Arial Narrow" w:hAnsi="Arial Narrow"/>
                <w:sz w:val="20"/>
                <w:szCs w:val="20"/>
              </w:rPr>
            </w:pPr>
            <w:r w:rsidRPr="003964D4">
              <w:rPr>
                <w:rFonts w:ascii="Arial Narrow" w:hAnsi="Arial Narrow"/>
                <w:sz w:val="20"/>
                <w:szCs w:val="20"/>
              </w:rPr>
              <w:t>Incremental cost-per-PASI 75 response: less than $15,000</w:t>
            </w:r>
          </w:p>
        </w:tc>
      </w:tr>
      <w:tr w:rsidR="00E239CD" w:rsidRPr="003964D4" w14:paraId="5BC6781D" w14:textId="77777777" w:rsidTr="003964D4">
        <w:tc>
          <w:tcPr>
            <w:tcW w:w="4248" w:type="dxa"/>
          </w:tcPr>
          <w:p w14:paraId="2001DA54" w14:textId="7B66BFE5" w:rsidR="00E239CD" w:rsidRPr="003964D4" w:rsidRDefault="003964D4" w:rsidP="003964D4">
            <w:pPr>
              <w:pStyle w:val="3-BodyText"/>
              <w:numPr>
                <w:ilvl w:val="0"/>
                <w:numId w:val="0"/>
              </w:numPr>
              <w:rPr>
                <w:rFonts w:ascii="Arial Narrow" w:hAnsi="Arial Narrow"/>
                <w:sz w:val="20"/>
                <w:szCs w:val="20"/>
              </w:rPr>
            </w:pPr>
            <w:r w:rsidRPr="003964D4">
              <w:rPr>
                <w:rFonts w:ascii="Arial Narrow" w:hAnsi="Arial Narrow"/>
                <w:sz w:val="20"/>
                <w:szCs w:val="20"/>
              </w:rPr>
              <w:t>Tiotropium</w:t>
            </w:r>
            <w:r>
              <w:rPr>
                <w:rFonts w:ascii="Arial Narrow" w:hAnsi="Arial Narrow"/>
                <w:sz w:val="20"/>
                <w:szCs w:val="20"/>
              </w:rPr>
              <w:t xml:space="preserve"> </w:t>
            </w:r>
            <w:r w:rsidRPr="003964D4">
              <w:rPr>
                <w:rFonts w:ascii="Arial Narrow" w:hAnsi="Arial Narrow"/>
                <w:sz w:val="20"/>
                <w:szCs w:val="20"/>
              </w:rPr>
              <w:t>severe asthma in children and adolescents aged 6-17 years who have not achieved adequate asthma control (November 2018) </w:t>
            </w:r>
          </w:p>
        </w:tc>
        <w:tc>
          <w:tcPr>
            <w:tcW w:w="4769" w:type="dxa"/>
          </w:tcPr>
          <w:p w14:paraId="02218A62" w14:textId="7311412F" w:rsidR="00E239CD" w:rsidRPr="003964D4" w:rsidRDefault="003964D4" w:rsidP="00E239CD">
            <w:pPr>
              <w:pStyle w:val="3-BodyText"/>
              <w:numPr>
                <w:ilvl w:val="0"/>
                <w:numId w:val="0"/>
              </w:numPr>
              <w:rPr>
                <w:rFonts w:ascii="Arial Narrow" w:hAnsi="Arial Narrow"/>
                <w:sz w:val="20"/>
                <w:szCs w:val="20"/>
              </w:rPr>
            </w:pPr>
            <w:r w:rsidRPr="003964D4">
              <w:rPr>
                <w:rFonts w:ascii="Arial Narrow" w:hAnsi="Arial Narrow"/>
                <w:sz w:val="20"/>
                <w:szCs w:val="20"/>
              </w:rPr>
              <w:t>Incremental cost-per-symptomatic exacerbation avoided: less than $15,000</w:t>
            </w:r>
          </w:p>
        </w:tc>
      </w:tr>
    </w:tbl>
    <w:p w14:paraId="74E08CA6" w14:textId="36B7EFAA" w:rsidR="00E239CD" w:rsidRPr="003964D4" w:rsidRDefault="003964D4" w:rsidP="003964D4">
      <w:pPr>
        <w:pStyle w:val="TableFooter"/>
      </w:pPr>
      <w:r w:rsidRPr="003964D4">
        <w:t xml:space="preserve">Source: </w:t>
      </w:r>
      <w:r w:rsidR="006452F7">
        <w:t>C</w:t>
      </w:r>
      <w:r w:rsidRPr="003964D4">
        <w:t>onstructed from PSDs</w:t>
      </w:r>
    </w:p>
    <w:p w14:paraId="0ABF3E25" w14:textId="43419129" w:rsidR="00E239CD" w:rsidRDefault="003964D4" w:rsidP="006452F7">
      <w:pPr>
        <w:pStyle w:val="TableFooter"/>
        <w:spacing w:after="120"/>
      </w:pPr>
      <w:r>
        <w:rPr>
          <w:vertAlign w:val="superscript"/>
        </w:rPr>
        <w:t xml:space="preserve">a </w:t>
      </w:r>
      <w:r>
        <w:t xml:space="preserve">The PBAC noted the cost-per-response was very high in the context of previous recommendations, but considered it was adequately supported given the substantial and potentially irreversible impact of NMOSD relapses on patient quality of life, and the impact on families and carers (paragraph 7.10, ravulizumab PSD, November 2024 PBAC Meeting). </w:t>
      </w:r>
    </w:p>
    <w:p w14:paraId="530DE7D3" w14:textId="776A5FFB" w:rsidR="00792320" w:rsidRDefault="00272CDE" w:rsidP="006452F7">
      <w:pPr>
        <w:pStyle w:val="3-BodyText"/>
        <w:spacing w:before="120" w:after="120"/>
      </w:pPr>
      <w:r>
        <w:t xml:space="preserve">The PBAC noted that the pre-PBAC response cost-per-responder analysis was based on the proportion of patients who maintained a CR or PR at 5 years and that the result was informed by a small number of patients. The PBAC considered that the use of duration of response data at 3 years would be more reliable due to the larger sample size (para </w:t>
      </w:r>
      <w:r>
        <w:fldChar w:fldCharType="begin" w:fldLock="1"/>
      </w:r>
      <w:r>
        <w:instrText xml:space="preserve"> REF _Ref194253716 \r \h </w:instrText>
      </w:r>
      <w:r>
        <w:fldChar w:fldCharType="separate"/>
      </w:r>
      <w:r>
        <w:t>6.20</w:t>
      </w:r>
      <w:r>
        <w:fldChar w:fldCharType="end"/>
      </w:r>
      <w:r>
        <w:t xml:space="preserve">). In addition, the PBAC considered that the cost should be restricted to drug costs. </w:t>
      </w:r>
      <w:r w:rsidR="00D01CF5">
        <w:t xml:space="preserve">The PBAC noted that the cost-per-responder at 3 years was estimated to be </w:t>
      </w:r>
      <w:r w:rsidR="008D1B14" w:rsidRPr="008D1B14">
        <w:t>$75,000 to &lt; $95,000</w:t>
      </w:r>
      <w:r w:rsidR="008D1B14" w:rsidRPr="008D1B14" w:rsidDel="008D1B14">
        <w:t xml:space="preserve"> </w:t>
      </w:r>
      <w:r w:rsidR="00D01CF5">
        <w:t>(</w:t>
      </w:r>
      <w:r w:rsidR="00D01CF5">
        <w:fldChar w:fldCharType="begin" w:fldLock="1"/>
      </w:r>
      <w:r w:rsidR="00D01CF5">
        <w:instrText xml:space="preserve"> REF _Ref194254432 \h </w:instrText>
      </w:r>
      <w:r w:rsidR="00D01CF5">
        <w:fldChar w:fldCharType="separate"/>
      </w:r>
      <w:r w:rsidR="00D01CF5">
        <w:t xml:space="preserve">Table </w:t>
      </w:r>
      <w:r w:rsidR="00D01CF5">
        <w:rPr>
          <w:noProof/>
        </w:rPr>
        <w:t>19</w:t>
      </w:r>
      <w:r w:rsidR="00D01CF5">
        <w:fldChar w:fldCharType="end"/>
      </w:r>
      <w:r w:rsidR="00D01CF5">
        <w:t>).</w:t>
      </w:r>
      <w:r>
        <w:t xml:space="preserve"> </w:t>
      </w:r>
      <w:r w:rsidR="00792320">
        <w:t>The PBAC noted that many of the previous cost-per-responder analys</w:t>
      </w:r>
      <w:r w:rsidR="00EE017A">
        <w:t>e</w:t>
      </w:r>
      <w:r w:rsidR="00792320">
        <w:t xml:space="preserve">s had been for time-limited therapies, with response assessed </w:t>
      </w:r>
      <w:r w:rsidR="00792320">
        <w:lastRenderedPageBreak/>
        <w:t xml:space="preserve">at 26 weeks or one year. </w:t>
      </w:r>
      <w:r w:rsidR="00D01CF5">
        <w:t>For comparison with previous PBAC decisions, this is equivalent to approximately $</w:t>
      </w:r>
      <w:r w:rsidR="00A268DC" w:rsidRPr="00C0236C">
        <w:rPr>
          <w:color w:val="000000"/>
          <w:w w:val="15"/>
          <w:shd w:val="solid" w:color="000000" w:fill="000000"/>
          <w:fitText w:val="-20" w:id="-694973432"/>
          <w14:textFill>
            <w14:solidFill>
              <w14:srgbClr w14:val="000000">
                <w14:alpha w14:val="100000"/>
              </w14:srgbClr>
            </w14:solidFill>
          </w14:textFill>
        </w:rPr>
        <w:t>|</w:t>
      </w:r>
      <w:r w:rsidR="00F87B86" w:rsidRPr="00C0236C">
        <w:rPr>
          <w:color w:val="000000"/>
          <w:w w:val="15"/>
          <w:shd w:val="solid" w:color="000000" w:fill="000000"/>
          <w:fitText w:val="-20" w:id="-694973432"/>
          <w14:textFill>
            <w14:solidFill>
              <w14:srgbClr w14:val="000000">
                <w14:alpha w14:val="100000"/>
              </w14:srgbClr>
            </w14:solidFill>
          </w14:textFill>
        </w:rPr>
        <w:t xml:space="preserve"> </w:t>
      </w:r>
      <w:r w:rsidR="00A268DC" w:rsidRPr="00C0236C">
        <w:rPr>
          <w:color w:val="000000"/>
          <w:spacing w:val="-61"/>
          <w:w w:val="15"/>
          <w:shd w:val="solid" w:color="000000" w:fill="000000"/>
          <w:fitText w:val="-20" w:id="-694973432"/>
          <w14:textFill>
            <w14:solidFill>
              <w14:srgbClr w14:val="000000">
                <w14:alpha w14:val="100000"/>
              </w14:srgbClr>
            </w14:solidFill>
          </w14:textFill>
        </w:rPr>
        <w:t>|</w:t>
      </w:r>
      <w:r w:rsidR="00D01CF5">
        <w:t xml:space="preserve"> per overall response over 26 weeks if it is assumed that the costs are accrued uniformly.</w:t>
      </w:r>
    </w:p>
    <w:p w14:paraId="11E7FBBF" w14:textId="25E08299" w:rsidR="001F427F" w:rsidRPr="00136039" w:rsidRDefault="001F427F" w:rsidP="006452F7">
      <w:pPr>
        <w:pStyle w:val="Caption"/>
        <w:rPr>
          <w:lang w:val="en-GB"/>
        </w:rPr>
      </w:pPr>
      <w:bookmarkStart w:id="89" w:name="_Ref194254432"/>
      <w:r>
        <w:t xml:space="preserve">Table </w:t>
      </w:r>
      <w:r>
        <w:fldChar w:fldCharType="begin" w:fldLock="1"/>
      </w:r>
      <w:r>
        <w:instrText xml:space="preserve"> SEQ Table \* ARABIC </w:instrText>
      </w:r>
      <w:r>
        <w:fldChar w:fldCharType="separate"/>
      </w:r>
      <w:r>
        <w:rPr>
          <w:noProof/>
        </w:rPr>
        <w:t>19</w:t>
      </w:r>
      <w:r>
        <w:rPr>
          <w:noProof/>
        </w:rPr>
        <w:fldChar w:fldCharType="end"/>
      </w:r>
      <w:bookmarkEnd w:id="89"/>
      <w:r>
        <w:t>: Revised economic evaluation: cost</w:t>
      </w:r>
      <w:r w:rsidR="00BA4B90">
        <w:t>-</w:t>
      </w:r>
      <w:r>
        <w:t>per</w:t>
      </w:r>
      <w:r w:rsidR="00BA4B90">
        <w:t>-</w:t>
      </w:r>
      <w:r>
        <w:t>responder analysis</w:t>
      </w:r>
    </w:p>
    <w:tbl>
      <w:tblPr>
        <w:tblStyle w:val="Summarybox72"/>
        <w:tblW w:w="5028" w:type="pct"/>
        <w:tblLook w:val="04A0" w:firstRow="1" w:lastRow="0" w:firstColumn="1" w:lastColumn="0" w:noHBand="0" w:noVBand="1"/>
        <w:tblCaption w:val="Table 19: Revised economic evaluation: cost-per-responder analysis"/>
      </w:tblPr>
      <w:tblGrid>
        <w:gridCol w:w="2393"/>
        <w:gridCol w:w="1064"/>
        <w:gridCol w:w="956"/>
        <w:gridCol w:w="802"/>
        <w:gridCol w:w="1064"/>
        <w:gridCol w:w="657"/>
        <w:gridCol w:w="804"/>
        <w:gridCol w:w="1327"/>
      </w:tblGrid>
      <w:tr w:rsidR="001F427F" w:rsidRPr="007A5667" w14:paraId="700CCCF6" w14:textId="77777777" w:rsidTr="001F427F">
        <w:tc>
          <w:tcPr>
            <w:tcW w:w="1326" w:type="pct"/>
            <w:vMerge w:val="restart"/>
            <w:shd w:val="clear" w:color="auto" w:fill="F2F2F2" w:themeFill="background1" w:themeFillShade="F2"/>
          </w:tcPr>
          <w:p w14:paraId="0BB17A86" w14:textId="77777777" w:rsidR="001F427F" w:rsidRPr="007A5667" w:rsidRDefault="001F427F" w:rsidP="006452F7">
            <w:pPr>
              <w:pStyle w:val="In-tableHeading"/>
              <w:rPr>
                <w:sz w:val="20"/>
                <w:szCs w:val="22"/>
              </w:rPr>
            </w:pPr>
          </w:p>
        </w:tc>
        <w:tc>
          <w:tcPr>
            <w:tcW w:w="1530" w:type="pct"/>
            <w:gridSpan w:val="3"/>
            <w:shd w:val="clear" w:color="auto" w:fill="F2F2F2" w:themeFill="background1" w:themeFillShade="F2"/>
          </w:tcPr>
          <w:p w14:paraId="32B619A2" w14:textId="77777777" w:rsidR="001F427F" w:rsidRPr="007A5667" w:rsidRDefault="001F427F" w:rsidP="006452F7">
            <w:pPr>
              <w:pStyle w:val="In-tableHeading"/>
              <w:rPr>
                <w:bCs/>
                <w:color w:val="000000"/>
                <w:sz w:val="20"/>
                <w:szCs w:val="22"/>
              </w:rPr>
            </w:pPr>
            <w:r w:rsidRPr="007A5667">
              <w:rPr>
                <w:bCs/>
                <w:color w:val="000000"/>
                <w:sz w:val="20"/>
                <w:szCs w:val="22"/>
              </w:rPr>
              <w:t>Cost</w:t>
            </w:r>
          </w:p>
        </w:tc>
        <w:tc>
          <w:tcPr>
            <w:tcW w:w="1406" w:type="pct"/>
            <w:gridSpan w:val="3"/>
            <w:shd w:val="clear" w:color="auto" w:fill="F2F2F2" w:themeFill="background1" w:themeFillShade="F2"/>
          </w:tcPr>
          <w:p w14:paraId="0F02231D" w14:textId="77777777" w:rsidR="001F427F" w:rsidRPr="007A5667" w:rsidRDefault="001F427F" w:rsidP="006452F7">
            <w:pPr>
              <w:pStyle w:val="In-tableHeading"/>
              <w:rPr>
                <w:bCs/>
                <w:color w:val="000000"/>
                <w:sz w:val="20"/>
                <w:szCs w:val="22"/>
              </w:rPr>
            </w:pPr>
            <w:r w:rsidRPr="007A5667">
              <w:rPr>
                <w:bCs/>
                <w:color w:val="000000"/>
                <w:sz w:val="20"/>
                <w:szCs w:val="22"/>
              </w:rPr>
              <w:t>Response</w:t>
            </w:r>
          </w:p>
        </w:tc>
        <w:tc>
          <w:tcPr>
            <w:tcW w:w="738" w:type="pct"/>
            <w:vMerge w:val="restart"/>
            <w:shd w:val="clear" w:color="auto" w:fill="F2F2F2" w:themeFill="background1" w:themeFillShade="F2"/>
            <w:vAlign w:val="center"/>
          </w:tcPr>
          <w:p w14:paraId="6009B90B" w14:textId="77777777" w:rsidR="001F427F" w:rsidRPr="007A5667" w:rsidRDefault="001F427F" w:rsidP="006452F7">
            <w:pPr>
              <w:pStyle w:val="In-tableHeading"/>
              <w:rPr>
                <w:bCs/>
                <w:color w:val="000000"/>
                <w:sz w:val="20"/>
                <w:szCs w:val="22"/>
              </w:rPr>
            </w:pPr>
            <w:r w:rsidRPr="007A5667">
              <w:rPr>
                <w:bCs/>
                <w:color w:val="000000"/>
                <w:sz w:val="20"/>
                <w:szCs w:val="22"/>
              </w:rPr>
              <w:t>ICER</w:t>
            </w:r>
          </w:p>
        </w:tc>
      </w:tr>
      <w:tr w:rsidR="001F427F" w:rsidRPr="007A5667" w14:paraId="26A76811" w14:textId="77777777" w:rsidTr="001F427F">
        <w:tc>
          <w:tcPr>
            <w:tcW w:w="1326" w:type="pct"/>
            <w:vMerge/>
            <w:shd w:val="clear" w:color="auto" w:fill="F2F2F2" w:themeFill="background1" w:themeFillShade="F2"/>
          </w:tcPr>
          <w:p w14:paraId="361FDDC6" w14:textId="77777777" w:rsidR="001F427F" w:rsidRPr="007A5667" w:rsidRDefault="001F427F" w:rsidP="006452F7">
            <w:pPr>
              <w:pStyle w:val="In-tableHeading"/>
              <w:rPr>
                <w:sz w:val="20"/>
                <w:szCs w:val="22"/>
              </w:rPr>
            </w:pPr>
          </w:p>
        </w:tc>
        <w:tc>
          <w:tcPr>
            <w:tcW w:w="547" w:type="pct"/>
            <w:shd w:val="clear" w:color="auto" w:fill="F2F2F2" w:themeFill="background1" w:themeFillShade="F2"/>
          </w:tcPr>
          <w:p w14:paraId="7F8BB7B0" w14:textId="77777777" w:rsidR="001F427F" w:rsidRPr="007A5667" w:rsidRDefault="001F427F" w:rsidP="006452F7">
            <w:pPr>
              <w:pStyle w:val="In-tableHeading"/>
              <w:rPr>
                <w:bCs/>
                <w:color w:val="000000"/>
                <w:sz w:val="20"/>
                <w:szCs w:val="22"/>
              </w:rPr>
            </w:pPr>
            <w:r>
              <w:rPr>
                <w:bCs/>
                <w:color w:val="000000"/>
                <w:sz w:val="20"/>
                <w:szCs w:val="22"/>
              </w:rPr>
              <w:t>Ruxolitinib</w:t>
            </w:r>
          </w:p>
        </w:tc>
        <w:tc>
          <w:tcPr>
            <w:tcW w:w="534" w:type="pct"/>
            <w:shd w:val="clear" w:color="auto" w:fill="F2F2F2" w:themeFill="background1" w:themeFillShade="F2"/>
          </w:tcPr>
          <w:p w14:paraId="2E12D512" w14:textId="77777777" w:rsidR="001F427F" w:rsidRPr="007A5667" w:rsidRDefault="001F427F" w:rsidP="006452F7">
            <w:pPr>
              <w:pStyle w:val="In-tableHeading"/>
              <w:rPr>
                <w:bCs/>
                <w:color w:val="000000"/>
                <w:sz w:val="20"/>
                <w:szCs w:val="22"/>
              </w:rPr>
            </w:pPr>
            <w:r>
              <w:rPr>
                <w:bCs/>
                <w:color w:val="000000"/>
                <w:sz w:val="20"/>
                <w:szCs w:val="22"/>
              </w:rPr>
              <w:t>BAT</w:t>
            </w:r>
          </w:p>
        </w:tc>
        <w:tc>
          <w:tcPr>
            <w:tcW w:w="449" w:type="pct"/>
            <w:shd w:val="clear" w:color="auto" w:fill="F2F2F2" w:themeFill="background1" w:themeFillShade="F2"/>
          </w:tcPr>
          <w:p w14:paraId="2384F061" w14:textId="77777777" w:rsidR="001F427F" w:rsidRPr="007A5667" w:rsidRDefault="001F427F" w:rsidP="006452F7">
            <w:pPr>
              <w:pStyle w:val="In-tableHeading"/>
              <w:rPr>
                <w:bCs/>
                <w:color w:val="000000"/>
                <w:sz w:val="20"/>
                <w:szCs w:val="22"/>
              </w:rPr>
            </w:pPr>
            <w:r w:rsidRPr="007A5667">
              <w:rPr>
                <w:bCs/>
                <w:color w:val="000000"/>
                <w:sz w:val="20"/>
                <w:szCs w:val="22"/>
              </w:rPr>
              <w:t>Incr.</w:t>
            </w:r>
          </w:p>
        </w:tc>
        <w:tc>
          <w:tcPr>
            <w:tcW w:w="587" w:type="pct"/>
            <w:shd w:val="clear" w:color="auto" w:fill="F2F2F2" w:themeFill="background1" w:themeFillShade="F2"/>
          </w:tcPr>
          <w:p w14:paraId="3E066EBD" w14:textId="77777777" w:rsidR="001F427F" w:rsidRPr="007A5667" w:rsidRDefault="001F427F" w:rsidP="006452F7">
            <w:pPr>
              <w:pStyle w:val="In-tableHeading"/>
              <w:rPr>
                <w:bCs/>
                <w:color w:val="000000"/>
                <w:sz w:val="20"/>
                <w:szCs w:val="22"/>
              </w:rPr>
            </w:pPr>
            <w:r>
              <w:rPr>
                <w:bCs/>
                <w:color w:val="000000"/>
                <w:sz w:val="20"/>
                <w:szCs w:val="22"/>
              </w:rPr>
              <w:t>Ruxolitinib</w:t>
            </w:r>
          </w:p>
        </w:tc>
        <w:tc>
          <w:tcPr>
            <w:tcW w:w="369" w:type="pct"/>
            <w:shd w:val="clear" w:color="auto" w:fill="F2F2F2" w:themeFill="background1" w:themeFillShade="F2"/>
          </w:tcPr>
          <w:p w14:paraId="17D316AA" w14:textId="77777777" w:rsidR="001F427F" w:rsidRPr="007A5667" w:rsidRDefault="001F427F" w:rsidP="006452F7">
            <w:pPr>
              <w:pStyle w:val="In-tableHeading"/>
              <w:rPr>
                <w:bCs/>
                <w:color w:val="000000"/>
                <w:sz w:val="20"/>
                <w:szCs w:val="22"/>
              </w:rPr>
            </w:pPr>
            <w:r>
              <w:rPr>
                <w:bCs/>
                <w:color w:val="000000"/>
                <w:sz w:val="20"/>
                <w:szCs w:val="22"/>
              </w:rPr>
              <w:t>BAT</w:t>
            </w:r>
          </w:p>
        </w:tc>
        <w:tc>
          <w:tcPr>
            <w:tcW w:w="450" w:type="pct"/>
            <w:shd w:val="clear" w:color="auto" w:fill="F2F2F2" w:themeFill="background1" w:themeFillShade="F2"/>
          </w:tcPr>
          <w:p w14:paraId="18192E9C" w14:textId="77777777" w:rsidR="001F427F" w:rsidRPr="007A5667" w:rsidRDefault="001F427F" w:rsidP="006452F7">
            <w:pPr>
              <w:pStyle w:val="In-tableHeading"/>
              <w:rPr>
                <w:bCs/>
                <w:color w:val="000000"/>
                <w:sz w:val="20"/>
                <w:szCs w:val="22"/>
              </w:rPr>
            </w:pPr>
            <w:r w:rsidRPr="007A5667">
              <w:rPr>
                <w:bCs/>
                <w:color w:val="000000"/>
                <w:sz w:val="20"/>
                <w:szCs w:val="22"/>
              </w:rPr>
              <w:t xml:space="preserve">Incr. </w:t>
            </w:r>
          </w:p>
        </w:tc>
        <w:tc>
          <w:tcPr>
            <w:tcW w:w="738" w:type="pct"/>
            <w:vMerge/>
            <w:shd w:val="clear" w:color="auto" w:fill="F2F2F2" w:themeFill="background1" w:themeFillShade="F2"/>
          </w:tcPr>
          <w:p w14:paraId="191DC8A7" w14:textId="77777777" w:rsidR="001F427F" w:rsidRPr="007A5667" w:rsidRDefault="001F427F" w:rsidP="006452F7">
            <w:pPr>
              <w:pStyle w:val="In-tableHeading"/>
              <w:rPr>
                <w:bCs/>
                <w:color w:val="000000"/>
                <w:sz w:val="20"/>
                <w:szCs w:val="22"/>
              </w:rPr>
            </w:pPr>
          </w:p>
        </w:tc>
      </w:tr>
      <w:tr w:rsidR="001F427F" w:rsidRPr="007A5667" w14:paraId="09E64154" w14:textId="77777777" w:rsidTr="001F427F">
        <w:tc>
          <w:tcPr>
            <w:tcW w:w="1326" w:type="pct"/>
          </w:tcPr>
          <w:p w14:paraId="7F500CE5" w14:textId="5F988067" w:rsidR="001F427F" w:rsidRPr="00F320CC" w:rsidRDefault="001F427F" w:rsidP="006452F7">
            <w:pPr>
              <w:pStyle w:val="TableText0"/>
              <w:keepNext/>
              <w:keepLines/>
              <w:jc w:val="center"/>
              <w:rPr>
                <w:sz w:val="20"/>
                <w:vertAlign w:val="superscript"/>
              </w:rPr>
            </w:pPr>
            <w:r>
              <w:rPr>
                <w:sz w:val="20"/>
              </w:rPr>
              <w:t xml:space="preserve">Overall response (CR or PR) at </w:t>
            </w:r>
            <w:r w:rsidR="00283DA8">
              <w:rPr>
                <w:sz w:val="20"/>
              </w:rPr>
              <w:t>3 years</w:t>
            </w:r>
            <w:r>
              <w:rPr>
                <w:sz w:val="20"/>
              </w:rPr>
              <w:t xml:space="preserve"> </w:t>
            </w:r>
            <w:r>
              <w:rPr>
                <w:sz w:val="20"/>
                <w:vertAlign w:val="superscript"/>
              </w:rPr>
              <w:t>a</w:t>
            </w:r>
          </w:p>
        </w:tc>
        <w:tc>
          <w:tcPr>
            <w:tcW w:w="547" w:type="pct"/>
          </w:tcPr>
          <w:p w14:paraId="3D0B9A4A" w14:textId="27381DDF" w:rsidR="001F427F" w:rsidRPr="001F427F" w:rsidRDefault="001F427F" w:rsidP="006452F7">
            <w:pPr>
              <w:pStyle w:val="TableText0"/>
              <w:keepNext/>
              <w:keepLines/>
              <w:jc w:val="center"/>
              <w:rPr>
                <w:sz w:val="20"/>
                <w:vertAlign w:val="superscript"/>
              </w:rPr>
            </w:pPr>
            <w:r w:rsidRPr="007A5667">
              <w:rPr>
                <w:rFonts w:cs="Calibri"/>
                <w:sz w:val="20"/>
              </w:rPr>
              <w:t>$</w:t>
            </w:r>
            <w:r w:rsidR="00A268DC" w:rsidRPr="00A268DC">
              <w:rPr>
                <w:rFonts w:cs="Calibri"/>
                <w:color w:val="000000"/>
                <w:spacing w:val="46"/>
                <w:sz w:val="20"/>
                <w:shd w:val="solid" w:color="000000" w:fill="000000"/>
                <w:fitText w:val="220" w:id="-694973431"/>
                <w14:textFill>
                  <w14:solidFill>
                    <w14:srgbClr w14:val="000000">
                      <w14:alpha w14:val="100000"/>
                    </w14:srgbClr>
                  </w14:solidFill>
                </w14:textFill>
              </w:rPr>
              <w:t>||</w:t>
            </w:r>
            <w:r w:rsidR="00A268DC" w:rsidRPr="00A268DC">
              <w:rPr>
                <w:rFonts w:cs="Calibri"/>
                <w:color w:val="000000"/>
                <w:spacing w:val="1"/>
                <w:sz w:val="20"/>
                <w:shd w:val="solid" w:color="000000" w:fill="000000"/>
                <w:fitText w:val="220" w:id="-694973431"/>
                <w14:textFill>
                  <w14:solidFill>
                    <w14:srgbClr w14:val="000000">
                      <w14:alpha w14:val="100000"/>
                    </w14:srgbClr>
                  </w14:solidFill>
                </w14:textFill>
              </w:rPr>
              <w:t>|</w:t>
            </w:r>
            <w:r>
              <w:rPr>
                <w:rFonts w:cs="Calibri"/>
                <w:sz w:val="20"/>
              </w:rPr>
              <w:t xml:space="preserve"> </w:t>
            </w:r>
            <w:r>
              <w:rPr>
                <w:rFonts w:cs="Calibri"/>
                <w:sz w:val="20"/>
                <w:vertAlign w:val="superscript"/>
              </w:rPr>
              <w:t>b</w:t>
            </w:r>
          </w:p>
        </w:tc>
        <w:tc>
          <w:tcPr>
            <w:tcW w:w="534" w:type="pct"/>
          </w:tcPr>
          <w:p w14:paraId="012ACE58" w14:textId="3F90CDC3" w:rsidR="001F427F" w:rsidRPr="001F427F" w:rsidRDefault="001F427F" w:rsidP="006452F7">
            <w:pPr>
              <w:pStyle w:val="TableText0"/>
              <w:keepNext/>
              <w:keepLines/>
              <w:jc w:val="center"/>
              <w:rPr>
                <w:sz w:val="20"/>
                <w:vertAlign w:val="superscript"/>
              </w:rPr>
            </w:pPr>
            <w:r w:rsidRPr="007A5667">
              <w:rPr>
                <w:rFonts w:cs="Calibri"/>
                <w:sz w:val="20"/>
              </w:rPr>
              <w:t>$</w:t>
            </w:r>
            <w:r w:rsidR="00E858AE">
              <w:rPr>
                <w:rFonts w:cs="Calibri"/>
                <w:sz w:val="20"/>
              </w:rPr>
              <w:t>13,3</w:t>
            </w:r>
            <w:r w:rsidR="00283DA8">
              <w:rPr>
                <w:rFonts w:cs="Calibri"/>
                <w:sz w:val="20"/>
              </w:rPr>
              <w:t>4</w:t>
            </w:r>
            <w:r w:rsidR="00E858AE">
              <w:rPr>
                <w:rFonts w:cs="Calibri"/>
                <w:sz w:val="20"/>
              </w:rPr>
              <w:t>4</w:t>
            </w:r>
            <w:r>
              <w:rPr>
                <w:rFonts w:cs="Calibri"/>
                <w:sz w:val="20"/>
              </w:rPr>
              <w:t xml:space="preserve"> </w:t>
            </w:r>
            <w:r>
              <w:rPr>
                <w:rFonts w:cs="Calibri"/>
                <w:sz w:val="20"/>
                <w:vertAlign w:val="superscript"/>
              </w:rPr>
              <w:t>c</w:t>
            </w:r>
          </w:p>
        </w:tc>
        <w:tc>
          <w:tcPr>
            <w:tcW w:w="449" w:type="pct"/>
          </w:tcPr>
          <w:p w14:paraId="623AC80E" w14:textId="40A19D36" w:rsidR="001F427F" w:rsidRPr="007A5667" w:rsidRDefault="001F427F" w:rsidP="006452F7">
            <w:pPr>
              <w:pStyle w:val="TableText0"/>
              <w:keepNext/>
              <w:keepLines/>
              <w:jc w:val="center"/>
              <w:rPr>
                <w:sz w:val="20"/>
              </w:rPr>
            </w:pPr>
            <w:r w:rsidRPr="007A5667">
              <w:rPr>
                <w:rFonts w:cs="Calibri"/>
                <w:sz w:val="20"/>
              </w:rPr>
              <w:t>$</w:t>
            </w:r>
            <w:r w:rsidR="00A268DC" w:rsidRPr="00A268DC">
              <w:rPr>
                <w:rFonts w:cs="Calibri"/>
                <w:color w:val="000000"/>
                <w:spacing w:val="214"/>
                <w:sz w:val="20"/>
                <w:shd w:val="solid" w:color="000000" w:fill="000000"/>
                <w:fitText w:val="300" w:id="-694973430"/>
                <w14:textFill>
                  <w14:solidFill>
                    <w14:srgbClr w14:val="000000">
                      <w14:alpha w14:val="100000"/>
                    </w14:srgbClr>
                  </w14:solidFill>
                </w14:textFill>
              </w:rPr>
              <w:t>|</w:t>
            </w:r>
            <w:r w:rsidR="00A268DC" w:rsidRPr="00A268DC">
              <w:rPr>
                <w:rFonts w:cs="Calibri"/>
                <w:color w:val="000000"/>
                <w:spacing w:val="1"/>
                <w:sz w:val="20"/>
                <w:shd w:val="solid" w:color="000000" w:fill="000000"/>
                <w:fitText w:val="300" w:id="-694973430"/>
                <w14:textFill>
                  <w14:solidFill>
                    <w14:srgbClr w14:val="000000">
                      <w14:alpha w14:val="100000"/>
                    </w14:srgbClr>
                  </w14:solidFill>
                </w14:textFill>
              </w:rPr>
              <w:t>|</w:t>
            </w:r>
          </w:p>
        </w:tc>
        <w:tc>
          <w:tcPr>
            <w:tcW w:w="587" w:type="pct"/>
          </w:tcPr>
          <w:p w14:paraId="0419A2DF" w14:textId="4C9E9C14" w:rsidR="001F427F" w:rsidRPr="007A5667" w:rsidRDefault="001F427F" w:rsidP="006452F7">
            <w:pPr>
              <w:pStyle w:val="TableText0"/>
              <w:keepNext/>
              <w:keepLines/>
              <w:jc w:val="center"/>
              <w:rPr>
                <w:sz w:val="20"/>
              </w:rPr>
            </w:pPr>
            <w:r>
              <w:rPr>
                <w:rFonts w:cs="Calibri"/>
                <w:sz w:val="20"/>
              </w:rPr>
              <w:t>91</w:t>
            </w:r>
            <w:r w:rsidRPr="007A5667">
              <w:rPr>
                <w:rFonts w:cs="Calibri"/>
                <w:sz w:val="20"/>
              </w:rPr>
              <w:t>%</w:t>
            </w:r>
          </w:p>
        </w:tc>
        <w:tc>
          <w:tcPr>
            <w:tcW w:w="369" w:type="pct"/>
          </w:tcPr>
          <w:p w14:paraId="668A0586" w14:textId="38C4CC3B" w:rsidR="001F427F" w:rsidRPr="007A5667" w:rsidRDefault="001F427F" w:rsidP="006452F7">
            <w:pPr>
              <w:pStyle w:val="TableText0"/>
              <w:keepNext/>
              <w:keepLines/>
              <w:jc w:val="center"/>
              <w:rPr>
                <w:sz w:val="20"/>
              </w:rPr>
            </w:pPr>
            <w:r>
              <w:rPr>
                <w:rFonts w:cs="Calibri"/>
                <w:sz w:val="20"/>
              </w:rPr>
              <w:t>55</w:t>
            </w:r>
            <w:r w:rsidRPr="007A5667">
              <w:rPr>
                <w:rFonts w:cs="Calibri"/>
                <w:sz w:val="20"/>
              </w:rPr>
              <w:t>%</w:t>
            </w:r>
          </w:p>
        </w:tc>
        <w:tc>
          <w:tcPr>
            <w:tcW w:w="450" w:type="pct"/>
          </w:tcPr>
          <w:p w14:paraId="5802CE94" w14:textId="204C8743" w:rsidR="001F427F" w:rsidRPr="007A5667" w:rsidRDefault="001F427F" w:rsidP="006452F7">
            <w:pPr>
              <w:pStyle w:val="TableText0"/>
              <w:keepNext/>
              <w:keepLines/>
              <w:jc w:val="center"/>
              <w:rPr>
                <w:sz w:val="20"/>
              </w:rPr>
            </w:pPr>
            <w:r>
              <w:rPr>
                <w:rFonts w:cs="Calibri"/>
                <w:sz w:val="20"/>
              </w:rPr>
              <w:t>36</w:t>
            </w:r>
            <w:r w:rsidRPr="007A5667">
              <w:rPr>
                <w:rFonts w:cs="Calibri"/>
                <w:sz w:val="20"/>
              </w:rPr>
              <w:t>%</w:t>
            </w:r>
          </w:p>
        </w:tc>
        <w:tc>
          <w:tcPr>
            <w:tcW w:w="738" w:type="pct"/>
          </w:tcPr>
          <w:p w14:paraId="7EBBE8FE" w14:textId="1B9A1FA5" w:rsidR="001F427F" w:rsidRPr="007A5667" w:rsidRDefault="001F427F" w:rsidP="006452F7">
            <w:pPr>
              <w:pStyle w:val="TableText0"/>
              <w:keepNext/>
              <w:keepLines/>
              <w:jc w:val="center"/>
              <w:rPr>
                <w:sz w:val="20"/>
              </w:rPr>
            </w:pPr>
            <w:r w:rsidRPr="007A5667">
              <w:rPr>
                <w:rFonts w:cs="Calibri"/>
                <w:sz w:val="20"/>
              </w:rPr>
              <w:t>$</w:t>
            </w:r>
            <w:r w:rsidR="00A268DC" w:rsidRPr="00A268DC">
              <w:rPr>
                <w:rFonts w:cs="Calibri"/>
                <w:color w:val="000000"/>
                <w:spacing w:val="49"/>
                <w:sz w:val="20"/>
                <w:shd w:val="solid" w:color="000000" w:fill="000000"/>
                <w:fitText w:val="320" w:id="-694973429"/>
                <w14:textFill>
                  <w14:solidFill>
                    <w14:srgbClr w14:val="000000">
                      <w14:alpha w14:val="100000"/>
                    </w14:srgbClr>
                  </w14:solidFill>
                </w14:textFill>
              </w:rPr>
              <w:t>|||</w:t>
            </w:r>
            <w:r w:rsidR="00A268DC" w:rsidRPr="00A268DC">
              <w:rPr>
                <w:rFonts w:cs="Calibri"/>
                <w:color w:val="000000"/>
                <w:spacing w:val="3"/>
                <w:sz w:val="20"/>
                <w:shd w:val="solid" w:color="000000" w:fill="000000"/>
                <w:fitText w:val="320" w:id="-694973429"/>
                <w14:textFill>
                  <w14:solidFill>
                    <w14:srgbClr w14:val="000000">
                      <w14:alpha w14:val="100000"/>
                    </w14:srgbClr>
                  </w14:solidFill>
                </w14:textFill>
              </w:rPr>
              <w:t>|</w:t>
            </w:r>
            <w:r w:rsidR="005646FD" w:rsidRPr="005646FD">
              <w:rPr>
                <w:rFonts w:cs="Calibri"/>
                <w:sz w:val="20"/>
                <w:vertAlign w:val="superscript"/>
              </w:rPr>
              <w:t>1</w:t>
            </w:r>
            <w:r w:rsidRPr="007A5667">
              <w:rPr>
                <w:rFonts w:cs="Calibri"/>
                <w:sz w:val="20"/>
              </w:rPr>
              <w:t>/</w:t>
            </w:r>
            <w:r>
              <w:rPr>
                <w:rFonts w:cs="Calibri"/>
                <w:sz w:val="20"/>
              </w:rPr>
              <w:t>overall response</w:t>
            </w:r>
          </w:p>
        </w:tc>
      </w:tr>
    </w:tbl>
    <w:p w14:paraId="6164DA1A" w14:textId="3D8F3D2D" w:rsidR="001F427F" w:rsidRDefault="001F427F" w:rsidP="006452F7">
      <w:pPr>
        <w:pStyle w:val="TableFooter"/>
        <w:keepNext/>
        <w:keepLines/>
        <w:rPr>
          <w:vertAlign w:val="superscript"/>
          <w:lang w:val="en-GB"/>
        </w:rPr>
      </w:pPr>
      <w:r w:rsidRPr="00567618">
        <w:t xml:space="preserve">Source: </w:t>
      </w:r>
      <w:r>
        <w:t>Compiled for the PBAC Meeting</w:t>
      </w:r>
    </w:p>
    <w:p w14:paraId="75100630" w14:textId="6C234D69" w:rsidR="001F427F" w:rsidRDefault="001F427F" w:rsidP="006452F7">
      <w:pPr>
        <w:pStyle w:val="TableFooter"/>
        <w:keepNext/>
        <w:keepLines/>
      </w:pPr>
      <w:r w:rsidRPr="00B12B7E">
        <w:rPr>
          <w:vertAlign w:val="superscript"/>
        </w:rPr>
        <w:t>a</w:t>
      </w:r>
      <w:r>
        <w:t xml:space="preserve"> </w:t>
      </w:r>
      <w:r w:rsidR="00BE474A">
        <w:t>Based on</w:t>
      </w:r>
      <w:r>
        <w:t xml:space="preserve"> </w:t>
      </w:r>
      <w:r w:rsidR="00BE474A">
        <w:t xml:space="preserve">duration of response data at 3 years from the MAJIC trial. </w:t>
      </w:r>
    </w:p>
    <w:p w14:paraId="4CA00521" w14:textId="2CFE15EC" w:rsidR="001F427F" w:rsidRDefault="001F427F" w:rsidP="006452F7">
      <w:pPr>
        <w:pStyle w:val="TableFooter"/>
        <w:keepNext/>
        <w:keepLines/>
      </w:pPr>
      <w:r>
        <w:rPr>
          <w:vertAlign w:val="superscript"/>
        </w:rPr>
        <w:t xml:space="preserve">b </w:t>
      </w:r>
      <w:r w:rsidRPr="001F427F">
        <w:t>Cost</w:t>
      </w:r>
      <w:r>
        <w:t xml:space="preserve">/patient/year in the ruxolitinib model </w:t>
      </w:r>
      <w:r w:rsidR="007D6E1C">
        <w:t>(</w:t>
      </w:r>
      <w:r w:rsidR="007D6E1C">
        <w:fldChar w:fldCharType="begin" w:fldLock="1"/>
      </w:r>
      <w:r w:rsidR="007D6E1C">
        <w:instrText xml:space="preserve"> REF _Ref185227001 \h  \* MERGEFORMAT </w:instrText>
      </w:r>
      <w:r w:rsidR="007D6E1C">
        <w:fldChar w:fldCharType="separate"/>
      </w:r>
      <w:r w:rsidR="007D6E1C" w:rsidRPr="007D6E1C">
        <w:t>Table 20</w:t>
      </w:r>
      <w:r w:rsidR="007D6E1C">
        <w:fldChar w:fldCharType="end"/>
      </w:r>
      <w:r w:rsidR="007D6E1C">
        <w:t>)</w:t>
      </w:r>
      <w:r>
        <w:t xml:space="preserve"> $</w:t>
      </w:r>
      <w:r w:rsidR="00A268DC" w:rsidRPr="00F87B86">
        <w:rPr>
          <w:color w:val="000000"/>
          <w:spacing w:val="81"/>
          <w:shd w:val="solid" w:color="000000" w:fill="000000"/>
          <w:fitText w:val="280" w:id="-694973428"/>
          <w14:textFill>
            <w14:solidFill>
              <w14:srgbClr w14:val="000000">
                <w14:alpha w14:val="100000"/>
              </w14:srgbClr>
            </w14:solidFill>
          </w14:textFill>
        </w:rPr>
        <w:t>|</w:t>
      </w:r>
      <w:r w:rsidR="00F87B86" w:rsidRPr="00F87B86">
        <w:rPr>
          <w:color w:val="000000"/>
          <w:spacing w:val="81"/>
          <w:shd w:val="solid" w:color="000000" w:fill="000000"/>
          <w:fitText w:val="280" w:id="-694973428"/>
          <w14:textFill>
            <w14:solidFill>
              <w14:srgbClr w14:val="000000">
                <w14:alpha w14:val="100000"/>
              </w14:srgbClr>
            </w14:solidFill>
          </w14:textFill>
        </w:rPr>
        <w:t xml:space="preserve"> </w:t>
      </w:r>
      <w:r w:rsidR="00A268DC" w:rsidRPr="00F87B86">
        <w:rPr>
          <w:color w:val="000000"/>
          <w:spacing w:val="1"/>
          <w:shd w:val="solid" w:color="000000" w:fill="000000"/>
          <w:fitText w:val="280" w:id="-694973428"/>
          <w14:textFill>
            <w14:solidFill>
              <w14:srgbClr w14:val="000000">
                <w14:alpha w14:val="100000"/>
              </w14:srgbClr>
            </w14:solidFill>
          </w14:textFill>
        </w:rPr>
        <w:t>|</w:t>
      </w:r>
      <w:r w:rsidR="007D6E1C">
        <w:t xml:space="preserve"> </w:t>
      </w:r>
      <w:r w:rsidR="00E858AE">
        <w:t>*3</w:t>
      </w:r>
    </w:p>
    <w:p w14:paraId="47057038" w14:textId="77777777" w:rsidR="00074279" w:rsidRDefault="001F427F" w:rsidP="00CC5BFC">
      <w:pPr>
        <w:pStyle w:val="TableFooter"/>
        <w:keepNext/>
        <w:keepLines/>
      </w:pPr>
      <w:r>
        <w:rPr>
          <w:vertAlign w:val="superscript"/>
        </w:rPr>
        <w:t xml:space="preserve">c </w:t>
      </w:r>
      <w:r>
        <w:t xml:space="preserve">Cost/patient/year in the BAT model </w:t>
      </w:r>
      <w:r w:rsidR="007D6E1C">
        <w:t>(</w:t>
      </w:r>
      <w:r w:rsidR="007D6E1C">
        <w:fldChar w:fldCharType="begin" w:fldLock="1"/>
      </w:r>
      <w:r w:rsidR="007D6E1C">
        <w:instrText xml:space="preserve"> REF _Ref185227001 \h  \* MERGEFORMAT </w:instrText>
      </w:r>
      <w:r w:rsidR="007D6E1C">
        <w:fldChar w:fldCharType="separate"/>
      </w:r>
      <w:r w:rsidR="007D6E1C" w:rsidRPr="007D6E1C">
        <w:t>Table 20</w:t>
      </w:r>
      <w:r w:rsidR="007D6E1C">
        <w:fldChar w:fldCharType="end"/>
      </w:r>
      <w:r w:rsidR="007D6E1C">
        <w:t xml:space="preserve">) </w:t>
      </w:r>
      <w:r>
        <w:t>$4,448</w:t>
      </w:r>
      <w:r w:rsidR="00E858AE">
        <w:t>*3</w:t>
      </w:r>
      <w:r w:rsidR="00CC5BFC">
        <w:t xml:space="preserve"> </w:t>
      </w:r>
    </w:p>
    <w:p w14:paraId="3CDD2FE3" w14:textId="1DE42D4E" w:rsidR="00CC5BFC" w:rsidRPr="001B4E4D" w:rsidRDefault="00CC5BFC" w:rsidP="00CC5BFC">
      <w:pPr>
        <w:pStyle w:val="TableFooter"/>
        <w:keepNext/>
        <w:keepLines/>
        <w:rPr>
          <w:i/>
          <w:iCs/>
        </w:rPr>
      </w:pPr>
      <w:r w:rsidRPr="001B4E4D">
        <w:rPr>
          <w:i/>
          <w:iCs/>
        </w:rPr>
        <w:t>The redacted values correspond to the following ranges</w:t>
      </w:r>
      <w:r w:rsidR="001B4E4D" w:rsidRPr="001B4E4D">
        <w:rPr>
          <w:i/>
          <w:iCs/>
        </w:rPr>
        <w:t>:</w:t>
      </w:r>
    </w:p>
    <w:p w14:paraId="3DEC08FD" w14:textId="5498A313" w:rsidR="00526507" w:rsidRPr="001B4E4D" w:rsidRDefault="00CC5BFC" w:rsidP="00CC5BFC">
      <w:pPr>
        <w:pStyle w:val="TableFooter"/>
        <w:keepNext/>
        <w:keepLines/>
        <w:rPr>
          <w:i/>
          <w:iCs/>
        </w:rPr>
      </w:pPr>
      <w:r w:rsidRPr="00E03429">
        <w:rPr>
          <w:i/>
          <w:iCs/>
          <w:vertAlign w:val="superscript"/>
        </w:rPr>
        <w:t>1</w:t>
      </w:r>
      <w:r w:rsidRPr="001B4E4D">
        <w:rPr>
          <w:i/>
          <w:iCs/>
        </w:rPr>
        <w:t xml:space="preserve"> </w:t>
      </w:r>
      <w:r w:rsidR="00074279" w:rsidRPr="001B4E4D">
        <w:rPr>
          <w:i/>
          <w:iCs/>
        </w:rPr>
        <w:t>$75,000 to &lt; $95,000</w:t>
      </w:r>
    </w:p>
    <w:bookmarkEnd w:id="85"/>
    <w:p w14:paraId="45E1F51C" w14:textId="77777777" w:rsidR="008975CB" w:rsidRPr="008975CB" w:rsidRDefault="008975CB" w:rsidP="0910F2D2">
      <w:pPr>
        <w:keepNext/>
        <w:spacing w:before="120" w:after="120"/>
        <w:outlineLvl w:val="1"/>
        <w:rPr>
          <w:rFonts w:asciiTheme="minorHAnsi" w:eastAsiaTheme="majorEastAsia" w:hAnsiTheme="minorHAnsi" w:cstheme="majorBidi"/>
          <w:b/>
          <w:bCs/>
          <w:i/>
          <w:iCs/>
          <w:spacing w:val="5"/>
          <w:kern w:val="28"/>
          <w:sz w:val="28"/>
          <w:szCs w:val="28"/>
          <w:lang w:eastAsia="en-US"/>
        </w:rPr>
      </w:pPr>
      <w:r w:rsidRPr="0910F2D2">
        <w:rPr>
          <w:rFonts w:asciiTheme="minorHAnsi" w:eastAsiaTheme="majorEastAsia" w:hAnsiTheme="minorHAnsi" w:cstheme="majorBidi"/>
          <w:b/>
          <w:bCs/>
          <w:i/>
          <w:iCs/>
          <w:spacing w:val="5"/>
          <w:kern w:val="28"/>
          <w:sz w:val="28"/>
          <w:szCs w:val="28"/>
          <w:lang w:eastAsia="en-US"/>
        </w:rPr>
        <w:t>Ruxolitinib cost/patient/</w:t>
      </w:r>
      <w:bookmarkEnd w:id="83"/>
      <w:bookmarkEnd w:id="84"/>
      <w:r w:rsidRPr="0910F2D2">
        <w:rPr>
          <w:rFonts w:asciiTheme="minorHAnsi" w:eastAsiaTheme="majorEastAsia" w:hAnsiTheme="minorHAnsi" w:cstheme="majorBidi"/>
          <w:b/>
          <w:bCs/>
          <w:i/>
          <w:iCs/>
          <w:spacing w:val="5"/>
          <w:kern w:val="28"/>
          <w:sz w:val="28"/>
          <w:szCs w:val="28"/>
          <w:lang w:eastAsia="en-US"/>
        </w:rPr>
        <w:t>year</w:t>
      </w:r>
    </w:p>
    <w:p w14:paraId="08851C00" w14:textId="6E60503C" w:rsidR="008975CB" w:rsidRPr="008975CB" w:rsidRDefault="008975CB" w:rsidP="00953620">
      <w:pPr>
        <w:pStyle w:val="3-BodyText"/>
      </w:pPr>
      <w:bookmarkStart w:id="90" w:name="_Ref104805102"/>
      <w:r w:rsidRPr="0910F2D2">
        <w:t xml:space="preserve">The per patient cost of ruxolitinib alone as used in the RESPONSE-2 trial, economic model and financial estimates are presented in </w:t>
      </w:r>
      <w:r w:rsidRPr="0910F2D2">
        <w:fldChar w:fldCharType="begin" w:fldLock="1"/>
      </w:r>
      <w:r w:rsidRPr="0910F2D2">
        <w:instrText xml:space="preserve"> REF _Ref185227001 \h </w:instrText>
      </w:r>
      <w:r w:rsidR="000D4281" w:rsidRPr="0910F2D2">
        <w:instrText xml:space="preserve"> \* MERGEFORMAT </w:instrText>
      </w:r>
      <w:r w:rsidRPr="0910F2D2">
        <w:fldChar w:fldCharType="separate"/>
      </w:r>
      <w:r w:rsidR="00BE474A" w:rsidRPr="00BE474A">
        <w:t xml:space="preserve">Table </w:t>
      </w:r>
      <w:r w:rsidR="00BE474A" w:rsidRPr="00BE474A">
        <w:rPr>
          <w:noProof/>
        </w:rPr>
        <w:t>20</w:t>
      </w:r>
      <w:r w:rsidRPr="0910F2D2">
        <w:fldChar w:fldCharType="end"/>
      </w:r>
      <w:r w:rsidRPr="0910F2D2">
        <w:t xml:space="preserve">. </w:t>
      </w:r>
      <w:r w:rsidR="00D01CF5">
        <w:t>The pre-PBAC response</w:t>
      </w:r>
      <w:r w:rsidR="00F87B86">
        <w:t xml:space="preserve"> </w:t>
      </w:r>
      <w:r w:rsidR="00D01CF5">
        <w:t>offered a reduced EMP of $</w:t>
      </w:r>
      <w:r w:rsidR="00A268DC" w:rsidRPr="00C0236C">
        <w:rPr>
          <w:color w:val="000000"/>
          <w:w w:val="15"/>
          <w:shd w:val="solid" w:color="000000" w:fill="000000"/>
          <w:fitText w:val="-20" w:id="-694973427"/>
          <w14:textFill>
            <w14:solidFill>
              <w14:srgbClr w14:val="000000">
                <w14:alpha w14:val="100000"/>
              </w14:srgbClr>
            </w14:solidFill>
          </w14:textFill>
        </w:rPr>
        <w:t>|</w:t>
      </w:r>
      <w:r w:rsidR="00F87B86" w:rsidRPr="00C0236C">
        <w:rPr>
          <w:color w:val="000000"/>
          <w:w w:val="15"/>
          <w:shd w:val="solid" w:color="000000" w:fill="000000"/>
          <w:fitText w:val="-20" w:id="-694973427"/>
          <w14:textFill>
            <w14:solidFill>
              <w14:srgbClr w14:val="000000">
                <w14:alpha w14:val="100000"/>
              </w14:srgbClr>
            </w14:solidFill>
          </w14:textFill>
        </w:rPr>
        <w:t xml:space="preserve"> </w:t>
      </w:r>
      <w:r w:rsidR="00A268DC" w:rsidRPr="00C0236C">
        <w:rPr>
          <w:color w:val="000000"/>
          <w:spacing w:val="-61"/>
          <w:w w:val="15"/>
          <w:shd w:val="solid" w:color="000000" w:fill="000000"/>
          <w:fitText w:val="-20" w:id="-694973427"/>
          <w14:textFill>
            <w14:solidFill>
              <w14:srgbClr w14:val="000000">
                <w14:alpha w14:val="100000"/>
              </w14:srgbClr>
            </w14:solidFill>
          </w14:textFill>
        </w:rPr>
        <w:t>|</w:t>
      </w:r>
      <w:r w:rsidR="00D01CF5">
        <w:t xml:space="preserve"> for PV across all strengths.</w:t>
      </w:r>
      <w:r w:rsidR="00F87B86">
        <w:t xml:space="preserve"> </w:t>
      </w:r>
    </w:p>
    <w:p w14:paraId="758FE3E5" w14:textId="5FEAA20F" w:rsidR="008975CB" w:rsidRPr="008975CB" w:rsidRDefault="008975CB" w:rsidP="00C265A2">
      <w:pPr>
        <w:keepNext/>
        <w:keepLines/>
        <w:rPr>
          <w:rFonts w:ascii="Arial Narrow" w:hAnsi="Arial Narrow"/>
          <w:b/>
          <w:bCs/>
          <w:sz w:val="20"/>
        </w:rPr>
      </w:pPr>
      <w:bookmarkStart w:id="91" w:name="_Ref185227001"/>
      <w:r w:rsidRPr="008975CB">
        <w:rPr>
          <w:rFonts w:ascii="Arial Narrow" w:hAnsi="Arial Narrow"/>
          <w:b/>
          <w:bCs/>
          <w:sz w:val="20"/>
          <w:szCs w:val="18"/>
        </w:rPr>
        <w:lastRenderedPageBreak/>
        <w:t xml:space="preserve">Table </w:t>
      </w:r>
      <w:r w:rsidRPr="008975CB">
        <w:rPr>
          <w:rFonts w:ascii="Arial Narrow" w:hAnsi="Arial Narrow"/>
          <w:b/>
          <w:bCs/>
          <w:sz w:val="20"/>
          <w:szCs w:val="18"/>
        </w:rPr>
        <w:fldChar w:fldCharType="begin" w:fldLock="1"/>
      </w:r>
      <w:r w:rsidRPr="008975CB">
        <w:rPr>
          <w:rFonts w:ascii="Arial Narrow" w:hAnsi="Arial Narrow"/>
          <w:b/>
          <w:bCs/>
          <w:sz w:val="20"/>
          <w:szCs w:val="18"/>
        </w:rPr>
        <w:instrText xml:space="preserve"> SEQ Table \* ARABIC </w:instrText>
      </w:r>
      <w:r w:rsidRPr="008975CB">
        <w:rPr>
          <w:rFonts w:ascii="Arial Narrow" w:hAnsi="Arial Narrow"/>
          <w:b/>
          <w:bCs/>
          <w:sz w:val="20"/>
          <w:szCs w:val="18"/>
        </w:rPr>
        <w:fldChar w:fldCharType="separate"/>
      </w:r>
      <w:r w:rsidR="001F427F">
        <w:rPr>
          <w:rFonts w:ascii="Arial Narrow" w:hAnsi="Arial Narrow"/>
          <w:b/>
          <w:bCs/>
          <w:noProof/>
          <w:sz w:val="20"/>
          <w:szCs w:val="18"/>
        </w:rPr>
        <w:t>20</w:t>
      </w:r>
      <w:r w:rsidRPr="008975CB">
        <w:rPr>
          <w:rFonts w:ascii="Arial Narrow" w:hAnsi="Arial Narrow"/>
          <w:b/>
          <w:bCs/>
          <w:sz w:val="20"/>
          <w:szCs w:val="18"/>
        </w:rPr>
        <w:fldChar w:fldCharType="end"/>
      </w:r>
      <w:bookmarkEnd w:id="90"/>
      <w:bookmarkEnd w:id="91"/>
      <w:r w:rsidRPr="008975CB">
        <w:rPr>
          <w:rFonts w:ascii="Arial Narrow" w:hAnsi="Arial Narrow"/>
          <w:b/>
          <w:bCs/>
          <w:sz w:val="20"/>
          <w:szCs w:val="18"/>
        </w:rPr>
        <w:t>:</w:t>
      </w:r>
      <w:r w:rsidRPr="008975CB">
        <w:rPr>
          <w:rFonts w:ascii="Arial Narrow" w:hAnsi="Arial Narrow"/>
          <w:b/>
          <w:bCs/>
          <w:sz w:val="20"/>
        </w:rPr>
        <w:t xml:space="preserve"> Drug cost per patient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0: Drug cost per patient for proposed and comparator drugs"/>
      </w:tblPr>
      <w:tblGrid>
        <w:gridCol w:w="1696"/>
        <w:gridCol w:w="1418"/>
        <w:gridCol w:w="1133"/>
        <w:gridCol w:w="994"/>
        <w:gridCol w:w="1255"/>
        <w:gridCol w:w="1580"/>
        <w:gridCol w:w="941"/>
      </w:tblGrid>
      <w:tr w:rsidR="008975CB" w:rsidRPr="008975CB" w14:paraId="1A9C7229" w14:textId="77777777" w:rsidTr="009A5180">
        <w:trPr>
          <w:cantSplit/>
          <w:tblHeader/>
          <w:jc w:val="center"/>
        </w:trPr>
        <w:tc>
          <w:tcPr>
            <w:tcW w:w="940" w:type="pct"/>
            <w:shd w:val="clear" w:color="auto" w:fill="auto"/>
            <w:vAlign w:val="center"/>
          </w:tcPr>
          <w:p w14:paraId="2C26B55D" w14:textId="77777777" w:rsidR="008975CB" w:rsidRPr="008975CB" w:rsidRDefault="008975CB" w:rsidP="00C265A2">
            <w:pPr>
              <w:keepNext/>
              <w:keepLines/>
              <w:jc w:val="left"/>
              <w:rPr>
                <w:rFonts w:ascii="Arial Narrow" w:eastAsiaTheme="majorEastAsia" w:hAnsi="Arial Narrow" w:cs="Times New Roman"/>
                <w:b/>
                <w:sz w:val="20"/>
                <w:lang w:val="en-US"/>
              </w:rPr>
            </w:pPr>
          </w:p>
        </w:tc>
        <w:tc>
          <w:tcPr>
            <w:tcW w:w="786" w:type="pct"/>
            <w:shd w:val="clear" w:color="auto" w:fill="auto"/>
            <w:vAlign w:val="center"/>
          </w:tcPr>
          <w:p w14:paraId="64087D49" w14:textId="77777777" w:rsidR="008975CB" w:rsidRPr="008975CB" w:rsidRDefault="008975CB" w:rsidP="00C265A2">
            <w:pPr>
              <w:keepNext/>
              <w:keepLines/>
              <w:jc w:val="left"/>
              <w:rPr>
                <w:rFonts w:ascii="Arial Narrow" w:eastAsiaTheme="majorEastAsia" w:hAnsi="Arial Narrow" w:cs="Times New Roman"/>
                <w:b/>
                <w:sz w:val="20"/>
                <w:lang w:val="en-US"/>
              </w:rPr>
            </w:pPr>
            <w:r w:rsidRPr="008975CB">
              <w:rPr>
                <w:rFonts w:ascii="Arial Narrow" w:eastAsiaTheme="majorEastAsia" w:hAnsi="Arial Narrow" w:cs="Times New Roman"/>
                <w:b/>
                <w:sz w:val="20"/>
                <w:lang w:val="en-US"/>
              </w:rPr>
              <w:t>Ruxolitinib</w:t>
            </w:r>
          </w:p>
          <w:p w14:paraId="34BB44D1" w14:textId="77777777" w:rsidR="008975CB" w:rsidRPr="008975CB" w:rsidRDefault="008975CB" w:rsidP="00C265A2">
            <w:pPr>
              <w:keepNext/>
              <w:keepLines/>
              <w:jc w:val="left"/>
              <w:rPr>
                <w:rFonts w:ascii="Arial Narrow" w:eastAsiaTheme="majorEastAsia" w:hAnsi="Arial Narrow" w:cs="Times New Roman"/>
                <w:b/>
                <w:sz w:val="20"/>
                <w:lang w:val="en-US"/>
              </w:rPr>
            </w:pPr>
            <w:r w:rsidRPr="008975CB">
              <w:rPr>
                <w:rFonts w:ascii="Arial Narrow" w:eastAsiaTheme="majorEastAsia" w:hAnsi="Arial Narrow" w:cs="Times New Roman"/>
                <w:b/>
                <w:sz w:val="20"/>
                <w:lang w:val="en-US"/>
              </w:rPr>
              <w:t>Trial dose and duration</w:t>
            </w:r>
          </w:p>
        </w:tc>
        <w:tc>
          <w:tcPr>
            <w:tcW w:w="628" w:type="pct"/>
            <w:shd w:val="clear" w:color="auto" w:fill="auto"/>
            <w:vAlign w:val="center"/>
          </w:tcPr>
          <w:p w14:paraId="0F4BE3F7" w14:textId="77777777" w:rsidR="008975CB" w:rsidRPr="008975CB" w:rsidRDefault="008975CB" w:rsidP="00C265A2">
            <w:pPr>
              <w:keepNext/>
              <w:keepLines/>
              <w:jc w:val="left"/>
              <w:rPr>
                <w:rFonts w:ascii="Arial Narrow" w:eastAsiaTheme="majorEastAsia" w:hAnsi="Arial Narrow" w:cs="Times New Roman"/>
                <w:b/>
                <w:sz w:val="20"/>
                <w:lang w:val="en-US"/>
              </w:rPr>
            </w:pPr>
            <w:r w:rsidRPr="008975CB">
              <w:rPr>
                <w:rFonts w:ascii="Arial Narrow" w:eastAsiaTheme="majorEastAsia" w:hAnsi="Arial Narrow" w:cs="Times New Roman"/>
                <w:b/>
                <w:sz w:val="20"/>
                <w:lang w:val="en-US"/>
              </w:rPr>
              <w:t>Ruxolitinib</w:t>
            </w:r>
          </w:p>
          <w:p w14:paraId="6D752CA1" w14:textId="77777777" w:rsidR="008975CB" w:rsidRPr="008975CB" w:rsidRDefault="008975CB" w:rsidP="00C265A2">
            <w:pPr>
              <w:keepNext/>
              <w:keepLines/>
              <w:jc w:val="left"/>
              <w:rPr>
                <w:rFonts w:ascii="Arial Narrow" w:eastAsiaTheme="majorEastAsia" w:hAnsi="Arial Narrow" w:cs="Times New Roman"/>
                <w:b/>
                <w:sz w:val="20"/>
                <w:lang w:val="en-US"/>
              </w:rPr>
            </w:pPr>
            <w:r w:rsidRPr="008975CB">
              <w:rPr>
                <w:rFonts w:ascii="Arial Narrow" w:eastAsiaTheme="majorEastAsia" w:hAnsi="Arial Narrow" w:cs="Times New Roman"/>
                <w:b/>
                <w:sz w:val="20"/>
                <w:lang w:val="en-US"/>
              </w:rPr>
              <w:t>Model</w:t>
            </w:r>
          </w:p>
        </w:tc>
        <w:tc>
          <w:tcPr>
            <w:tcW w:w="551" w:type="pct"/>
            <w:shd w:val="clear" w:color="auto" w:fill="auto"/>
            <w:vAlign w:val="center"/>
          </w:tcPr>
          <w:p w14:paraId="433E1BA4" w14:textId="77777777" w:rsidR="008975CB" w:rsidRPr="008975CB" w:rsidRDefault="008975CB" w:rsidP="00C265A2">
            <w:pPr>
              <w:keepNext/>
              <w:keepLines/>
              <w:jc w:val="left"/>
              <w:rPr>
                <w:rFonts w:ascii="Arial Narrow" w:eastAsiaTheme="majorEastAsia" w:hAnsi="Arial Narrow" w:cs="Times New Roman"/>
                <w:b/>
                <w:sz w:val="20"/>
                <w:lang w:val="en-US"/>
              </w:rPr>
            </w:pPr>
            <w:r w:rsidRPr="008975CB">
              <w:rPr>
                <w:rFonts w:ascii="Arial Narrow" w:eastAsiaTheme="majorEastAsia" w:hAnsi="Arial Narrow" w:cs="Times New Roman"/>
                <w:b/>
                <w:sz w:val="20"/>
                <w:lang w:val="en-US"/>
              </w:rPr>
              <w:t>Ruxolitinib</w:t>
            </w:r>
          </w:p>
          <w:p w14:paraId="40B745DC" w14:textId="77777777" w:rsidR="008975CB" w:rsidRPr="008975CB" w:rsidRDefault="008975CB" w:rsidP="00C265A2">
            <w:pPr>
              <w:keepNext/>
              <w:keepLines/>
              <w:jc w:val="left"/>
              <w:rPr>
                <w:rFonts w:ascii="Arial Narrow" w:eastAsiaTheme="majorEastAsia" w:hAnsi="Arial Narrow" w:cs="Times New Roman"/>
                <w:b/>
                <w:sz w:val="20"/>
                <w:lang w:val="en-US"/>
              </w:rPr>
            </w:pPr>
            <w:r w:rsidRPr="008975CB">
              <w:rPr>
                <w:rFonts w:ascii="Arial Narrow" w:eastAsiaTheme="majorEastAsia" w:hAnsi="Arial Narrow" w:cs="Times New Roman"/>
                <w:b/>
                <w:sz w:val="20"/>
                <w:lang w:val="en-US"/>
              </w:rPr>
              <w:t>Financial estimates</w:t>
            </w:r>
          </w:p>
        </w:tc>
        <w:tc>
          <w:tcPr>
            <w:tcW w:w="696" w:type="pct"/>
            <w:shd w:val="clear" w:color="auto" w:fill="auto"/>
            <w:vAlign w:val="center"/>
          </w:tcPr>
          <w:p w14:paraId="51FFD63F" w14:textId="77777777" w:rsidR="008975CB" w:rsidRPr="008975CB" w:rsidRDefault="008975CB" w:rsidP="00C265A2">
            <w:pPr>
              <w:keepNext/>
              <w:keepLines/>
              <w:jc w:val="left"/>
              <w:rPr>
                <w:rFonts w:ascii="Arial Narrow" w:eastAsiaTheme="majorEastAsia" w:hAnsi="Arial Narrow" w:cs="Times New Roman"/>
                <w:b/>
                <w:sz w:val="20"/>
                <w:lang w:val="en-US"/>
              </w:rPr>
            </w:pPr>
            <w:r w:rsidRPr="008975CB">
              <w:rPr>
                <w:rFonts w:ascii="Arial Narrow" w:eastAsiaTheme="majorEastAsia" w:hAnsi="Arial Narrow" w:cs="Times New Roman"/>
                <w:b/>
                <w:sz w:val="20"/>
                <w:lang w:val="en-US"/>
              </w:rPr>
              <w:t>BAT</w:t>
            </w:r>
          </w:p>
          <w:p w14:paraId="5ECB1A1C" w14:textId="77777777" w:rsidR="008975CB" w:rsidRPr="008975CB" w:rsidRDefault="008975CB" w:rsidP="00C265A2">
            <w:pPr>
              <w:keepNext/>
              <w:keepLines/>
              <w:jc w:val="left"/>
              <w:rPr>
                <w:rFonts w:ascii="Arial Narrow" w:eastAsiaTheme="majorEastAsia" w:hAnsi="Arial Narrow" w:cs="Times New Roman"/>
                <w:b/>
                <w:sz w:val="20"/>
                <w:lang w:val="en-US"/>
              </w:rPr>
            </w:pPr>
            <w:r w:rsidRPr="008975CB">
              <w:rPr>
                <w:rFonts w:ascii="Arial Narrow" w:eastAsiaTheme="majorEastAsia" w:hAnsi="Arial Narrow" w:cs="Times New Roman"/>
                <w:b/>
                <w:sz w:val="20"/>
                <w:lang w:val="en-US"/>
              </w:rPr>
              <w:t>Trial dose and duration</w:t>
            </w:r>
          </w:p>
        </w:tc>
        <w:tc>
          <w:tcPr>
            <w:tcW w:w="876" w:type="pct"/>
            <w:shd w:val="clear" w:color="auto" w:fill="auto"/>
            <w:vAlign w:val="center"/>
          </w:tcPr>
          <w:p w14:paraId="30B57B3D" w14:textId="77777777" w:rsidR="008975CB" w:rsidRPr="008975CB" w:rsidRDefault="008975CB" w:rsidP="00C265A2">
            <w:pPr>
              <w:keepNext/>
              <w:keepLines/>
              <w:jc w:val="left"/>
              <w:rPr>
                <w:rFonts w:ascii="Arial Narrow" w:eastAsiaTheme="majorEastAsia" w:hAnsi="Arial Narrow" w:cs="Times New Roman"/>
                <w:b/>
                <w:sz w:val="20"/>
                <w:lang w:val="en-US"/>
              </w:rPr>
            </w:pPr>
            <w:r w:rsidRPr="008975CB">
              <w:rPr>
                <w:rFonts w:ascii="Arial Narrow" w:eastAsiaTheme="majorEastAsia" w:hAnsi="Arial Narrow" w:cs="Times New Roman"/>
                <w:b/>
                <w:sz w:val="20"/>
                <w:lang w:val="en-US"/>
              </w:rPr>
              <w:t>BAT</w:t>
            </w:r>
          </w:p>
          <w:p w14:paraId="3D45AF8C" w14:textId="77777777" w:rsidR="008975CB" w:rsidRPr="008975CB" w:rsidRDefault="008975CB" w:rsidP="00C265A2">
            <w:pPr>
              <w:keepNext/>
              <w:keepLines/>
              <w:jc w:val="left"/>
              <w:rPr>
                <w:rFonts w:ascii="Arial Narrow" w:eastAsiaTheme="majorEastAsia" w:hAnsi="Arial Narrow" w:cs="Times New Roman"/>
                <w:b/>
                <w:sz w:val="20"/>
                <w:lang w:val="en-US"/>
              </w:rPr>
            </w:pPr>
            <w:r w:rsidRPr="008975CB">
              <w:rPr>
                <w:rFonts w:ascii="Arial Narrow" w:eastAsiaTheme="majorEastAsia" w:hAnsi="Arial Narrow" w:cs="Times New Roman"/>
                <w:b/>
                <w:sz w:val="20"/>
                <w:lang w:val="en-US"/>
              </w:rPr>
              <w:t>Model</w:t>
            </w:r>
          </w:p>
        </w:tc>
        <w:tc>
          <w:tcPr>
            <w:tcW w:w="522" w:type="pct"/>
            <w:vAlign w:val="center"/>
          </w:tcPr>
          <w:p w14:paraId="356C6647" w14:textId="77777777" w:rsidR="008975CB" w:rsidRPr="008975CB" w:rsidRDefault="008975CB" w:rsidP="00C265A2">
            <w:pPr>
              <w:keepNext/>
              <w:keepLines/>
              <w:jc w:val="left"/>
              <w:rPr>
                <w:rFonts w:ascii="Arial Narrow" w:eastAsiaTheme="majorEastAsia" w:hAnsi="Arial Narrow" w:cs="Times New Roman"/>
                <w:b/>
                <w:sz w:val="20"/>
                <w:lang w:val="en-US"/>
              </w:rPr>
            </w:pPr>
            <w:r w:rsidRPr="008975CB">
              <w:rPr>
                <w:rFonts w:ascii="Arial Narrow" w:eastAsiaTheme="majorEastAsia" w:hAnsi="Arial Narrow" w:cs="Times New Roman"/>
                <w:b/>
                <w:sz w:val="20"/>
                <w:lang w:val="en-US"/>
              </w:rPr>
              <w:t>BAT Financial estimates</w:t>
            </w:r>
          </w:p>
        </w:tc>
      </w:tr>
      <w:tr w:rsidR="008975CB" w:rsidRPr="008975CB" w14:paraId="49267A7D" w14:textId="77777777" w:rsidTr="009A5180">
        <w:trPr>
          <w:cantSplit/>
          <w:jc w:val="center"/>
        </w:trPr>
        <w:tc>
          <w:tcPr>
            <w:tcW w:w="940" w:type="pct"/>
            <w:shd w:val="clear" w:color="auto" w:fill="auto"/>
            <w:vAlign w:val="center"/>
          </w:tcPr>
          <w:p w14:paraId="7ED4437E" w14:textId="77777777" w:rsidR="008975CB" w:rsidRPr="008975CB" w:rsidRDefault="008975CB" w:rsidP="00C265A2">
            <w:pPr>
              <w:keepNext/>
              <w:keepLines/>
              <w:jc w:val="left"/>
              <w:rPr>
                <w:rFonts w:ascii="Arial Narrow" w:eastAsiaTheme="majorEastAsia" w:hAnsi="Arial Narrow" w:cstheme="majorBidi"/>
                <w:bCs/>
                <w:sz w:val="20"/>
              </w:rPr>
            </w:pPr>
            <w:r w:rsidRPr="008975CB">
              <w:rPr>
                <w:rFonts w:ascii="Arial Narrow" w:eastAsiaTheme="majorEastAsia" w:hAnsi="Arial Narrow" w:cstheme="majorBidi"/>
                <w:bCs/>
                <w:sz w:val="20"/>
              </w:rPr>
              <w:t xml:space="preserve">Mean daily dose </w:t>
            </w:r>
          </w:p>
        </w:tc>
        <w:tc>
          <w:tcPr>
            <w:tcW w:w="786" w:type="pct"/>
            <w:shd w:val="clear" w:color="auto" w:fill="auto"/>
            <w:vAlign w:val="center"/>
          </w:tcPr>
          <w:p w14:paraId="302E263F" w14:textId="6152D1E3" w:rsidR="008975CB" w:rsidRPr="008975CB" w:rsidRDefault="008975CB" w:rsidP="00C265A2">
            <w:pPr>
              <w:keepNext/>
              <w:keepLines/>
              <w:jc w:val="center"/>
              <w:rPr>
                <w:rFonts w:ascii="Arial Narrow" w:eastAsiaTheme="majorEastAsia" w:hAnsi="Arial Narrow" w:cstheme="majorBidi"/>
                <w:sz w:val="20"/>
                <w:szCs w:val="20"/>
              </w:rPr>
            </w:pPr>
            <w:r w:rsidRPr="0F1D33A4">
              <w:rPr>
                <w:rFonts w:ascii="Arial Narrow" w:eastAsiaTheme="majorEastAsia" w:hAnsi="Arial Narrow" w:cstheme="majorBidi"/>
                <w:sz w:val="20"/>
                <w:szCs w:val="20"/>
              </w:rPr>
              <w:t>10 mg BD</w:t>
            </w:r>
            <w:r w:rsidR="00F73856">
              <w:rPr>
                <w:rFonts w:ascii="Arial Narrow" w:eastAsiaTheme="majorEastAsia" w:hAnsi="Arial Narrow" w:cstheme="majorBidi"/>
                <w:sz w:val="20"/>
                <w:szCs w:val="20"/>
              </w:rPr>
              <w:t xml:space="preserve"> </w:t>
            </w:r>
            <w:r w:rsidRPr="0F1D33A4">
              <w:rPr>
                <w:rFonts w:ascii="Arial Narrow" w:eastAsiaTheme="majorEastAsia" w:hAnsi="Arial Narrow" w:cstheme="majorBidi"/>
                <w:sz w:val="20"/>
                <w:szCs w:val="20"/>
                <w:vertAlign w:val="superscript"/>
              </w:rPr>
              <w:t>a</w:t>
            </w:r>
          </w:p>
        </w:tc>
        <w:tc>
          <w:tcPr>
            <w:tcW w:w="628" w:type="pct"/>
            <w:shd w:val="clear" w:color="auto" w:fill="auto"/>
            <w:vAlign w:val="center"/>
          </w:tcPr>
          <w:p w14:paraId="757E00E5" w14:textId="414AD3EC" w:rsidR="008975CB" w:rsidRPr="008975CB" w:rsidRDefault="008975CB" w:rsidP="00C265A2">
            <w:pPr>
              <w:keepNext/>
              <w:keepLines/>
              <w:jc w:val="center"/>
              <w:rPr>
                <w:rFonts w:ascii="Arial Narrow" w:eastAsiaTheme="majorEastAsia" w:hAnsi="Arial Narrow" w:cstheme="majorBidi"/>
                <w:sz w:val="20"/>
                <w:szCs w:val="20"/>
                <w:vertAlign w:val="superscript"/>
              </w:rPr>
            </w:pPr>
            <w:r w:rsidRPr="0F1D33A4">
              <w:rPr>
                <w:rFonts w:ascii="Arial Narrow" w:eastAsiaTheme="majorEastAsia" w:hAnsi="Arial Narrow" w:cstheme="majorBidi"/>
                <w:sz w:val="20"/>
                <w:szCs w:val="20"/>
              </w:rPr>
              <w:t>22.6 mg</w:t>
            </w:r>
            <w:r w:rsidR="00F73856">
              <w:rPr>
                <w:rFonts w:ascii="Arial Narrow" w:eastAsiaTheme="majorEastAsia" w:hAnsi="Arial Narrow" w:cstheme="majorBidi"/>
                <w:sz w:val="20"/>
                <w:szCs w:val="20"/>
              </w:rPr>
              <w:t xml:space="preserve"> </w:t>
            </w:r>
            <w:r w:rsidRPr="0F1D33A4">
              <w:rPr>
                <w:rFonts w:ascii="Arial Narrow" w:eastAsiaTheme="majorEastAsia" w:hAnsi="Arial Narrow" w:cstheme="majorBidi"/>
                <w:sz w:val="20"/>
                <w:szCs w:val="20"/>
                <w:vertAlign w:val="superscript"/>
              </w:rPr>
              <w:t>d</w:t>
            </w:r>
          </w:p>
        </w:tc>
        <w:tc>
          <w:tcPr>
            <w:tcW w:w="551" w:type="pct"/>
            <w:shd w:val="clear" w:color="auto" w:fill="auto"/>
            <w:vAlign w:val="center"/>
          </w:tcPr>
          <w:p w14:paraId="7DF5525D" w14:textId="77777777" w:rsidR="008975CB" w:rsidRPr="008975CB" w:rsidRDefault="008975CB" w:rsidP="00C265A2">
            <w:pPr>
              <w:keepNext/>
              <w:keepLines/>
              <w:jc w:val="center"/>
              <w:rPr>
                <w:rFonts w:ascii="Arial Narrow" w:eastAsiaTheme="majorEastAsia" w:hAnsi="Arial Narrow" w:cstheme="majorBidi"/>
                <w:b/>
                <w:bCs/>
                <w:sz w:val="20"/>
              </w:rPr>
            </w:pPr>
            <w:r w:rsidRPr="008975CB">
              <w:rPr>
                <w:rFonts w:ascii="Arial Narrow" w:eastAsiaTheme="majorEastAsia" w:hAnsi="Arial Narrow" w:cstheme="majorBidi"/>
                <w:bCs/>
                <w:sz w:val="20"/>
              </w:rPr>
              <w:t>NR</w:t>
            </w:r>
          </w:p>
        </w:tc>
        <w:tc>
          <w:tcPr>
            <w:tcW w:w="696" w:type="pct"/>
            <w:shd w:val="clear" w:color="auto" w:fill="auto"/>
            <w:vAlign w:val="center"/>
          </w:tcPr>
          <w:p w14:paraId="4765BFAF" w14:textId="77777777" w:rsidR="008975CB" w:rsidRPr="008975CB" w:rsidRDefault="008975CB" w:rsidP="00C265A2">
            <w:pPr>
              <w:keepNext/>
              <w:keepLines/>
              <w:jc w:val="center"/>
              <w:rPr>
                <w:rFonts w:ascii="Arial Narrow" w:eastAsiaTheme="majorEastAsia" w:hAnsi="Arial Narrow" w:cstheme="majorBidi"/>
                <w:b/>
                <w:bCs/>
                <w:sz w:val="20"/>
              </w:rPr>
            </w:pPr>
            <w:r w:rsidRPr="008975CB">
              <w:rPr>
                <w:rFonts w:ascii="Arial Narrow" w:eastAsiaTheme="majorEastAsia" w:hAnsi="Arial Narrow" w:cstheme="majorBidi"/>
                <w:bCs/>
                <w:sz w:val="20"/>
              </w:rPr>
              <w:t>NR</w:t>
            </w:r>
          </w:p>
        </w:tc>
        <w:tc>
          <w:tcPr>
            <w:tcW w:w="876" w:type="pct"/>
            <w:shd w:val="clear" w:color="auto" w:fill="auto"/>
            <w:vAlign w:val="center"/>
          </w:tcPr>
          <w:p w14:paraId="257766D5" w14:textId="77777777" w:rsidR="008975CB" w:rsidRPr="008975CB" w:rsidRDefault="008975CB" w:rsidP="00C265A2">
            <w:pPr>
              <w:keepNext/>
              <w:keepLines/>
              <w:jc w:val="center"/>
              <w:rPr>
                <w:rFonts w:ascii="Arial Narrow" w:eastAsiaTheme="majorEastAsia" w:hAnsi="Arial Narrow" w:cstheme="majorBidi"/>
                <w:sz w:val="20"/>
              </w:rPr>
            </w:pPr>
            <w:r w:rsidRPr="008975CB">
              <w:rPr>
                <w:rFonts w:ascii="Arial Narrow" w:eastAsiaTheme="majorEastAsia" w:hAnsi="Arial Narrow" w:cstheme="majorBidi"/>
                <w:sz w:val="20"/>
              </w:rPr>
              <w:t>IFN-alfa 6.42 mg</w:t>
            </w:r>
          </w:p>
          <w:p w14:paraId="70B0AD14" w14:textId="77777777" w:rsidR="008975CB" w:rsidRPr="008975CB" w:rsidRDefault="008975CB" w:rsidP="00C265A2">
            <w:pPr>
              <w:keepNext/>
              <w:keepLines/>
              <w:jc w:val="center"/>
              <w:rPr>
                <w:rFonts w:ascii="Arial Narrow" w:eastAsiaTheme="majorEastAsia" w:hAnsi="Arial Narrow" w:cstheme="majorBidi"/>
                <w:sz w:val="20"/>
              </w:rPr>
            </w:pPr>
            <w:r w:rsidRPr="008975CB">
              <w:rPr>
                <w:rFonts w:ascii="Arial Narrow" w:eastAsiaTheme="majorEastAsia" w:hAnsi="Arial Narrow" w:cstheme="majorBidi"/>
                <w:sz w:val="20"/>
              </w:rPr>
              <w:t>HC/HU 2,328 mg</w:t>
            </w:r>
          </w:p>
          <w:p w14:paraId="44ECBED8" w14:textId="6EB0D222" w:rsidR="008975CB" w:rsidRPr="008975CB" w:rsidRDefault="008975CB" w:rsidP="00C265A2">
            <w:pPr>
              <w:keepNext/>
              <w:keepLines/>
              <w:jc w:val="center"/>
              <w:rPr>
                <w:rFonts w:ascii="Arial Narrow" w:eastAsiaTheme="majorEastAsia" w:hAnsi="Arial Narrow" w:cstheme="majorBidi"/>
                <w:b/>
                <w:bCs/>
                <w:sz w:val="20"/>
                <w:szCs w:val="20"/>
              </w:rPr>
            </w:pPr>
            <w:r w:rsidRPr="0F1D33A4">
              <w:rPr>
                <w:rFonts w:ascii="Arial Narrow" w:eastAsiaTheme="majorEastAsia" w:hAnsi="Arial Narrow" w:cstheme="majorBidi"/>
                <w:sz w:val="20"/>
                <w:szCs w:val="20"/>
              </w:rPr>
              <w:t>Bulsulfan 1 mg</w:t>
            </w:r>
            <w:r w:rsidR="00F73856">
              <w:rPr>
                <w:rFonts w:ascii="Arial Narrow" w:eastAsiaTheme="majorEastAsia" w:hAnsi="Arial Narrow" w:cstheme="majorBidi"/>
                <w:sz w:val="20"/>
                <w:szCs w:val="20"/>
              </w:rPr>
              <w:t xml:space="preserve"> </w:t>
            </w:r>
            <w:r w:rsidRPr="0F1D33A4">
              <w:rPr>
                <w:rFonts w:ascii="Arial Narrow" w:eastAsiaTheme="majorEastAsia" w:hAnsi="Arial Narrow" w:cstheme="majorBidi"/>
                <w:sz w:val="20"/>
                <w:szCs w:val="20"/>
                <w:vertAlign w:val="superscript"/>
              </w:rPr>
              <w:t>h</w:t>
            </w:r>
          </w:p>
        </w:tc>
        <w:tc>
          <w:tcPr>
            <w:tcW w:w="522" w:type="pct"/>
            <w:vAlign w:val="center"/>
          </w:tcPr>
          <w:p w14:paraId="49623192" w14:textId="77777777" w:rsidR="008975CB" w:rsidRPr="008975CB" w:rsidRDefault="008975CB" w:rsidP="00C265A2">
            <w:pPr>
              <w:keepNext/>
              <w:keepLines/>
              <w:jc w:val="center"/>
              <w:rPr>
                <w:rFonts w:ascii="Arial Narrow" w:eastAsiaTheme="majorEastAsia" w:hAnsi="Arial Narrow" w:cstheme="majorBidi"/>
                <w:sz w:val="20"/>
              </w:rPr>
            </w:pPr>
          </w:p>
          <w:p w14:paraId="5714845B" w14:textId="77777777" w:rsidR="008975CB" w:rsidRPr="008975CB" w:rsidRDefault="008975CB" w:rsidP="00C265A2">
            <w:pPr>
              <w:keepNext/>
              <w:keepLines/>
              <w:jc w:val="center"/>
              <w:rPr>
                <w:rFonts w:ascii="Arial Narrow" w:eastAsiaTheme="majorEastAsia" w:hAnsi="Arial Narrow" w:cstheme="majorBidi"/>
                <w:bCs/>
                <w:sz w:val="20"/>
                <w:vertAlign w:val="superscript"/>
              </w:rPr>
            </w:pPr>
            <w:r w:rsidRPr="008975CB">
              <w:rPr>
                <w:rFonts w:ascii="Arial Narrow" w:eastAsiaTheme="majorEastAsia" w:hAnsi="Arial Narrow" w:cstheme="majorBidi"/>
                <w:bCs/>
                <w:sz w:val="20"/>
              </w:rPr>
              <w:t>NR</w:t>
            </w:r>
          </w:p>
        </w:tc>
      </w:tr>
      <w:tr w:rsidR="008975CB" w:rsidRPr="008975CB" w14:paraId="1B66E972" w14:textId="77777777" w:rsidTr="009A5180">
        <w:trPr>
          <w:cantSplit/>
          <w:jc w:val="center"/>
        </w:trPr>
        <w:tc>
          <w:tcPr>
            <w:tcW w:w="940" w:type="pct"/>
            <w:shd w:val="clear" w:color="auto" w:fill="auto"/>
            <w:vAlign w:val="center"/>
          </w:tcPr>
          <w:p w14:paraId="6435E8AC" w14:textId="77777777" w:rsidR="008975CB" w:rsidRPr="008975CB" w:rsidRDefault="008975CB" w:rsidP="00C265A2">
            <w:pPr>
              <w:keepNext/>
              <w:keepLines/>
              <w:jc w:val="left"/>
              <w:rPr>
                <w:rFonts w:ascii="Arial Narrow" w:eastAsiaTheme="majorEastAsia" w:hAnsi="Arial Narrow" w:cstheme="majorBidi"/>
                <w:bCs/>
                <w:sz w:val="20"/>
              </w:rPr>
            </w:pPr>
            <w:r w:rsidRPr="008975CB">
              <w:rPr>
                <w:rFonts w:ascii="Arial Narrow" w:eastAsiaTheme="majorEastAsia" w:hAnsi="Arial Narrow" w:cstheme="majorBidi"/>
                <w:bCs/>
                <w:sz w:val="20"/>
              </w:rPr>
              <w:t>Mean duration</w:t>
            </w:r>
          </w:p>
        </w:tc>
        <w:tc>
          <w:tcPr>
            <w:tcW w:w="786" w:type="pct"/>
            <w:shd w:val="clear" w:color="auto" w:fill="auto"/>
            <w:vAlign w:val="center"/>
          </w:tcPr>
          <w:p w14:paraId="032BF178" w14:textId="77777777" w:rsidR="008975CB" w:rsidRPr="008975CB" w:rsidRDefault="008975CB" w:rsidP="00C265A2">
            <w:pPr>
              <w:keepNext/>
              <w:keepLines/>
              <w:jc w:val="center"/>
              <w:rPr>
                <w:rFonts w:ascii="Arial Narrow" w:eastAsiaTheme="majorEastAsia" w:hAnsi="Arial Narrow" w:cstheme="majorBidi"/>
                <w:b/>
                <w:bCs/>
                <w:sz w:val="20"/>
              </w:rPr>
            </w:pPr>
            <w:r w:rsidRPr="008975CB">
              <w:rPr>
                <w:rFonts w:ascii="Arial Narrow" w:eastAsiaTheme="majorEastAsia" w:hAnsi="Arial Narrow" w:cstheme="majorBidi"/>
                <w:bCs/>
                <w:sz w:val="20"/>
              </w:rPr>
              <w:t>NR</w:t>
            </w:r>
          </w:p>
        </w:tc>
        <w:tc>
          <w:tcPr>
            <w:tcW w:w="628" w:type="pct"/>
            <w:shd w:val="clear" w:color="auto" w:fill="auto"/>
            <w:vAlign w:val="center"/>
          </w:tcPr>
          <w:p w14:paraId="47DB3A0C" w14:textId="61316ACF" w:rsidR="008975CB" w:rsidRPr="008975CB" w:rsidRDefault="008975CB" w:rsidP="00C265A2">
            <w:pPr>
              <w:keepNext/>
              <w:keepLines/>
              <w:jc w:val="center"/>
              <w:rPr>
                <w:rFonts w:ascii="Arial Narrow" w:eastAsiaTheme="majorEastAsia" w:hAnsi="Arial Narrow" w:cstheme="majorBidi"/>
                <w:sz w:val="20"/>
                <w:szCs w:val="20"/>
                <w:vertAlign w:val="superscript"/>
              </w:rPr>
            </w:pPr>
            <w:r w:rsidRPr="0F1D33A4">
              <w:rPr>
                <w:rFonts w:ascii="Arial Narrow" w:eastAsiaTheme="majorEastAsia" w:hAnsi="Arial Narrow" w:cstheme="majorBidi"/>
                <w:sz w:val="20"/>
                <w:szCs w:val="20"/>
              </w:rPr>
              <w:t>11.35 years</w:t>
            </w:r>
            <w:r w:rsidR="00F73856">
              <w:rPr>
                <w:rFonts w:ascii="Arial Narrow" w:eastAsiaTheme="majorEastAsia" w:hAnsi="Arial Narrow" w:cstheme="majorBidi"/>
                <w:sz w:val="20"/>
                <w:szCs w:val="20"/>
              </w:rPr>
              <w:t xml:space="preserve"> </w:t>
            </w:r>
            <w:r w:rsidRPr="0F1D33A4">
              <w:rPr>
                <w:rFonts w:ascii="Arial Narrow" w:eastAsiaTheme="majorEastAsia" w:hAnsi="Arial Narrow" w:cstheme="majorBidi"/>
                <w:sz w:val="20"/>
                <w:szCs w:val="20"/>
                <w:vertAlign w:val="superscript"/>
              </w:rPr>
              <w:t>e</w:t>
            </w:r>
          </w:p>
        </w:tc>
        <w:tc>
          <w:tcPr>
            <w:tcW w:w="551" w:type="pct"/>
            <w:shd w:val="clear" w:color="auto" w:fill="auto"/>
            <w:vAlign w:val="center"/>
          </w:tcPr>
          <w:p w14:paraId="404EB3B5" w14:textId="400A2B71" w:rsidR="008975CB" w:rsidRPr="008975CB" w:rsidRDefault="008975CB" w:rsidP="00C265A2">
            <w:pPr>
              <w:keepNext/>
              <w:keepLines/>
              <w:jc w:val="center"/>
              <w:rPr>
                <w:rFonts w:ascii="Arial Narrow" w:eastAsiaTheme="majorEastAsia" w:hAnsi="Arial Narrow" w:cstheme="majorBidi"/>
                <w:b/>
                <w:bCs/>
                <w:sz w:val="20"/>
                <w:szCs w:val="20"/>
                <w:vertAlign w:val="superscript"/>
              </w:rPr>
            </w:pPr>
            <w:r w:rsidRPr="0F1D33A4">
              <w:rPr>
                <w:rFonts w:ascii="Arial Narrow" w:eastAsiaTheme="majorEastAsia" w:hAnsi="Arial Narrow" w:cstheme="majorBidi"/>
                <w:sz w:val="20"/>
                <w:szCs w:val="20"/>
              </w:rPr>
              <w:t>NR</w:t>
            </w:r>
            <w:r w:rsidR="00F73856">
              <w:rPr>
                <w:rFonts w:ascii="Arial Narrow" w:eastAsiaTheme="majorEastAsia" w:hAnsi="Arial Narrow" w:cstheme="majorBidi"/>
                <w:sz w:val="20"/>
                <w:szCs w:val="20"/>
              </w:rPr>
              <w:t xml:space="preserve"> </w:t>
            </w:r>
            <w:r w:rsidRPr="0F1D33A4">
              <w:rPr>
                <w:rFonts w:ascii="Arial Narrow" w:eastAsiaTheme="majorEastAsia" w:hAnsi="Arial Narrow" w:cstheme="majorBidi"/>
                <w:sz w:val="20"/>
                <w:szCs w:val="20"/>
                <w:vertAlign w:val="superscript"/>
              </w:rPr>
              <w:t>g</w:t>
            </w:r>
          </w:p>
        </w:tc>
        <w:tc>
          <w:tcPr>
            <w:tcW w:w="696" w:type="pct"/>
            <w:shd w:val="clear" w:color="auto" w:fill="auto"/>
            <w:vAlign w:val="center"/>
          </w:tcPr>
          <w:p w14:paraId="2650ECF7" w14:textId="77777777" w:rsidR="008975CB" w:rsidRPr="008975CB" w:rsidRDefault="008975CB" w:rsidP="00C265A2">
            <w:pPr>
              <w:keepNext/>
              <w:keepLines/>
              <w:jc w:val="center"/>
              <w:rPr>
                <w:rFonts w:ascii="Arial Narrow" w:eastAsiaTheme="majorEastAsia" w:hAnsi="Arial Narrow" w:cstheme="majorBidi"/>
                <w:b/>
                <w:bCs/>
                <w:sz w:val="20"/>
              </w:rPr>
            </w:pPr>
            <w:r w:rsidRPr="008975CB">
              <w:rPr>
                <w:rFonts w:ascii="Arial Narrow" w:eastAsiaTheme="majorEastAsia" w:hAnsi="Arial Narrow" w:cstheme="majorBidi"/>
                <w:bCs/>
                <w:sz w:val="20"/>
              </w:rPr>
              <w:t>NR</w:t>
            </w:r>
          </w:p>
        </w:tc>
        <w:tc>
          <w:tcPr>
            <w:tcW w:w="876" w:type="pct"/>
            <w:shd w:val="clear" w:color="auto" w:fill="auto"/>
            <w:vAlign w:val="center"/>
          </w:tcPr>
          <w:p w14:paraId="099F7AC7" w14:textId="107A548C" w:rsidR="008975CB" w:rsidRPr="008975CB" w:rsidRDefault="008975CB" w:rsidP="00C265A2">
            <w:pPr>
              <w:keepNext/>
              <w:keepLines/>
              <w:jc w:val="center"/>
              <w:rPr>
                <w:rFonts w:ascii="Arial Narrow" w:eastAsiaTheme="majorEastAsia" w:hAnsi="Arial Narrow" w:cstheme="majorBidi"/>
                <w:sz w:val="20"/>
                <w:szCs w:val="20"/>
                <w:vertAlign w:val="superscript"/>
              </w:rPr>
            </w:pPr>
            <w:r w:rsidRPr="0F1D33A4">
              <w:rPr>
                <w:rFonts w:ascii="Arial Narrow" w:eastAsiaTheme="majorEastAsia" w:hAnsi="Arial Narrow" w:cstheme="majorBidi"/>
                <w:sz w:val="20"/>
                <w:szCs w:val="20"/>
              </w:rPr>
              <w:t>10.58 years</w:t>
            </w:r>
            <w:r w:rsidR="00F73856">
              <w:rPr>
                <w:rFonts w:ascii="Arial Narrow" w:eastAsiaTheme="majorEastAsia" w:hAnsi="Arial Narrow" w:cstheme="majorBidi"/>
                <w:sz w:val="20"/>
                <w:szCs w:val="20"/>
              </w:rPr>
              <w:t xml:space="preserve"> </w:t>
            </w:r>
            <w:r w:rsidRPr="0F1D33A4">
              <w:rPr>
                <w:rFonts w:ascii="Arial Narrow" w:eastAsiaTheme="majorEastAsia" w:hAnsi="Arial Narrow" w:cstheme="majorBidi"/>
                <w:sz w:val="20"/>
                <w:szCs w:val="20"/>
                <w:vertAlign w:val="superscript"/>
              </w:rPr>
              <w:t>e</w:t>
            </w:r>
          </w:p>
        </w:tc>
        <w:tc>
          <w:tcPr>
            <w:tcW w:w="522" w:type="pct"/>
            <w:vAlign w:val="center"/>
          </w:tcPr>
          <w:p w14:paraId="4635DCDD" w14:textId="77777777" w:rsidR="008975CB" w:rsidRPr="008975CB" w:rsidRDefault="008975CB" w:rsidP="00C265A2">
            <w:pPr>
              <w:keepNext/>
              <w:keepLines/>
              <w:jc w:val="center"/>
              <w:rPr>
                <w:rFonts w:ascii="Arial Narrow" w:eastAsiaTheme="majorEastAsia" w:hAnsi="Arial Narrow" w:cstheme="majorBidi"/>
                <w:b/>
                <w:bCs/>
                <w:sz w:val="20"/>
              </w:rPr>
            </w:pPr>
            <w:r w:rsidRPr="008975CB">
              <w:rPr>
                <w:rFonts w:ascii="Arial Narrow" w:eastAsiaTheme="majorEastAsia" w:hAnsi="Arial Narrow" w:cstheme="majorBidi"/>
                <w:bCs/>
                <w:sz w:val="20"/>
              </w:rPr>
              <w:t>NR</w:t>
            </w:r>
          </w:p>
        </w:tc>
      </w:tr>
      <w:tr w:rsidR="008975CB" w:rsidRPr="008975CB" w14:paraId="6B1EF831" w14:textId="77777777" w:rsidTr="009A5180">
        <w:trPr>
          <w:cantSplit/>
          <w:jc w:val="center"/>
        </w:trPr>
        <w:tc>
          <w:tcPr>
            <w:tcW w:w="940" w:type="pct"/>
            <w:shd w:val="clear" w:color="auto" w:fill="auto"/>
            <w:vAlign w:val="center"/>
          </w:tcPr>
          <w:p w14:paraId="5616881D" w14:textId="77777777" w:rsidR="008975CB" w:rsidRPr="008975CB" w:rsidRDefault="008975CB" w:rsidP="00C265A2">
            <w:pPr>
              <w:keepNext/>
              <w:keepLines/>
              <w:jc w:val="left"/>
              <w:rPr>
                <w:rFonts w:ascii="Arial Narrow" w:eastAsiaTheme="majorEastAsia" w:hAnsi="Arial Narrow" w:cstheme="majorBidi"/>
                <w:bCs/>
                <w:sz w:val="20"/>
              </w:rPr>
            </w:pPr>
            <w:r w:rsidRPr="008975CB">
              <w:rPr>
                <w:rFonts w:ascii="Arial Narrow" w:eastAsiaTheme="majorEastAsia" w:hAnsi="Arial Narrow" w:cstheme="majorBidi"/>
                <w:bCs/>
                <w:sz w:val="20"/>
              </w:rPr>
              <w:t>Cost/patient/month</w:t>
            </w:r>
          </w:p>
        </w:tc>
        <w:tc>
          <w:tcPr>
            <w:tcW w:w="786" w:type="pct"/>
            <w:shd w:val="clear" w:color="auto" w:fill="auto"/>
            <w:vAlign w:val="center"/>
          </w:tcPr>
          <w:p w14:paraId="3970A83D" w14:textId="22395A59" w:rsidR="008975CB" w:rsidRPr="008975CB" w:rsidRDefault="008975CB" w:rsidP="00C265A2">
            <w:pPr>
              <w:keepNext/>
              <w:keepLines/>
              <w:jc w:val="center"/>
              <w:rPr>
                <w:rFonts w:ascii="Arial Narrow" w:eastAsiaTheme="majorEastAsia" w:hAnsi="Arial Narrow" w:cstheme="majorBidi"/>
                <w:bCs/>
                <w:sz w:val="20"/>
              </w:rPr>
            </w:pPr>
            <w:r w:rsidRPr="008975CB">
              <w:rPr>
                <w:rFonts w:ascii="Arial Narrow" w:eastAsiaTheme="majorEastAsia" w:hAnsi="Arial Narrow" w:cstheme="majorBidi"/>
                <w:bCs/>
                <w:sz w:val="20"/>
              </w:rPr>
              <w:t>$</w:t>
            </w:r>
            <w:r w:rsidR="00A268DC" w:rsidRPr="00A268DC">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628" w:type="pct"/>
            <w:shd w:val="clear" w:color="auto" w:fill="auto"/>
            <w:vAlign w:val="center"/>
          </w:tcPr>
          <w:p w14:paraId="31F2EE9F" w14:textId="7C7CB3EE" w:rsidR="008975CB" w:rsidRPr="008975CB" w:rsidRDefault="008975CB" w:rsidP="00C265A2">
            <w:pPr>
              <w:keepNext/>
              <w:keepLines/>
              <w:jc w:val="center"/>
              <w:rPr>
                <w:rFonts w:ascii="Arial Narrow" w:eastAsiaTheme="majorEastAsia" w:hAnsi="Arial Narrow" w:cstheme="majorBidi"/>
                <w:bCs/>
                <w:sz w:val="20"/>
                <w:vertAlign w:val="superscript"/>
              </w:rPr>
            </w:pPr>
            <w:r w:rsidRPr="008975CB">
              <w:rPr>
                <w:rFonts w:ascii="Arial Narrow" w:eastAsiaTheme="majorEastAsia" w:hAnsi="Arial Narrow" w:cstheme="majorBidi"/>
                <w:bCs/>
                <w:sz w:val="20"/>
              </w:rPr>
              <w:t>$</w:t>
            </w:r>
            <w:r w:rsidR="00A268DC" w:rsidRPr="00A268DC">
              <w:rPr>
                <w:rFonts w:ascii="Arial Narrow" w:eastAsiaTheme="majorEastAsia" w:hAnsi="Arial Narrow" w:cstheme="majorBidi" w:hint="eastAsia"/>
                <w:bCs/>
                <w:color w:val="000000"/>
                <w:w w:val="15"/>
                <w:sz w:val="20"/>
                <w:shd w:val="solid" w:color="000000" w:fill="000000"/>
                <w:fitText w:val="70" w:id="-694973426"/>
                <w14:textFill>
                  <w14:solidFill>
                    <w14:srgbClr w14:val="000000">
                      <w14:alpha w14:val="100000"/>
                    </w14:srgbClr>
                  </w14:solidFill>
                </w14:textFill>
              </w:rPr>
              <w:t xml:space="preserve">　</w:t>
            </w:r>
            <w:r w:rsidR="00A268DC" w:rsidRPr="00A268DC">
              <w:rPr>
                <w:rFonts w:ascii="Arial Narrow" w:eastAsiaTheme="majorEastAsia" w:hAnsi="Arial Narrow" w:cstheme="majorBidi"/>
                <w:bCs/>
                <w:color w:val="000000"/>
                <w:w w:val="15"/>
                <w:sz w:val="20"/>
                <w:shd w:val="solid" w:color="000000" w:fill="000000"/>
                <w:fitText w:val="70" w:id="-694973426"/>
                <w14:textFill>
                  <w14:solidFill>
                    <w14:srgbClr w14:val="000000">
                      <w14:alpha w14:val="100000"/>
                    </w14:srgbClr>
                  </w14:solidFill>
                </w14:textFill>
              </w:rPr>
              <w:t>|</w:t>
            </w:r>
            <w:r w:rsidR="00A268DC" w:rsidRPr="00A268DC">
              <w:rPr>
                <w:rFonts w:ascii="Arial Narrow" w:eastAsiaTheme="majorEastAsia" w:hAnsi="Arial Narrow" w:cstheme="majorBidi" w:hint="eastAsia"/>
                <w:bCs/>
                <w:color w:val="000000"/>
                <w:spacing w:val="4"/>
                <w:w w:val="15"/>
                <w:sz w:val="20"/>
                <w:shd w:val="solid" w:color="000000" w:fill="000000"/>
                <w:fitText w:val="70" w:id="-694973426"/>
                <w14:textFill>
                  <w14:solidFill>
                    <w14:srgbClr w14:val="000000">
                      <w14:alpha w14:val="100000"/>
                    </w14:srgbClr>
                  </w14:solidFill>
                </w14:textFill>
              </w:rPr>
              <w:t xml:space="preserve">　</w:t>
            </w:r>
            <w:r w:rsidRPr="008975CB">
              <w:rPr>
                <w:rFonts w:ascii="Arial Narrow" w:eastAsiaTheme="majorEastAsia" w:hAnsi="Arial Narrow" w:cstheme="majorBidi"/>
                <w:bCs/>
                <w:sz w:val="20"/>
                <w:vertAlign w:val="superscript"/>
              </w:rPr>
              <w:t>f</w:t>
            </w:r>
          </w:p>
        </w:tc>
        <w:tc>
          <w:tcPr>
            <w:tcW w:w="551" w:type="pct"/>
            <w:shd w:val="clear" w:color="auto" w:fill="auto"/>
            <w:vAlign w:val="center"/>
          </w:tcPr>
          <w:p w14:paraId="4FB92805" w14:textId="7B11FDE2" w:rsidR="008975CB" w:rsidRPr="008975CB" w:rsidRDefault="008975CB" w:rsidP="00C265A2">
            <w:pPr>
              <w:keepNext/>
              <w:keepLines/>
              <w:jc w:val="center"/>
              <w:rPr>
                <w:rFonts w:ascii="Arial Narrow" w:eastAsiaTheme="majorEastAsia" w:hAnsi="Arial Narrow" w:cstheme="majorBidi"/>
                <w:bCs/>
                <w:sz w:val="20"/>
              </w:rPr>
            </w:pPr>
            <w:r w:rsidRPr="008975CB">
              <w:rPr>
                <w:rFonts w:ascii="Arial Narrow" w:eastAsiaTheme="majorEastAsia" w:hAnsi="Arial Narrow" w:cstheme="majorBidi"/>
                <w:bCs/>
                <w:sz w:val="20"/>
              </w:rPr>
              <w:t>$</w:t>
            </w:r>
            <w:r w:rsidR="00A268DC" w:rsidRPr="00A268DC">
              <w:rPr>
                <w:rFonts w:ascii="Arial Narrow" w:eastAsiaTheme="majorEastAsia" w:hAnsi="Arial Narrow" w:cstheme="majorBidi" w:hint="eastAsia"/>
                <w:bCs/>
                <w:color w:val="000000"/>
                <w:w w:val="31"/>
                <w:sz w:val="20"/>
                <w:shd w:val="solid" w:color="000000" w:fill="000000"/>
                <w:fitText w:val="140" w:id="-694973425"/>
                <w14:textFill>
                  <w14:solidFill>
                    <w14:srgbClr w14:val="000000">
                      <w14:alpha w14:val="100000"/>
                    </w14:srgbClr>
                  </w14:solidFill>
                </w14:textFill>
              </w:rPr>
              <w:t xml:space="preserve">　</w:t>
            </w:r>
            <w:r w:rsidR="00A268DC" w:rsidRPr="00A268DC">
              <w:rPr>
                <w:rFonts w:ascii="Arial Narrow" w:eastAsiaTheme="majorEastAsia" w:hAnsi="Arial Narrow" w:cstheme="majorBidi"/>
                <w:bCs/>
                <w:color w:val="000000"/>
                <w:w w:val="31"/>
                <w:sz w:val="20"/>
                <w:shd w:val="solid" w:color="000000" w:fill="000000"/>
                <w:fitText w:val="140" w:id="-694973425"/>
                <w14:textFill>
                  <w14:solidFill>
                    <w14:srgbClr w14:val="000000">
                      <w14:alpha w14:val="100000"/>
                    </w14:srgbClr>
                  </w14:solidFill>
                </w14:textFill>
              </w:rPr>
              <w:t>|</w:t>
            </w:r>
            <w:r w:rsidR="00A268DC" w:rsidRPr="00A268DC">
              <w:rPr>
                <w:rFonts w:ascii="Arial Narrow" w:eastAsiaTheme="majorEastAsia" w:hAnsi="Arial Narrow" w:cstheme="majorBidi" w:hint="eastAsia"/>
                <w:bCs/>
                <w:color w:val="000000"/>
                <w:w w:val="31"/>
                <w:sz w:val="20"/>
                <w:shd w:val="solid" w:color="000000" w:fill="000000"/>
                <w:fitText w:val="140" w:id="-694973425"/>
                <w14:textFill>
                  <w14:solidFill>
                    <w14:srgbClr w14:val="000000">
                      <w14:alpha w14:val="100000"/>
                    </w14:srgbClr>
                  </w14:solidFill>
                </w14:textFill>
              </w:rPr>
              <w:t xml:space="preserve">　</w:t>
            </w:r>
            <w:r w:rsidRPr="008975CB">
              <w:rPr>
                <w:rFonts w:ascii="Arial Narrow" w:eastAsiaTheme="majorEastAsia" w:hAnsi="Arial Narrow" w:cstheme="majorBidi"/>
                <w:bCs/>
                <w:sz w:val="20"/>
                <w:vertAlign w:val="superscript"/>
              </w:rPr>
              <w:t>b</w:t>
            </w:r>
          </w:p>
        </w:tc>
        <w:tc>
          <w:tcPr>
            <w:tcW w:w="696" w:type="pct"/>
            <w:shd w:val="clear" w:color="auto" w:fill="auto"/>
            <w:vAlign w:val="center"/>
          </w:tcPr>
          <w:p w14:paraId="0D4134FE" w14:textId="77777777" w:rsidR="008975CB" w:rsidRPr="008975CB" w:rsidRDefault="008975CB" w:rsidP="00C265A2">
            <w:pPr>
              <w:keepNext/>
              <w:keepLines/>
              <w:jc w:val="center"/>
              <w:rPr>
                <w:rFonts w:ascii="Arial Narrow" w:eastAsiaTheme="majorEastAsia" w:hAnsi="Arial Narrow" w:cstheme="majorBidi"/>
                <w:bCs/>
                <w:sz w:val="20"/>
              </w:rPr>
            </w:pPr>
            <w:r w:rsidRPr="008975CB">
              <w:rPr>
                <w:rFonts w:ascii="Arial Narrow" w:eastAsiaTheme="majorEastAsia" w:hAnsi="Arial Narrow" w:cstheme="majorBidi"/>
                <w:bCs/>
                <w:sz w:val="20"/>
              </w:rPr>
              <w:t>NR</w:t>
            </w:r>
          </w:p>
        </w:tc>
        <w:tc>
          <w:tcPr>
            <w:tcW w:w="876" w:type="pct"/>
            <w:shd w:val="clear" w:color="auto" w:fill="auto"/>
            <w:vAlign w:val="center"/>
          </w:tcPr>
          <w:p w14:paraId="199A9A57" w14:textId="77777777" w:rsidR="008975CB" w:rsidRPr="008975CB" w:rsidRDefault="008975CB" w:rsidP="00C265A2">
            <w:pPr>
              <w:keepNext/>
              <w:keepLines/>
              <w:jc w:val="center"/>
              <w:rPr>
                <w:rFonts w:ascii="Arial Narrow" w:eastAsiaTheme="majorEastAsia" w:hAnsi="Arial Narrow" w:cstheme="majorBidi"/>
                <w:bCs/>
                <w:sz w:val="20"/>
                <w:vertAlign w:val="superscript"/>
              </w:rPr>
            </w:pPr>
            <w:r w:rsidRPr="008975CB">
              <w:rPr>
                <w:rFonts w:ascii="Arial Narrow" w:eastAsiaTheme="majorEastAsia" w:hAnsi="Arial Narrow" w:cstheme="majorBidi"/>
                <w:bCs/>
                <w:sz w:val="20"/>
              </w:rPr>
              <w:t>$371</w:t>
            </w:r>
            <w:r w:rsidRPr="008975CB">
              <w:rPr>
                <w:rFonts w:ascii="Arial Narrow" w:eastAsiaTheme="majorEastAsia" w:hAnsi="Arial Narrow" w:cstheme="majorBidi"/>
                <w:bCs/>
                <w:sz w:val="20"/>
                <w:vertAlign w:val="superscript"/>
              </w:rPr>
              <w:t>i</w:t>
            </w:r>
          </w:p>
        </w:tc>
        <w:tc>
          <w:tcPr>
            <w:tcW w:w="522" w:type="pct"/>
            <w:vAlign w:val="center"/>
          </w:tcPr>
          <w:p w14:paraId="5B1FB992" w14:textId="77777777" w:rsidR="008975CB" w:rsidRPr="008975CB" w:rsidRDefault="008975CB" w:rsidP="00C265A2">
            <w:pPr>
              <w:keepNext/>
              <w:keepLines/>
              <w:jc w:val="center"/>
              <w:rPr>
                <w:rFonts w:ascii="Arial Narrow" w:eastAsiaTheme="majorEastAsia" w:hAnsi="Arial Narrow" w:cstheme="majorBidi"/>
                <w:bCs/>
                <w:sz w:val="20"/>
              </w:rPr>
            </w:pPr>
            <w:r w:rsidRPr="008975CB">
              <w:rPr>
                <w:rFonts w:ascii="Arial Narrow" w:eastAsiaTheme="majorEastAsia" w:hAnsi="Arial Narrow" w:cstheme="majorBidi"/>
                <w:bCs/>
                <w:sz w:val="20"/>
              </w:rPr>
              <w:t>$184</w:t>
            </w:r>
            <w:r w:rsidRPr="008975CB">
              <w:rPr>
                <w:rFonts w:ascii="Arial Narrow" w:eastAsiaTheme="majorEastAsia" w:hAnsi="Arial Narrow" w:cstheme="majorBidi"/>
                <w:bCs/>
                <w:sz w:val="20"/>
                <w:vertAlign w:val="superscript"/>
              </w:rPr>
              <w:t>j</w:t>
            </w:r>
          </w:p>
        </w:tc>
      </w:tr>
      <w:tr w:rsidR="008975CB" w:rsidRPr="008975CB" w14:paraId="167ADCA5" w14:textId="77777777" w:rsidTr="009A5180">
        <w:trPr>
          <w:cantSplit/>
          <w:jc w:val="center"/>
        </w:trPr>
        <w:tc>
          <w:tcPr>
            <w:tcW w:w="940" w:type="pct"/>
            <w:shd w:val="clear" w:color="auto" w:fill="auto"/>
            <w:vAlign w:val="center"/>
          </w:tcPr>
          <w:p w14:paraId="1E246E0F" w14:textId="77777777" w:rsidR="008975CB" w:rsidRPr="008975CB" w:rsidRDefault="008975CB" w:rsidP="00C265A2">
            <w:pPr>
              <w:keepNext/>
              <w:keepLines/>
              <w:jc w:val="left"/>
              <w:rPr>
                <w:rFonts w:ascii="Arial Narrow" w:eastAsiaTheme="majorEastAsia" w:hAnsi="Arial Narrow" w:cstheme="majorBidi"/>
                <w:bCs/>
                <w:sz w:val="20"/>
              </w:rPr>
            </w:pPr>
            <w:r w:rsidRPr="008975CB">
              <w:rPr>
                <w:rFonts w:ascii="Arial Narrow" w:eastAsiaTheme="majorEastAsia" w:hAnsi="Arial Narrow" w:cstheme="majorBidi"/>
                <w:bCs/>
                <w:sz w:val="20"/>
              </w:rPr>
              <w:t xml:space="preserve">Cost/patient/year </w:t>
            </w:r>
          </w:p>
        </w:tc>
        <w:tc>
          <w:tcPr>
            <w:tcW w:w="786" w:type="pct"/>
            <w:shd w:val="clear" w:color="auto" w:fill="auto"/>
            <w:vAlign w:val="center"/>
          </w:tcPr>
          <w:p w14:paraId="769EEB78" w14:textId="62B07061" w:rsidR="008975CB" w:rsidRPr="008975CB" w:rsidRDefault="008975CB" w:rsidP="00C265A2">
            <w:pPr>
              <w:keepNext/>
              <w:keepLines/>
              <w:jc w:val="center"/>
              <w:rPr>
                <w:rFonts w:ascii="Arial Narrow" w:eastAsiaTheme="majorEastAsia" w:hAnsi="Arial Narrow" w:cstheme="majorBidi"/>
                <w:sz w:val="20"/>
                <w:szCs w:val="20"/>
              </w:rPr>
            </w:pPr>
            <w:r w:rsidRPr="0F1D33A4">
              <w:rPr>
                <w:rFonts w:ascii="Arial Narrow" w:eastAsiaTheme="majorEastAsia" w:hAnsi="Arial Narrow" w:cstheme="majorBidi"/>
                <w:sz w:val="20"/>
                <w:szCs w:val="20"/>
              </w:rPr>
              <w:t>$</w:t>
            </w:r>
            <w:r w:rsidR="00A268DC" w:rsidRPr="00A268DC">
              <w:rPr>
                <w:rFonts w:ascii="Arial Narrow" w:eastAsiaTheme="majorEastAsia" w:hAnsi="Arial Narrow" w:cstheme="majorBidi"/>
                <w:color w:val="000000"/>
                <w:sz w:val="20"/>
                <w:szCs w:val="20"/>
                <w:shd w:val="solid" w:color="000000" w:fill="000000"/>
                <w14:textFill>
                  <w14:solidFill>
                    <w14:srgbClr w14:val="000000">
                      <w14:alpha w14:val="100000"/>
                    </w14:srgbClr>
                  </w14:solidFill>
                </w14:textFill>
              </w:rPr>
              <w:t>|</w:t>
            </w:r>
            <w:r w:rsidRPr="0F1D33A4">
              <w:rPr>
                <w:rFonts w:ascii="Arial Narrow" w:eastAsiaTheme="majorEastAsia" w:hAnsi="Arial Narrow" w:cstheme="majorBidi"/>
                <w:sz w:val="20"/>
                <w:szCs w:val="20"/>
                <w:vertAlign w:val="superscript"/>
              </w:rPr>
              <w:t>c</w:t>
            </w:r>
            <w:r w:rsidR="006F6B99" w:rsidRPr="0F1D33A4">
              <w:rPr>
                <w:rFonts w:ascii="Arial Narrow" w:eastAsiaTheme="majorEastAsia" w:hAnsi="Arial Narrow" w:cstheme="majorBidi"/>
                <w:sz w:val="20"/>
                <w:szCs w:val="20"/>
                <w:vertAlign w:val="superscript"/>
              </w:rPr>
              <w:t>,l</w:t>
            </w:r>
          </w:p>
        </w:tc>
        <w:tc>
          <w:tcPr>
            <w:tcW w:w="628" w:type="pct"/>
            <w:shd w:val="clear" w:color="auto" w:fill="auto"/>
            <w:vAlign w:val="center"/>
          </w:tcPr>
          <w:p w14:paraId="49BC595F" w14:textId="635BEACA" w:rsidR="008975CB" w:rsidRPr="008975CB" w:rsidRDefault="008975CB" w:rsidP="00C265A2">
            <w:pPr>
              <w:keepNext/>
              <w:keepLines/>
              <w:jc w:val="center"/>
              <w:rPr>
                <w:rFonts w:ascii="Arial Narrow" w:eastAsiaTheme="majorEastAsia" w:hAnsi="Arial Narrow" w:cstheme="majorBidi"/>
                <w:bCs/>
                <w:sz w:val="20"/>
              </w:rPr>
            </w:pPr>
            <w:r w:rsidRPr="008975CB">
              <w:rPr>
                <w:rFonts w:ascii="Arial Narrow" w:eastAsiaTheme="majorEastAsia" w:hAnsi="Arial Narrow" w:cstheme="majorBidi"/>
                <w:bCs/>
                <w:sz w:val="20"/>
              </w:rPr>
              <w:t>$</w:t>
            </w:r>
            <w:r w:rsidR="00A268DC" w:rsidRPr="00A268DC">
              <w:rPr>
                <w:rFonts w:ascii="Arial Narrow" w:eastAsiaTheme="majorEastAsia" w:hAnsi="Arial Narrow" w:cstheme="majorBidi" w:hint="eastAsia"/>
                <w:bCs/>
                <w:color w:val="000000"/>
                <w:w w:val="15"/>
                <w:sz w:val="20"/>
                <w:shd w:val="solid" w:color="000000" w:fill="000000"/>
                <w:fitText w:val="60" w:id="-694973424"/>
                <w14:textFill>
                  <w14:solidFill>
                    <w14:srgbClr w14:val="000000">
                      <w14:alpha w14:val="100000"/>
                    </w14:srgbClr>
                  </w14:solidFill>
                </w14:textFill>
              </w:rPr>
              <w:t xml:space="preserve">　</w:t>
            </w:r>
            <w:r w:rsidR="00A268DC" w:rsidRPr="00A268DC">
              <w:rPr>
                <w:rFonts w:ascii="Arial Narrow" w:eastAsiaTheme="majorEastAsia" w:hAnsi="Arial Narrow" w:cstheme="majorBidi"/>
                <w:bCs/>
                <w:color w:val="000000"/>
                <w:w w:val="15"/>
                <w:sz w:val="20"/>
                <w:shd w:val="solid" w:color="000000" w:fill="000000"/>
                <w:fitText w:val="60" w:id="-694973424"/>
                <w14:textFill>
                  <w14:solidFill>
                    <w14:srgbClr w14:val="000000">
                      <w14:alpha w14:val="100000"/>
                    </w14:srgbClr>
                  </w14:solidFill>
                </w14:textFill>
              </w:rPr>
              <w:t>|</w:t>
            </w:r>
            <w:r w:rsidR="00A268DC" w:rsidRPr="00A268DC">
              <w:rPr>
                <w:rFonts w:ascii="Arial Narrow" w:eastAsiaTheme="majorEastAsia" w:hAnsi="Arial Narrow" w:cstheme="majorBidi" w:hint="eastAsia"/>
                <w:bCs/>
                <w:color w:val="000000"/>
                <w:spacing w:val="-5"/>
                <w:w w:val="15"/>
                <w:sz w:val="20"/>
                <w:shd w:val="solid" w:color="000000" w:fill="000000"/>
                <w:fitText w:val="60" w:id="-694973424"/>
                <w14:textFill>
                  <w14:solidFill>
                    <w14:srgbClr w14:val="000000">
                      <w14:alpha w14:val="100000"/>
                    </w14:srgbClr>
                  </w14:solidFill>
                </w14:textFill>
              </w:rPr>
              <w:t xml:space="preserve">　</w:t>
            </w:r>
          </w:p>
        </w:tc>
        <w:tc>
          <w:tcPr>
            <w:tcW w:w="551" w:type="pct"/>
            <w:shd w:val="clear" w:color="auto" w:fill="auto"/>
            <w:vAlign w:val="center"/>
          </w:tcPr>
          <w:p w14:paraId="59BD783D" w14:textId="26DA9AF7" w:rsidR="008975CB" w:rsidRPr="008975CB" w:rsidRDefault="008975CB" w:rsidP="00C265A2">
            <w:pPr>
              <w:keepNext/>
              <w:keepLines/>
              <w:jc w:val="center"/>
              <w:rPr>
                <w:rFonts w:ascii="Arial Narrow" w:eastAsiaTheme="majorEastAsia" w:hAnsi="Arial Narrow" w:cstheme="majorBidi"/>
                <w:sz w:val="20"/>
                <w:szCs w:val="20"/>
                <w:vertAlign w:val="superscript"/>
              </w:rPr>
            </w:pPr>
            <w:r w:rsidRPr="0F1D33A4">
              <w:rPr>
                <w:rFonts w:ascii="Arial Narrow" w:eastAsiaTheme="majorEastAsia" w:hAnsi="Arial Narrow" w:cstheme="majorBidi"/>
                <w:sz w:val="20"/>
                <w:szCs w:val="20"/>
              </w:rPr>
              <w:t>$</w:t>
            </w:r>
            <w:r w:rsidR="00A268DC" w:rsidRPr="00F73856">
              <w:rPr>
                <w:rFonts w:ascii="Arial Narrow" w:eastAsiaTheme="majorEastAsia" w:hAnsi="Arial Narrow" w:cstheme="majorBidi"/>
                <w:color w:val="000000"/>
                <w:spacing w:val="94"/>
                <w:sz w:val="20"/>
                <w:szCs w:val="20"/>
                <w:shd w:val="solid" w:color="000000" w:fill="000000"/>
                <w:fitText w:val="180" w:id="-694973440"/>
                <w14:textFill>
                  <w14:solidFill>
                    <w14:srgbClr w14:val="000000">
                      <w14:alpha w14:val="100000"/>
                    </w14:srgbClr>
                  </w14:solidFill>
                </w14:textFill>
              </w:rPr>
              <w:t>|</w:t>
            </w:r>
            <w:r w:rsidR="00A268DC" w:rsidRPr="00F73856">
              <w:rPr>
                <w:rFonts w:ascii="Arial Narrow" w:eastAsiaTheme="majorEastAsia" w:hAnsi="Arial Narrow" w:cstheme="majorBidi"/>
                <w:color w:val="000000"/>
                <w:sz w:val="20"/>
                <w:szCs w:val="20"/>
                <w:shd w:val="solid" w:color="000000" w:fill="000000"/>
                <w:fitText w:val="180" w:id="-694973440"/>
                <w14:textFill>
                  <w14:solidFill>
                    <w14:srgbClr w14:val="000000">
                      <w14:alpha w14:val="100000"/>
                    </w14:srgbClr>
                  </w14:solidFill>
                </w14:textFill>
              </w:rPr>
              <w:t>|</w:t>
            </w:r>
            <w:r w:rsidRPr="0F1D33A4">
              <w:rPr>
                <w:rFonts w:ascii="Arial Narrow" w:eastAsiaTheme="majorEastAsia" w:hAnsi="Arial Narrow" w:cstheme="majorBidi"/>
                <w:sz w:val="20"/>
                <w:szCs w:val="20"/>
                <w:vertAlign w:val="superscript"/>
              </w:rPr>
              <w:t>c</w:t>
            </w:r>
            <w:r w:rsidR="00E20D9F" w:rsidRPr="0F1D33A4">
              <w:rPr>
                <w:rFonts w:ascii="Arial Narrow" w:eastAsiaTheme="majorEastAsia" w:hAnsi="Arial Narrow" w:cstheme="majorBidi"/>
                <w:sz w:val="20"/>
                <w:szCs w:val="20"/>
                <w:vertAlign w:val="superscript"/>
              </w:rPr>
              <w:t>,</w:t>
            </w:r>
            <w:r w:rsidR="00F73856">
              <w:rPr>
                <w:rFonts w:ascii="Arial Narrow" w:eastAsiaTheme="majorEastAsia" w:hAnsi="Arial Narrow" w:cstheme="majorBidi"/>
                <w:sz w:val="20"/>
                <w:szCs w:val="20"/>
                <w:vertAlign w:val="superscript"/>
              </w:rPr>
              <w:t xml:space="preserve"> </w:t>
            </w:r>
            <w:r w:rsidR="00E20D9F" w:rsidRPr="0F1D33A4">
              <w:rPr>
                <w:rFonts w:ascii="Arial Narrow" w:eastAsiaTheme="majorEastAsia" w:hAnsi="Arial Narrow" w:cstheme="majorBidi"/>
                <w:sz w:val="20"/>
                <w:szCs w:val="20"/>
                <w:vertAlign w:val="superscript"/>
              </w:rPr>
              <w:t>l</w:t>
            </w:r>
          </w:p>
        </w:tc>
        <w:tc>
          <w:tcPr>
            <w:tcW w:w="696" w:type="pct"/>
            <w:shd w:val="clear" w:color="auto" w:fill="auto"/>
            <w:vAlign w:val="center"/>
          </w:tcPr>
          <w:p w14:paraId="54BA971F" w14:textId="77777777" w:rsidR="008975CB" w:rsidRPr="008975CB" w:rsidRDefault="008975CB" w:rsidP="00C265A2">
            <w:pPr>
              <w:keepNext/>
              <w:keepLines/>
              <w:jc w:val="center"/>
              <w:rPr>
                <w:rFonts w:ascii="Arial Narrow" w:eastAsiaTheme="majorEastAsia" w:hAnsi="Arial Narrow" w:cstheme="majorBidi"/>
                <w:bCs/>
                <w:sz w:val="20"/>
              </w:rPr>
            </w:pPr>
            <w:r w:rsidRPr="008975CB">
              <w:rPr>
                <w:rFonts w:ascii="Arial Narrow" w:eastAsiaTheme="majorEastAsia" w:hAnsi="Arial Narrow" w:cstheme="majorBidi"/>
                <w:bCs/>
                <w:sz w:val="20"/>
              </w:rPr>
              <w:t>NR</w:t>
            </w:r>
          </w:p>
        </w:tc>
        <w:tc>
          <w:tcPr>
            <w:tcW w:w="876" w:type="pct"/>
            <w:shd w:val="clear" w:color="auto" w:fill="auto"/>
            <w:vAlign w:val="center"/>
          </w:tcPr>
          <w:p w14:paraId="15446DBC" w14:textId="77777777" w:rsidR="008975CB" w:rsidRPr="008975CB" w:rsidRDefault="008975CB" w:rsidP="00C265A2">
            <w:pPr>
              <w:keepNext/>
              <w:keepLines/>
              <w:jc w:val="center"/>
              <w:rPr>
                <w:rFonts w:ascii="Arial Narrow" w:eastAsiaTheme="majorEastAsia" w:hAnsi="Arial Narrow" w:cstheme="majorBidi"/>
                <w:bCs/>
                <w:sz w:val="20"/>
              </w:rPr>
            </w:pPr>
            <w:r w:rsidRPr="008975CB">
              <w:rPr>
                <w:rFonts w:ascii="Arial Narrow" w:eastAsiaTheme="majorEastAsia" w:hAnsi="Arial Narrow" w:cstheme="majorBidi"/>
                <w:bCs/>
                <w:sz w:val="20"/>
              </w:rPr>
              <w:t>$4,448</w:t>
            </w:r>
          </w:p>
        </w:tc>
        <w:tc>
          <w:tcPr>
            <w:tcW w:w="522" w:type="pct"/>
            <w:vAlign w:val="center"/>
          </w:tcPr>
          <w:p w14:paraId="7D32873B" w14:textId="77777777" w:rsidR="008975CB" w:rsidRPr="008975CB" w:rsidRDefault="008975CB" w:rsidP="00C265A2">
            <w:pPr>
              <w:keepNext/>
              <w:keepLines/>
              <w:jc w:val="center"/>
              <w:rPr>
                <w:rFonts w:ascii="Arial Narrow" w:eastAsiaTheme="majorEastAsia" w:hAnsi="Arial Narrow" w:cstheme="majorBidi"/>
                <w:bCs/>
                <w:sz w:val="20"/>
              </w:rPr>
            </w:pPr>
            <w:r w:rsidRPr="008975CB">
              <w:rPr>
                <w:rFonts w:ascii="Arial Narrow" w:eastAsiaTheme="majorEastAsia" w:hAnsi="Arial Narrow" w:cstheme="majorBidi"/>
                <w:bCs/>
                <w:sz w:val="20"/>
              </w:rPr>
              <w:t>$2,213</w:t>
            </w:r>
            <w:r w:rsidRPr="008975CB">
              <w:rPr>
                <w:rFonts w:ascii="Arial Narrow" w:eastAsiaTheme="majorEastAsia" w:hAnsi="Arial Narrow" w:cstheme="majorBidi"/>
                <w:bCs/>
                <w:sz w:val="20"/>
                <w:vertAlign w:val="superscript"/>
              </w:rPr>
              <w:t>k</w:t>
            </w:r>
          </w:p>
        </w:tc>
      </w:tr>
      <w:tr w:rsidR="00351A59" w:rsidRPr="008975CB" w14:paraId="7AC45F84" w14:textId="77777777" w:rsidTr="00D01CF5">
        <w:trPr>
          <w:cantSplit/>
          <w:jc w:val="center"/>
        </w:trPr>
        <w:tc>
          <w:tcPr>
            <w:tcW w:w="940" w:type="pct"/>
            <w:shd w:val="clear" w:color="auto" w:fill="auto"/>
            <w:vAlign w:val="center"/>
          </w:tcPr>
          <w:p w14:paraId="3BCB32C0" w14:textId="43509C06" w:rsidR="00351A59" w:rsidRPr="008975CB" w:rsidRDefault="00351A59" w:rsidP="00C265A2">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Cost/patient/month pre-PBAC response</w:t>
            </w:r>
          </w:p>
        </w:tc>
        <w:tc>
          <w:tcPr>
            <w:tcW w:w="786" w:type="pct"/>
            <w:shd w:val="clear" w:color="auto" w:fill="auto"/>
            <w:vAlign w:val="center"/>
          </w:tcPr>
          <w:p w14:paraId="7D66C5FD" w14:textId="3FFE2BC9" w:rsidR="00351A59" w:rsidRPr="009A5180" w:rsidRDefault="00351A59" w:rsidP="00C265A2">
            <w:pPr>
              <w:keepNext/>
              <w:keepLines/>
              <w:jc w:val="center"/>
              <w:rPr>
                <w:rFonts w:ascii="Arial Narrow" w:eastAsiaTheme="majorEastAsia" w:hAnsi="Arial Narrow" w:cstheme="majorBidi"/>
                <w:sz w:val="20"/>
                <w:szCs w:val="20"/>
                <w:vertAlign w:val="superscript"/>
              </w:rPr>
            </w:pPr>
            <w:r>
              <w:rPr>
                <w:rFonts w:ascii="Arial Narrow" w:eastAsiaTheme="majorEastAsia" w:hAnsi="Arial Narrow" w:cstheme="majorBidi"/>
                <w:sz w:val="20"/>
                <w:szCs w:val="20"/>
              </w:rPr>
              <w:t>$</w:t>
            </w:r>
            <w:r w:rsidR="00A268DC" w:rsidRPr="00A268DC">
              <w:rPr>
                <w:rFonts w:ascii="Arial Narrow" w:eastAsiaTheme="majorEastAsia" w:hAnsi="Arial Narrow" w:cstheme="majorBidi"/>
                <w:color w:val="000000"/>
                <w:sz w:val="20"/>
                <w:szCs w:val="20"/>
                <w:shd w:val="solid" w:color="000000" w:fill="000000"/>
                <w14:textFill>
                  <w14:solidFill>
                    <w14:srgbClr w14:val="000000">
                      <w14:alpha w14:val="100000"/>
                    </w14:srgbClr>
                  </w14:solidFill>
                </w14:textFill>
              </w:rPr>
              <w:t>|</w:t>
            </w:r>
            <w:r>
              <w:rPr>
                <w:rFonts w:ascii="Arial Narrow" w:eastAsiaTheme="majorEastAsia" w:hAnsi="Arial Narrow" w:cstheme="majorBidi"/>
                <w:sz w:val="20"/>
                <w:szCs w:val="20"/>
                <w:vertAlign w:val="superscript"/>
              </w:rPr>
              <w:t>m</w:t>
            </w:r>
          </w:p>
        </w:tc>
        <w:tc>
          <w:tcPr>
            <w:tcW w:w="628" w:type="pct"/>
            <w:shd w:val="clear" w:color="auto" w:fill="auto"/>
            <w:vAlign w:val="center"/>
          </w:tcPr>
          <w:p w14:paraId="6AC67DBC" w14:textId="52F035D5" w:rsidR="00351A59" w:rsidRPr="00351A59" w:rsidRDefault="00351A59" w:rsidP="00C265A2">
            <w:pPr>
              <w:keepNext/>
              <w:keepLines/>
              <w:jc w:val="center"/>
              <w:rPr>
                <w:rFonts w:ascii="Arial Narrow" w:eastAsiaTheme="majorEastAsia" w:hAnsi="Arial Narrow" w:cstheme="majorBidi"/>
                <w:bCs/>
                <w:sz w:val="20"/>
                <w:vertAlign w:val="superscript"/>
              </w:rPr>
            </w:pPr>
            <w:r>
              <w:rPr>
                <w:rFonts w:ascii="Arial Narrow" w:eastAsiaTheme="majorEastAsia" w:hAnsi="Arial Narrow" w:cstheme="majorBidi"/>
                <w:bCs/>
                <w:sz w:val="20"/>
              </w:rPr>
              <w:t>$</w:t>
            </w:r>
            <w:r w:rsidR="00A268DC" w:rsidRPr="00A268DC">
              <w:rPr>
                <w:rFonts w:ascii="Arial Narrow" w:eastAsiaTheme="majorEastAsia" w:hAnsi="Arial Narrow" w:cstheme="majorBidi" w:hint="eastAsia"/>
                <w:bCs/>
                <w:color w:val="000000"/>
                <w:w w:val="18"/>
                <w:sz w:val="20"/>
                <w:shd w:val="solid" w:color="000000" w:fill="000000"/>
                <w:fitText w:val="80" w:id="-694973439"/>
                <w14:textFill>
                  <w14:solidFill>
                    <w14:srgbClr w14:val="000000">
                      <w14:alpha w14:val="100000"/>
                    </w14:srgbClr>
                  </w14:solidFill>
                </w14:textFill>
              </w:rPr>
              <w:t xml:space="preserve">　</w:t>
            </w:r>
            <w:r w:rsidR="00A268DC" w:rsidRPr="00A268DC">
              <w:rPr>
                <w:rFonts w:ascii="Arial Narrow" w:eastAsiaTheme="majorEastAsia" w:hAnsi="Arial Narrow" w:cstheme="majorBidi"/>
                <w:bCs/>
                <w:color w:val="000000"/>
                <w:w w:val="18"/>
                <w:sz w:val="20"/>
                <w:shd w:val="solid" w:color="000000" w:fill="000000"/>
                <w:fitText w:val="80" w:id="-694973439"/>
                <w14:textFill>
                  <w14:solidFill>
                    <w14:srgbClr w14:val="000000">
                      <w14:alpha w14:val="100000"/>
                    </w14:srgbClr>
                  </w14:solidFill>
                </w14:textFill>
              </w:rPr>
              <w:t>|</w:t>
            </w:r>
            <w:r w:rsidR="00A268DC" w:rsidRPr="00A268DC">
              <w:rPr>
                <w:rFonts w:ascii="Arial Narrow" w:eastAsiaTheme="majorEastAsia" w:hAnsi="Arial Narrow" w:cstheme="majorBidi" w:hint="eastAsia"/>
                <w:bCs/>
                <w:color w:val="000000"/>
                <w:w w:val="18"/>
                <w:sz w:val="20"/>
                <w:shd w:val="solid" w:color="000000" w:fill="000000"/>
                <w:fitText w:val="80" w:id="-694973439"/>
                <w14:textFill>
                  <w14:solidFill>
                    <w14:srgbClr w14:val="000000">
                      <w14:alpha w14:val="100000"/>
                    </w14:srgbClr>
                  </w14:solidFill>
                </w14:textFill>
              </w:rPr>
              <w:t xml:space="preserve">　</w:t>
            </w:r>
            <w:r>
              <w:rPr>
                <w:rFonts w:ascii="Arial Narrow" w:eastAsiaTheme="majorEastAsia" w:hAnsi="Arial Narrow" w:cstheme="majorBidi"/>
                <w:bCs/>
                <w:sz w:val="20"/>
                <w:vertAlign w:val="superscript"/>
              </w:rPr>
              <w:t>n</w:t>
            </w:r>
          </w:p>
        </w:tc>
        <w:tc>
          <w:tcPr>
            <w:tcW w:w="551" w:type="pct"/>
            <w:shd w:val="clear" w:color="auto" w:fill="auto"/>
            <w:vAlign w:val="center"/>
          </w:tcPr>
          <w:p w14:paraId="5BD274D4" w14:textId="323299A4" w:rsidR="00351A59" w:rsidRPr="0F1D33A4" w:rsidRDefault="00351A59" w:rsidP="00C265A2">
            <w:pPr>
              <w:keepNext/>
              <w:keepLines/>
              <w:jc w:val="center"/>
              <w:rPr>
                <w:rFonts w:ascii="Arial Narrow" w:eastAsiaTheme="majorEastAsia" w:hAnsi="Arial Narrow" w:cstheme="majorBidi"/>
                <w:sz w:val="20"/>
                <w:szCs w:val="20"/>
              </w:rPr>
            </w:pPr>
            <w:r>
              <w:rPr>
                <w:rFonts w:ascii="Arial Narrow" w:eastAsiaTheme="majorEastAsia" w:hAnsi="Arial Narrow" w:cstheme="majorBidi"/>
                <w:sz w:val="20"/>
                <w:szCs w:val="20"/>
              </w:rPr>
              <w:t>$</w:t>
            </w:r>
            <w:r w:rsidR="00A268DC" w:rsidRPr="00A268DC">
              <w:rPr>
                <w:rFonts w:ascii="Arial Narrow" w:eastAsiaTheme="majorEastAsia" w:hAnsi="Arial Narrow" w:cstheme="majorBidi"/>
                <w:color w:val="000000"/>
                <w:spacing w:val="84"/>
                <w:sz w:val="20"/>
                <w:szCs w:val="20"/>
                <w:shd w:val="solid" w:color="000000" w:fill="000000"/>
                <w:fitText w:val="170" w:id="-694973438"/>
                <w14:textFill>
                  <w14:solidFill>
                    <w14:srgbClr w14:val="000000">
                      <w14:alpha w14:val="100000"/>
                    </w14:srgbClr>
                  </w14:solidFill>
                </w14:textFill>
              </w:rPr>
              <w:t>|</w:t>
            </w:r>
            <w:r w:rsidR="00A268DC" w:rsidRPr="00A268DC">
              <w:rPr>
                <w:rFonts w:ascii="Arial Narrow" w:eastAsiaTheme="majorEastAsia" w:hAnsi="Arial Narrow" w:cstheme="majorBidi"/>
                <w:color w:val="000000"/>
                <w:spacing w:val="1"/>
                <w:sz w:val="20"/>
                <w:szCs w:val="20"/>
                <w:shd w:val="solid" w:color="000000" w:fill="000000"/>
                <w:fitText w:val="170" w:id="-694973438"/>
                <w14:textFill>
                  <w14:solidFill>
                    <w14:srgbClr w14:val="000000">
                      <w14:alpha w14:val="100000"/>
                    </w14:srgbClr>
                  </w14:solidFill>
                </w14:textFill>
              </w:rPr>
              <w:t>|</w:t>
            </w:r>
            <w:r>
              <w:rPr>
                <w:rFonts w:ascii="Arial Narrow" w:eastAsiaTheme="majorEastAsia" w:hAnsi="Arial Narrow" w:cstheme="majorBidi"/>
                <w:sz w:val="20"/>
                <w:szCs w:val="20"/>
                <w:vertAlign w:val="superscript"/>
              </w:rPr>
              <w:t>m</w:t>
            </w:r>
          </w:p>
        </w:tc>
        <w:tc>
          <w:tcPr>
            <w:tcW w:w="696" w:type="pct"/>
            <w:shd w:val="clear" w:color="auto" w:fill="auto"/>
            <w:vAlign w:val="center"/>
          </w:tcPr>
          <w:p w14:paraId="33D8D9A2" w14:textId="2372D018" w:rsidR="00351A59" w:rsidRPr="008975CB" w:rsidRDefault="00351A59" w:rsidP="00C265A2">
            <w:pPr>
              <w:keepNext/>
              <w:keepLines/>
              <w:jc w:val="center"/>
              <w:rPr>
                <w:rFonts w:ascii="Arial Narrow" w:eastAsiaTheme="majorEastAsia" w:hAnsi="Arial Narrow" w:cstheme="majorBidi"/>
                <w:bCs/>
                <w:sz w:val="20"/>
              </w:rPr>
            </w:pPr>
            <w:r>
              <w:rPr>
                <w:rFonts w:ascii="Arial Narrow" w:eastAsiaTheme="majorEastAsia" w:hAnsi="Arial Narrow" w:cstheme="majorBidi"/>
                <w:bCs/>
                <w:sz w:val="20"/>
              </w:rPr>
              <w:t>NR</w:t>
            </w:r>
          </w:p>
        </w:tc>
        <w:tc>
          <w:tcPr>
            <w:tcW w:w="876" w:type="pct"/>
            <w:shd w:val="clear" w:color="auto" w:fill="auto"/>
            <w:vAlign w:val="center"/>
          </w:tcPr>
          <w:p w14:paraId="2121F5EB" w14:textId="683B5BFE" w:rsidR="00351A59" w:rsidRPr="008975CB" w:rsidRDefault="00351A59" w:rsidP="00C265A2">
            <w:pPr>
              <w:keepNext/>
              <w:keepLines/>
              <w:jc w:val="center"/>
              <w:rPr>
                <w:rFonts w:ascii="Arial Narrow" w:eastAsiaTheme="majorEastAsia" w:hAnsi="Arial Narrow" w:cstheme="majorBidi"/>
                <w:bCs/>
                <w:sz w:val="20"/>
              </w:rPr>
            </w:pPr>
            <w:r w:rsidRPr="00351A59">
              <w:rPr>
                <w:rFonts w:ascii="Arial Narrow" w:eastAsiaTheme="majorEastAsia" w:hAnsi="Arial Narrow" w:cstheme="majorBidi"/>
                <w:bCs/>
                <w:sz w:val="20"/>
              </w:rPr>
              <w:t>$371</w:t>
            </w:r>
            <w:r w:rsidRPr="00351A59">
              <w:rPr>
                <w:rFonts w:ascii="Arial Narrow" w:eastAsiaTheme="majorEastAsia" w:hAnsi="Arial Narrow" w:cstheme="majorBidi"/>
                <w:bCs/>
                <w:sz w:val="20"/>
                <w:vertAlign w:val="superscript"/>
              </w:rPr>
              <w:t>i</w:t>
            </w:r>
          </w:p>
        </w:tc>
        <w:tc>
          <w:tcPr>
            <w:tcW w:w="522" w:type="pct"/>
            <w:vAlign w:val="center"/>
          </w:tcPr>
          <w:p w14:paraId="2EE3F896" w14:textId="48451A88" w:rsidR="00351A59" w:rsidRPr="008975CB" w:rsidRDefault="00351A59" w:rsidP="00C265A2">
            <w:pPr>
              <w:keepNext/>
              <w:keepLines/>
              <w:jc w:val="center"/>
              <w:rPr>
                <w:rFonts w:ascii="Arial Narrow" w:eastAsiaTheme="majorEastAsia" w:hAnsi="Arial Narrow" w:cstheme="majorBidi"/>
                <w:bCs/>
                <w:sz w:val="20"/>
              </w:rPr>
            </w:pPr>
            <w:r w:rsidRPr="00351A59">
              <w:rPr>
                <w:rFonts w:ascii="Arial Narrow" w:eastAsiaTheme="majorEastAsia" w:hAnsi="Arial Narrow" w:cstheme="majorBidi"/>
                <w:bCs/>
                <w:sz w:val="20"/>
              </w:rPr>
              <w:t>$184</w:t>
            </w:r>
            <w:r w:rsidRPr="00351A59">
              <w:rPr>
                <w:rFonts w:ascii="Arial Narrow" w:eastAsiaTheme="majorEastAsia" w:hAnsi="Arial Narrow" w:cstheme="majorBidi"/>
                <w:bCs/>
                <w:sz w:val="20"/>
                <w:vertAlign w:val="superscript"/>
              </w:rPr>
              <w:t>j</w:t>
            </w:r>
          </w:p>
        </w:tc>
      </w:tr>
      <w:tr w:rsidR="00351A59" w:rsidRPr="008975CB" w14:paraId="397EDFB9" w14:textId="77777777" w:rsidTr="00D01CF5">
        <w:trPr>
          <w:cantSplit/>
          <w:jc w:val="center"/>
        </w:trPr>
        <w:tc>
          <w:tcPr>
            <w:tcW w:w="940" w:type="pct"/>
            <w:shd w:val="clear" w:color="auto" w:fill="auto"/>
            <w:vAlign w:val="center"/>
          </w:tcPr>
          <w:p w14:paraId="5E4838D6" w14:textId="374DABB5" w:rsidR="00351A59" w:rsidRPr="008975CB" w:rsidRDefault="00351A59" w:rsidP="00C265A2">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Cost/patient/year</w:t>
            </w:r>
            <w:r w:rsidR="00F87B86">
              <w:rPr>
                <w:rFonts w:ascii="Arial Narrow" w:eastAsiaTheme="majorEastAsia" w:hAnsi="Arial Narrow" w:cstheme="majorBidi"/>
                <w:bCs/>
                <w:sz w:val="20"/>
              </w:rPr>
              <w:t xml:space="preserve"> </w:t>
            </w:r>
            <w:r>
              <w:rPr>
                <w:rFonts w:ascii="Arial Narrow" w:eastAsiaTheme="majorEastAsia" w:hAnsi="Arial Narrow" w:cstheme="majorBidi"/>
                <w:bCs/>
                <w:sz w:val="20"/>
              </w:rPr>
              <w:t>pre-PBAC response</w:t>
            </w:r>
          </w:p>
        </w:tc>
        <w:tc>
          <w:tcPr>
            <w:tcW w:w="786" w:type="pct"/>
            <w:shd w:val="clear" w:color="auto" w:fill="auto"/>
            <w:vAlign w:val="center"/>
          </w:tcPr>
          <w:p w14:paraId="13B959FD" w14:textId="5EB6ECB8" w:rsidR="00351A59" w:rsidRPr="00351A59" w:rsidRDefault="00351A59" w:rsidP="00C265A2">
            <w:pPr>
              <w:keepNext/>
              <w:keepLines/>
              <w:jc w:val="center"/>
              <w:rPr>
                <w:rFonts w:ascii="Arial Narrow" w:eastAsiaTheme="majorEastAsia" w:hAnsi="Arial Narrow" w:cstheme="majorBidi"/>
                <w:sz w:val="20"/>
                <w:szCs w:val="20"/>
                <w:vertAlign w:val="superscript"/>
              </w:rPr>
            </w:pPr>
            <w:r>
              <w:rPr>
                <w:rFonts w:ascii="Arial Narrow" w:eastAsiaTheme="majorEastAsia" w:hAnsi="Arial Narrow" w:cstheme="majorBidi"/>
                <w:sz w:val="20"/>
                <w:szCs w:val="20"/>
              </w:rPr>
              <w:t>$</w:t>
            </w:r>
            <w:r w:rsidR="00A268DC" w:rsidRPr="00A268DC">
              <w:rPr>
                <w:rFonts w:ascii="Arial Narrow" w:eastAsiaTheme="majorEastAsia" w:hAnsi="Arial Narrow" w:cstheme="majorBidi"/>
                <w:color w:val="000000"/>
                <w:sz w:val="20"/>
                <w:szCs w:val="20"/>
                <w:shd w:val="solid" w:color="000000" w:fill="000000"/>
                <w14:textFill>
                  <w14:solidFill>
                    <w14:srgbClr w14:val="000000">
                      <w14:alpha w14:val="100000"/>
                    </w14:srgbClr>
                  </w14:solidFill>
                </w14:textFill>
              </w:rPr>
              <w:t>|</w:t>
            </w:r>
            <w:r>
              <w:rPr>
                <w:rFonts w:ascii="Arial Narrow" w:eastAsiaTheme="majorEastAsia" w:hAnsi="Arial Narrow" w:cstheme="majorBidi"/>
                <w:sz w:val="20"/>
                <w:szCs w:val="20"/>
                <w:vertAlign w:val="superscript"/>
              </w:rPr>
              <w:t>o</w:t>
            </w:r>
          </w:p>
        </w:tc>
        <w:tc>
          <w:tcPr>
            <w:tcW w:w="628" w:type="pct"/>
            <w:shd w:val="clear" w:color="auto" w:fill="auto"/>
            <w:vAlign w:val="center"/>
          </w:tcPr>
          <w:p w14:paraId="48BDF622" w14:textId="46D20CBD" w:rsidR="00351A59" w:rsidRPr="007D6E1C" w:rsidRDefault="007D6E1C" w:rsidP="00C265A2">
            <w:pPr>
              <w:keepNext/>
              <w:keepLines/>
              <w:jc w:val="center"/>
              <w:rPr>
                <w:rFonts w:ascii="Arial Narrow" w:eastAsiaTheme="majorEastAsia" w:hAnsi="Arial Narrow" w:cstheme="majorBidi"/>
                <w:bCs/>
                <w:sz w:val="20"/>
                <w:vertAlign w:val="superscript"/>
              </w:rPr>
            </w:pPr>
            <w:r>
              <w:rPr>
                <w:rFonts w:ascii="Arial Narrow" w:eastAsiaTheme="majorEastAsia" w:hAnsi="Arial Narrow" w:cstheme="majorBidi"/>
                <w:bCs/>
                <w:sz w:val="20"/>
              </w:rPr>
              <w:t>$</w:t>
            </w:r>
            <w:r w:rsidR="00A268DC" w:rsidRPr="00A268DC">
              <w:rPr>
                <w:rFonts w:ascii="Arial Narrow" w:eastAsiaTheme="majorEastAsia" w:hAnsi="Arial Narrow" w:cstheme="majorBidi" w:hint="eastAsia"/>
                <w:bCs/>
                <w:color w:val="000000"/>
                <w:w w:val="18"/>
                <w:sz w:val="20"/>
                <w:shd w:val="solid" w:color="000000" w:fill="000000"/>
                <w:fitText w:val="80" w:id="-694973437"/>
                <w14:textFill>
                  <w14:solidFill>
                    <w14:srgbClr w14:val="000000">
                      <w14:alpha w14:val="100000"/>
                    </w14:srgbClr>
                  </w14:solidFill>
                </w14:textFill>
              </w:rPr>
              <w:t xml:space="preserve">　</w:t>
            </w:r>
            <w:r w:rsidR="00A268DC" w:rsidRPr="00A268DC">
              <w:rPr>
                <w:rFonts w:ascii="Arial Narrow" w:eastAsiaTheme="majorEastAsia" w:hAnsi="Arial Narrow" w:cstheme="majorBidi"/>
                <w:bCs/>
                <w:color w:val="000000"/>
                <w:w w:val="18"/>
                <w:sz w:val="20"/>
                <w:shd w:val="solid" w:color="000000" w:fill="000000"/>
                <w:fitText w:val="80" w:id="-694973437"/>
                <w14:textFill>
                  <w14:solidFill>
                    <w14:srgbClr w14:val="000000">
                      <w14:alpha w14:val="100000"/>
                    </w14:srgbClr>
                  </w14:solidFill>
                </w14:textFill>
              </w:rPr>
              <w:t>|</w:t>
            </w:r>
            <w:r w:rsidR="00A268DC" w:rsidRPr="00A268DC">
              <w:rPr>
                <w:rFonts w:ascii="Arial Narrow" w:eastAsiaTheme="majorEastAsia" w:hAnsi="Arial Narrow" w:cstheme="majorBidi" w:hint="eastAsia"/>
                <w:bCs/>
                <w:color w:val="000000"/>
                <w:w w:val="18"/>
                <w:sz w:val="20"/>
                <w:shd w:val="solid" w:color="000000" w:fill="000000"/>
                <w:fitText w:val="80" w:id="-694973437"/>
                <w14:textFill>
                  <w14:solidFill>
                    <w14:srgbClr w14:val="000000">
                      <w14:alpha w14:val="100000"/>
                    </w14:srgbClr>
                  </w14:solidFill>
                </w14:textFill>
              </w:rPr>
              <w:t xml:space="preserve">　</w:t>
            </w:r>
            <w:r>
              <w:rPr>
                <w:rFonts w:ascii="Arial Narrow" w:eastAsiaTheme="majorEastAsia" w:hAnsi="Arial Narrow" w:cstheme="majorBidi"/>
                <w:bCs/>
                <w:sz w:val="20"/>
                <w:vertAlign w:val="superscript"/>
              </w:rPr>
              <w:t>p</w:t>
            </w:r>
          </w:p>
        </w:tc>
        <w:tc>
          <w:tcPr>
            <w:tcW w:w="551" w:type="pct"/>
            <w:shd w:val="clear" w:color="auto" w:fill="auto"/>
            <w:vAlign w:val="center"/>
          </w:tcPr>
          <w:p w14:paraId="3A984B2C" w14:textId="0FA0A80B" w:rsidR="00351A59" w:rsidRPr="0F1D33A4" w:rsidRDefault="00351A59" w:rsidP="00C265A2">
            <w:pPr>
              <w:keepNext/>
              <w:keepLines/>
              <w:jc w:val="center"/>
              <w:rPr>
                <w:rFonts w:ascii="Arial Narrow" w:eastAsiaTheme="majorEastAsia" w:hAnsi="Arial Narrow" w:cstheme="majorBidi"/>
                <w:sz w:val="20"/>
                <w:szCs w:val="20"/>
              </w:rPr>
            </w:pPr>
            <w:r w:rsidRPr="00351A59">
              <w:rPr>
                <w:rFonts w:ascii="Arial Narrow" w:eastAsiaTheme="majorEastAsia" w:hAnsi="Arial Narrow" w:cstheme="majorBidi"/>
                <w:sz w:val="20"/>
                <w:szCs w:val="20"/>
              </w:rPr>
              <w:t>$</w:t>
            </w:r>
            <w:r w:rsidR="00A268DC" w:rsidRPr="00A268DC">
              <w:rPr>
                <w:rFonts w:ascii="Arial Narrow" w:eastAsiaTheme="majorEastAsia" w:hAnsi="Arial Narrow" w:cstheme="majorBidi" w:hint="eastAsia"/>
                <w:color w:val="000000"/>
                <w:w w:val="31"/>
                <w:sz w:val="20"/>
                <w:szCs w:val="20"/>
                <w:shd w:val="solid" w:color="000000" w:fill="000000"/>
                <w:fitText w:val="140" w:id="-694973436"/>
                <w14:textFill>
                  <w14:solidFill>
                    <w14:srgbClr w14:val="000000">
                      <w14:alpha w14:val="100000"/>
                    </w14:srgbClr>
                  </w14:solidFill>
                </w14:textFill>
              </w:rPr>
              <w:t xml:space="preserve">　</w:t>
            </w:r>
            <w:r w:rsidR="00A268DC" w:rsidRPr="00A268DC">
              <w:rPr>
                <w:rFonts w:ascii="Arial Narrow" w:eastAsiaTheme="majorEastAsia" w:hAnsi="Arial Narrow" w:cstheme="majorBidi"/>
                <w:color w:val="000000"/>
                <w:w w:val="31"/>
                <w:sz w:val="20"/>
                <w:szCs w:val="20"/>
                <w:shd w:val="solid" w:color="000000" w:fill="000000"/>
                <w:fitText w:val="140" w:id="-694973436"/>
                <w14:textFill>
                  <w14:solidFill>
                    <w14:srgbClr w14:val="000000">
                      <w14:alpha w14:val="100000"/>
                    </w14:srgbClr>
                  </w14:solidFill>
                </w14:textFill>
              </w:rPr>
              <w:t>|</w:t>
            </w:r>
            <w:r w:rsidR="00A268DC" w:rsidRPr="00A268DC">
              <w:rPr>
                <w:rFonts w:ascii="Arial Narrow" w:eastAsiaTheme="majorEastAsia" w:hAnsi="Arial Narrow" w:cstheme="majorBidi" w:hint="eastAsia"/>
                <w:color w:val="000000"/>
                <w:w w:val="31"/>
                <w:sz w:val="20"/>
                <w:szCs w:val="20"/>
                <w:shd w:val="solid" w:color="000000" w:fill="000000"/>
                <w:fitText w:val="140" w:id="-694973436"/>
                <w14:textFill>
                  <w14:solidFill>
                    <w14:srgbClr w14:val="000000">
                      <w14:alpha w14:val="100000"/>
                    </w14:srgbClr>
                  </w14:solidFill>
                </w14:textFill>
              </w:rPr>
              <w:t xml:space="preserve">　</w:t>
            </w:r>
            <w:r w:rsidRPr="00351A59">
              <w:rPr>
                <w:rFonts w:ascii="Arial Narrow" w:eastAsiaTheme="majorEastAsia" w:hAnsi="Arial Narrow" w:cstheme="majorBidi"/>
                <w:sz w:val="20"/>
                <w:szCs w:val="20"/>
                <w:vertAlign w:val="superscript"/>
              </w:rPr>
              <w:t>o</w:t>
            </w:r>
          </w:p>
        </w:tc>
        <w:tc>
          <w:tcPr>
            <w:tcW w:w="696" w:type="pct"/>
            <w:shd w:val="clear" w:color="auto" w:fill="auto"/>
            <w:vAlign w:val="center"/>
          </w:tcPr>
          <w:p w14:paraId="7F88A222" w14:textId="2D39361A" w:rsidR="00351A59" w:rsidRPr="008975CB" w:rsidRDefault="00351A59" w:rsidP="00C265A2">
            <w:pPr>
              <w:keepNext/>
              <w:keepLines/>
              <w:jc w:val="center"/>
              <w:rPr>
                <w:rFonts w:ascii="Arial Narrow" w:eastAsiaTheme="majorEastAsia" w:hAnsi="Arial Narrow" w:cstheme="majorBidi"/>
                <w:bCs/>
                <w:sz w:val="20"/>
              </w:rPr>
            </w:pPr>
            <w:r>
              <w:rPr>
                <w:rFonts w:ascii="Arial Narrow" w:eastAsiaTheme="majorEastAsia" w:hAnsi="Arial Narrow" w:cstheme="majorBidi"/>
                <w:bCs/>
                <w:sz w:val="20"/>
              </w:rPr>
              <w:t>NR</w:t>
            </w:r>
          </w:p>
        </w:tc>
        <w:tc>
          <w:tcPr>
            <w:tcW w:w="876" w:type="pct"/>
            <w:shd w:val="clear" w:color="auto" w:fill="auto"/>
            <w:vAlign w:val="center"/>
          </w:tcPr>
          <w:p w14:paraId="37C0F9AC" w14:textId="1E17A588" w:rsidR="00351A59" w:rsidRPr="008975CB" w:rsidRDefault="00351A59" w:rsidP="00C265A2">
            <w:pPr>
              <w:keepNext/>
              <w:keepLines/>
              <w:jc w:val="center"/>
              <w:rPr>
                <w:rFonts w:ascii="Arial Narrow" w:eastAsiaTheme="majorEastAsia" w:hAnsi="Arial Narrow" w:cstheme="majorBidi"/>
                <w:bCs/>
                <w:sz w:val="20"/>
              </w:rPr>
            </w:pPr>
            <w:r w:rsidRPr="00351A59">
              <w:rPr>
                <w:rFonts w:ascii="Arial Narrow" w:eastAsiaTheme="majorEastAsia" w:hAnsi="Arial Narrow" w:cstheme="majorBidi"/>
                <w:bCs/>
                <w:sz w:val="20"/>
              </w:rPr>
              <w:t>$4,448</w:t>
            </w:r>
          </w:p>
        </w:tc>
        <w:tc>
          <w:tcPr>
            <w:tcW w:w="522" w:type="pct"/>
            <w:vAlign w:val="center"/>
          </w:tcPr>
          <w:p w14:paraId="01371720" w14:textId="0C3608E2" w:rsidR="00351A59" w:rsidRPr="008975CB" w:rsidRDefault="00351A59" w:rsidP="00C265A2">
            <w:pPr>
              <w:keepNext/>
              <w:keepLines/>
              <w:jc w:val="center"/>
              <w:rPr>
                <w:rFonts w:ascii="Arial Narrow" w:eastAsiaTheme="majorEastAsia" w:hAnsi="Arial Narrow" w:cstheme="majorBidi"/>
                <w:bCs/>
                <w:sz w:val="20"/>
              </w:rPr>
            </w:pPr>
            <w:r w:rsidRPr="00351A59">
              <w:rPr>
                <w:rFonts w:ascii="Arial Narrow" w:eastAsiaTheme="majorEastAsia" w:hAnsi="Arial Narrow" w:cstheme="majorBidi"/>
                <w:bCs/>
                <w:sz w:val="20"/>
              </w:rPr>
              <w:t>$2,213</w:t>
            </w:r>
            <w:r w:rsidRPr="00351A59">
              <w:rPr>
                <w:rFonts w:ascii="Arial Narrow" w:eastAsiaTheme="majorEastAsia" w:hAnsi="Arial Narrow" w:cstheme="majorBidi"/>
                <w:bCs/>
                <w:sz w:val="20"/>
                <w:vertAlign w:val="superscript"/>
              </w:rPr>
              <w:t>k</w:t>
            </w:r>
          </w:p>
        </w:tc>
      </w:tr>
    </w:tbl>
    <w:p w14:paraId="026F6350" w14:textId="77777777" w:rsidR="008975CB" w:rsidRPr="008975CB" w:rsidRDefault="008975CB" w:rsidP="00C265A2">
      <w:pPr>
        <w:keepNext/>
        <w:keepLines/>
        <w:spacing w:after="120"/>
        <w:contextualSpacing/>
        <w:rPr>
          <w:rFonts w:ascii="Arial Narrow" w:hAnsi="Arial Narrow"/>
          <w:snapToGrid w:val="0"/>
          <w:sz w:val="18"/>
          <w:szCs w:val="22"/>
        </w:rPr>
      </w:pPr>
      <w:r w:rsidRPr="008975CB">
        <w:rPr>
          <w:rFonts w:ascii="Arial Narrow" w:hAnsi="Arial Narrow"/>
          <w:snapToGrid w:val="0"/>
          <w:sz w:val="18"/>
          <w:szCs w:val="22"/>
        </w:rPr>
        <w:t>Source: Compiled during the evaluation using MAJIC trial data from Harrison et al, 2023; Attachment 3 Economic model, Table 4.17, p206 of the resubmission; Table 4.9, p201 of the resubmission; Section 4 workbook provided by sponsor.</w:t>
      </w:r>
    </w:p>
    <w:p w14:paraId="06419E7A" w14:textId="77777777" w:rsidR="008975CB" w:rsidRPr="008975CB" w:rsidRDefault="008975CB" w:rsidP="00C265A2">
      <w:pPr>
        <w:keepNext/>
        <w:keepLines/>
        <w:spacing w:after="120"/>
        <w:contextualSpacing/>
        <w:rPr>
          <w:rFonts w:ascii="Arial Narrow" w:hAnsi="Arial Narrow"/>
          <w:snapToGrid w:val="0"/>
          <w:sz w:val="18"/>
          <w:szCs w:val="22"/>
        </w:rPr>
      </w:pPr>
      <w:r w:rsidRPr="008975CB">
        <w:rPr>
          <w:rFonts w:ascii="Arial Narrow" w:hAnsi="Arial Narrow"/>
          <w:snapToGrid w:val="0"/>
          <w:sz w:val="18"/>
          <w:szCs w:val="22"/>
        </w:rPr>
        <w:t>Abbreviations: AUC, area under the curve; BAT, best available therapy; BD, twice daily; DPMQ, dispensed price for maximum quantity, HC/HU, hydroxycarbamide/hydroxyurea; IFN, interferon; mg, milligram; NR, not reported; TTD, time-to treatment discontinuation</w:t>
      </w:r>
    </w:p>
    <w:p w14:paraId="1E695A75" w14:textId="77777777" w:rsidR="008975CB" w:rsidRPr="008975CB" w:rsidRDefault="008975CB" w:rsidP="00C265A2">
      <w:pPr>
        <w:keepNext/>
        <w:keepLines/>
        <w:spacing w:after="120"/>
        <w:contextualSpacing/>
        <w:rPr>
          <w:rFonts w:ascii="Arial Narrow" w:hAnsi="Arial Narrow"/>
          <w:snapToGrid w:val="0"/>
          <w:sz w:val="18"/>
          <w:szCs w:val="22"/>
        </w:rPr>
      </w:pPr>
      <w:r w:rsidRPr="008975CB">
        <w:rPr>
          <w:rFonts w:ascii="Arial Narrow" w:hAnsi="Arial Narrow"/>
          <w:snapToGrid w:val="0"/>
          <w:sz w:val="18"/>
          <w:szCs w:val="22"/>
          <w:vertAlign w:val="superscript"/>
        </w:rPr>
        <w:t xml:space="preserve">a. </w:t>
      </w:r>
      <w:r w:rsidRPr="008975CB">
        <w:rPr>
          <w:rFonts w:ascii="Arial Narrow" w:hAnsi="Arial Narrow"/>
          <w:snapToGrid w:val="0"/>
          <w:sz w:val="18"/>
          <w:szCs w:val="22"/>
        </w:rPr>
        <w:t>As reported in the MAJIC trial</w:t>
      </w:r>
    </w:p>
    <w:p w14:paraId="4AC00473" w14:textId="03BE3196" w:rsidR="008975CB" w:rsidRPr="008975CB" w:rsidRDefault="008975CB" w:rsidP="00C265A2">
      <w:pPr>
        <w:keepNext/>
        <w:keepLines/>
        <w:spacing w:after="120"/>
        <w:contextualSpacing/>
        <w:rPr>
          <w:rFonts w:ascii="Arial Narrow" w:hAnsi="Arial Narrow"/>
          <w:snapToGrid w:val="0"/>
          <w:sz w:val="18"/>
          <w:szCs w:val="18"/>
        </w:rPr>
      </w:pPr>
      <w:r w:rsidRPr="0910F2D2">
        <w:rPr>
          <w:rFonts w:ascii="Arial Narrow" w:hAnsi="Arial Narrow"/>
          <w:snapToGrid w:val="0"/>
          <w:sz w:val="18"/>
          <w:szCs w:val="18"/>
          <w:vertAlign w:val="superscript"/>
        </w:rPr>
        <w:t>b</w:t>
      </w:r>
      <w:r w:rsidRPr="0910F2D2">
        <w:rPr>
          <w:rFonts w:ascii="Arial Narrow" w:hAnsi="Arial Narrow"/>
          <w:snapToGrid w:val="0"/>
          <w:sz w:val="18"/>
          <w:szCs w:val="18"/>
        </w:rPr>
        <w:t xml:space="preserve"> Calculated based on ruxolitinib DMPQ ($</w:t>
      </w:r>
      <w:r w:rsidR="00A268DC" w:rsidRPr="00F87B86">
        <w:rPr>
          <w:rFonts w:ascii="Arial Narrow" w:hAnsi="Arial Narrow"/>
          <w:snapToGrid w:val="0"/>
          <w:color w:val="000000"/>
          <w:spacing w:val="81"/>
          <w:sz w:val="18"/>
          <w:szCs w:val="18"/>
          <w:shd w:val="solid" w:color="000000" w:fill="000000"/>
          <w:fitText w:val="280" w:id="-694973435"/>
          <w14:textFill>
            <w14:solidFill>
              <w14:srgbClr w14:val="000000">
                <w14:alpha w14:val="100000"/>
              </w14:srgbClr>
            </w14:solidFill>
          </w14:textFill>
        </w:rPr>
        <w:t>|</w:t>
      </w:r>
      <w:r w:rsidR="00F87B86" w:rsidRPr="00F87B86">
        <w:rPr>
          <w:rFonts w:ascii="Arial Narrow" w:hAnsi="Arial Narrow"/>
          <w:snapToGrid w:val="0"/>
          <w:color w:val="000000"/>
          <w:spacing w:val="81"/>
          <w:sz w:val="18"/>
          <w:szCs w:val="18"/>
          <w:shd w:val="solid" w:color="000000" w:fill="000000"/>
          <w:fitText w:val="280" w:id="-694973435"/>
          <w14:textFill>
            <w14:solidFill>
              <w14:srgbClr w14:val="000000">
                <w14:alpha w14:val="100000"/>
              </w14:srgbClr>
            </w14:solidFill>
          </w14:textFill>
        </w:rPr>
        <w:t xml:space="preserve"> </w:t>
      </w:r>
      <w:r w:rsidR="00A268DC" w:rsidRPr="00F87B86">
        <w:rPr>
          <w:rFonts w:ascii="Arial Narrow" w:hAnsi="Arial Narrow"/>
          <w:snapToGrid w:val="0"/>
          <w:color w:val="000000"/>
          <w:spacing w:val="1"/>
          <w:sz w:val="18"/>
          <w:szCs w:val="18"/>
          <w:shd w:val="solid" w:color="000000" w:fill="000000"/>
          <w:fitText w:val="280" w:id="-694973435"/>
          <w14:textFill>
            <w14:solidFill>
              <w14:srgbClr w14:val="000000">
                <w14:alpha w14:val="100000"/>
              </w14:srgbClr>
            </w14:solidFill>
          </w14:textFill>
        </w:rPr>
        <w:t>|</w:t>
      </w:r>
      <w:r w:rsidRPr="0910F2D2">
        <w:rPr>
          <w:rFonts w:ascii="Arial Narrow" w:hAnsi="Arial Narrow"/>
          <w:snapToGrid w:val="0"/>
          <w:sz w:val="18"/>
          <w:szCs w:val="18"/>
        </w:rPr>
        <w:t>) and number of scripts per year (13.04) divided by 12</w:t>
      </w:r>
    </w:p>
    <w:p w14:paraId="43778515" w14:textId="0ED3A583" w:rsidR="008975CB" w:rsidRPr="008975CB" w:rsidRDefault="008975CB" w:rsidP="00C265A2">
      <w:pPr>
        <w:keepNext/>
        <w:keepLines/>
        <w:spacing w:after="120"/>
        <w:contextualSpacing/>
        <w:rPr>
          <w:rFonts w:ascii="Arial Narrow" w:hAnsi="Arial Narrow"/>
          <w:snapToGrid w:val="0"/>
          <w:sz w:val="18"/>
          <w:szCs w:val="22"/>
        </w:rPr>
      </w:pPr>
      <w:r w:rsidRPr="008975CB">
        <w:rPr>
          <w:rFonts w:ascii="Arial Narrow" w:hAnsi="Arial Narrow"/>
          <w:snapToGrid w:val="0"/>
          <w:sz w:val="18"/>
          <w:szCs w:val="22"/>
          <w:vertAlign w:val="superscript"/>
        </w:rPr>
        <w:t xml:space="preserve">c. </w:t>
      </w:r>
      <w:r w:rsidRPr="008975CB">
        <w:rPr>
          <w:rFonts w:ascii="Arial Narrow" w:hAnsi="Arial Narrow"/>
          <w:snapToGrid w:val="0"/>
          <w:sz w:val="18"/>
          <w:szCs w:val="22"/>
        </w:rPr>
        <w:t>Calculated based on footnote ‘</w:t>
      </w:r>
      <w:r w:rsidR="006B009A">
        <w:rPr>
          <w:rFonts w:ascii="Arial Narrow" w:hAnsi="Arial Narrow"/>
          <w:snapToGrid w:val="0"/>
          <w:sz w:val="18"/>
          <w:szCs w:val="22"/>
        </w:rPr>
        <w:t>b</w:t>
      </w:r>
      <w:r w:rsidR="006B009A" w:rsidRPr="008975CB">
        <w:rPr>
          <w:rFonts w:ascii="Arial Narrow" w:hAnsi="Arial Narrow"/>
          <w:snapToGrid w:val="0"/>
          <w:sz w:val="18"/>
          <w:szCs w:val="22"/>
        </w:rPr>
        <w:t xml:space="preserve">’ </w:t>
      </w:r>
      <w:r w:rsidRPr="008975CB">
        <w:rPr>
          <w:rFonts w:ascii="Arial Narrow" w:hAnsi="Arial Narrow"/>
          <w:snapToGrid w:val="0"/>
          <w:sz w:val="18"/>
          <w:szCs w:val="22"/>
        </w:rPr>
        <w:t>multiplied by 12</w:t>
      </w:r>
    </w:p>
    <w:p w14:paraId="5B395BEE" w14:textId="3CC4EB6B" w:rsidR="008975CB" w:rsidRPr="008975CB" w:rsidRDefault="008975CB" w:rsidP="00C265A2">
      <w:pPr>
        <w:keepNext/>
        <w:keepLines/>
        <w:spacing w:after="120"/>
        <w:contextualSpacing/>
        <w:rPr>
          <w:rFonts w:ascii="Arial Narrow" w:hAnsi="Arial Narrow"/>
          <w:snapToGrid w:val="0"/>
          <w:sz w:val="18"/>
          <w:szCs w:val="22"/>
        </w:rPr>
      </w:pPr>
      <w:r w:rsidRPr="008975CB">
        <w:rPr>
          <w:rFonts w:ascii="Arial Narrow" w:hAnsi="Arial Narrow"/>
          <w:snapToGrid w:val="0"/>
          <w:sz w:val="18"/>
          <w:szCs w:val="22"/>
          <w:vertAlign w:val="superscript"/>
        </w:rPr>
        <w:t>d</w:t>
      </w:r>
      <w:r w:rsidRPr="008975CB">
        <w:rPr>
          <w:rFonts w:ascii="Arial Narrow" w:hAnsi="Arial Narrow"/>
          <w:snapToGrid w:val="0"/>
          <w:sz w:val="18"/>
          <w:szCs w:val="22"/>
        </w:rPr>
        <w:t xml:space="preserve"> </w:t>
      </w:r>
      <w:r w:rsidR="0092484E">
        <w:rPr>
          <w:rFonts w:ascii="Arial Narrow" w:hAnsi="Arial Narrow"/>
          <w:snapToGrid w:val="0"/>
          <w:sz w:val="18"/>
          <w:szCs w:val="22"/>
        </w:rPr>
        <w:t>M</w:t>
      </w:r>
      <w:r w:rsidRPr="008975CB">
        <w:rPr>
          <w:rFonts w:ascii="Arial Narrow" w:hAnsi="Arial Narrow"/>
          <w:snapToGrid w:val="0"/>
          <w:sz w:val="18"/>
          <w:szCs w:val="22"/>
        </w:rPr>
        <w:t xml:space="preserve">ean dose from RESPONSE-2 </w:t>
      </w:r>
    </w:p>
    <w:p w14:paraId="4288A97B" w14:textId="77777777" w:rsidR="008975CB" w:rsidRPr="008975CB" w:rsidRDefault="008975CB" w:rsidP="00C265A2">
      <w:pPr>
        <w:keepNext/>
        <w:keepLines/>
        <w:spacing w:after="120"/>
        <w:contextualSpacing/>
        <w:rPr>
          <w:rFonts w:ascii="Arial Narrow" w:hAnsi="Arial Narrow"/>
          <w:snapToGrid w:val="0"/>
          <w:sz w:val="18"/>
          <w:szCs w:val="18"/>
        </w:rPr>
      </w:pPr>
      <w:r w:rsidRPr="0910F2D2">
        <w:rPr>
          <w:rFonts w:ascii="Arial Narrow" w:hAnsi="Arial Narrow"/>
          <w:snapToGrid w:val="0"/>
          <w:sz w:val="18"/>
          <w:szCs w:val="18"/>
          <w:vertAlign w:val="superscript"/>
        </w:rPr>
        <w:t>e</w:t>
      </w:r>
      <w:r w:rsidRPr="0910F2D2">
        <w:rPr>
          <w:rFonts w:ascii="Arial Narrow" w:hAnsi="Arial Narrow"/>
          <w:snapToGrid w:val="0"/>
          <w:sz w:val="18"/>
          <w:szCs w:val="18"/>
        </w:rPr>
        <w:t xml:space="preserve"> Calculated using AUC method for Time and TTD on ruxolitinib</w:t>
      </w:r>
    </w:p>
    <w:p w14:paraId="0FDA9C5E" w14:textId="165FEDD7" w:rsidR="008975CB" w:rsidRPr="008975CB" w:rsidRDefault="008975CB" w:rsidP="00C265A2">
      <w:pPr>
        <w:keepNext/>
        <w:keepLines/>
        <w:spacing w:after="120"/>
        <w:contextualSpacing/>
        <w:rPr>
          <w:rFonts w:ascii="Arial Narrow" w:hAnsi="Arial Narrow"/>
          <w:snapToGrid w:val="0"/>
          <w:sz w:val="18"/>
          <w:szCs w:val="22"/>
        </w:rPr>
      </w:pPr>
      <w:r w:rsidRPr="008975CB">
        <w:rPr>
          <w:rFonts w:ascii="Arial Narrow" w:hAnsi="Arial Narrow"/>
          <w:snapToGrid w:val="0"/>
          <w:sz w:val="18"/>
          <w:szCs w:val="22"/>
          <w:vertAlign w:val="superscript"/>
        </w:rPr>
        <w:t xml:space="preserve">f. </w:t>
      </w:r>
      <w:r w:rsidRPr="008975CB">
        <w:rPr>
          <w:rFonts w:ascii="Arial Narrow" w:hAnsi="Arial Narrow"/>
          <w:snapToGrid w:val="0"/>
          <w:sz w:val="18"/>
          <w:szCs w:val="22"/>
        </w:rPr>
        <w:t>Cost per 28-day cycle applied in the economic model of $</w:t>
      </w:r>
      <w:r w:rsidR="00A268DC" w:rsidRPr="00F87B86">
        <w:rPr>
          <w:rFonts w:ascii="Arial Narrow" w:hAnsi="Arial Narrow"/>
          <w:snapToGrid w:val="0"/>
          <w:color w:val="000000"/>
          <w:spacing w:val="81"/>
          <w:sz w:val="18"/>
          <w:szCs w:val="22"/>
          <w:shd w:val="solid" w:color="000000" w:fill="000000"/>
          <w:fitText w:val="280" w:id="-694973434"/>
          <w14:textFill>
            <w14:solidFill>
              <w14:srgbClr w14:val="000000">
                <w14:alpha w14:val="100000"/>
              </w14:srgbClr>
            </w14:solidFill>
          </w14:textFill>
        </w:rPr>
        <w:t>|</w:t>
      </w:r>
      <w:r w:rsidR="00F87B86" w:rsidRPr="00F87B86">
        <w:rPr>
          <w:rFonts w:ascii="Arial Narrow" w:hAnsi="Arial Narrow"/>
          <w:snapToGrid w:val="0"/>
          <w:color w:val="000000"/>
          <w:spacing w:val="81"/>
          <w:sz w:val="18"/>
          <w:szCs w:val="22"/>
          <w:shd w:val="solid" w:color="000000" w:fill="000000"/>
          <w:fitText w:val="280" w:id="-694973434"/>
          <w14:textFill>
            <w14:solidFill>
              <w14:srgbClr w14:val="000000">
                <w14:alpha w14:val="100000"/>
              </w14:srgbClr>
            </w14:solidFill>
          </w14:textFill>
        </w:rPr>
        <w:t xml:space="preserve"> </w:t>
      </w:r>
      <w:r w:rsidR="00A268DC" w:rsidRPr="00F87B86">
        <w:rPr>
          <w:rFonts w:ascii="Arial Narrow" w:hAnsi="Arial Narrow"/>
          <w:snapToGrid w:val="0"/>
          <w:color w:val="000000"/>
          <w:spacing w:val="1"/>
          <w:sz w:val="18"/>
          <w:szCs w:val="22"/>
          <w:shd w:val="solid" w:color="000000" w:fill="000000"/>
          <w:fitText w:val="280" w:id="-694973434"/>
          <w14:textFill>
            <w14:solidFill>
              <w14:srgbClr w14:val="000000">
                <w14:alpha w14:val="100000"/>
              </w14:srgbClr>
            </w14:solidFill>
          </w14:textFill>
        </w:rPr>
        <w:t>|</w:t>
      </w:r>
      <w:r w:rsidRPr="008975CB">
        <w:rPr>
          <w:rFonts w:ascii="Arial Narrow" w:hAnsi="Arial Narrow"/>
          <w:snapToGrid w:val="0"/>
          <w:sz w:val="18"/>
          <w:szCs w:val="22"/>
        </w:rPr>
        <w:t xml:space="preserve"> multiplied by number of cycles per year (13.0446) then divided by 12</w:t>
      </w:r>
    </w:p>
    <w:p w14:paraId="50AD7CF7" w14:textId="7A59B758" w:rsidR="008975CB" w:rsidRPr="008975CB" w:rsidRDefault="008975CB" w:rsidP="00C265A2">
      <w:pPr>
        <w:keepNext/>
        <w:keepLines/>
        <w:spacing w:after="120"/>
        <w:contextualSpacing/>
        <w:rPr>
          <w:rFonts w:ascii="Arial Narrow" w:hAnsi="Arial Narrow"/>
          <w:snapToGrid w:val="0"/>
          <w:sz w:val="18"/>
          <w:szCs w:val="18"/>
        </w:rPr>
      </w:pPr>
      <w:r w:rsidRPr="0F1D33A4">
        <w:rPr>
          <w:rFonts w:ascii="Arial Narrow" w:hAnsi="Arial Narrow"/>
          <w:snapToGrid w:val="0"/>
          <w:sz w:val="18"/>
          <w:szCs w:val="18"/>
          <w:vertAlign w:val="superscript"/>
        </w:rPr>
        <w:t>g</w:t>
      </w:r>
      <w:r w:rsidRPr="0F1D33A4">
        <w:rPr>
          <w:rFonts w:ascii="Arial Narrow" w:hAnsi="Arial Narrow"/>
          <w:snapToGrid w:val="0"/>
          <w:sz w:val="18"/>
          <w:szCs w:val="18"/>
        </w:rPr>
        <w:t xml:space="preserve"> The resubmission indicated a variable persistence rate ranging from 100% in Year 1 to 93.60% in Year 6; however, it was unclear how this was applied in the model</w:t>
      </w:r>
    </w:p>
    <w:p w14:paraId="2AA00020" w14:textId="77777777" w:rsidR="008975CB" w:rsidRPr="008975CB" w:rsidRDefault="008975CB" w:rsidP="00C265A2">
      <w:pPr>
        <w:keepNext/>
        <w:keepLines/>
        <w:spacing w:after="120"/>
        <w:contextualSpacing/>
        <w:rPr>
          <w:rFonts w:ascii="Arial Narrow" w:hAnsi="Arial Narrow"/>
          <w:snapToGrid w:val="0"/>
          <w:sz w:val="18"/>
          <w:szCs w:val="22"/>
        </w:rPr>
      </w:pPr>
      <w:r w:rsidRPr="008975CB">
        <w:rPr>
          <w:rFonts w:ascii="Arial Narrow" w:hAnsi="Arial Narrow"/>
          <w:snapToGrid w:val="0"/>
          <w:sz w:val="18"/>
          <w:szCs w:val="22"/>
          <w:vertAlign w:val="superscript"/>
        </w:rPr>
        <w:t xml:space="preserve">h </w:t>
      </w:r>
      <w:r w:rsidRPr="008975CB">
        <w:rPr>
          <w:rFonts w:ascii="Arial Narrow" w:hAnsi="Arial Narrow"/>
          <w:snapToGrid w:val="0"/>
          <w:sz w:val="18"/>
          <w:szCs w:val="22"/>
        </w:rPr>
        <w:t>reflects doses given for each medication if prescribed, does not account for proportion of each that were prescribed in MAJIC</w:t>
      </w:r>
    </w:p>
    <w:p w14:paraId="573190C8" w14:textId="5F3E3028" w:rsidR="008975CB" w:rsidRPr="008975CB" w:rsidRDefault="008975CB" w:rsidP="00C265A2">
      <w:pPr>
        <w:keepNext/>
        <w:keepLines/>
        <w:spacing w:after="120"/>
        <w:contextualSpacing/>
        <w:rPr>
          <w:rFonts w:ascii="Arial Narrow" w:hAnsi="Arial Narrow"/>
          <w:snapToGrid w:val="0"/>
          <w:sz w:val="18"/>
          <w:szCs w:val="18"/>
        </w:rPr>
      </w:pPr>
      <w:r w:rsidRPr="0F1D33A4">
        <w:rPr>
          <w:rFonts w:ascii="Arial Narrow" w:hAnsi="Arial Narrow"/>
          <w:snapToGrid w:val="0"/>
          <w:sz w:val="18"/>
          <w:szCs w:val="18"/>
          <w:vertAlign w:val="superscript"/>
        </w:rPr>
        <w:t xml:space="preserve">i. </w:t>
      </w:r>
      <w:r w:rsidRPr="0F1D33A4">
        <w:rPr>
          <w:rFonts w:ascii="Arial Narrow" w:hAnsi="Arial Narrow"/>
          <w:snapToGrid w:val="0"/>
          <w:sz w:val="18"/>
          <w:szCs w:val="18"/>
        </w:rPr>
        <w:t>Cost per 28-day cycle applied in the economic model of $</w:t>
      </w:r>
      <w:r w:rsidR="00A268DC" w:rsidRPr="00F87B86">
        <w:rPr>
          <w:rFonts w:ascii="Arial Narrow" w:hAnsi="Arial Narrow"/>
          <w:snapToGrid w:val="0"/>
          <w:color w:val="000000"/>
          <w:spacing w:val="76"/>
          <w:sz w:val="18"/>
          <w:szCs w:val="18"/>
          <w:shd w:val="solid" w:color="000000" w:fill="000000"/>
          <w:fitText w:val="270" w:id="-694973433"/>
          <w14:textFill>
            <w14:solidFill>
              <w14:srgbClr w14:val="000000">
                <w14:alpha w14:val="100000"/>
              </w14:srgbClr>
            </w14:solidFill>
          </w14:textFill>
        </w:rPr>
        <w:t>|</w:t>
      </w:r>
      <w:r w:rsidR="00F87B86" w:rsidRPr="00F87B86">
        <w:rPr>
          <w:rFonts w:ascii="Arial Narrow" w:hAnsi="Arial Narrow"/>
          <w:snapToGrid w:val="0"/>
          <w:color w:val="000000"/>
          <w:spacing w:val="76"/>
          <w:sz w:val="18"/>
          <w:szCs w:val="18"/>
          <w:shd w:val="solid" w:color="000000" w:fill="000000"/>
          <w:fitText w:val="270" w:id="-694973433"/>
          <w14:textFill>
            <w14:solidFill>
              <w14:srgbClr w14:val="000000">
                <w14:alpha w14:val="100000"/>
              </w14:srgbClr>
            </w14:solidFill>
          </w14:textFill>
        </w:rPr>
        <w:t xml:space="preserve"> </w:t>
      </w:r>
      <w:r w:rsidR="00A268DC" w:rsidRPr="00F87B86">
        <w:rPr>
          <w:rFonts w:ascii="Arial Narrow" w:hAnsi="Arial Narrow"/>
          <w:snapToGrid w:val="0"/>
          <w:color w:val="000000"/>
          <w:spacing w:val="1"/>
          <w:sz w:val="18"/>
          <w:szCs w:val="18"/>
          <w:shd w:val="solid" w:color="000000" w:fill="000000"/>
          <w:fitText w:val="270" w:id="-694973433"/>
          <w14:textFill>
            <w14:solidFill>
              <w14:srgbClr w14:val="000000">
                <w14:alpha w14:val="100000"/>
              </w14:srgbClr>
            </w14:solidFill>
          </w14:textFill>
        </w:rPr>
        <w:t>|</w:t>
      </w:r>
      <w:r w:rsidRPr="0F1D33A4">
        <w:rPr>
          <w:rFonts w:ascii="Arial Narrow" w:hAnsi="Arial Narrow"/>
          <w:snapToGrid w:val="0"/>
          <w:sz w:val="18"/>
          <w:szCs w:val="18"/>
        </w:rPr>
        <w:t xml:space="preserve"> multiplied by number of cycles per year (13.0446) then divided by 12</w:t>
      </w:r>
    </w:p>
    <w:p w14:paraId="238C3B99" w14:textId="77777777" w:rsidR="008975CB" w:rsidRPr="008975CB" w:rsidRDefault="008975CB" w:rsidP="00C265A2">
      <w:pPr>
        <w:keepNext/>
        <w:keepLines/>
        <w:spacing w:after="120"/>
        <w:contextualSpacing/>
        <w:rPr>
          <w:rFonts w:ascii="Arial Narrow" w:hAnsi="Arial Narrow"/>
          <w:snapToGrid w:val="0"/>
          <w:sz w:val="18"/>
          <w:szCs w:val="22"/>
        </w:rPr>
      </w:pPr>
      <w:r w:rsidRPr="008975CB">
        <w:rPr>
          <w:rFonts w:ascii="Arial Narrow" w:hAnsi="Arial Narrow"/>
          <w:snapToGrid w:val="0"/>
          <w:sz w:val="18"/>
          <w:szCs w:val="22"/>
          <w:vertAlign w:val="superscript"/>
        </w:rPr>
        <w:t xml:space="preserve">j. </w:t>
      </w:r>
      <w:r w:rsidRPr="008975CB">
        <w:rPr>
          <w:rFonts w:ascii="Arial Narrow" w:hAnsi="Arial Narrow"/>
          <w:snapToGrid w:val="0"/>
          <w:sz w:val="18"/>
          <w:szCs w:val="22"/>
        </w:rPr>
        <w:t>Calculated based on footnote “k” divided by 12</w:t>
      </w:r>
    </w:p>
    <w:p w14:paraId="55D7287C" w14:textId="77777777" w:rsidR="008975CB" w:rsidRDefault="008975CB" w:rsidP="00C265A2">
      <w:pPr>
        <w:keepNext/>
        <w:keepLines/>
        <w:spacing w:after="120"/>
        <w:contextualSpacing/>
        <w:rPr>
          <w:rFonts w:ascii="Arial Narrow" w:hAnsi="Arial Narrow"/>
          <w:snapToGrid w:val="0"/>
          <w:sz w:val="18"/>
          <w:szCs w:val="22"/>
        </w:rPr>
      </w:pPr>
      <w:r w:rsidRPr="008975CB">
        <w:rPr>
          <w:rFonts w:ascii="Arial Narrow" w:hAnsi="Arial Narrow"/>
          <w:snapToGrid w:val="0"/>
          <w:sz w:val="18"/>
          <w:szCs w:val="22"/>
          <w:vertAlign w:val="superscript"/>
        </w:rPr>
        <w:t>k</w:t>
      </w:r>
      <w:r w:rsidRPr="008975CB">
        <w:rPr>
          <w:rFonts w:ascii="Arial Narrow" w:hAnsi="Arial Narrow"/>
          <w:snapToGrid w:val="0"/>
          <w:sz w:val="18"/>
          <w:szCs w:val="22"/>
        </w:rPr>
        <w:t xml:space="preserve"> Calculated based on the weighted average of the DMPQ and estimated scripts per as provided in the resubmission for HC/HU (63%), peginterferon </w:t>
      </w:r>
      <w:r w:rsidRPr="008975CB">
        <w:rPr>
          <w:rFonts w:ascii="Arial Narrow" w:hAnsi="Arial Narrow"/>
          <w:iCs/>
          <w:snapToGrid w:val="0"/>
          <w:sz w:val="18"/>
          <w:szCs w:val="22"/>
        </w:rPr>
        <w:t>α-</w:t>
      </w:r>
      <w:r w:rsidRPr="008975CB">
        <w:rPr>
          <w:rFonts w:ascii="Arial Narrow" w:hAnsi="Arial Narrow"/>
          <w:snapToGrid w:val="0"/>
          <w:sz w:val="18"/>
          <w:szCs w:val="22"/>
        </w:rPr>
        <w:t>2a (30%), and busulfan (7%)</w:t>
      </w:r>
    </w:p>
    <w:p w14:paraId="566D76AB" w14:textId="2036B16A" w:rsidR="00684C95" w:rsidRDefault="00DD3037" w:rsidP="00C265A2">
      <w:pPr>
        <w:keepNext/>
        <w:keepLines/>
        <w:spacing w:after="120"/>
        <w:contextualSpacing/>
        <w:rPr>
          <w:rFonts w:ascii="Arial Narrow" w:hAnsi="Arial Narrow"/>
          <w:snapToGrid w:val="0"/>
          <w:sz w:val="18"/>
          <w:szCs w:val="22"/>
        </w:rPr>
      </w:pPr>
      <w:r>
        <w:rPr>
          <w:rFonts w:ascii="Arial Narrow" w:hAnsi="Arial Narrow"/>
          <w:snapToGrid w:val="0"/>
          <w:sz w:val="18"/>
          <w:szCs w:val="22"/>
          <w:vertAlign w:val="superscript"/>
        </w:rPr>
        <w:t>l/</w:t>
      </w:r>
      <w:r>
        <w:rPr>
          <w:rFonts w:ascii="Arial Narrow" w:hAnsi="Arial Narrow"/>
          <w:snapToGrid w:val="0"/>
          <w:sz w:val="18"/>
          <w:szCs w:val="22"/>
        </w:rPr>
        <w:t xml:space="preserve"> Minor discrepancies may be due to rounding</w:t>
      </w:r>
    </w:p>
    <w:p w14:paraId="0778D218" w14:textId="40919BCD" w:rsidR="009A5180" w:rsidRDefault="009A5180" w:rsidP="00C265A2">
      <w:pPr>
        <w:keepNext/>
        <w:keepLines/>
        <w:spacing w:after="120"/>
        <w:contextualSpacing/>
        <w:rPr>
          <w:rFonts w:ascii="Arial Narrow" w:hAnsi="Arial Narrow"/>
          <w:snapToGrid w:val="0"/>
          <w:sz w:val="18"/>
          <w:szCs w:val="18"/>
        </w:rPr>
      </w:pPr>
      <w:r>
        <w:rPr>
          <w:rFonts w:ascii="Arial Narrow" w:hAnsi="Arial Narrow"/>
          <w:snapToGrid w:val="0"/>
          <w:sz w:val="18"/>
          <w:szCs w:val="22"/>
          <w:vertAlign w:val="superscript"/>
        </w:rPr>
        <w:t xml:space="preserve">m </w:t>
      </w:r>
      <w:r w:rsidRPr="0910F2D2">
        <w:rPr>
          <w:rFonts w:ascii="Arial Narrow" w:hAnsi="Arial Narrow"/>
          <w:snapToGrid w:val="0"/>
          <w:sz w:val="18"/>
          <w:szCs w:val="18"/>
        </w:rPr>
        <w:t>Calculated based on</w:t>
      </w:r>
      <w:r>
        <w:rPr>
          <w:rFonts w:ascii="Arial Narrow" w:hAnsi="Arial Narrow"/>
          <w:snapToGrid w:val="0"/>
          <w:sz w:val="18"/>
          <w:szCs w:val="18"/>
        </w:rPr>
        <w:t xml:space="preserve"> the pre-PBAC response</w:t>
      </w:r>
      <w:r w:rsidRPr="0910F2D2">
        <w:rPr>
          <w:rFonts w:ascii="Arial Narrow" w:hAnsi="Arial Narrow"/>
          <w:snapToGrid w:val="0"/>
          <w:sz w:val="18"/>
          <w:szCs w:val="18"/>
        </w:rPr>
        <w:t xml:space="preserve"> ruxolitinib DMPQ ($</w:t>
      </w:r>
      <w:r w:rsidR="00A268DC" w:rsidRPr="00F87B86">
        <w:rPr>
          <w:rFonts w:ascii="Arial Narrow" w:hAnsi="Arial Narrow"/>
          <w:snapToGrid w:val="0"/>
          <w:color w:val="000000"/>
          <w:spacing w:val="81"/>
          <w:sz w:val="18"/>
          <w:szCs w:val="18"/>
          <w:shd w:val="solid" w:color="000000" w:fill="000000"/>
          <w:fitText w:val="280" w:id="-694973432"/>
          <w14:textFill>
            <w14:solidFill>
              <w14:srgbClr w14:val="000000">
                <w14:alpha w14:val="100000"/>
              </w14:srgbClr>
            </w14:solidFill>
          </w14:textFill>
        </w:rPr>
        <w:t>|</w:t>
      </w:r>
      <w:r w:rsidR="00F87B86" w:rsidRPr="00F87B86">
        <w:rPr>
          <w:rFonts w:ascii="Arial Narrow" w:hAnsi="Arial Narrow"/>
          <w:snapToGrid w:val="0"/>
          <w:color w:val="000000"/>
          <w:spacing w:val="81"/>
          <w:sz w:val="18"/>
          <w:szCs w:val="18"/>
          <w:shd w:val="solid" w:color="000000" w:fill="000000"/>
          <w:fitText w:val="280" w:id="-694973432"/>
          <w14:textFill>
            <w14:solidFill>
              <w14:srgbClr w14:val="000000">
                <w14:alpha w14:val="100000"/>
              </w14:srgbClr>
            </w14:solidFill>
          </w14:textFill>
        </w:rPr>
        <w:t xml:space="preserve"> </w:t>
      </w:r>
      <w:r w:rsidR="00A268DC" w:rsidRPr="00F87B86">
        <w:rPr>
          <w:rFonts w:ascii="Arial Narrow" w:hAnsi="Arial Narrow"/>
          <w:snapToGrid w:val="0"/>
          <w:color w:val="000000"/>
          <w:spacing w:val="1"/>
          <w:sz w:val="18"/>
          <w:szCs w:val="18"/>
          <w:shd w:val="solid" w:color="000000" w:fill="000000"/>
          <w:fitText w:val="280" w:id="-694973432"/>
          <w14:textFill>
            <w14:solidFill>
              <w14:srgbClr w14:val="000000">
                <w14:alpha w14:val="100000"/>
              </w14:srgbClr>
            </w14:solidFill>
          </w14:textFill>
        </w:rPr>
        <w:t>|</w:t>
      </w:r>
      <w:r w:rsidRPr="0910F2D2">
        <w:rPr>
          <w:rFonts w:ascii="Arial Narrow" w:hAnsi="Arial Narrow"/>
          <w:snapToGrid w:val="0"/>
          <w:sz w:val="18"/>
          <w:szCs w:val="18"/>
        </w:rPr>
        <w:t>) and number of scripts per year (13.04) divided by 12</w:t>
      </w:r>
    </w:p>
    <w:p w14:paraId="654840D6" w14:textId="48CD8690" w:rsidR="00351A59" w:rsidRDefault="00351A59" w:rsidP="00C265A2">
      <w:pPr>
        <w:keepNext/>
        <w:keepLines/>
        <w:spacing w:after="120"/>
        <w:contextualSpacing/>
        <w:rPr>
          <w:rFonts w:ascii="Arial Narrow" w:hAnsi="Arial Narrow"/>
          <w:snapToGrid w:val="0"/>
          <w:sz w:val="18"/>
          <w:szCs w:val="22"/>
        </w:rPr>
      </w:pPr>
      <w:r>
        <w:rPr>
          <w:rFonts w:ascii="Arial Narrow" w:hAnsi="Arial Narrow"/>
          <w:snapToGrid w:val="0"/>
          <w:sz w:val="18"/>
          <w:szCs w:val="18"/>
          <w:vertAlign w:val="superscript"/>
        </w:rPr>
        <w:t xml:space="preserve">n </w:t>
      </w:r>
      <w:r w:rsidRPr="008975CB">
        <w:rPr>
          <w:rFonts w:ascii="Arial Narrow" w:hAnsi="Arial Narrow"/>
          <w:snapToGrid w:val="0"/>
          <w:sz w:val="18"/>
          <w:szCs w:val="22"/>
        </w:rPr>
        <w:t xml:space="preserve">Cost per 28-day cycle applied in the economic model </w:t>
      </w:r>
      <w:r>
        <w:rPr>
          <w:rFonts w:ascii="Arial Narrow" w:hAnsi="Arial Narrow"/>
          <w:snapToGrid w:val="0"/>
          <w:sz w:val="18"/>
          <w:szCs w:val="22"/>
        </w:rPr>
        <w:t>based on pre-PBAC price (</w:t>
      </w:r>
      <w:r w:rsidRPr="008975CB">
        <w:rPr>
          <w:rFonts w:ascii="Arial Narrow" w:hAnsi="Arial Narrow"/>
          <w:snapToGrid w:val="0"/>
          <w:sz w:val="18"/>
          <w:szCs w:val="22"/>
        </w:rPr>
        <w:t>$</w:t>
      </w:r>
      <w:r w:rsidR="00A268DC" w:rsidRPr="00F87B86">
        <w:rPr>
          <w:rFonts w:ascii="Arial Narrow" w:hAnsi="Arial Narrow"/>
          <w:snapToGrid w:val="0"/>
          <w:color w:val="000000"/>
          <w:spacing w:val="81"/>
          <w:sz w:val="18"/>
          <w:szCs w:val="22"/>
          <w:shd w:val="solid" w:color="000000" w:fill="000000"/>
          <w:fitText w:val="280" w:id="-694973431"/>
          <w14:textFill>
            <w14:solidFill>
              <w14:srgbClr w14:val="000000">
                <w14:alpha w14:val="100000"/>
              </w14:srgbClr>
            </w14:solidFill>
          </w14:textFill>
        </w:rPr>
        <w:t>|</w:t>
      </w:r>
      <w:r w:rsidR="00F87B86" w:rsidRPr="00F87B86">
        <w:rPr>
          <w:rFonts w:ascii="Arial Narrow" w:hAnsi="Arial Narrow"/>
          <w:snapToGrid w:val="0"/>
          <w:color w:val="000000"/>
          <w:spacing w:val="81"/>
          <w:sz w:val="18"/>
          <w:szCs w:val="22"/>
          <w:shd w:val="solid" w:color="000000" w:fill="000000"/>
          <w:fitText w:val="280" w:id="-694973431"/>
          <w14:textFill>
            <w14:solidFill>
              <w14:srgbClr w14:val="000000">
                <w14:alpha w14:val="100000"/>
              </w14:srgbClr>
            </w14:solidFill>
          </w14:textFill>
        </w:rPr>
        <w:t xml:space="preserve"> </w:t>
      </w:r>
      <w:r w:rsidR="00A268DC" w:rsidRPr="00F87B86">
        <w:rPr>
          <w:rFonts w:ascii="Arial Narrow" w:hAnsi="Arial Narrow"/>
          <w:snapToGrid w:val="0"/>
          <w:color w:val="000000"/>
          <w:spacing w:val="1"/>
          <w:sz w:val="18"/>
          <w:szCs w:val="22"/>
          <w:shd w:val="solid" w:color="000000" w:fill="000000"/>
          <w:fitText w:val="280" w:id="-694973431"/>
          <w14:textFill>
            <w14:solidFill>
              <w14:srgbClr w14:val="000000">
                <w14:alpha w14:val="100000"/>
              </w14:srgbClr>
            </w14:solidFill>
          </w14:textFill>
        </w:rPr>
        <w:t>|</w:t>
      </w:r>
      <w:r>
        <w:rPr>
          <w:rFonts w:ascii="Arial Narrow" w:hAnsi="Arial Narrow"/>
          <w:snapToGrid w:val="0"/>
          <w:sz w:val="18"/>
          <w:szCs w:val="22"/>
        </w:rPr>
        <w:t>)</w:t>
      </w:r>
      <w:r w:rsidRPr="008975CB">
        <w:rPr>
          <w:rFonts w:ascii="Arial Narrow" w:hAnsi="Arial Narrow"/>
          <w:snapToGrid w:val="0"/>
          <w:sz w:val="18"/>
          <w:szCs w:val="22"/>
        </w:rPr>
        <w:t xml:space="preserve"> multiplied by number of cycles per year (13.0446) then divided by 12</w:t>
      </w:r>
    </w:p>
    <w:p w14:paraId="440AE42C" w14:textId="1BD84B6C" w:rsidR="00351A59" w:rsidRDefault="00351A59" w:rsidP="00C265A2">
      <w:pPr>
        <w:keepNext/>
        <w:keepLines/>
        <w:spacing w:after="120"/>
        <w:contextualSpacing/>
        <w:rPr>
          <w:rFonts w:ascii="Arial Narrow" w:hAnsi="Arial Narrow"/>
          <w:snapToGrid w:val="0"/>
          <w:sz w:val="18"/>
          <w:szCs w:val="22"/>
        </w:rPr>
      </w:pPr>
      <w:r>
        <w:rPr>
          <w:rFonts w:ascii="Arial Narrow" w:hAnsi="Arial Narrow"/>
          <w:snapToGrid w:val="0"/>
          <w:sz w:val="18"/>
          <w:szCs w:val="22"/>
          <w:vertAlign w:val="superscript"/>
        </w:rPr>
        <w:t xml:space="preserve">o </w:t>
      </w:r>
      <w:r w:rsidRPr="008975CB">
        <w:rPr>
          <w:rFonts w:ascii="Arial Narrow" w:hAnsi="Arial Narrow"/>
          <w:snapToGrid w:val="0"/>
          <w:sz w:val="18"/>
          <w:szCs w:val="22"/>
        </w:rPr>
        <w:t>Calculated based on footnote ‘</w:t>
      </w:r>
      <w:r>
        <w:rPr>
          <w:rFonts w:ascii="Arial Narrow" w:hAnsi="Arial Narrow"/>
          <w:snapToGrid w:val="0"/>
          <w:sz w:val="18"/>
          <w:szCs w:val="22"/>
        </w:rPr>
        <w:t>m</w:t>
      </w:r>
      <w:r w:rsidRPr="008975CB">
        <w:rPr>
          <w:rFonts w:ascii="Arial Narrow" w:hAnsi="Arial Narrow"/>
          <w:snapToGrid w:val="0"/>
          <w:sz w:val="18"/>
          <w:szCs w:val="22"/>
        </w:rPr>
        <w:t>’ multiplied by 12</w:t>
      </w:r>
    </w:p>
    <w:p w14:paraId="640906C9" w14:textId="70FF269F" w:rsidR="00351A59" w:rsidRPr="00351A59" w:rsidRDefault="007D6E1C" w:rsidP="00C265A2">
      <w:pPr>
        <w:keepNext/>
        <w:keepLines/>
        <w:spacing w:after="120"/>
        <w:contextualSpacing/>
        <w:rPr>
          <w:rFonts w:ascii="Arial Narrow" w:hAnsi="Arial Narrow"/>
          <w:snapToGrid w:val="0"/>
          <w:sz w:val="18"/>
          <w:szCs w:val="22"/>
        </w:rPr>
      </w:pPr>
      <w:r>
        <w:rPr>
          <w:rFonts w:ascii="Arial Narrow" w:hAnsi="Arial Narrow"/>
          <w:snapToGrid w:val="0"/>
          <w:sz w:val="18"/>
          <w:szCs w:val="22"/>
          <w:vertAlign w:val="superscript"/>
        </w:rPr>
        <w:t xml:space="preserve">p </w:t>
      </w:r>
      <w:r>
        <w:rPr>
          <w:rFonts w:ascii="Arial Narrow" w:hAnsi="Arial Narrow"/>
          <w:snapToGrid w:val="0"/>
          <w:sz w:val="18"/>
          <w:szCs w:val="22"/>
        </w:rPr>
        <w:t>Calculated based on footnote 'n’ multiplied by 12</w:t>
      </w:r>
    </w:p>
    <w:p w14:paraId="6AEF2795" w14:textId="35EC13F0" w:rsidR="0010764A" w:rsidRPr="00105D8B" w:rsidRDefault="003F55CF" w:rsidP="0010764A">
      <w:pPr>
        <w:pStyle w:val="3-BodyText"/>
      </w:pPr>
      <w:r w:rsidRPr="0910F2D2">
        <w:rPr>
          <w:snapToGrid w:val="0"/>
        </w:rPr>
        <w:t>While</w:t>
      </w:r>
      <w:r w:rsidR="00300B83" w:rsidRPr="0910F2D2">
        <w:rPr>
          <w:snapToGrid w:val="0"/>
        </w:rPr>
        <w:t xml:space="preserve"> the per patient cost</w:t>
      </w:r>
      <w:r w:rsidR="005F7804" w:rsidRPr="0910F2D2">
        <w:rPr>
          <w:snapToGrid w:val="0"/>
        </w:rPr>
        <w:t>s</w:t>
      </w:r>
      <w:r w:rsidR="00300B83" w:rsidRPr="0910F2D2">
        <w:rPr>
          <w:snapToGrid w:val="0"/>
        </w:rPr>
        <w:t xml:space="preserve"> of ruxolitinib were similar across the trial, model and financial estimates, the costs</w:t>
      </w:r>
      <w:r w:rsidR="005F7804" w:rsidRPr="0910F2D2">
        <w:rPr>
          <w:snapToGrid w:val="0"/>
        </w:rPr>
        <w:t xml:space="preserve"> of BAT varied between the model and the financial estimates. </w:t>
      </w:r>
      <w:r w:rsidR="007B05CC" w:rsidRPr="0910F2D2">
        <w:rPr>
          <w:snapToGrid w:val="0"/>
        </w:rPr>
        <w:t xml:space="preserve">This is likely due to the approach used </w:t>
      </w:r>
      <w:r w:rsidR="007937FC" w:rsidRPr="0910F2D2">
        <w:rPr>
          <w:snapToGrid w:val="0"/>
        </w:rPr>
        <w:t xml:space="preserve">in the submission </w:t>
      </w:r>
      <w:r w:rsidR="007B05CC" w:rsidRPr="0910F2D2">
        <w:rPr>
          <w:snapToGrid w:val="0"/>
        </w:rPr>
        <w:t xml:space="preserve">to estimate </w:t>
      </w:r>
      <w:r w:rsidR="007D1BDC" w:rsidRPr="0910F2D2">
        <w:rPr>
          <w:snapToGrid w:val="0"/>
        </w:rPr>
        <w:t>script offsets for BAT</w:t>
      </w:r>
      <w:r w:rsidR="007D5D5D" w:rsidRPr="0910F2D2">
        <w:rPr>
          <w:snapToGrid w:val="0"/>
        </w:rPr>
        <w:t xml:space="preserve">, which </w:t>
      </w:r>
      <w:r w:rsidR="00BF2978" w:rsidRPr="0910F2D2">
        <w:rPr>
          <w:snapToGrid w:val="0"/>
        </w:rPr>
        <w:t xml:space="preserve">replied on outputs from the economic model </w:t>
      </w:r>
      <w:r w:rsidR="007D5D5D" w:rsidRPr="0910F2D2">
        <w:rPr>
          <w:snapToGrid w:val="0"/>
        </w:rPr>
        <w:t>(</w:t>
      </w:r>
      <w:r w:rsidR="009659EA" w:rsidRPr="0910F2D2">
        <w:rPr>
          <w:snapToGrid w:val="0"/>
        </w:rPr>
        <w:t xml:space="preserve">para </w:t>
      </w:r>
      <w:r w:rsidR="009659EA">
        <w:rPr>
          <w:snapToGrid w:val="0"/>
        </w:rPr>
        <w:fldChar w:fldCharType="begin" w:fldLock="1"/>
      </w:r>
      <w:r w:rsidR="009659EA">
        <w:rPr>
          <w:snapToGrid w:val="0"/>
        </w:rPr>
        <w:instrText xml:space="preserve"> REF _Ref184729763 \r \h </w:instrText>
      </w:r>
      <w:r w:rsidR="009659EA">
        <w:rPr>
          <w:snapToGrid w:val="0"/>
        </w:rPr>
      </w:r>
      <w:r w:rsidR="009659EA">
        <w:rPr>
          <w:snapToGrid w:val="0"/>
        </w:rPr>
        <w:fldChar w:fldCharType="separate"/>
      </w:r>
      <w:r w:rsidR="0072202A">
        <w:rPr>
          <w:snapToGrid w:val="0"/>
        </w:rPr>
        <w:t>6.94</w:t>
      </w:r>
      <w:r w:rsidR="009659EA">
        <w:rPr>
          <w:snapToGrid w:val="0"/>
        </w:rPr>
        <w:fldChar w:fldCharType="end"/>
      </w:r>
      <w:r w:rsidR="009659EA" w:rsidRPr="0910F2D2">
        <w:rPr>
          <w:snapToGrid w:val="0"/>
        </w:rPr>
        <w:t>).</w:t>
      </w:r>
    </w:p>
    <w:p w14:paraId="3A38F6F6" w14:textId="77777777" w:rsidR="008975CB" w:rsidRPr="008975CB" w:rsidRDefault="008975CB" w:rsidP="008975CB">
      <w:pPr>
        <w:keepNext/>
        <w:spacing w:before="120" w:after="120"/>
        <w:outlineLvl w:val="1"/>
        <w:rPr>
          <w:rFonts w:asciiTheme="minorHAnsi" w:eastAsiaTheme="majorEastAsia" w:hAnsiTheme="minorHAnsi" w:cstheme="majorBidi"/>
          <w:b/>
          <w:i/>
          <w:spacing w:val="5"/>
          <w:kern w:val="28"/>
          <w:sz w:val="28"/>
          <w:szCs w:val="36"/>
          <w:lang w:eastAsia="en-US"/>
        </w:rPr>
      </w:pPr>
      <w:bookmarkStart w:id="92" w:name="_Toc22897647"/>
      <w:bookmarkStart w:id="93" w:name="_Toc184797849"/>
      <w:r w:rsidRPr="008975CB">
        <w:rPr>
          <w:rFonts w:asciiTheme="minorHAnsi" w:eastAsiaTheme="majorEastAsia" w:hAnsiTheme="minorHAnsi" w:cstheme="majorBidi"/>
          <w:b/>
          <w:i/>
          <w:spacing w:val="5"/>
          <w:kern w:val="28"/>
          <w:sz w:val="28"/>
          <w:szCs w:val="36"/>
          <w:lang w:eastAsia="en-US"/>
        </w:rPr>
        <w:t>Estimated PBS usage &amp; financial implications</w:t>
      </w:r>
      <w:bookmarkEnd w:id="92"/>
      <w:bookmarkEnd w:id="93"/>
    </w:p>
    <w:p w14:paraId="36671402" w14:textId="74FBFAAF" w:rsidR="008975CB" w:rsidRPr="006452F7" w:rsidRDefault="008975CB" w:rsidP="00953620">
      <w:pPr>
        <w:pStyle w:val="3-BodyText"/>
        <w:rPr>
          <w:color w:val="000000" w:themeColor="text1"/>
        </w:rPr>
      </w:pPr>
      <w:r w:rsidRPr="008975CB">
        <w:t xml:space="preserve">This </w:t>
      </w:r>
      <w:r w:rsidR="00DD78C7" w:rsidRPr="006452F7">
        <w:rPr>
          <w:color w:val="000000" w:themeColor="text1"/>
        </w:rPr>
        <w:t>re</w:t>
      </w:r>
      <w:r w:rsidRPr="006452F7">
        <w:rPr>
          <w:color w:val="000000" w:themeColor="text1"/>
        </w:rPr>
        <w:t xml:space="preserve">submission </w:t>
      </w:r>
      <w:r w:rsidR="00567618" w:rsidRPr="006452F7">
        <w:rPr>
          <w:color w:val="000000" w:themeColor="text1"/>
        </w:rPr>
        <w:t>was</w:t>
      </w:r>
      <w:r w:rsidRPr="006452F7">
        <w:rPr>
          <w:color w:val="000000" w:themeColor="text1"/>
        </w:rPr>
        <w:t xml:space="preserve"> not considered by DUSC.</w:t>
      </w:r>
    </w:p>
    <w:p w14:paraId="2B7765FF" w14:textId="183F1C8B" w:rsidR="008975CB" w:rsidRPr="00567618" w:rsidRDefault="6DC8D53B" w:rsidP="00953620">
      <w:pPr>
        <w:pStyle w:val="3-BodyText"/>
      </w:pPr>
      <w:r w:rsidRPr="0910F2D2">
        <w:t xml:space="preserve">The </w:t>
      </w:r>
      <w:r w:rsidR="00DD78C7" w:rsidRPr="0910F2D2">
        <w:t>re</w:t>
      </w:r>
      <w:r w:rsidRPr="0910F2D2">
        <w:t xml:space="preserve">submission used a mixed prevalence-incidence approach to estimate the financial implications associated with </w:t>
      </w:r>
      <w:r w:rsidR="009805DE" w:rsidRPr="0910F2D2">
        <w:t xml:space="preserve">the </w:t>
      </w:r>
      <w:r w:rsidRPr="0910F2D2">
        <w:t xml:space="preserve">proposed listing of ruxolitinib. The financial model estimated the number of patients with PV that are resistant or intolerant to HC/HU likely to receive ruxolitinib based on the data from the AIHW Cancer Database, proportion likely to be resistant or intolerant to HC/HU and uptake rates. The approach applied in the resubmission </w:t>
      </w:r>
      <w:r w:rsidR="00C1541E" w:rsidRPr="0910F2D2">
        <w:t>modelled</w:t>
      </w:r>
      <w:r w:rsidRPr="0910F2D2">
        <w:t xml:space="preserve"> incident and prevalent patients together, applying the same assumptions (e.g. uptake rate, response to treatment) to both populations</w:t>
      </w:r>
      <w:r w:rsidR="0003636E" w:rsidRPr="0910F2D2">
        <w:t>,</w:t>
      </w:r>
      <w:r w:rsidRPr="0910F2D2">
        <w:t xml:space="preserve"> which may not be reasonable.</w:t>
      </w:r>
      <w:r w:rsidR="00EF1358" w:rsidRPr="0910F2D2">
        <w:t xml:space="preserve"> </w:t>
      </w:r>
    </w:p>
    <w:p w14:paraId="1E90B63D" w14:textId="2C626135" w:rsidR="008975CB" w:rsidRPr="006452F7" w:rsidRDefault="008975CB" w:rsidP="00953620">
      <w:pPr>
        <w:pStyle w:val="3-BodyText"/>
      </w:pPr>
      <w:r w:rsidRPr="006452F7">
        <w:lastRenderedPageBreak/>
        <w:t xml:space="preserve">Although the source of the prevalence data </w:t>
      </w:r>
      <w:r w:rsidR="00ED0005" w:rsidRPr="006452F7">
        <w:t>was</w:t>
      </w:r>
      <w:r w:rsidRPr="006452F7">
        <w:t xml:space="preserve"> updated using the AIHW cancer data in the resubmission in response to PBAC’s concerns relating to applicability to the Australian population (para 6.7</w:t>
      </w:r>
      <w:r w:rsidR="00180BBA" w:rsidRPr="006452F7">
        <w:t>7</w:t>
      </w:r>
      <w:r w:rsidRPr="006452F7">
        <w:t>, ruxolitinib</w:t>
      </w:r>
      <w:r w:rsidR="00735EB8" w:rsidRPr="006452F7">
        <w:t>,</w:t>
      </w:r>
      <w:r w:rsidRPr="006452F7">
        <w:t xml:space="preserve"> PSD</w:t>
      </w:r>
      <w:r w:rsidR="00735EB8" w:rsidRPr="006452F7">
        <w:t>,</w:t>
      </w:r>
      <w:r w:rsidRPr="006452F7">
        <w:t xml:space="preserve"> November 2019</w:t>
      </w:r>
      <w:r w:rsidR="00735EB8" w:rsidRPr="006452F7">
        <w:t xml:space="preserve"> PBAC meeting</w:t>
      </w:r>
      <w:r w:rsidRPr="006452F7">
        <w:t>), this data differed from that extracted during the evaluation which reported lower rates</w:t>
      </w:r>
      <w:r w:rsidR="00D835DC" w:rsidRPr="006452F7">
        <w:t xml:space="preserve"> </w:t>
      </w:r>
      <w:r w:rsidR="00CD75E8" w:rsidRPr="006452F7">
        <w:t xml:space="preserve">The ESC </w:t>
      </w:r>
      <w:r w:rsidR="00DB6880" w:rsidRPr="006452F7">
        <w:t>considered</w:t>
      </w:r>
      <w:r w:rsidR="00CD75E8" w:rsidRPr="006452F7">
        <w:t xml:space="preserve"> the </w:t>
      </w:r>
      <w:r w:rsidR="00CF185D" w:rsidRPr="006452F7">
        <w:t xml:space="preserve">resubmissions inputs </w:t>
      </w:r>
      <w:r w:rsidR="00DB6880" w:rsidRPr="006452F7">
        <w:t xml:space="preserve">were overestimated (see </w:t>
      </w:r>
      <w:r w:rsidR="00DB6880" w:rsidRPr="006452F7">
        <w:fldChar w:fldCharType="begin" w:fldLock="1"/>
      </w:r>
      <w:r w:rsidR="00DB6880" w:rsidRPr="006452F7">
        <w:instrText xml:space="preserve"> REF _Ref104805262 \h  \* MERGEFORMAT </w:instrText>
      </w:r>
      <w:r w:rsidR="00DB6880" w:rsidRPr="006452F7">
        <w:fldChar w:fldCharType="separate"/>
      </w:r>
      <w:r w:rsidR="00BE474A" w:rsidRPr="006452F7">
        <w:t>Table 21</w:t>
      </w:r>
      <w:r w:rsidR="00DB6880" w:rsidRPr="006452F7">
        <w:fldChar w:fldCharType="end"/>
      </w:r>
      <w:r w:rsidR="00DB6880" w:rsidRPr="006452F7">
        <w:t>).</w:t>
      </w:r>
    </w:p>
    <w:p w14:paraId="30AC0A64" w14:textId="0D256732" w:rsidR="008975CB" w:rsidRPr="00567618" w:rsidRDefault="6DC8D53B" w:rsidP="00953620">
      <w:pPr>
        <w:pStyle w:val="3-BodyText"/>
      </w:pPr>
      <w:r w:rsidRPr="0F1D33A4">
        <w:t>The resubmission adjusted the uptake rate for prevalent patients in year 1 in response to DUSC’s advice that it was too low (20%) in the previous submission (para 6.82, ruxolitin</w:t>
      </w:r>
      <w:r w:rsidR="6C45DD0C" w:rsidRPr="0F1D33A4">
        <w:t>i</w:t>
      </w:r>
      <w:r w:rsidRPr="0F1D33A4">
        <w:t xml:space="preserve">b, PSD, November 2019 PBAC meeting). </w:t>
      </w:r>
      <w:r w:rsidR="1C04EB19" w:rsidRPr="0F1D33A4">
        <w:t>The resubmission applied uptake rates to patients not yet commenced,</w:t>
      </w:r>
      <w:r w:rsidR="095DFEE2" w:rsidRPr="0F1D33A4">
        <w:t xml:space="preserve"> rather than cumulative uptake rates as per the previous submission.</w:t>
      </w:r>
      <w:r w:rsidR="1C04EB19" w:rsidRPr="0F1D33A4">
        <w:t xml:space="preserve"> </w:t>
      </w:r>
    </w:p>
    <w:p w14:paraId="53177C10" w14:textId="13EE7799" w:rsidR="008975CB" w:rsidRPr="00567618" w:rsidRDefault="008975CB" w:rsidP="00953620">
      <w:pPr>
        <w:pStyle w:val="3-BodyText"/>
      </w:pPr>
      <w:r w:rsidRPr="00567618">
        <w:t>A summary of the key inputs in the financial analysis is presented in</w:t>
      </w:r>
      <w:r w:rsidRPr="00567618">
        <w:rPr>
          <w:rFonts w:cstheme="minorHAnsi"/>
          <w:szCs w:val="24"/>
        </w:rPr>
        <w:t xml:space="preserve"> </w:t>
      </w:r>
      <w:r w:rsidRPr="00567618">
        <w:rPr>
          <w:rFonts w:cstheme="minorHAnsi"/>
          <w:szCs w:val="24"/>
        </w:rPr>
        <w:fldChar w:fldCharType="begin" w:fldLock="1"/>
      </w:r>
      <w:r w:rsidRPr="00567618">
        <w:rPr>
          <w:rFonts w:cstheme="minorHAnsi"/>
          <w:szCs w:val="24"/>
        </w:rPr>
        <w:instrText xml:space="preserve"> REF _Ref104805262 \h </w:instrText>
      </w:r>
      <w:r w:rsidR="003834A3" w:rsidRPr="00567618">
        <w:rPr>
          <w:rFonts w:cstheme="minorHAnsi"/>
          <w:szCs w:val="24"/>
        </w:rPr>
        <w:instrText xml:space="preserve"> \* MERGEFORMAT </w:instrText>
      </w:r>
      <w:r w:rsidRPr="00567618">
        <w:rPr>
          <w:rFonts w:cstheme="minorHAnsi"/>
          <w:szCs w:val="24"/>
        </w:rPr>
      </w:r>
      <w:r w:rsidRPr="00567618">
        <w:rPr>
          <w:rFonts w:cstheme="minorHAnsi"/>
          <w:szCs w:val="24"/>
        </w:rPr>
        <w:fldChar w:fldCharType="separate"/>
      </w:r>
      <w:r w:rsidR="00BE474A" w:rsidRPr="00BE474A">
        <w:rPr>
          <w:rFonts w:cstheme="minorHAnsi"/>
          <w:szCs w:val="24"/>
        </w:rPr>
        <w:t xml:space="preserve">Table </w:t>
      </w:r>
      <w:r w:rsidR="00BE474A" w:rsidRPr="00BE474A">
        <w:rPr>
          <w:rFonts w:cstheme="minorHAnsi"/>
          <w:noProof/>
          <w:szCs w:val="24"/>
        </w:rPr>
        <w:t>21</w:t>
      </w:r>
      <w:r w:rsidRPr="00567618">
        <w:rPr>
          <w:rFonts w:cstheme="minorHAnsi"/>
          <w:szCs w:val="24"/>
        </w:rPr>
        <w:fldChar w:fldCharType="end"/>
      </w:r>
      <w:r w:rsidR="003834A3" w:rsidRPr="00567618">
        <w:rPr>
          <w:rFonts w:cstheme="minorHAnsi"/>
          <w:szCs w:val="24"/>
        </w:rPr>
        <w:t>.</w:t>
      </w:r>
    </w:p>
    <w:p w14:paraId="46FF5491" w14:textId="5F5A99B4" w:rsidR="008975CB" w:rsidRPr="00567618" w:rsidRDefault="008975CB" w:rsidP="008975CB">
      <w:pPr>
        <w:keepNext/>
        <w:keepLines/>
        <w:rPr>
          <w:rFonts w:ascii="Arial Narrow" w:hAnsi="Arial Narrow"/>
          <w:b/>
          <w:bCs/>
          <w:sz w:val="20"/>
        </w:rPr>
      </w:pPr>
      <w:bookmarkStart w:id="94" w:name="_Ref104805262"/>
      <w:bookmarkStart w:id="95" w:name="_Ref184715283"/>
      <w:r w:rsidRPr="00567618">
        <w:rPr>
          <w:rFonts w:ascii="Arial Narrow" w:hAnsi="Arial Narrow"/>
          <w:b/>
          <w:bCs/>
          <w:sz w:val="20"/>
          <w:szCs w:val="18"/>
        </w:rPr>
        <w:lastRenderedPageBreak/>
        <w:t xml:space="preserve">Table </w:t>
      </w:r>
      <w:r w:rsidRPr="00567618">
        <w:rPr>
          <w:rFonts w:ascii="Arial Narrow" w:hAnsi="Arial Narrow"/>
          <w:b/>
          <w:bCs/>
          <w:sz w:val="20"/>
          <w:szCs w:val="18"/>
        </w:rPr>
        <w:fldChar w:fldCharType="begin" w:fldLock="1"/>
      </w:r>
      <w:r w:rsidRPr="00567618">
        <w:rPr>
          <w:rFonts w:ascii="Arial Narrow" w:hAnsi="Arial Narrow"/>
          <w:b/>
          <w:bCs/>
          <w:sz w:val="20"/>
          <w:szCs w:val="18"/>
        </w:rPr>
        <w:instrText xml:space="preserve"> SEQ Table \* ARABIC </w:instrText>
      </w:r>
      <w:r w:rsidRPr="00567618">
        <w:rPr>
          <w:rFonts w:ascii="Arial Narrow" w:hAnsi="Arial Narrow"/>
          <w:b/>
          <w:bCs/>
          <w:sz w:val="20"/>
          <w:szCs w:val="18"/>
        </w:rPr>
        <w:fldChar w:fldCharType="separate"/>
      </w:r>
      <w:r w:rsidR="001F427F">
        <w:rPr>
          <w:rFonts w:ascii="Arial Narrow" w:hAnsi="Arial Narrow"/>
          <w:b/>
          <w:bCs/>
          <w:noProof/>
          <w:sz w:val="20"/>
          <w:szCs w:val="18"/>
        </w:rPr>
        <w:t>21</w:t>
      </w:r>
      <w:r w:rsidRPr="00567618">
        <w:rPr>
          <w:rFonts w:ascii="Arial Narrow" w:hAnsi="Arial Narrow"/>
          <w:b/>
          <w:bCs/>
          <w:sz w:val="20"/>
          <w:szCs w:val="18"/>
        </w:rPr>
        <w:fldChar w:fldCharType="end"/>
      </w:r>
      <w:bookmarkEnd w:id="94"/>
      <w:r w:rsidRPr="00567618">
        <w:rPr>
          <w:rFonts w:ascii="Arial Narrow" w:hAnsi="Arial Narrow"/>
          <w:b/>
          <w:bCs/>
          <w:sz w:val="20"/>
          <w:szCs w:val="18"/>
        </w:rPr>
        <w:t>:</w:t>
      </w:r>
      <w:r w:rsidRPr="00567618">
        <w:rPr>
          <w:rFonts w:ascii="Arial Narrow" w:hAnsi="Arial Narrow"/>
          <w:b/>
          <w:bCs/>
          <w:sz w:val="20"/>
        </w:rPr>
        <w:t xml:space="preserve"> Key inputs for financial estimates</w:t>
      </w:r>
      <w:bookmarkEnd w:id="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1: Key inputs for financial estimates"/>
      </w:tblPr>
      <w:tblGrid>
        <w:gridCol w:w="1714"/>
        <w:gridCol w:w="3244"/>
        <w:gridCol w:w="4059"/>
      </w:tblGrid>
      <w:tr w:rsidR="008975CB" w:rsidRPr="00567618" w14:paraId="53555FF3" w14:textId="77777777" w:rsidTr="0F1D33A4">
        <w:tc>
          <w:tcPr>
            <w:tcW w:w="950" w:type="pct"/>
            <w:shd w:val="clear" w:color="auto" w:fill="auto"/>
          </w:tcPr>
          <w:p w14:paraId="4C5C27F3" w14:textId="77777777" w:rsidR="008975CB" w:rsidRPr="00567618" w:rsidRDefault="008975CB" w:rsidP="008975CB">
            <w:pPr>
              <w:keepNext/>
              <w:keepLines/>
              <w:jc w:val="left"/>
              <w:rPr>
                <w:rFonts w:ascii="Arial Narrow" w:eastAsiaTheme="majorEastAsia" w:hAnsi="Arial Narrow" w:cs="Times New Roman"/>
                <w:b/>
                <w:sz w:val="20"/>
                <w:lang w:val="en-US"/>
              </w:rPr>
            </w:pPr>
            <w:r w:rsidRPr="00567618">
              <w:rPr>
                <w:rFonts w:ascii="Arial Narrow" w:eastAsiaTheme="majorEastAsia" w:hAnsi="Arial Narrow" w:cs="Times New Roman"/>
                <w:b/>
                <w:sz w:val="20"/>
                <w:lang w:val="en-US"/>
              </w:rPr>
              <w:t>Parameter</w:t>
            </w:r>
          </w:p>
        </w:tc>
        <w:tc>
          <w:tcPr>
            <w:tcW w:w="1799" w:type="pct"/>
            <w:shd w:val="clear" w:color="auto" w:fill="auto"/>
          </w:tcPr>
          <w:p w14:paraId="067576FD" w14:textId="77777777" w:rsidR="008975CB" w:rsidRPr="00567618" w:rsidRDefault="008975CB" w:rsidP="008975CB">
            <w:pPr>
              <w:keepNext/>
              <w:keepLines/>
              <w:jc w:val="left"/>
              <w:rPr>
                <w:rFonts w:ascii="Arial Narrow" w:eastAsiaTheme="majorEastAsia" w:hAnsi="Arial Narrow" w:cs="Times New Roman"/>
                <w:b/>
                <w:sz w:val="20"/>
                <w:lang w:val="en-US"/>
              </w:rPr>
            </w:pPr>
            <w:r w:rsidRPr="00567618">
              <w:rPr>
                <w:rFonts w:ascii="Arial Narrow" w:eastAsiaTheme="majorEastAsia" w:hAnsi="Arial Narrow" w:cs="Times New Roman"/>
                <w:b/>
                <w:sz w:val="20"/>
                <w:lang w:val="en-US"/>
              </w:rPr>
              <w:t>Value applied and source</w:t>
            </w:r>
          </w:p>
        </w:tc>
        <w:tc>
          <w:tcPr>
            <w:tcW w:w="2251" w:type="pct"/>
            <w:shd w:val="clear" w:color="auto" w:fill="auto"/>
          </w:tcPr>
          <w:p w14:paraId="636275FD" w14:textId="77777777" w:rsidR="008975CB" w:rsidRPr="00567618" w:rsidRDefault="008975CB" w:rsidP="008975CB">
            <w:pPr>
              <w:keepNext/>
              <w:keepLines/>
              <w:jc w:val="left"/>
              <w:rPr>
                <w:rFonts w:ascii="Arial Narrow" w:eastAsiaTheme="majorEastAsia" w:hAnsi="Arial Narrow" w:cs="Times New Roman"/>
                <w:b/>
                <w:sz w:val="20"/>
                <w:lang w:val="en-US"/>
              </w:rPr>
            </w:pPr>
            <w:r w:rsidRPr="00567618">
              <w:rPr>
                <w:rFonts w:ascii="Arial Narrow" w:eastAsiaTheme="majorEastAsia" w:hAnsi="Arial Narrow" w:cs="Times New Roman"/>
                <w:b/>
                <w:sz w:val="20"/>
                <w:lang w:val="en-US"/>
              </w:rPr>
              <w:t>Comment</w:t>
            </w:r>
          </w:p>
        </w:tc>
      </w:tr>
      <w:tr w:rsidR="008975CB" w:rsidRPr="00567618" w14:paraId="55AC1264" w14:textId="77777777" w:rsidTr="0F1D33A4">
        <w:tc>
          <w:tcPr>
            <w:tcW w:w="950" w:type="pct"/>
            <w:shd w:val="clear" w:color="auto" w:fill="auto"/>
          </w:tcPr>
          <w:p w14:paraId="0D4EBC7B" w14:textId="77777777" w:rsidR="008975CB" w:rsidRPr="00567618" w:rsidRDefault="008975CB" w:rsidP="008975CB">
            <w:pPr>
              <w:keepNext/>
              <w:keepLines/>
              <w:jc w:val="left"/>
              <w:rPr>
                <w:rFonts w:ascii="Arial Narrow" w:eastAsiaTheme="majorEastAsia" w:hAnsi="Arial Narrow" w:cstheme="majorBidi"/>
                <w:bCs/>
                <w:sz w:val="20"/>
              </w:rPr>
            </w:pPr>
            <w:r w:rsidRPr="00567618">
              <w:rPr>
                <w:rFonts w:ascii="Arial Narrow" w:eastAsiaTheme="majorEastAsia" w:hAnsi="Arial Narrow" w:cstheme="majorBidi"/>
                <w:bCs/>
                <w:sz w:val="20"/>
              </w:rPr>
              <w:t>Incidence rate of PV</w:t>
            </w:r>
          </w:p>
        </w:tc>
        <w:tc>
          <w:tcPr>
            <w:tcW w:w="1799" w:type="pct"/>
            <w:shd w:val="clear" w:color="auto" w:fill="auto"/>
          </w:tcPr>
          <w:p w14:paraId="20A16DF0" w14:textId="77777777" w:rsidR="008975CB" w:rsidRPr="00567618" w:rsidRDefault="008975CB" w:rsidP="008975CB">
            <w:pPr>
              <w:keepNext/>
              <w:keepLines/>
              <w:jc w:val="left"/>
              <w:rPr>
                <w:rFonts w:ascii="Arial Narrow" w:eastAsiaTheme="majorEastAsia" w:hAnsi="Arial Narrow" w:cstheme="majorBidi"/>
                <w:bCs/>
                <w:sz w:val="20"/>
              </w:rPr>
            </w:pPr>
            <w:r w:rsidRPr="00567618">
              <w:rPr>
                <w:rFonts w:ascii="Arial Narrow" w:eastAsiaTheme="majorEastAsia" w:hAnsi="Arial Narrow" w:cstheme="majorBidi"/>
                <w:bCs/>
                <w:sz w:val="20"/>
              </w:rPr>
              <w:t>1.33/100,000: calculated using AIHW cancer data 2020</w:t>
            </w:r>
          </w:p>
        </w:tc>
        <w:tc>
          <w:tcPr>
            <w:tcW w:w="2251" w:type="pct"/>
            <w:vMerge w:val="restart"/>
            <w:shd w:val="clear" w:color="auto" w:fill="auto"/>
          </w:tcPr>
          <w:p w14:paraId="6C034CF4" w14:textId="1E1B510C" w:rsidR="008975CB" w:rsidRPr="00C3751B" w:rsidRDefault="6DC8D53B" w:rsidP="0F1D33A4">
            <w:pPr>
              <w:keepNext/>
              <w:keepLines/>
              <w:jc w:val="left"/>
              <w:rPr>
                <w:rFonts w:ascii="Arial Narrow" w:eastAsiaTheme="majorEastAsia" w:hAnsi="Arial Narrow" w:cstheme="majorBidi"/>
                <w:i/>
                <w:iCs/>
                <w:sz w:val="20"/>
                <w:szCs w:val="20"/>
              </w:rPr>
            </w:pPr>
            <w:r w:rsidRPr="0F1D33A4">
              <w:rPr>
                <w:rFonts w:ascii="Arial Narrow" w:eastAsiaTheme="majorEastAsia" w:hAnsi="Arial Narrow" w:cstheme="majorBidi"/>
                <w:sz w:val="20"/>
                <w:szCs w:val="20"/>
              </w:rPr>
              <w:t xml:space="preserve">This </w:t>
            </w:r>
            <w:r w:rsidR="004701D9" w:rsidRPr="0F1D33A4">
              <w:rPr>
                <w:rFonts w:ascii="Arial Narrow" w:eastAsiaTheme="majorEastAsia" w:hAnsi="Arial Narrow" w:cstheme="majorBidi"/>
                <w:sz w:val="20"/>
                <w:szCs w:val="20"/>
              </w:rPr>
              <w:t>source was reasonable</w:t>
            </w:r>
            <w:r w:rsidR="1BCD43D4" w:rsidRPr="0F1D33A4">
              <w:rPr>
                <w:rFonts w:ascii="Arial Narrow" w:eastAsiaTheme="majorEastAsia" w:hAnsi="Arial Narrow" w:cstheme="majorBidi"/>
                <w:sz w:val="20"/>
                <w:szCs w:val="20"/>
              </w:rPr>
              <w:t xml:space="preserve">, however the method described in the resubmission did not match the </w:t>
            </w:r>
            <w:r w:rsidR="1102B696" w:rsidRPr="0F1D33A4">
              <w:rPr>
                <w:rFonts w:ascii="Arial Narrow" w:eastAsiaTheme="majorEastAsia" w:hAnsi="Arial Narrow" w:cstheme="majorBidi"/>
                <w:sz w:val="20"/>
                <w:szCs w:val="20"/>
              </w:rPr>
              <w:t>numbers presented by the resubmission.</w:t>
            </w:r>
            <w:r w:rsidR="1BCD43D4" w:rsidRPr="0F1D33A4">
              <w:rPr>
                <w:rFonts w:ascii="Arial Narrow" w:eastAsiaTheme="majorEastAsia" w:hAnsi="Arial Narrow" w:cstheme="majorBidi"/>
                <w:sz w:val="20"/>
                <w:szCs w:val="20"/>
              </w:rPr>
              <w:t xml:space="preserve"> </w:t>
            </w:r>
            <w:r w:rsidR="00A6385B" w:rsidRPr="0F1D33A4">
              <w:rPr>
                <w:rFonts w:ascii="Arial Narrow" w:eastAsiaTheme="majorEastAsia" w:hAnsi="Arial Narrow" w:cstheme="majorBidi"/>
                <w:sz w:val="20"/>
                <w:szCs w:val="20"/>
              </w:rPr>
              <w:t>Evaluator-extracted AIHW data</w:t>
            </w:r>
            <w:r w:rsidR="00695FAB" w:rsidRPr="0F1D33A4">
              <w:rPr>
                <w:rFonts w:ascii="Arial Narrow" w:eastAsiaTheme="majorEastAsia" w:hAnsi="Arial Narrow" w:cstheme="majorBidi"/>
                <w:sz w:val="20"/>
                <w:szCs w:val="20"/>
              </w:rPr>
              <w:t xml:space="preserve"> based on the age-standardised rate of the 2001 Australian Standard Population</w:t>
            </w:r>
            <w:r w:rsidR="00A6385B" w:rsidRPr="0F1D33A4">
              <w:rPr>
                <w:rFonts w:ascii="Arial Narrow" w:eastAsiaTheme="majorEastAsia" w:hAnsi="Arial Narrow" w:cstheme="majorBidi"/>
                <w:sz w:val="20"/>
                <w:szCs w:val="20"/>
              </w:rPr>
              <w:t xml:space="preserve"> reported an average incidence rate of 1.19 per 100</w:t>
            </w:r>
            <w:r w:rsidR="007F469D" w:rsidRPr="0F1D33A4">
              <w:rPr>
                <w:rFonts w:ascii="Arial Narrow" w:eastAsiaTheme="majorEastAsia" w:hAnsi="Arial Narrow" w:cstheme="majorBidi"/>
                <w:sz w:val="20"/>
                <w:szCs w:val="20"/>
              </w:rPr>
              <w:t>,000 and an average prevalence rate of 8.2 per 100,000</w:t>
            </w:r>
            <w:r w:rsidR="007F469D" w:rsidRPr="00946411">
              <w:rPr>
                <w:rFonts w:ascii="Arial Narrow" w:eastAsiaTheme="majorEastAsia" w:hAnsi="Arial Narrow" w:cstheme="majorBidi"/>
                <w:sz w:val="20"/>
                <w:szCs w:val="20"/>
              </w:rPr>
              <w:t xml:space="preserve">. </w:t>
            </w:r>
            <w:r w:rsidR="00C3751B" w:rsidRPr="00946411">
              <w:rPr>
                <w:rFonts w:ascii="Arial Narrow" w:eastAsiaTheme="majorEastAsia" w:hAnsi="Arial Narrow" w:cstheme="majorBidi"/>
                <w:sz w:val="20"/>
                <w:szCs w:val="20"/>
              </w:rPr>
              <w:t xml:space="preserve">The ESC </w:t>
            </w:r>
            <w:r w:rsidR="00D0663A" w:rsidRPr="00946411">
              <w:rPr>
                <w:rFonts w:ascii="Arial Narrow" w:eastAsiaTheme="majorEastAsia" w:hAnsi="Arial Narrow" w:cstheme="majorBidi"/>
                <w:sz w:val="20"/>
                <w:szCs w:val="20"/>
              </w:rPr>
              <w:t xml:space="preserve">noted the corrected evaluator-extracted incidence and prevalence rates and advised that the </w:t>
            </w:r>
            <w:r w:rsidR="0096294C" w:rsidRPr="00946411">
              <w:rPr>
                <w:rFonts w:ascii="Arial Narrow" w:eastAsiaTheme="majorEastAsia" w:hAnsi="Arial Narrow" w:cstheme="majorBidi"/>
                <w:sz w:val="20"/>
                <w:szCs w:val="20"/>
              </w:rPr>
              <w:t>resubmission inputs for these parameters were overestimated</w:t>
            </w:r>
            <w:r w:rsidR="00BF74B5" w:rsidRPr="00946411">
              <w:rPr>
                <w:rFonts w:ascii="Arial Narrow" w:eastAsiaTheme="majorEastAsia" w:hAnsi="Arial Narrow" w:cstheme="majorBidi"/>
                <w:sz w:val="20"/>
                <w:szCs w:val="20"/>
              </w:rPr>
              <w:t>.</w:t>
            </w:r>
            <w:r w:rsidR="00A8782B">
              <w:rPr>
                <w:rFonts w:ascii="Arial Narrow" w:eastAsiaTheme="majorEastAsia" w:hAnsi="Arial Narrow" w:cstheme="majorBidi"/>
                <w:sz w:val="20"/>
                <w:szCs w:val="20"/>
              </w:rPr>
              <w:t xml:space="preserve"> </w:t>
            </w:r>
          </w:p>
        </w:tc>
      </w:tr>
      <w:tr w:rsidR="008975CB" w:rsidRPr="00567618" w14:paraId="01BF7A32" w14:textId="77777777" w:rsidTr="0F1D33A4">
        <w:tc>
          <w:tcPr>
            <w:tcW w:w="950" w:type="pct"/>
            <w:shd w:val="clear" w:color="auto" w:fill="auto"/>
          </w:tcPr>
          <w:p w14:paraId="454A79F1" w14:textId="77777777" w:rsidR="008975CB" w:rsidRPr="00567618" w:rsidRDefault="008975CB" w:rsidP="008975CB">
            <w:pPr>
              <w:keepNext/>
              <w:keepLines/>
              <w:jc w:val="left"/>
              <w:rPr>
                <w:rFonts w:ascii="Arial Narrow" w:eastAsiaTheme="majorEastAsia" w:hAnsi="Arial Narrow" w:cstheme="majorBidi"/>
                <w:bCs/>
                <w:sz w:val="20"/>
              </w:rPr>
            </w:pPr>
            <w:r w:rsidRPr="00567618">
              <w:rPr>
                <w:rFonts w:ascii="Arial Narrow" w:eastAsiaTheme="majorEastAsia" w:hAnsi="Arial Narrow" w:cstheme="majorBidi"/>
                <w:bCs/>
                <w:sz w:val="20"/>
              </w:rPr>
              <w:t>Prevalence rate of PV</w:t>
            </w:r>
          </w:p>
        </w:tc>
        <w:tc>
          <w:tcPr>
            <w:tcW w:w="1799" w:type="pct"/>
            <w:shd w:val="clear" w:color="auto" w:fill="auto"/>
          </w:tcPr>
          <w:p w14:paraId="5534F6CE" w14:textId="77777777" w:rsidR="008975CB" w:rsidRPr="00567618" w:rsidRDefault="008975CB" w:rsidP="008975CB">
            <w:pPr>
              <w:keepNext/>
              <w:keepLines/>
              <w:jc w:val="left"/>
              <w:rPr>
                <w:rFonts w:ascii="Arial Narrow" w:eastAsiaTheme="majorEastAsia" w:hAnsi="Arial Narrow" w:cstheme="majorBidi"/>
                <w:bCs/>
                <w:sz w:val="20"/>
              </w:rPr>
            </w:pPr>
            <w:r w:rsidRPr="00567618">
              <w:rPr>
                <w:rFonts w:ascii="Arial Narrow" w:eastAsiaTheme="majorEastAsia" w:hAnsi="Arial Narrow" w:cstheme="majorBidi"/>
                <w:bCs/>
                <w:sz w:val="20"/>
              </w:rPr>
              <w:t>10.2/100,000: calculated using AIHW cancer data 2020</w:t>
            </w:r>
          </w:p>
        </w:tc>
        <w:tc>
          <w:tcPr>
            <w:tcW w:w="2251" w:type="pct"/>
            <w:vMerge/>
          </w:tcPr>
          <w:p w14:paraId="6BED1805" w14:textId="77777777" w:rsidR="008975CB" w:rsidRPr="00567618" w:rsidRDefault="008975CB" w:rsidP="008975CB">
            <w:pPr>
              <w:keepNext/>
              <w:keepLines/>
              <w:jc w:val="left"/>
              <w:rPr>
                <w:rFonts w:ascii="Arial Narrow" w:eastAsiaTheme="majorEastAsia" w:hAnsi="Arial Narrow" w:cstheme="majorBidi"/>
                <w:bCs/>
                <w:sz w:val="20"/>
              </w:rPr>
            </w:pPr>
          </w:p>
        </w:tc>
      </w:tr>
      <w:tr w:rsidR="008975CB" w:rsidRPr="00567618" w14:paraId="55BA2BC7" w14:textId="77777777" w:rsidTr="0F1D33A4">
        <w:tc>
          <w:tcPr>
            <w:tcW w:w="950" w:type="pct"/>
            <w:shd w:val="clear" w:color="auto" w:fill="auto"/>
          </w:tcPr>
          <w:p w14:paraId="29BF85BD" w14:textId="77777777" w:rsidR="008975CB" w:rsidRPr="00567618" w:rsidRDefault="008975CB" w:rsidP="0F1D33A4">
            <w:pPr>
              <w:keepNext/>
              <w:keepLines/>
              <w:jc w:val="left"/>
              <w:rPr>
                <w:rFonts w:ascii="Arial Narrow" w:eastAsiaTheme="majorEastAsia" w:hAnsi="Arial Narrow" w:cstheme="majorBidi"/>
                <w:sz w:val="20"/>
                <w:szCs w:val="20"/>
              </w:rPr>
            </w:pPr>
            <w:r w:rsidRPr="0F1D33A4">
              <w:rPr>
                <w:rFonts w:ascii="Arial Narrow" w:eastAsiaTheme="majorEastAsia" w:hAnsi="Arial Narrow" w:cstheme="majorBidi"/>
                <w:sz w:val="20"/>
                <w:szCs w:val="20"/>
              </w:rPr>
              <w:t>Proportion of patients R/I to HC/HU</w:t>
            </w:r>
          </w:p>
        </w:tc>
        <w:tc>
          <w:tcPr>
            <w:tcW w:w="1799" w:type="pct"/>
            <w:shd w:val="clear" w:color="auto" w:fill="auto"/>
          </w:tcPr>
          <w:p w14:paraId="337A78A2" w14:textId="77777777" w:rsidR="008975CB" w:rsidRPr="00567618" w:rsidRDefault="008975CB" w:rsidP="008975CB">
            <w:pPr>
              <w:keepNext/>
              <w:keepLines/>
              <w:jc w:val="left"/>
              <w:rPr>
                <w:rFonts w:ascii="Arial Narrow" w:eastAsiaTheme="majorEastAsia" w:hAnsi="Arial Narrow" w:cstheme="majorBidi"/>
                <w:bCs/>
                <w:sz w:val="20"/>
              </w:rPr>
            </w:pPr>
            <w:r w:rsidRPr="00567618">
              <w:rPr>
                <w:rFonts w:ascii="Arial Narrow" w:eastAsiaTheme="majorEastAsia" w:hAnsi="Arial Narrow" w:cstheme="majorBidi"/>
                <w:bCs/>
                <w:sz w:val="20"/>
              </w:rPr>
              <w:t>22.5%: Resubmission’s assumptions based on estimated number of grandfathered patients</w:t>
            </w:r>
          </w:p>
        </w:tc>
        <w:tc>
          <w:tcPr>
            <w:tcW w:w="2251" w:type="pct"/>
            <w:shd w:val="clear" w:color="auto" w:fill="auto"/>
          </w:tcPr>
          <w:p w14:paraId="7C72A894" w14:textId="706EAA45" w:rsidR="008975CB" w:rsidRPr="00567618" w:rsidRDefault="008975CB" w:rsidP="0F1D33A4">
            <w:pPr>
              <w:keepNext/>
              <w:keepLines/>
              <w:jc w:val="left"/>
              <w:rPr>
                <w:rFonts w:ascii="Arial Narrow" w:eastAsiaTheme="majorEastAsia" w:hAnsi="Arial Narrow" w:cstheme="majorBidi"/>
                <w:sz w:val="20"/>
                <w:szCs w:val="20"/>
              </w:rPr>
            </w:pPr>
            <w:r w:rsidRPr="0F1D33A4">
              <w:rPr>
                <w:rFonts w:ascii="Arial Narrow" w:eastAsiaTheme="majorEastAsia" w:hAnsi="Arial Narrow" w:cstheme="majorBidi"/>
                <w:sz w:val="20"/>
                <w:szCs w:val="20"/>
              </w:rPr>
              <w:t xml:space="preserve">This </w:t>
            </w:r>
            <w:r w:rsidR="5817E452" w:rsidRPr="0F1D33A4">
              <w:rPr>
                <w:rFonts w:ascii="Arial Narrow" w:eastAsiaTheme="majorEastAsia" w:hAnsi="Arial Narrow" w:cstheme="majorBidi"/>
                <w:sz w:val="20"/>
                <w:szCs w:val="20"/>
              </w:rPr>
              <w:t>wa</w:t>
            </w:r>
            <w:r w:rsidRPr="0F1D33A4">
              <w:rPr>
                <w:rFonts w:ascii="Arial Narrow" w:eastAsiaTheme="majorEastAsia" w:hAnsi="Arial Narrow" w:cstheme="majorBidi"/>
                <w:sz w:val="20"/>
                <w:szCs w:val="20"/>
              </w:rPr>
              <w:t>s higher than rates available from the literature which report</w:t>
            </w:r>
            <w:r w:rsidR="5817E452" w:rsidRPr="0F1D33A4">
              <w:rPr>
                <w:rFonts w:ascii="Arial Narrow" w:eastAsiaTheme="majorEastAsia" w:hAnsi="Arial Narrow" w:cstheme="majorBidi"/>
                <w:sz w:val="20"/>
                <w:szCs w:val="20"/>
              </w:rPr>
              <w:t>ed</w:t>
            </w:r>
            <w:r w:rsidRPr="0F1D33A4">
              <w:rPr>
                <w:rFonts w:ascii="Arial Narrow" w:eastAsiaTheme="majorEastAsia" w:hAnsi="Arial Narrow" w:cstheme="majorBidi"/>
                <w:sz w:val="20"/>
                <w:szCs w:val="20"/>
              </w:rPr>
              <w:t xml:space="preserve"> 10 to 20% (Barosi et al, 2015; Pastor-Galán et al, 2020; Parasuraman et al, 2016, MAJIC trial). However, this </w:t>
            </w:r>
            <w:r w:rsidR="688FAF20" w:rsidRPr="0F1D33A4">
              <w:rPr>
                <w:rFonts w:ascii="Arial Narrow" w:eastAsiaTheme="majorEastAsia" w:hAnsi="Arial Narrow" w:cstheme="majorBidi"/>
                <w:sz w:val="20"/>
                <w:szCs w:val="20"/>
              </w:rPr>
              <w:t>wa</w:t>
            </w:r>
            <w:r w:rsidRPr="0F1D33A4">
              <w:rPr>
                <w:rFonts w:ascii="Arial Narrow" w:eastAsiaTheme="majorEastAsia" w:hAnsi="Arial Narrow" w:cstheme="majorBidi"/>
                <w:sz w:val="20"/>
                <w:szCs w:val="20"/>
              </w:rPr>
              <w:t xml:space="preserve">s within the range (20-30%) estimated by the Australian PV Advisory Board (based on three Australian consultant haematologists). </w:t>
            </w:r>
            <w:r w:rsidR="00A57BFD" w:rsidRPr="00946411">
              <w:rPr>
                <w:rFonts w:ascii="Arial Narrow" w:eastAsiaTheme="majorEastAsia" w:hAnsi="Arial Narrow" w:cstheme="majorBidi"/>
                <w:sz w:val="20"/>
                <w:szCs w:val="20"/>
              </w:rPr>
              <w:t xml:space="preserve">The ESC recalled that in November 2019 the DUSC had considered the proportion </w:t>
            </w:r>
            <w:r w:rsidR="00785AFF" w:rsidRPr="00946411">
              <w:rPr>
                <w:rFonts w:ascii="Arial Narrow" w:eastAsiaTheme="majorEastAsia" w:hAnsi="Arial Narrow" w:cstheme="majorBidi"/>
                <w:sz w:val="20"/>
                <w:szCs w:val="20"/>
              </w:rPr>
              <w:t xml:space="preserve">of patients </w:t>
            </w:r>
            <w:r w:rsidR="00A57BFD" w:rsidRPr="00946411">
              <w:rPr>
                <w:rFonts w:ascii="Arial Narrow" w:eastAsiaTheme="majorEastAsia" w:hAnsi="Arial Narrow" w:cstheme="majorBidi"/>
                <w:sz w:val="20"/>
                <w:szCs w:val="20"/>
              </w:rPr>
              <w:t>intolerant or resistant to HC</w:t>
            </w:r>
            <w:r w:rsidR="003978EA" w:rsidRPr="00946411">
              <w:rPr>
                <w:rFonts w:ascii="Arial Narrow" w:eastAsiaTheme="majorEastAsia" w:hAnsi="Arial Narrow" w:cstheme="majorBidi"/>
                <w:sz w:val="20"/>
                <w:szCs w:val="20"/>
              </w:rPr>
              <w:t>/HU</w:t>
            </w:r>
            <w:r w:rsidR="00A57BFD" w:rsidRPr="00946411">
              <w:rPr>
                <w:rFonts w:ascii="Arial Narrow" w:eastAsiaTheme="majorEastAsia" w:hAnsi="Arial Narrow" w:cstheme="majorBidi"/>
                <w:sz w:val="20"/>
                <w:szCs w:val="20"/>
              </w:rPr>
              <w:t xml:space="preserve"> (24%) was overestimated. Noting the rates available from the literature the ESC considered the proportion remained overestimated.</w:t>
            </w:r>
            <w:r w:rsidR="00F87B86">
              <w:rPr>
                <w:rFonts w:ascii="Arial Narrow" w:eastAsiaTheme="majorEastAsia" w:hAnsi="Arial Narrow" w:cstheme="majorBidi"/>
                <w:i/>
                <w:iCs/>
                <w:sz w:val="20"/>
                <w:szCs w:val="20"/>
              </w:rPr>
              <w:t xml:space="preserve"> </w:t>
            </w:r>
          </w:p>
        </w:tc>
      </w:tr>
      <w:tr w:rsidR="008975CB" w:rsidRPr="00567618" w14:paraId="01EB0C31" w14:textId="77777777" w:rsidTr="0F1D33A4">
        <w:tc>
          <w:tcPr>
            <w:tcW w:w="950" w:type="pct"/>
            <w:shd w:val="clear" w:color="auto" w:fill="auto"/>
          </w:tcPr>
          <w:p w14:paraId="622E4E6D" w14:textId="77777777" w:rsidR="008975CB" w:rsidRPr="00567618" w:rsidRDefault="008975CB" w:rsidP="008975CB">
            <w:pPr>
              <w:keepNext/>
              <w:keepLines/>
              <w:jc w:val="left"/>
              <w:rPr>
                <w:rFonts w:ascii="Arial Narrow" w:eastAsiaTheme="majorEastAsia" w:hAnsi="Arial Narrow" w:cstheme="majorBidi"/>
                <w:bCs/>
                <w:sz w:val="20"/>
              </w:rPr>
            </w:pPr>
            <w:r w:rsidRPr="00567618">
              <w:rPr>
                <w:rFonts w:ascii="Arial Narrow" w:eastAsiaTheme="majorEastAsia" w:hAnsi="Arial Narrow" w:cstheme="majorBidi"/>
                <w:bCs/>
                <w:sz w:val="20"/>
              </w:rPr>
              <w:t>Uptake rate</w:t>
            </w:r>
          </w:p>
        </w:tc>
        <w:tc>
          <w:tcPr>
            <w:tcW w:w="1799" w:type="pct"/>
            <w:shd w:val="clear" w:color="auto" w:fill="auto"/>
          </w:tcPr>
          <w:p w14:paraId="2583A356" w14:textId="1D58EDD6" w:rsidR="008975CB" w:rsidRPr="00567618" w:rsidRDefault="00A268DC" w:rsidP="008975CB">
            <w:pPr>
              <w:keepNext/>
              <w:keepLines/>
              <w:jc w:val="left"/>
              <w:rPr>
                <w:rFonts w:ascii="Arial Narrow" w:eastAsiaTheme="majorEastAsia" w:hAnsi="Arial Narrow" w:cstheme="majorBidi"/>
                <w:bCs/>
                <w:sz w:val="20"/>
              </w:rPr>
            </w:pPr>
            <w:r w:rsidRPr="00A268DC">
              <w:rPr>
                <w:rFonts w:ascii="Arial Narrow" w:eastAsiaTheme="majorEastAsia" w:hAnsi="Arial Narrow" w:cstheme="majorBidi"/>
                <w:bCs/>
                <w:color w:val="000000"/>
                <w:spacing w:val="53"/>
                <w:sz w:val="20"/>
                <w:shd w:val="solid" w:color="000000" w:fill="000000"/>
                <w:fitText w:val="330" w:id="-694973430"/>
                <w14:textFill>
                  <w14:solidFill>
                    <w14:srgbClr w14:val="000000">
                      <w14:alpha w14:val="100000"/>
                    </w14:srgbClr>
                  </w14:solidFill>
                </w14:textFill>
              </w:rPr>
              <w:t>|||</w:t>
            </w:r>
            <w:r w:rsidRPr="00A268DC">
              <w:rPr>
                <w:rFonts w:ascii="Arial Narrow" w:eastAsiaTheme="majorEastAsia" w:hAnsi="Arial Narrow" w:cstheme="majorBidi"/>
                <w:bCs/>
                <w:color w:val="000000"/>
                <w:spacing w:val="1"/>
                <w:sz w:val="20"/>
                <w:shd w:val="solid" w:color="000000" w:fill="000000"/>
                <w:fitText w:val="330" w:id="-694973430"/>
                <w14:textFill>
                  <w14:solidFill>
                    <w14:srgbClr w14:val="000000">
                      <w14:alpha w14:val="100000"/>
                    </w14:srgbClr>
                  </w14:solidFill>
                </w14:textFill>
              </w:rPr>
              <w:t>|</w:t>
            </w:r>
            <w:r w:rsidR="008975CB" w:rsidRPr="00567618">
              <w:rPr>
                <w:rFonts w:ascii="Arial Narrow" w:eastAsiaTheme="majorEastAsia" w:hAnsi="Arial Narrow" w:cstheme="majorBidi"/>
                <w:bCs/>
                <w:sz w:val="20"/>
              </w:rPr>
              <w:t>% in Year 1,</w:t>
            </w:r>
            <w:r w:rsidR="000B78F5">
              <w:rPr>
                <w:rFonts w:ascii="Arial Narrow" w:eastAsiaTheme="majorEastAsia" w:hAnsi="Arial Narrow" w:cstheme="majorBidi"/>
                <w:bCs/>
                <w:sz w:val="20"/>
              </w:rPr>
              <w:t xml:space="preserve"> </w:t>
            </w:r>
            <w:r w:rsidR="000B78F5" w:rsidRPr="000B78F5">
              <w:rPr>
                <w:rFonts w:ascii="Arial Narrow" w:eastAsiaTheme="majorEastAsia" w:hAnsi="Arial Narrow" w:cstheme="majorBidi"/>
                <w:bCs/>
                <w:color w:val="000000"/>
                <w:spacing w:val="49"/>
                <w:sz w:val="20"/>
                <w:shd w:val="solid" w:color="000000" w:fill="000000"/>
                <w:fitText w:val="320" w:id="-694973944"/>
                <w14:textFill>
                  <w14:solidFill>
                    <w14:srgbClr w14:val="000000">
                      <w14:alpha w14:val="100000"/>
                    </w14:srgbClr>
                  </w14:solidFill>
                </w14:textFill>
              </w:rPr>
              <w:t>|||</w:t>
            </w:r>
            <w:r w:rsidR="000B78F5" w:rsidRPr="000B78F5">
              <w:rPr>
                <w:rFonts w:ascii="Arial Narrow" w:eastAsiaTheme="majorEastAsia" w:hAnsi="Arial Narrow" w:cstheme="majorBidi"/>
                <w:bCs/>
                <w:color w:val="000000"/>
                <w:spacing w:val="3"/>
                <w:sz w:val="20"/>
                <w:shd w:val="solid" w:color="000000" w:fill="000000"/>
                <w:fitText w:val="320" w:id="-694973944"/>
                <w14:textFill>
                  <w14:solidFill>
                    <w14:srgbClr w14:val="000000">
                      <w14:alpha w14:val="100000"/>
                    </w14:srgbClr>
                  </w14:solidFill>
                </w14:textFill>
              </w:rPr>
              <w:t>|</w:t>
            </w:r>
            <w:r w:rsidR="008975CB" w:rsidRPr="00567618">
              <w:rPr>
                <w:rFonts w:ascii="Arial Narrow" w:eastAsiaTheme="majorEastAsia" w:hAnsi="Arial Narrow" w:cstheme="majorBidi"/>
                <w:bCs/>
                <w:sz w:val="20"/>
              </w:rPr>
              <w:t>% in Year 2 and</w:t>
            </w:r>
            <w:r w:rsidR="000B78F5">
              <w:rPr>
                <w:rFonts w:ascii="Arial Narrow" w:eastAsiaTheme="majorEastAsia" w:hAnsi="Arial Narrow" w:cstheme="majorBidi"/>
                <w:bCs/>
                <w:sz w:val="20"/>
              </w:rPr>
              <w:t xml:space="preserve"> </w:t>
            </w:r>
            <w:r w:rsidR="000B78F5" w:rsidRPr="00A268DC">
              <w:rPr>
                <w:rFonts w:ascii="Arial Narrow" w:eastAsiaTheme="majorEastAsia" w:hAnsi="Arial Narrow" w:cstheme="majorBidi"/>
                <w:bCs/>
                <w:color w:val="000000"/>
                <w:spacing w:val="55"/>
                <w:w w:val="96"/>
                <w:sz w:val="20"/>
                <w:shd w:val="solid" w:color="000000" w:fill="000000"/>
                <w:fitText w:val="330" w:id="-694973943"/>
                <w14:textFill>
                  <w14:solidFill>
                    <w14:srgbClr w14:val="000000">
                      <w14:alpha w14:val="100000"/>
                    </w14:srgbClr>
                  </w14:solidFill>
                </w14:textFill>
              </w:rPr>
              <w:t>|||</w:t>
            </w:r>
            <w:r w:rsidR="000B78F5" w:rsidRPr="00A268DC">
              <w:rPr>
                <w:rFonts w:ascii="Arial Narrow" w:eastAsiaTheme="majorEastAsia" w:hAnsi="Arial Narrow" w:cstheme="majorBidi"/>
                <w:bCs/>
                <w:color w:val="000000"/>
                <w:spacing w:val="2"/>
                <w:w w:val="96"/>
                <w:sz w:val="20"/>
                <w:shd w:val="solid" w:color="000000" w:fill="000000"/>
                <w:fitText w:val="330" w:id="-694973943"/>
                <w14:textFill>
                  <w14:solidFill>
                    <w14:srgbClr w14:val="000000">
                      <w14:alpha w14:val="100000"/>
                    </w14:srgbClr>
                  </w14:solidFill>
                </w14:textFill>
              </w:rPr>
              <w:t>|</w:t>
            </w:r>
            <w:r w:rsidR="008975CB" w:rsidRPr="00567618">
              <w:rPr>
                <w:rFonts w:ascii="Arial Narrow" w:eastAsiaTheme="majorEastAsia" w:hAnsi="Arial Narrow" w:cstheme="majorBidi"/>
                <w:bCs/>
                <w:sz w:val="20"/>
              </w:rPr>
              <w:t>% from Year 3 onwards</w:t>
            </w:r>
          </w:p>
        </w:tc>
        <w:tc>
          <w:tcPr>
            <w:tcW w:w="2251" w:type="pct"/>
            <w:shd w:val="clear" w:color="auto" w:fill="auto"/>
          </w:tcPr>
          <w:p w14:paraId="461DD7C2" w14:textId="39A7C067" w:rsidR="008975CB" w:rsidRPr="00567618" w:rsidRDefault="008975CB" w:rsidP="0F1D33A4">
            <w:pPr>
              <w:keepNext/>
              <w:keepLines/>
              <w:jc w:val="left"/>
              <w:rPr>
                <w:rFonts w:ascii="Arial Narrow" w:eastAsiaTheme="majorEastAsia" w:hAnsi="Arial Narrow" w:cstheme="majorBidi"/>
                <w:sz w:val="20"/>
                <w:szCs w:val="20"/>
              </w:rPr>
            </w:pPr>
            <w:r w:rsidRPr="0F1D33A4">
              <w:rPr>
                <w:rFonts w:ascii="Arial Narrow" w:eastAsiaTheme="majorEastAsia" w:hAnsi="Arial Narrow" w:cstheme="majorBidi"/>
                <w:sz w:val="20"/>
                <w:szCs w:val="20"/>
              </w:rPr>
              <w:t xml:space="preserve">This </w:t>
            </w:r>
            <w:r w:rsidR="688FAF20" w:rsidRPr="0F1D33A4">
              <w:rPr>
                <w:rFonts w:ascii="Arial Narrow" w:eastAsiaTheme="majorEastAsia" w:hAnsi="Arial Narrow" w:cstheme="majorBidi"/>
                <w:sz w:val="20"/>
                <w:szCs w:val="20"/>
              </w:rPr>
              <w:t>wa</w:t>
            </w:r>
            <w:r w:rsidRPr="0F1D33A4">
              <w:rPr>
                <w:rFonts w:ascii="Arial Narrow" w:eastAsiaTheme="majorEastAsia" w:hAnsi="Arial Narrow" w:cstheme="majorBidi"/>
                <w:sz w:val="20"/>
                <w:szCs w:val="20"/>
              </w:rPr>
              <w:t xml:space="preserve">s uncertain. The uptake rate </w:t>
            </w:r>
            <w:r w:rsidR="48AAA1EF" w:rsidRPr="0F1D33A4">
              <w:rPr>
                <w:rFonts w:ascii="Arial Narrow" w:eastAsiaTheme="majorEastAsia" w:hAnsi="Arial Narrow" w:cstheme="majorBidi"/>
                <w:sz w:val="20"/>
                <w:szCs w:val="20"/>
              </w:rPr>
              <w:t>in year 1 was</w:t>
            </w:r>
            <w:r w:rsidR="00F87B86">
              <w:rPr>
                <w:rFonts w:ascii="Arial Narrow" w:eastAsiaTheme="majorEastAsia" w:hAnsi="Arial Narrow" w:cstheme="majorBidi"/>
                <w:sz w:val="20"/>
                <w:szCs w:val="20"/>
              </w:rPr>
              <w:t xml:space="preserve"> </w:t>
            </w:r>
            <w:r w:rsidRPr="0F1D33A4">
              <w:rPr>
                <w:rFonts w:ascii="Arial Narrow" w:eastAsiaTheme="majorEastAsia" w:hAnsi="Arial Narrow" w:cstheme="majorBidi"/>
                <w:sz w:val="20"/>
                <w:szCs w:val="20"/>
              </w:rPr>
              <w:t xml:space="preserve">increased </w:t>
            </w:r>
            <w:r w:rsidR="000F56E7" w:rsidRPr="0F1D33A4">
              <w:rPr>
                <w:rFonts w:ascii="Arial Narrow" w:eastAsiaTheme="majorEastAsia" w:hAnsi="Arial Narrow" w:cstheme="majorBidi"/>
                <w:sz w:val="20"/>
                <w:szCs w:val="20"/>
              </w:rPr>
              <w:t>from</w:t>
            </w:r>
            <w:r w:rsidRPr="0F1D33A4">
              <w:rPr>
                <w:rFonts w:ascii="Arial Narrow" w:eastAsiaTheme="majorEastAsia" w:hAnsi="Arial Narrow" w:cstheme="majorBidi"/>
                <w:sz w:val="20"/>
                <w:szCs w:val="20"/>
              </w:rPr>
              <w:t xml:space="preserve"> the previous submission in line with DUSC’s advice</w:t>
            </w:r>
            <w:r w:rsidR="48AAA1EF" w:rsidRPr="0F1D33A4">
              <w:rPr>
                <w:rFonts w:ascii="Arial Narrow" w:eastAsiaTheme="majorEastAsia" w:hAnsi="Arial Narrow" w:cstheme="majorBidi"/>
                <w:sz w:val="20"/>
                <w:szCs w:val="20"/>
              </w:rPr>
              <w:t xml:space="preserve">. </w:t>
            </w:r>
            <w:r w:rsidR="042D747D" w:rsidRPr="0F1D33A4">
              <w:rPr>
                <w:rFonts w:ascii="Arial Narrow" w:eastAsiaTheme="majorEastAsia" w:hAnsi="Arial Narrow" w:cstheme="majorBidi"/>
                <w:sz w:val="20"/>
                <w:szCs w:val="20"/>
              </w:rPr>
              <w:t>In subsequent years t</w:t>
            </w:r>
            <w:r w:rsidR="48AAA1EF" w:rsidRPr="0F1D33A4">
              <w:rPr>
                <w:rFonts w:ascii="Arial Narrow" w:eastAsiaTheme="majorEastAsia" w:hAnsi="Arial Narrow" w:cstheme="majorBidi"/>
                <w:sz w:val="20"/>
                <w:szCs w:val="20"/>
              </w:rPr>
              <w:t xml:space="preserve">he </w:t>
            </w:r>
            <w:r w:rsidR="042D747D" w:rsidRPr="0F1D33A4">
              <w:rPr>
                <w:rFonts w:ascii="Arial Narrow" w:eastAsiaTheme="majorEastAsia" w:hAnsi="Arial Narrow" w:cstheme="majorBidi"/>
                <w:sz w:val="20"/>
                <w:szCs w:val="20"/>
              </w:rPr>
              <w:t>resubmission applied uptake rates to patients not yet commenced, rather than cumulative uptake rates as per the previous submission</w:t>
            </w:r>
            <w:r w:rsidR="49D0B9E2" w:rsidRPr="0F1D33A4">
              <w:rPr>
                <w:rFonts w:ascii="Arial Narrow" w:eastAsiaTheme="majorEastAsia" w:hAnsi="Arial Narrow" w:cstheme="majorBidi"/>
                <w:sz w:val="20"/>
                <w:szCs w:val="20"/>
              </w:rPr>
              <w:t>.</w:t>
            </w:r>
            <w:r w:rsidR="042D747D" w:rsidRPr="0F1D33A4">
              <w:rPr>
                <w:rFonts w:ascii="Arial Narrow" w:eastAsiaTheme="majorEastAsia" w:hAnsi="Arial Narrow" w:cstheme="majorBidi"/>
                <w:sz w:val="20"/>
                <w:szCs w:val="20"/>
              </w:rPr>
              <w:t xml:space="preserve"> </w:t>
            </w:r>
            <w:r w:rsidRPr="0F1D33A4">
              <w:rPr>
                <w:rFonts w:ascii="Arial Narrow" w:eastAsiaTheme="majorEastAsia" w:hAnsi="Arial Narrow" w:cstheme="majorBidi"/>
                <w:sz w:val="20"/>
                <w:szCs w:val="20"/>
              </w:rPr>
              <w:t xml:space="preserve">The uptake rate was similarly applied to both the prevalent and incident patients based on the approach applied by the resubmission. </w:t>
            </w:r>
          </w:p>
        </w:tc>
      </w:tr>
      <w:tr w:rsidR="008975CB" w:rsidRPr="00567618" w14:paraId="1E10061C" w14:textId="77777777" w:rsidTr="0F1D33A4">
        <w:tc>
          <w:tcPr>
            <w:tcW w:w="950" w:type="pct"/>
            <w:shd w:val="clear" w:color="auto" w:fill="auto"/>
          </w:tcPr>
          <w:p w14:paraId="313F57B1" w14:textId="77777777" w:rsidR="008975CB" w:rsidRPr="00567618" w:rsidRDefault="008975CB" w:rsidP="008975CB">
            <w:pPr>
              <w:keepNext/>
              <w:keepLines/>
              <w:jc w:val="left"/>
              <w:rPr>
                <w:rFonts w:ascii="Arial Narrow" w:eastAsiaTheme="majorEastAsia" w:hAnsi="Arial Narrow" w:cstheme="majorBidi"/>
                <w:bCs/>
                <w:sz w:val="20"/>
              </w:rPr>
            </w:pPr>
            <w:r w:rsidRPr="00567618">
              <w:rPr>
                <w:rFonts w:ascii="Arial Narrow" w:eastAsiaTheme="majorEastAsia" w:hAnsi="Arial Narrow" w:cstheme="majorBidi"/>
                <w:bCs/>
                <w:sz w:val="20"/>
              </w:rPr>
              <w:t>Variable persistence rate</w:t>
            </w:r>
          </w:p>
        </w:tc>
        <w:tc>
          <w:tcPr>
            <w:tcW w:w="1799" w:type="pct"/>
            <w:shd w:val="clear" w:color="auto" w:fill="auto"/>
          </w:tcPr>
          <w:p w14:paraId="6613FB5D" w14:textId="77777777" w:rsidR="008975CB" w:rsidRPr="00567618" w:rsidRDefault="008975CB" w:rsidP="008975CB">
            <w:pPr>
              <w:keepNext/>
              <w:keepLines/>
              <w:jc w:val="left"/>
              <w:rPr>
                <w:rFonts w:ascii="Arial Narrow" w:eastAsiaTheme="majorEastAsia" w:hAnsi="Arial Narrow" w:cstheme="majorBidi"/>
                <w:bCs/>
                <w:sz w:val="20"/>
              </w:rPr>
            </w:pPr>
            <w:r w:rsidRPr="00567618">
              <w:rPr>
                <w:rFonts w:ascii="Arial Narrow" w:eastAsiaTheme="majorEastAsia" w:hAnsi="Arial Narrow" w:cstheme="majorBidi"/>
                <w:bCs/>
                <w:sz w:val="20"/>
              </w:rPr>
              <w:t>Ranging from 100% in Year 1 to 93.60% in Year 6 sourced from the economic model</w:t>
            </w:r>
          </w:p>
        </w:tc>
        <w:tc>
          <w:tcPr>
            <w:tcW w:w="2251" w:type="pct"/>
            <w:shd w:val="clear" w:color="auto" w:fill="auto"/>
          </w:tcPr>
          <w:p w14:paraId="279F1C5E" w14:textId="76B31CDE" w:rsidR="008975CB" w:rsidRPr="00567618" w:rsidRDefault="6DC8D53B" w:rsidP="3AA7350F">
            <w:pPr>
              <w:keepNext/>
              <w:keepLines/>
              <w:jc w:val="left"/>
              <w:rPr>
                <w:rFonts w:ascii="Arial Narrow" w:eastAsiaTheme="majorEastAsia" w:hAnsi="Arial Narrow" w:cstheme="majorBidi"/>
                <w:sz w:val="20"/>
                <w:szCs w:val="20"/>
              </w:rPr>
            </w:pPr>
            <w:r w:rsidRPr="00567618">
              <w:rPr>
                <w:rFonts w:ascii="Arial Narrow" w:eastAsiaTheme="majorEastAsia" w:hAnsi="Arial Narrow" w:cstheme="majorBidi"/>
                <w:sz w:val="20"/>
                <w:szCs w:val="20"/>
              </w:rPr>
              <w:t xml:space="preserve">The resubmission described that this rate was applied to account for the proportion of patients who do not achieve a response within the first 12 months of treatment and the number of patients who lose their response while receiving continuing treatment over time. </w:t>
            </w:r>
          </w:p>
        </w:tc>
      </w:tr>
      <w:tr w:rsidR="008975CB" w:rsidRPr="00567618" w14:paraId="3525598C" w14:textId="77777777" w:rsidTr="0F1D33A4">
        <w:tc>
          <w:tcPr>
            <w:tcW w:w="950" w:type="pct"/>
            <w:shd w:val="clear" w:color="auto" w:fill="auto"/>
          </w:tcPr>
          <w:p w14:paraId="67C73058" w14:textId="77777777" w:rsidR="008975CB" w:rsidRPr="00567618" w:rsidRDefault="008975CB" w:rsidP="0F1D33A4">
            <w:pPr>
              <w:keepNext/>
              <w:keepLines/>
              <w:jc w:val="left"/>
              <w:rPr>
                <w:rFonts w:ascii="Arial Narrow" w:eastAsiaTheme="majorEastAsia" w:hAnsi="Arial Narrow" w:cstheme="majorBidi"/>
                <w:sz w:val="20"/>
                <w:szCs w:val="20"/>
              </w:rPr>
            </w:pPr>
            <w:r w:rsidRPr="0F1D33A4">
              <w:rPr>
                <w:rFonts w:ascii="Arial Narrow" w:eastAsiaTheme="majorEastAsia" w:hAnsi="Arial Narrow" w:cstheme="majorBidi"/>
                <w:sz w:val="20"/>
                <w:szCs w:val="20"/>
              </w:rPr>
              <w:t xml:space="preserve">Proportion of patients electing treatment </w:t>
            </w:r>
          </w:p>
        </w:tc>
        <w:tc>
          <w:tcPr>
            <w:tcW w:w="1799" w:type="pct"/>
            <w:shd w:val="clear" w:color="auto" w:fill="auto"/>
          </w:tcPr>
          <w:p w14:paraId="2CD6F456" w14:textId="00BDC7CA" w:rsidR="008975CB" w:rsidRPr="00567618" w:rsidRDefault="00A268DC" w:rsidP="008975CB">
            <w:pPr>
              <w:keepNext/>
              <w:keepLines/>
              <w:jc w:val="left"/>
              <w:rPr>
                <w:rFonts w:ascii="Arial Narrow" w:eastAsiaTheme="majorEastAsia" w:hAnsi="Arial Narrow" w:cstheme="majorBidi"/>
                <w:bCs/>
                <w:sz w:val="20"/>
              </w:rPr>
            </w:pPr>
            <w:r w:rsidRPr="00F87B86">
              <w:rPr>
                <w:rFonts w:ascii="Arial Narrow" w:eastAsiaTheme="majorEastAsia" w:hAnsi="Arial Narrow" w:cstheme="majorBidi"/>
                <w:bCs/>
                <w:color w:val="000000"/>
                <w:spacing w:val="53"/>
                <w:sz w:val="20"/>
                <w:shd w:val="solid" w:color="000000" w:fill="000000"/>
                <w:fitText w:val="330" w:id="-694973429"/>
                <w14:textFill>
                  <w14:solidFill>
                    <w14:srgbClr w14:val="000000">
                      <w14:alpha w14:val="100000"/>
                    </w14:srgbClr>
                  </w14:solidFill>
                </w14:textFill>
              </w:rPr>
              <w:t>|||</w:t>
            </w:r>
            <w:r w:rsidRPr="00F87B86">
              <w:rPr>
                <w:rFonts w:ascii="Arial Narrow" w:eastAsiaTheme="majorEastAsia" w:hAnsi="Arial Narrow" w:cstheme="majorBidi"/>
                <w:bCs/>
                <w:color w:val="000000"/>
                <w:spacing w:val="1"/>
                <w:sz w:val="20"/>
                <w:shd w:val="solid" w:color="000000" w:fill="000000"/>
                <w:fitText w:val="330" w:id="-694973429"/>
                <w14:textFill>
                  <w14:solidFill>
                    <w14:srgbClr w14:val="000000">
                      <w14:alpha w14:val="100000"/>
                    </w14:srgbClr>
                  </w14:solidFill>
                </w14:textFill>
              </w:rPr>
              <w:t>|</w:t>
            </w:r>
            <w:r w:rsidR="008975CB" w:rsidRPr="00567618">
              <w:rPr>
                <w:rFonts w:ascii="Arial Narrow" w:eastAsiaTheme="majorEastAsia" w:hAnsi="Arial Narrow" w:cstheme="majorBidi"/>
                <w:bCs/>
                <w:sz w:val="20"/>
              </w:rPr>
              <w:t>%</w:t>
            </w:r>
            <w:r w:rsidR="00F87B86">
              <w:rPr>
                <w:rFonts w:ascii="Arial Narrow" w:eastAsiaTheme="majorEastAsia" w:hAnsi="Arial Narrow" w:cstheme="majorBidi"/>
                <w:bCs/>
                <w:sz w:val="20"/>
              </w:rPr>
              <w:t xml:space="preserve"> </w:t>
            </w:r>
          </w:p>
        </w:tc>
        <w:tc>
          <w:tcPr>
            <w:tcW w:w="2251" w:type="pct"/>
            <w:shd w:val="clear" w:color="auto" w:fill="auto"/>
          </w:tcPr>
          <w:p w14:paraId="4D684B80" w14:textId="02820271" w:rsidR="008975CB" w:rsidRPr="00567618" w:rsidRDefault="008975CB" w:rsidP="0F1D33A4">
            <w:pPr>
              <w:keepNext/>
              <w:keepLines/>
              <w:jc w:val="left"/>
              <w:rPr>
                <w:rFonts w:ascii="Arial Narrow" w:eastAsiaTheme="majorEastAsia" w:hAnsi="Arial Narrow" w:cstheme="majorBidi"/>
                <w:sz w:val="20"/>
                <w:szCs w:val="20"/>
              </w:rPr>
            </w:pPr>
            <w:r w:rsidRPr="0F1D33A4">
              <w:rPr>
                <w:rFonts w:ascii="Arial Narrow" w:eastAsiaTheme="majorEastAsia" w:hAnsi="Arial Narrow" w:cstheme="majorBidi"/>
                <w:sz w:val="20"/>
                <w:szCs w:val="20"/>
              </w:rPr>
              <w:t>There was no justification for the application of this rate in the resubmission</w:t>
            </w:r>
            <w:r w:rsidR="00964647" w:rsidRPr="0F1D33A4">
              <w:rPr>
                <w:rFonts w:ascii="Arial Narrow" w:eastAsiaTheme="majorEastAsia" w:hAnsi="Arial Narrow" w:cstheme="majorBidi"/>
                <w:sz w:val="20"/>
                <w:szCs w:val="20"/>
              </w:rPr>
              <w:t xml:space="preserve">. </w:t>
            </w:r>
            <w:r w:rsidR="00FB7BCC" w:rsidRPr="00946411">
              <w:rPr>
                <w:rFonts w:ascii="Arial Narrow" w:eastAsiaTheme="majorEastAsia" w:hAnsi="Arial Narrow" w:cstheme="majorBidi"/>
                <w:sz w:val="20"/>
                <w:szCs w:val="20"/>
              </w:rPr>
              <w:t>The ESC noted a</w:t>
            </w:r>
            <w:r w:rsidR="00964647" w:rsidRPr="00946411">
              <w:rPr>
                <w:rFonts w:ascii="Arial Narrow" w:eastAsiaTheme="majorEastAsia" w:hAnsi="Arial Narrow" w:cstheme="majorBidi"/>
                <w:sz w:val="20"/>
                <w:szCs w:val="20"/>
              </w:rPr>
              <w:t xml:space="preserve">n </w:t>
            </w:r>
            <w:r w:rsidR="00023C12" w:rsidRPr="00946411">
              <w:rPr>
                <w:rFonts w:ascii="Arial Narrow" w:eastAsiaTheme="majorEastAsia" w:hAnsi="Arial Narrow" w:cstheme="majorBidi"/>
                <w:sz w:val="20"/>
                <w:szCs w:val="20"/>
              </w:rPr>
              <w:t xml:space="preserve">uptake rate </w:t>
            </w:r>
            <w:r w:rsidR="008C7CFA" w:rsidRPr="00946411">
              <w:rPr>
                <w:rFonts w:ascii="Arial Narrow" w:eastAsiaTheme="majorEastAsia" w:hAnsi="Arial Narrow" w:cstheme="majorBidi"/>
                <w:sz w:val="20"/>
                <w:szCs w:val="20"/>
              </w:rPr>
              <w:t>is already included in the methodology described above</w:t>
            </w:r>
            <w:r w:rsidR="00FB7BCC" w:rsidRPr="00946411">
              <w:rPr>
                <w:rFonts w:ascii="Arial Narrow" w:eastAsiaTheme="majorEastAsia" w:hAnsi="Arial Narrow" w:cstheme="majorBidi"/>
                <w:sz w:val="20"/>
                <w:szCs w:val="20"/>
              </w:rPr>
              <w:t xml:space="preserve"> and advised this </w:t>
            </w:r>
            <w:r w:rsidR="00A07DFE" w:rsidRPr="00946411">
              <w:rPr>
                <w:rFonts w:ascii="Arial Narrow" w:eastAsiaTheme="majorEastAsia" w:hAnsi="Arial Narrow" w:cstheme="majorBidi"/>
                <w:sz w:val="20"/>
                <w:szCs w:val="20"/>
              </w:rPr>
              <w:t xml:space="preserve">parameter </w:t>
            </w:r>
            <w:r w:rsidR="00FB7BCC" w:rsidRPr="00946411">
              <w:rPr>
                <w:rFonts w:ascii="Arial Narrow" w:eastAsiaTheme="majorEastAsia" w:hAnsi="Arial Narrow" w:cstheme="majorBidi"/>
                <w:sz w:val="20"/>
                <w:szCs w:val="20"/>
              </w:rPr>
              <w:t>should be justified by the sponsor or removed</w:t>
            </w:r>
            <w:r w:rsidR="008C7CFA" w:rsidRPr="00946411">
              <w:rPr>
                <w:rFonts w:ascii="Arial Narrow" w:eastAsiaTheme="majorEastAsia" w:hAnsi="Arial Narrow" w:cstheme="majorBidi"/>
                <w:sz w:val="20"/>
                <w:szCs w:val="20"/>
              </w:rPr>
              <w:t xml:space="preserve">. </w:t>
            </w:r>
          </w:p>
        </w:tc>
      </w:tr>
      <w:tr w:rsidR="008975CB" w:rsidRPr="00567618" w14:paraId="0C83FC65" w14:textId="77777777" w:rsidTr="0F1D33A4">
        <w:tc>
          <w:tcPr>
            <w:tcW w:w="950" w:type="pct"/>
            <w:shd w:val="clear" w:color="auto" w:fill="auto"/>
          </w:tcPr>
          <w:p w14:paraId="74E926D9" w14:textId="77777777" w:rsidR="008975CB" w:rsidRPr="00567618" w:rsidRDefault="008975CB" w:rsidP="008975CB">
            <w:pPr>
              <w:keepNext/>
              <w:keepLines/>
              <w:jc w:val="left"/>
              <w:rPr>
                <w:rFonts w:ascii="Arial Narrow" w:eastAsiaTheme="majorEastAsia" w:hAnsi="Arial Narrow" w:cstheme="majorBidi"/>
                <w:bCs/>
                <w:sz w:val="20"/>
              </w:rPr>
            </w:pPr>
            <w:r w:rsidRPr="00567618">
              <w:rPr>
                <w:rFonts w:ascii="Arial Narrow" w:eastAsiaTheme="majorEastAsia" w:hAnsi="Arial Narrow" w:cstheme="majorBidi"/>
                <w:bCs/>
                <w:sz w:val="20"/>
              </w:rPr>
              <w:t>Number of BAT treatment cycles (scripts) that would be offset</w:t>
            </w:r>
          </w:p>
        </w:tc>
        <w:tc>
          <w:tcPr>
            <w:tcW w:w="1799" w:type="pct"/>
            <w:shd w:val="clear" w:color="auto" w:fill="auto"/>
          </w:tcPr>
          <w:p w14:paraId="2F844E9D" w14:textId="403DF762" w:rsidR="008975CB" w:rsidRPr="00567618" w:rsidRDefault="008975CB" w:rsidP="008975CB">
            <w:pPr>
              <w:keepNext/>
              <w:keepLines/>
              <w:jc w:val="left"/>
              <w:rPr>
                <w:rFonts w:ascii="Arial Narrow" w:eastAsiaTheme="majorEastAsia" w:hAnsi="Arial Narrow" w:cstheme="majorBidi"/>
                <w:bCs/>
                <w:sz w:val="20"/>
              </w:rPr>
            </w:pPr>
            <w:r w:rsidRPr="00567618">
              <w:rPr>
                <w:rFonts w:ascii="Arial Narrow" w:eastAsiaTheme="majorEastAsia" w:hAnsi="Arial Narrow" w:cstheme="majorBidi"/>
                <w:bCs/>
                <w:sz w:val="20"/>
              </w:rPr>
              <w:t>9.70 scripts per year: Based on incremental treatment difference and cost of BAT (from patient distribution in MAJIC trial) estimated from the economic model</w:t>
            </w:r>
          </w:p>
        </w:tc>
        <w:tc>
          <w:tcPr>
            <w:tcW w:w="2251" w:type="pct"/>
            <w:shd w:val="clear" w:color="auto" w:fill="auto"/>
          </w:tcPr>
          <w:p w14:paraId="01C8B993" w14:textId="29D83E85" w:rsidR="008975CB" w:rsidRPr="00567618" w:rsidRDefault="001D7510" w:rsidP="002D3989">
            <w:pPr>
              <w:keepNext/>
              <w:keepLines/>
              <w:jc w:val="left"/>
              <w:rPr>
                <w:rFonts w:ascii="Arial Narrow" w:eastAsiaTheme="majorEastAsia" w:hAnsi="Arial Narrow" w:cstheme="majorBidi"/>
                <w:bCs/>
                <w:sz w:val="20"/>
              </w:rPr>
            </w:pPr>
            <w:r w:rsidRPr="000314BC">
              <w:rPr>
                <w:rFonts w:ascii="Arial Narrow" w:eastAsiaTheme="majorEastAsia" w:hAnsi="Arial Narrow" w:cstheme="majorBidi"/>
                <w:bCs/>
                <w:sz w:val="20"/>
              </w:rPr>
              <w:t>This approach relie</w:t>
            </w:r>
            <w:r w:rsidR="00471066" w:rsidRPr="000314BC">
              <w:rPr>
                <w:rFonts w:ascii="Arial Narrow" w:eastAsiaTheme="majorEastAsia" w:hAnsi="Arial Narrow" w:cstheme="majorBidi"/>
                <w:bCs/>
                <w:sz w:val="20"/>
              </w:rPr>
              <w:t>d</w:t>
            </w:r>
            <w:r w:rsidRPr="000314BC">
              <w:rPr>
                <w:rFonts w:ascii="Arial Narrow" w:eastAsiaTheme="majorEastAsia" w:hAnsi="Arial Narrow" w:cstheme="majorBidi"/>
                <w:bCs/>
                <w:sz w:val="20"/>
              </w:rPr>
              <w:t xml:space="preserve"> on the outputs of the economic model which increase</w:t>
            </w:r>
            <w:r w:rsidR="00471066" w:rsidRPr="000314BC">
              <w:rPr>
                <w:rFonts w:ascii="Arial Narrow" w:eastAsiaTheme="majorEastAsia" w:hAnsi="Arial Narrow" w:cstheme="majorBidi"/>
                <w:bCs/>
                <w:sz w:val="20"/>
              </w:rPr>
              <w:t>d</w:t>
            </w:r>
            <w:r w:rsidRPr="000314BC">
              <w:rPr>
                <w:rFonts w:ascii="Arial Narrow" w:eastAsiaTheme="majorEastAsia" w:hAnsi="Arial Narrow" w:cstheme="majorBidi"/>
                <w:bCs/>
                <w:sz w:val="20"/>
              </w:rPr>
              <w:t xml:space="preserve"> uncertainty</w:t>
            </w:r>
            <w:r w:rsidR="004C3BE1" w:rsidRPr="000314BC">
              <w:rPr>
                <w:rFonts w:ascii="Arial Narrow" w:eastAsiaTheme="majorEastAsia" w:hAnsi="Arial Narrow" w:cstheme="majorBidi"/>
                <w:bCs/>
                <w:sz w:val="20"/>
              </w:rPr>
              <w:t>. The</w:t>
            </w:r>
            <w:r w:rsidRPr="000314BC">
              <w:rPr>
                <w:rFonts w:ascii="Arial Narrow" w:eastAsiaTheme="majorEastAsia" w:hAnsi="Arial Narrow" w:cstheme="majorBidi"/>
                <w:bCs/>
                <w:sz w:val="20"/>
              </w:rPr>
              <w:t xml:space="preserve"> estimates </w:t>
            </w:r>
            <w:r w:rsidR="004C3BE1" w:rsidRPr="000314BC">
              <w:rPr>
                <w:rFonts w:ascii="Arial Narrow" w:eastAsiaTheme="majorEastAsia" w:hAnsi="Arial Narrow" w:cstheme="majorBidi"/>
                <w:bCs/>
                <w:sz w:val="20"/>
              </w:rPr>
              <w:t>produced</w:t>
            </w:r>
            <w:r w:rsidRPr="000314BC">
              <w:rPr>
                <w:rFonts w:ascii="Arial Narrow" w:eastAsiaTheme="majorEastAsia" w:hAnsi="Arial Narrow" w:cstheme="majorBidi"/>
                <w:bCs/>
                <w:sz w:val="20"/>
              </w:rPr>
              <w:t xml:space="preserve"> </w:t>
            </w:r>
            <w:r w:rsidR="00D17A26" w:rsidRPr="000314BC">
              <w:rPr>
                <w:rFonts w:ascii="Arial Narrow" w:eastAsiaTheme="majorEastAsia" w:hAnsi="Arial Narrow" w:cstheme="majorBidi"/>
                <w:bCs/>
                <w:sz w:val="20"/>
              </w:rPr>
              <w:t>relie</w:t>
            </w:r>
            <w:r w:rsidR="00C803EC" w:rsidRPr="000314BC">
              <w:rPr>
                <w:rFonts w:ascii="Arial Narrow" w:eastAsiaTheme="majorEastAsia" w:hAnsi="Arial Narrow" w:cstheme="majorBidi"/>
                <w:bCs/>
                <w:sz w:val="20"/>
              </w:rPr>
              <w:t>d</w:t>
            </w:r>
            <w:r w:rsidR="00D17A26" w:rsidRPr="000314BC">
              <w:rPr>
                <w:rFonts w:ascii="Arial Narrow" w:eastAsiaTheme="majorEastAsia" w:hAnsi="Arial Narrow" w:cstheme="majorBidi"/>
                <w:bCs/>
                <w:sz w:val="20"/>
              </w:rPr>
              <w:t xml:space="preserve"> on</w:t>
            </w:r>
            <w:r w:rsidR="00D2600E" w:rsidRPr="000314BC">
              <w:rPr>
                <w:rFonts w:ascii="Arial Narrow" w:eastAsiaTheme="majorEastAsia" w:hAnsi="Arial Narrow" w:cstheme="majorBidi"/>
                <w:bCs/>
                <w:sz w:val="20"/>
              </w:rPr>
              <w:t xml:space="preserve"> the </w:t>
            </w:r>
            <w:r w:rsidR="00845DBF" w:rsidRPr="000314BC">
              <w:rPr>
                <w:rFonts w:ascii="Arial Narrow" w:eastAsiaTheme="majorEastAsia" w:hAnsi="Arial Narrow" w:cstheme="majorBidi"/>
                <w:bCs/>
                <w:sz w:val="20"/>
              </w:rPr>
              <w:t xml:space="preserve">BAT distribution in MAJIC trial </w:t>
            </w:r>
            <w:r w:rsidR="00936EC6" w:rsidRPr="000314BC">
              <w:rPr>
                <w:rFonts w:ascii="Arial Narrow" w:eastAsiaTheme="majorEastAsia" w:hAnsi="Arial Narrow" w:cstheme="majorBidi"/>
                <w:bCs/>
                <w:sz w:val="20"/>
              </w:rPr>
              <w:t xml:space="preserve">which </w:t>
            </w:r>
            <w:r w:rsidR="00191DF1" w:rsidRPr="000314BC">
              <w:rPr>
                <w:rFonts w:ascii="Arial Narrow" w:eastAsiaTheme="majorEastAsia" w:hAnsi="Arial Narrow" w:cstheme="majorBidi"/>
                <w:bCs/>
                <w:sz w:val="20"/>
              </w:rPr>
              <w:t>may not be</w:t>
            </w:r>
            <w:r w:rsidR="00845DBF" w:rsidRPr="000314BC">
              <w:rPr>
                <w:rFonts w:ascii="Arial Narrow" w:eastAsiaTheme="majorEastAsia" w:hAnsi="Arial Narrow" w:cstheme="majorBidi"/>
                <w:bCs/>
                <w:sz w:val="20"/>
              </w:rPr>
              <w:t xml:space="preserve"> </w:t>
            </w:r>
            <w:r w:rsidR="008A78FF" w:rsidRPr="000314BC">
              <w:rPr>
                <w:rFonts w:ascii="Arial Narrow" w:eastAsiaTheme="majorEastAsia" w:hAnsi="Arial Narrow" w:cstheme="majorBidi"/>
                <w:bCs/>
                <w:sz w:val="20"/>
              </w:rPr>
              <w:t xml:space="preserve">fully </w:t>
            </w:r>
            <w:r w:rsidR="00845DBF" w:rsidRPr="000314BC">
              <w:rPr>
                <w:rFonts w:ascii="Arial Narrow" w:eastAsiaTheme="majorEastAsia" w:hAnsi="Arial Narrow" w:cstheme="majorBidi"/>
                <w:bCs/>
                <w:sz w:val="20"/>
              </w:rPr>
              <w:t>reflective of the split in clinical practic</w:t>
            </w:r>
            <w:r w:rsidR="002D3989" w:rsidRPr="000314BC">
              <w:rPr>
                <w:rFonts w:ascii="Arial Narrow" w:eastAsiaTheme="majorEastAsia" w:hAnsi="Arial Narrow" w:cstheme="majorBidi"/>
                <w:bCs/>
                <w:sz w:val="20"/>
              </w:rPr>
              <w:t>e.</w:t>
            </w:r>
          </w:p>
        </w:tc>
      </w:tr>
      <w:tr w:rsidR="008975CB" w:rsidRPr="00567618" w14:paraId="75C24641" w14:textId="77777777" w:rsidTr="0F1D33A4">
        <w:tc>
          <w:tcPr>
            <w:tcW w:w="950" w:type="pct"/>
            <w:shd w:val="clear" w:color="auto" w:fill="auto"/>
          </w:tcPr>
          <w:p w14:paraId="3E7666D1" w14:textId="68983DA7" w:rsidR="008975CB" w:rsidRPr="00567618" w:rsidRDefault="008975CB" w:rsidP="008975CB">
            <w:pPr>
              <w:keepNext/>
              <w:keepLines/>
              <w:jc w:val="left"/>
              <w:rPr>
                <w:rFonts w:ascii="Arial Narrow" w:eastAsiaTheme="majorEastAsia" w:hAnsi="Arial Narrow" w:cstheme="majorBidi"/>
                <w:bCs/>
                <w:sz w:val="20"/>
              </w:rPr>
            </w:pPr>
            <w:r w:rsidRPr="00567618">
              <w:rPr>
                <w:rFonts w:ascii="Arial Narrow" w:eastAsiaTheme="majorEastAsia" w:hAnsi="Arial Narrow" w:cstheme="majorBidi"/>
                <w:bCs/>
                <w:sz w:val="20"/>
              </w:rPr>
              <w:t xml:space="preserve">Number of </w:t>
            </w:r>
            <w:r w:rsidR="004E2FC0" w:rsidRPr="00567618">
              <w:rPr>
                <w:rFonts w:ascii="Arial Narrow" w:eastAsiaTheme="majorEastAsia" w:hAnsi="Arial Narrow" w:cstheme="majorBidi"/>
                <w:bCs/>
                <w:sz w:val="20"/>
              </w:rPr>
              <w:t>venesection</w:t>
            </w:r>
            <w:r w:rsidR="00066A08" w:rsidRPr="00567618">
              <w:rPr>
                <w:rFonts w:ascii="Arial Narrow" w:eastAsiaTheme="majorEastAsia" w:hAnsi="Arial Narrow" w:cstheme="majorBidi"/>
                <w:bCs/>
                <w:sz w:val="20"/>
              </w:rPr>
              <w:t>s</w:t>
            </w:r>
            <w:r w:rsidR="004E2FC0" w:rsidRPr="00567618">
              <w:rPr>
                <w:rFonts w:ascii="Arial Narrow" w:eastAsiaTheme="majorEastAsia" w:hAnsi="Arial Narrow" w:cstheme="majorBidi"/>
                <w:bCs/>
                <w:sz w:val="20"/>
              </w:rPr>
              <w:t xml:space="preserve"> </w:t>
            </w:r>
            <w:r w:rsidRPr="00567618">
              <w:rPr>
                <w:rFonts w:ascii="Arial Narrow" w:eastAsiaTheme="majorEastAsia" w:hAnsi="Arial Narrow" w:cstheme="majorBidi"/>
                <w:bCs/>
                <w:sz w:val="20"/>
              </w:rPr>
              <w:t>offset and cost</w:t>
            </w:r>
          </w:p>
        </w:tc>
        <w:tc>
          <w:tcPr>
            <w:tcW w:w="1799" w:type="pct"/>
            <w:shd w:val="clear" w:color="auto" w:fill="auto"/>
          </w:tcPr>
          <w:p w14:paraId="5F532C44" w14:textId="5F9E30EB" w:rsidR="008975CB" w:rsidRPr="00567618" w:rsidRDefault="008975CB" w:rsidP="008975CB">
            <w:pPr>
              <w:keepNext/>
              <w:keepLines/>
              <w:jc w:val="left"/>
              <w:rPr>
                <w:rFonts w:ascii="Arial Narrow" w:eastAsiaTheme="majorEastAsia" w:hAnsi="Arial Narrow" w:cstheme="majorBidi"/>
                <w:bCs/>
                <w:sz w:val="20"/>
              </w:rPr>
            </w:pPr>
            <w:r w:rsidRPr="00567618">
              <w:rPr>
                <w:rFonts w:ascii="Arial Narrow" w:eastAsiaTheme="majorEastAsia" w:hAnsi="Arial Narrow" w:cstheme="majorBidi"/>
                <w:bCs/>
                <w:sz w:val="20"/>
              </w:rPr>
              <w:t>1.01 per patient per year: Based on outputs of economic model and $83.10 (100% benefit): MBS item 13757</w:t>
            </w:r>
          </w:p>
        </w:tc>
        <w:tc>
          <w:tcPr>
            <w:tcW w:w="2251" w:type="pct"/>
            <w:shd w:val="clear" w:color="auto" w:fill="auto"/>
          </w:tcPr>
          <w:p w14:paraId="14D62125" w14:textId="05321094" w:rsidR="008975CB" w:rsidRPr="00567618" w:rsidRDefault="0046126E" w:rsidP="0F1D33A4">
            <w:pPr>
              <w:keepNext/>
              <w:keepLines/>
              <w:jc w:val="left"/>
              <w:rPr>
                <w:rFonts w:ascii="Arial Narrow" w:eastAsiaTheme="majorEastAsia" w:hAnsi="Arial Narrow" w:cstheme="majorBidi"/>
                <w:sz w:val="20"/>
                <w:szCs w:val="20"/>
              </w:rPr>
            </w:pPr>
            <w:r w:rsidRPr="0F1D33A4">
              <w:rPr>
                <w:rFonts w:ascii="Arial Narrow" w:eastAsiaTheme="majorEastAsia" w:hAnsi="Arial Narrow" w:cstheme="majorBidi"/>
                <w:sz w:val="20"/>
                <w:szCs w:val="20"/>
              </w:rPr>
              <w:t>T</w:t>
            </w:r>
            <w:r w:rsidR="008975CB" w:rsidRPr="0F1D33A4">
              <w:rPr>
                <w:rFonts w:ascii="Arial Narrow" w:eastAsiaTheme="majorEastAsia" w:hAnsi="Arial Narrow" w:cstheme="majorBidi"/>
                <w:sz w:val="20"/>
                <w:szCs w:val="20"/>
              </w:rPr>
              <w:t xml:space="preserve">he approach </w:t>
            </w:r>
            <w:r w:rsidRPr="0F1D33A4">
              <w:rPr>
                <w:rFonts w:ascii="Arial Narrow" w:eastAsiaTheme="majorEastAsia" w:hAnsi="Arial Narrow" w:cstheme="majorBidi"/>
                <w:sz w:val="20"/>
                <w:szCs w:val="20"/>
              </w:rPr>
              <w:t xml:space="preserve">relied on </w:t>
            </w:r>
            <w:r w:rsidR="008975CB" w:rsidRPr="0F1D33A4">
              <w:rPr>
                <w:rFonts w:ascii="Arial Narrow" w:eastAsiaTheme="majorEastAsia" w:hAnsi="Arial Narrow" w:cstheme="majorBidi"/>
                <w:sz w:val="20"/>
                <w:szCs w:val="20"/>
              </w:rPr>
              <w:t>output from the economic model</w:t>
            </w:r>
            <w:r w:rsidRPr="0F1D33A4">
              <w:rPr>
                <w:rFonts w:ascii="Arial Narrow" w:eastAsiaTheme="majorEastAsia" w:hAnsi="Arial Narrow" w:cstheme="majorBidi"/>
                <w:sz w:val="20"/>
                <w:szCs w:val="20"/>
              </w:rPr>
              <w:t>. However</w:t>
            </w:r>
            <w:r w:rsidR="008975CB" w:rsidRPr="0F1D33A4">
              <w:rPr>
                <w:rFonts w:ascii="Arial Narrow" w:eastAsiaTheme="majorEastAsia" w:hAnsi="Arial Narrow" w:cstheme="majorBidi"/>
                <w:sz w:val="20"/>
                <w:szCs w:val="20"/>
              </w:rPr>
              <w:t xml:space="preserve">, the estimate </w:t>
            </w:r>
            <w:r w:rsidR="37EE399F" w:rsidRPr="0F1D33A4">
              <w:rPr>
                <w:rFonts w:ascii="Arial Narrow" w:eastAsiaTheme="majorEastAsia" w:hAnsi="Arial Narrow" w:cstheme="majorBidi"/>
                <w:sz w:val="20"/>
                <w:szCs w:val="20"/>
              </w:rPr>
              <w:t>wa</w:t>
            </w:r>
            <w:r w:rsidR="008975CB" w:rsidRPr="0F1D33A4">
              <w:rPr>
                <w:rFonts w:ascii="Arial Narrow" w:eastAsiaTheme="majorEastAsia" w:hAnsi="Arial Narrow" w:cstheme="majorBidi"/>
                <w:sz w:val="20"/>
                <w:szCs w:val="20"/>
              </w:rPr>
              <w:t xml:space="preserve">s likely reasonable as those in the ruxolitinib arm </w:t>
            </w:r>
            <w:r w:rsidR="75D2F003" w:rsidRPr="0F1D33A4">
              <w:rPr>
                <w:rFonts w:ascii="Arial Narrow" w:eastAsiaTheme="majorEastAsia" w:hAnsi="Arial Narrow" w:cstheme="majorBidi"/>
                <w:sz w:val="20"/>
                <w:szCs w:val="20"/>
              </w:rPr>
              <w:t xml:space="preserve">of the MAJIC and RESPONSE trials </w:t>
            </w:r>
            <w:r w:rsidR="008975CB" w:rsidRPr="0F1D33A4">
              <w:rPr>
                <w:rFonts w:ascii="Arial Narrow" w:eastAsiaTheme="majorEastAsia" w:hAnsi="Arial Narrow" w:cstheme="majorBidi"/>
                <w:sz w:val="20"/>
                <w:szCs w:val="20"/>
              </w:rPr>
              <w:t xml:space="preserve">reported lower number of </w:t>
            </w:r>
            <w:r w:rsidR="1A1EB012" w:rsidRPr="0F1D33A4">
              <w:rPr>
                <w:rFonts w:ascii="Arial Narrow" w:eastAsiaTheme="majorEastAsia" w:hAnsi="Arial Narrow" w:cstheme="majorBidi"/>
                <w:sz w:val="20"/>
                <w:szCs w:val="20"/>
              </w:rPr>
              <w:t>venesection</w:t>
            </w:r>
            <w:r w:rsidR="00066A08" w:rsidRPr="0F1D33A4">
              <w:rPr>
                <w:rFonts w:ascii="Arial Narrow" w:eastAsiaTheme="majorEastAsia" w:hAnsi="Arial Narrow" w:cstheme="majorBidi"/>
                <w:sz w:val="20"/>
                <w:szCs w:val="20"/>
              </w:rPr>
              <w:t>s</w:t>
            </w:r>
            <w:r w:rsidR="008975CB" w:rsidRPr="0F1D33A4">
              <w:rPr>
                <w:rFonts w:ascii="Arial Narrow" w:eastAsiaTheme="majorEastAsia" w:hAnsi="Arial Narrow" w:cstheme="majorBidi"/>
                <w:sz w:val="20"/>
                <w:szCs w:val="20"/>
              </w:rPr>
              <w:t xml:space="preserve"> compared to those treated with BAT.</w:t>
            </w:r>
          </w:p>
        </w:tc>
      </w:tr>
    </w:tbl>
    <w:p w14:paraId="390E2632" w14:textId="77777777" w:rsidR="008975CB" w:rsidRPr="00567618" w:rsidRDefault="008975CB" w:rsidP="0F1D33A4">
      <w:pPr>
        <w:spacing w:after="120"/>
        <w:contextualSpacing/>
        <w:rPr>
          <w:rFonts w:ascii="Arial Narrow" w:hAnsi="Arial Narrow"/>
          <w:snapToGrid w:val="0"/>
          <w:sz w:val="18"/>
          <w:szCs w:val="18"/>
        </w:rPr>
      </w:pPr>
      <w:r w:rsidRPr="0F1D33A4">
        <w:rPr>
          <w:rFonts w:ascii="Arial Narrow" w:hAnsi="Arial Narrow"/>
          <w:snapToGrid w:val="0"/>
          <w:sz w:val="18"/>
          <w:szCs w:val="18"/>
        </w:rPr>
        <w:t>Source: Compiled during the evaluation based on information sources for Section 4.1, 4.2 and 4.3 of the resubmission, and from the Section 4 workbook provided by the sponsor.</w:t>
      </w:r>
    </w:p>
    <w:p w14:paraId="6EDC2C4B" w14:textId="77777777" w:rsidR="008975CB" w:rsidRPr="00567618" w:rsidRDefault="008975CB" w:rsidP="008975CB">
      <w:pPr>
        <w:spacing w:after="120"/>
        <w:contextualSpacing/>
        <w:rPr>
          <w:rFonts w:ascii="Arial Narrow" w:hAnsi="Arial Narrow"/>
          <w:snapToGrid w:val="0"/>
          <w:sz w:val="18"/>
          <w:szCs w:val="22"/>
        </w:rPr>
      </w:pPr>
      <w:r w:rsidRPr="00567618">
        <w:rPr>
          <w:rFonts w:ascii="Arial Narrow" w:hAnsi="Arial Narrow"/>
          <w:snapToGrid w:val="0"/>
          <w:sz w:val="18"/>
          <w:szCs w:val="22"/>
        </w:rPr>
        <w:lastRenderedPageBreak/>
        <w:t>Abbreviations: AIHW, Australian Institute of Health and Welfare; BAT, best available therapy; DUSC, Drug Utilisation Sub Committee; HC/HU, hydroxycarbamide/hydroxyurea; R/I, resistant to or intolerant of; PBS, Pharmaceutical Benefits Scheme; MBS, Medicare Benefits Schedule.</w:t>
      </w:r>
    </w:p>
    <w:p w14:paraId="0F9C3B2D" w14:textId="6014D372" w:rsidR="008975CB" w:rsidRPr="00567618" w:rsidRDefault="008975CB" w:rsidP="00953620">
      <w:pPr>
        <w:pStyle w:val="3-BodyText"/>
      </w:pPr>
      <w:r w:rsidRPr="0910F2D2">
        <w:fldChar w:fldCharType="begin" w:fldLock="1"/>
      </w:r>
      <w:r w:rsidRPr="0910F2D2">
        <w:instrText xml:space="preserve"> REF _Ref104805295 \h </w:instrText>
      </w:r>
      <w:r w:rsidR="00F80895" w:rsidRPr="0910F2D2">
        <w:instrText xml:space="preserve"> \* MERGEFORMAT </w:instrText>
      </w:r>
      <w:r w:rsidRPr="0910F2D2">
        <w:fldChar w:fldCharType="separate"/>
      </w:r>
      <w:r w:rsidR="00BE474A" w:rsidRPr="00BE474A">
        <w:t xml:space="preserve">Table </w:t>
      </w:r>
      <w:r w:rsidR="00BE474A" w:rsidRPr="00BE474A">
        <w:rPr>
          <w:noProof/>
        </w:rPr>
        <w:t>22</w:t>
      </w:r>
      <w:r w:rsidRPr="0910F2D2">
        <w:fldChar w:fldCharType="end"/>
      </w:r>
      <w:r w:rsidRPr="0910F2D2">
        <w:t xml:space="preserve"> summarises the estimated net cost of ruxolitinib to the Australian health budget.</w:t>
      </w:r>
    </w:p>
    <w:p w14:paraId="7796DF9F" w14:textId="3DE3A731" w:rsidR="008975CB" w:rsidRPr="00567618" w:rsidRDefault="008975CB" w:rsidP="008975CB">
      <w:pPr>
        <w:keepNext/>
        <w:keepLines/>
        <w:rPr>
          <w:rFonts w:ascii="Arial Narrow" w:hAnsi="Arial Narrow"/>
          <w:b/>
          <w:bCs/>
          <w:sz w:val="20"/>
          <w:szCs w:val="18"/>
        </w:rPr>
      </w:pPr>
      <w:bookmarkStart w:id="96" w:name="_Ref104805295"/>
      <w:r w:rsidRPr="00567618">
        <w:rPr>
          <w:rFonts w:ascii="Arial Narrow" w:hAnsi="Arial Narrow"/>
          <w:b/>
          <w:bCs/>
          <w:sz w:val="20"/>
          <w:szCs w:val="18"/>
        </w:rPr>
        <w:t xml:space="preserve">Table </w:t>
      </w:r>
      <w:r w:rsidRPr="00567618">
        <w:rPr>
          <w:rFonts w:ascii="Arial Narrow" w:hAnsi="Arial Narrow"/>
          <w:b/>
          <w:bCs/>
          <w:sz w:val="20"/>
          <w:szCs w:val="18"/>
        </w:rPr>
        <w:fldChar w:fldCharType="begin" w:fldLock="1"/>
      </w:r>
      <w:r w:rsidRPr="00567618">
        <w:rPr>
          <w:rFonts w:ascii="Arial Narrow" w:hAnsi="Arial Narrow"/>
          <w:b/>
          <w:bCs/>
          <w:sz w:val="20"/>
          <w:szCs w:val="18"/>
        </w:rPr>
        <w:instrText xml:space="preserve"> SEQ Table \* ARABIC </w:instrText>
      </w:r>
      <w:r w:rsidRPr="00567618">
        <w:rPr>
          <w:rFonts w:ascii="Arial Narrow" w:hAnsi="Arial Narrow"/>
          <w:b/>
          <w:bCs/>
          <w:sz w:val="20"/>
          <w:szCs w:val="18"/>
        </w:rPr>
        <w:fldChar w:fldCharType="separate"/>
      </w:r>
      <w:r w:rsidR="001F427F">
        <w:rPr>
          <w:rFonts w:ascii="Arial Narrow" w:hAnsi="Arial Narrow"/>
          <w:b/>
          <w:bCs/>
          <w:noProof/>
          <w:sz w:val="20"/>
          <w:szCs w:val="18"/>
        </w:rPr>
        <w:t>22</w:t>
      </w:r>
      <w:r w:rsidRPr="00567618">
        <w:rPr>
          <w:rFonts w:ascii="Arial Narrow" w:hAnsi="Arial Narrow"/>
          <w:b/>
          <w:bCs/>
          <w:sz w:val="20"/>
          <w:szCs w:val="18"/>
        </w:rPr>
        <w:fldChar w:fldCharType="end"/>
      </w:r>
      <w:bookmarkEnd w:id="96"/>
      <w:r w:rsidRPr="00567618">
        <w:rPr>
          <w:rFonts w:ascii="Arial Narrow" w:hAnsi="Arial Narrow"/>
          <w:b/>
          <w:bCs/>
          <w:sz w:val="20"/>
          <w:szCs w:val="18"/>
        </w:rPr>
        <w:t xml:space="preserve">: </w:t>
      </w:r>
      <w:r w:rsidRPr="00567618">
        <w:rPr>
          <w:rFonts w:ascii="Arial Narrow" w:hAnsi="Arial Narrow"/>
          <w:b/>
          <w:bCs/>
          <w:sz w:val="20"/>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2: Estimated use and financial implications"/>
      </w:tblPr>
      <w:tblGrid>
        <w:gridCol w:w="2405"/>
        <w:gridCol w:w="1102"/>
        <w:gridCol w:w="1102"/>
        <w:gridCol w:w="1102"/>
        <w:gridCol w:w="1102"/>
        <w:gridCol w:w="1102"/>
        <w:gridCol w:w="1102"/>
      </w:tblGrid>
      <w:tr w:rsidR="008975CB" w:rsidRPr="00567618" w14:paraId="60BC9792" w14:textId="77777777" w:rsidTr="0F1D33A4">
        <w:trPr>
          <w:tblHeader/>
        </w:trPr>
        <w:tc>
          <w:tcPr>
            <w:tcW w:w="1334" w:type="pct"/>
            <w:shd w:val="clear" w:color="auto" w:fill="auto"/>
            <w:vAlign w:val="center"/>
          </w:tcPr>
          <w:p w14:paraId="720DD264" w14:textId="77777777" w:rsidR="008975CB" w:rsidRPr="00567618" w:rsidRDefault="008975CB" w:rsidP="008975CB">
            <w:pPr>
              <w:keepNext/>
              <w:keepLines/>
              <w:jc w:val="left"/>
              <w:rPr>
                <w:rFonts w:ascii="Arial Narrow" w:eastAsiaTheme="majorEastAsia" w:hAnsi="Arial Narrow" w:cs="Times New Roman"/>
                <w:b/>
                <w:sz w:val="20"/>
                <w:lang w:val="en-US"/>
              </w:rPr>
            </w:pPr>
          </w:p>
        </w:tc>
        <w:tc>
          <w:tcPr>
            <w:tcW w:w="611" w:type="pct"/>
            <w:shd w:val="clear" w:color="auto" w:fill="auto"/>
            <w:vAlign w:val="center"/>
          </w:tcPr>
          <w:p w14:paraId="174D3B72" w14:textId="77777777" w:rsidR="008975CB" w:rsidRPr="00567618" w:rsidRDefault="008975CB" w:rsidP="008975CB">
            <w:pPr>
              <w:keepNext/>
              <w:keepLines/>
              <w:jc w:val="left"/>
              <w:rPr>
                <w:rFonts w:ascii="Arial Narrow" w:eastAsiaTheme="majorEastAsia" w:hAnsi="Arial Narrow" w:cs="Times New Roman"/>
                <w:b/>
                <w:sz w:val="20"/>
                <w:lang w:val="en-US"/>
              </w:rPr>
            </w:pPr>
            <w:r w:rsidRPr="00567618">
              <w:rPr>
                <w:rFonts w:ascii="Arial Narrow" w:eastAsiaTheme="majorEastAsia" w:hAnsi="Arial Narrow" w:cs="Times New Roman"/>
                <w:b/>
                <w:sz w:val="20"/>
                <w:lang w:val="en-US"/>
              </w:rPr>
              <w:t>Year 1</w:t>
            </w:r>
          </w:p>
        </w:tc>
        <w:tc>
          <w:tcPr>
            <w:tcW w:w="611" w:type="pct"/>
            <w:shd w:val="clear" w:color="auto" w:fill="auto"/>
            <w:vAlign w:val="center"/>
          </w:tcPr>
          <w:p w14:paraId="08EE344C" w14:textId="77777777" w:rsidR="008975CB" w:rsidRPr="00567618" w:rsidRDefault="008975CB" w:rsidP="008975CB">
            <w:pPr>
              <w:keepNext/>
              <w:keepLines/>
              <w:jc w:val="left"/>
              <w:rPr>
                <w:rFonts w:ascii="Arial Narrow" w:eastAsiaTheme="majorEastAsia" w:hAnsi="Arial Narrow" w:cs="Times New Roman"/>
                <w:b/>
                <w:sz w:val="20"/>
                <w:lang w:val="en-US"/>
              </w:rPr>
            </w:pPr>
            <w:r w:rsidRPr="00567618">
              <w:rPr>
                <w:rFonts w:ascii="Arial Narrow" w:eastAsiaTheme="majorEastAsia" w:hAnsi="Arial Narrow" w:cs="Times New Roman"/>
                <w:b/>
                <w:sz w:val="20"/>
                <w:lang w:val="en-US"/>
              </w:rPr>
              <w:t>Year 2</w:t>
            </w:r>
          </w:p>
        </w:tc>
        <w:tc>
          <w:tcPr>
            <w:tcW w:w="611" w:type="pct"/>
            <w:shd w:val="clear" w:color="auto" w:fill="auto"/>
            <w:vAlign w:val="center"/>
          </w:tcPr>
          <w:p w14:paraId="3558FDB5" w14:textId="77777777" w:rsidR="008975CB" w:rsidRPr="00567618" w:rsidRDefault="008975CB" w:rsidP="008975CB">
            <w:pPr>
              <w:keepNext/>
              <w:keepLines/>
              <w:jc w:val="left"/>
              <w:rPr>
                <w:rFonts w:ascii="Arial Narrow" w:eastAsiaTheme="majorEastAsia" w:hAnsi="Arial Narrow" w:cs="Times New Roman"/>
                <w:b/>
                <w:sz w:val="20"/>
                <w:lang w:val="en-US"/>
              </w:rPr>
            </w:pPr>
            <w:r w:rsidRPr="00567618">
              <w:rPr>
                <w:rFonts w:ascii="Arial Narrow" w:eastAsiaTheme="majorEastAsia" w:hAnsi="Arial Narrow" w:cs="Times New Roman"/>
                <w:b/>
                <w:sz w:val="20"/>
                <w:lang w:val="en-US"/>
              </w:rPr>
              <w:t>Year 3</w:t>
            </w:r>
          </w:p>
        </w:tc>
        <w:tc>
          <w:tcPr>
            <w:tcW w:w="611" w:type="pct"/>
            <w:shd w:val="clear" w:color="auto" w:fill="auto"/>
            <w:vAlign w:val="center"/>
          </w:tcPr>
          <w:p w14:paraId="3209E824" w14:textId="77777777" w:rsidR="008975CB" w:rsidRPr="00567618" w:rsidRDefault="008975CB" w:rsidP="008975CB">
            <w:pPr>
              <w:keepNext/>
              <w:keepLines/>
              <w:jc w:val="left"/>
              <w:rPr>
                <w:rFonts w:ascii="Arial Narrow" w:eastAsiaTheme="majorEastAsia" w:hAnsi="Arial Narrow" w:cs="Times New Roman"/>
                <w:b/>
                <w:sz w:val="20"/>
                <w:lang w:val="en-US"/>
              </w:rPr>
            </w:pPr>
            <w:r w:rsidRPr="00567618">
              <w:rPr>
                <w:rFonts w:ascii="Arial Narrow" w:eastAsiaTheme="majorEastAsia" w:hAnsi="Arial Narrow" w:cs="Times New Roman"/>
                <w:b/>
                <w:sz w:val="20"/>
                <w:lang w:val="en-US"/>
              </w:rPr>
              <w:t>Year 4</w:t>
            </w:r>
          </w:p>
        </w:tc>
        <w:tc>
          <w:tcPr>
            <w:tcW w:w="611" w:type="pct"/>
            <w:shd w:val="clear" w:color="auto" w:fill="auto"/>
            <w:vAlign w:val="center"/>
          </w:tcPr>
          <w:p w14:paraId="411B6952" w14:textId="77777777" w:rsidR="008975CB" w:rsidRPr="00567618" w:rsidRDefault="008975CB" w:rsidP="008975CB">
            <w:pPr>
              <w:keepNext/>
              <w:keepLines/>
              <w:jc w:val="left"/>
              <w:rPr>
                <w:rFonts w:ascii="Arial Narrow" w:eastAsiaTheme="majorEastAsia" w:hAnsi="Arial Narrow" w:cs="Times New Roman"/>
                <w:b/>
                <w:sz w:val="20"/>
                <w:lang w:val="en-US"/>
              </w:rPr>
            </w:pPr>
            <w:r w:rsidRPr="00567618">
              <w:rPr>
                <w:rFonts w:ascii="Arial Narrow" w:eastAsiaTheme="majorEastAsia" w:hAnsi="Arial Narrow" w:cs="Times New Roman"/>
                <w:b/>
                <w:sz w:val="20"/>
                <w:lang w:val="en-US"/>
              </w:rPr>
              <w:t>Year 5</w:t>
            </w:r>
          </w:p>
        </w:tc>
        <w:tc>
          <w:tcPr>
            <w:tcW w:w="611" w:type="pct"/>
          </w:tcPr>
          <w:p w14:paraId="53A44A20" w14:textId="77777777" w:rsidR="008975CB" w:rsidRPr="00567618" w:rsidRDefault="008975CB" w:rsidP="008975CB">
            <w:pPr>
              <w:keepNext/>
              <w:keepLines/>
              <w:jc w:val="left"/>
              <w:rPr>
                <w:rFonts w:ascii="Arial Narrow" w:eastAsiaTheme="majorEastAsia" w:hAnsi="Arial Narrow" w:cs="Times New Roman"/>
                <w:b/>
                <w:sz w:val="20"/>
                <w:lang w:val="en-US"/>
              </w:rPr>
            </w:pPr>
            <w:r w:rsidRPr="00567618">
              <w:rPr>
                <w:rFonts w:ascii="Arial Narrow" w:eastAsiaTheme="majorEastAsia" w:hAnsi="Arial Narrow" w:cs="Times New Roman"/>
                <w:b/>
                <w:sz w:val="20"/>
                <w:lang w:val="en-US"/>
              </w:rPr>
              <w:t>Year 6</w:t>
            </w:r>
          </w:p>
        </w:tc>
      </w:tr>
      <w:tr w:rsidR="008975CB" w:rsidRPr="00567618" w14:paraId="7BC9B2CC" w14:textId="77777777" w:rsidTr="0F1D33A4">
        <w:tc>
          <w:tcPr>
            <w:tcW w:w="5000" w:type="pct"/>
            <w:gridSpan w:val="7"/>
            <w:shd w:val="clear" w:color="auto" w:fill="auto"/>
            <w:vAlign w:val="center"/>
          </w:tcPr>
          <w:p w14:paraId="3E0FB619" w14:textId="77777777" w:rsidR="008975CB" w:rsidRPr="00567618" w:rsidRDefault="008975CB" w:rsidP="008975CB">
            <w:pPr>
              <w:keepNext/>
              <w:keepLines/>
              <w:jc w:val="left"/>
              <w:rPr>
                <w:rFonts w:ascii="Arial Narrow" w:eastAsiaTheme="majorEastAsia" w:hAnsi="Arial Narrow" w:cs="Times New Roman"/>
                <w:b/>
                <w:sz w:val="20"/>
                <w:lang w:val="en-US"/>
              </w:rPr>
            </w:pPr>
            <w:r w:rsidRPr="00567618">
              <w:rPr>
                <w:rFonts w:ascii="Arial Narrow" w:eastAsiaTheme="majorEastAsia" w:hAnsi="Arial Narrow" w:cs="Times New Roman"/>
                <w:b/>
                <w:sz w:val="20"/>
                <w:lang w:val="en-US"/>
              </w:rPr>
              <w:t>Estimated extent of use</w:t>
            </w:r>
          </w:p>
        </w:tc>
      </w:tr>
      <w:tr w:rsidR="008975CB" w:rsidRPr="00567618" w14:paraId="68B5A052" w14:textId="77777777" w:rsidTr="00A268DC">
        <w:tc>
          <w:tcPr>
            <w:tcW w:w="1334" w:type="pct"/>
            <w:shd w:val="clear" w:color="auto" w:fill="auto"/>
            <w:vAlign w:val="center"/>
          </w:tcPr>
          <w:p w14:paraId="03DD3486" w14:textId="625B2925" w:rsidR="008975CB" w:rsidRPr="00567618" w:rsidRDefault="008975CB" w:rsidP="008975CB">
            <w:pPr>
              <w:keepNext/>
              <w:keepLines/>
              <w:jc w:val="left"/>
              <w:rPr>
                <w:rFonts w:ascii="Times" w:eastAsiaTheme="majorEastAsia" w:hAnsi="Times" w:cstheme="majorBidi"/>
                <w:bCs/>
                <w:sz w:val="20"/>
              </w:rPr>
            </w:pPr>
            <w:r w:rsidRPr="00567618">
              <w:rPr>
                <w:rFonts w:ascii="Arial Narrow" w:eastAsiaTheme="majorEastAsia" w:hAnsi="Arial Narrow" w:cstheme="majorBidi"/>
                <w:bCs/>
                <w:sz w:val="20"/>
              </w:rPr>
              <w:t xml:space="preserve">Number of </w:t>
            </w:r>
            <w:r w:rsidR="00B42CBD" w:rsidRPr="00567618">
              <w:rPr>
                <w:rFonts w:ascii="Arial Narrow" w:eastAsiaTheme="majorEastAsia" w:hAnsi="Arial Narrow" w:cstheme="majorBidi"/>
                <w:bCs/>
                <w:sz w:val="20"/>
              </w:rPr>
              <w:t xml:space="preserve">initiating </w:t>
            </w:r>
            <w:r w:rsidRPr="00567618">
              <w:rPr>
                <w:rFonts w:ascii="Arial Narrow" w:eastAsiaTheme="majorEastAsia" w:hAnsi="Arial Narrow" w:cstheme="majorBidi"/>
                <w:bCs/>
                <w:sz w:val="20"/>
              </w:rPr>
              <w:t>patients treated</w:t>
            </w:r>
          </w:p>
        </w:tc>
        <w:tc>
          <w:tcPr>
            <w:tcW w:w="611" w:type="pct"/>
            <w:shd w:val="clear" w:color="auto" w:fill="auto"/>
          </w:tcPr>
          <w:p w14:paraId="5834A842" w14:textId="268B552C" w:rsidR="008975CB" w:rsidRPr="00C2249C" w:rsidRDefault="00A268DC" w:rsidP="008975CB">
            <w:pPr>
              <w:keepNext/>
              <w:keepLines/>
              <w:jc w:val="center"/>
              <w:rPr>
                <w:rFonts w:ascii="Arial Narrow" w:eastAsiaTheme="majorEastAsia" w:hAnsi="Arial Narrow" w:cstheme="majorBidi"/>
                <w:bCs/>
                <w:color w:val="000000"/>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28"/>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28"/>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28"/>
                <w14:textFill>
                  <w14:solidFill>
                    <w14:srgbClr w14:val="000000">
                      <w14:alpha w14:val="100000"/>
                    </w14:srgbClr>
                  </w14:solidFill>
                </w14:textFill>
              </w:rPr>
              <w:t xml:space="preserve">　</w:t>
            </w:r>
            <w:r w:rsidR="00894DA8" w:rsidRPr="00894DA8">
              <w:rPr>
                <w:rFonts w:ascii="Arial Narrow" w:eastAsiaTheme="majorEastAsia" w:hAnsi="Arial Narrow" w:cstheme="majorBidi"/>
                <w:bCs/>
                <w:sz w:val="20"/>
                <w:vertAlign w:val="superscript"/>
              </w:rPr>
              <w:t>1</w:t>
            </w:r>
          </w:p>
        </w:tc>
        <w:tc>
          <w:tcPr>
            <w:tcW w:w="611" w:type="pct"/>
            <w:shd w:val="clear" w:color="auto" w:fill="auto"/>
          </w:tcPr>
          <w:p w14:paraId="7727D2ED" w14:textId="09E937CB" w:rsidR="008975CB" w:rsidRPr="00C2249C" w:rsidRDefault="00A268DC" w:rsidP="008975CB">
            <w:pPr>
              <w:keepNext/>
              <w:keepLines/>
              <w:jc w:val="center"/>
              <w:rPr>
                <w:rFonts w:ascii="Arial Narrow" w:eastAsiaTheme="majorEastAsia" w:hAnsi="Arial Narrow" w:cstheme="majorBidi"/>
                <w:bCs/>
                <w:color w:val="000000"/>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27"/>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27"/>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27"/>
                <w14:textFill>
                  <w14:solidFill>
                    <w14:srgbClr w14:val="000000">
                      <w14:alpha w14:val="100000"/>
                    </w14:srgbClr>
                  </w14:solidFill>
                </w14:textFill>
              </w:rPr>
              <w:t xml:space="preserve">　</w:t>
            </w:r>
            <w:r w:rsidR="00894DA8" w:rsidRPr="00894DA8">
              <w:rPr>
                <w:rFonts w:ascii="Arial Narrow" w:eastAsiaTheme="majorEastAsia" w:hAnsi="Arial Narrow" w:cstheme="majorBidi"/>
                <w:bCs/>
                <w:sz w:val="20"/>
                <w:vertAlign w:val="superscript"/>
              </w:rPr>
              <w:t>1</w:t>
            </w:r>
          </w:p>
        </w:tc>
        <w:tc>
          <w:tcPr>
            <w:tcW w:w="611" w:type="pct"/>
            <w:shd w:val="clear" w:color="auto" w:fill="auto"/>
          </w:tcPr>
          <w:p w14:paraId="4DD3BDF7" w14:textId="17D98E29" w:rsidR="008975CB" w:rsidRPr="00C2249C" w:rsidRDefault="00A268DC" w:rsidP="008975CB">
            <w:pPr>
              <w:keepNext/>
              <w:keepLines/>
              <w:jc w:val="center"/>
              <w:rPr>
                <w:rFonts w:ascii="Arial Narrow" w:eastAsiaTheme="majorEastAsia" w:hAnsi="Arial Narrow" w:cstheme="majorBidi"/>
                <w:bCs/>
                <w:color w:val="000000"/>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26"/>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26"/>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26"/>
                <w14:textFill>
                  <w14:solidFill>
                    <w14:srgbClr w14:val="000000">
                      <w14:alpha w14:val="100000"/>
                    </w14:srgbClr>
                  </w14:solidFill>
                </w14:textFill>
              </w:rPr>
              <w:t xml:space="preserve">　</w:t>
            </w:r>
            <w:r w:rsidR="00894DA8" w:rsidRPr="00894DA8">
              <w:rPr>
                <w:rFonts w:ascii="Arial Narrow" w:eastAsiaTheme="majorEastAsia" w:hAnsi="Arial Narrow" w:cstheme="majorBidi"/>
                <w:bCs/>
                <w:sz w:val="20"/>
                <w:vertAlign w:val="superscript"/>
              </w:rPr>
              <w:t>1</w:t>
            </w:r>
          </w:p>
        </w:tc>
        <w:tc>
          <w:tcPr>
            <w:tcW w:w="611" w:type="pct"/>
            <w:tcBorders>
              <w:bottom w:val="single" w:sz="4" w:space="0" w:color="auto"/>
            </w:tcBorders>
            <w:shd w:val="clear" w:color="auto" w:fill="auto"/>
          </w:tcPr>
          <w:p w14:paraId="4F2B8DE9" w14:textId="0BEE4F27" w:rsidR="008975CB" w:rsidRPr="00C2249C" w:rsidRDefault="00A268DC" w:rsidP="008975CB">
            <w:pPr>
              <w:keepNext/>
              <w:keepLines/>
              <w:jc w:val="center"/>
              <w:rPr>
                <w:rFonts w:ascii="Arial Narrow" w:eastAsiaTheme="majorEastAsia" w:hAnsi="Arial Narrow" w:cstheme="majorBidi"/>
                <w:bCs/>
                <w:color w:val="000000"/>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25"/>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25"/>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25"/>
                <w14:textFill>
                  <w14:solidFill>
                    <w14:srgbClr w14:val="000000">
                      <w14:alpha w14:val="100000"/>
                    </w14:srgbClr>
                  </w14:solidFill>
                </w14:textFill>
              </w:rPr>
              <w:t xml:space="preserve">　</w:t>
            </w:r>
            <w:r w:rsidR="00894DA8" w:rsidRPr="00894DA8">
              <w:rPr>
                <w:rFonts w:ascii="Arial Narrow" w:eastAsiaTheme="majorEastAsia" w:hAnsi="Arial Narrow" w:cstheme="majorBidi"/>
                <w:bCs/>
                <w:sz w:val="20"/>
                <w:vertAlign w:val="superscript"/>
              </w:rPr>
              <w:t>1</w:t>
            </w:r>
          </w:p>
        </w:tc>
        <w:tc>
          <w:tcPr>
            <w:tcW w:w="611" w:type="pct"/>
            <w:shd w:val="clear" w:color="auto" w:fill="auto"/>
          </w:tcPr>
          <w:p w14:paraId="54F01409" w14:textId="3F14032D" w:rsidR="008975CB" w:rsidRPr="00C2249C" w:rsidRDefault="00A268DC" w:rsidP="008975CB">
            <w:pPr>
              <w:keepNext/>
              <w:keepLines/>
              <w:jc w:val="center"/>
              <w:rPr>
                <w:rFonts w:ascii="Arial Narrow" w:eastAsiaTheme="majorEastAsia" w:hAnsi="Arial Narrow" w:cstheme="majorBidi"/>
                <w:bCs/>
                <w:color w:val="000000"/>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24"/>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24"/>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24"/>
                <w14:textFill>
                  <w14:solidFill>
                    <w14:srgbClr w14:val="000000">
                      <w14:alpha w14:val="100000"/>
                    </w14:srgbClr>
                  </w14:solidFill>
                </w14:textFill>
              </w:rPr>
              <w:t xml:space="preserve">　</w:t>
            </w:r>
            <w:r w:rsidR="00894DA8" w:rsidRPr="00894DA8">
              <w:rPr>
                <w:rFonts w:ascii="Arial Narrow" w:eastAsiaTheme="majorEastAsia" w:hAnsi="Arial Narrow" w:cstheme="majorBidi"/>
                <w:bCs/>
                <w:sz w:val="20"/>
                <w:vertAlign w:val="superscript"/>
              </w:rPr>
              <w:t>1</w:t>
            </w:r>
          </w:p>
        </w:tc>
        <w:tc>
          <w:tcPr>
            <w:tcW w:w="611" w:type="pct"/>
          </w:tcPr>
          <w:p w14:paraId="193D88CB" w14:textId="68EA498A" w:rsidR="008975CB" w:rsidRPr="00C2249C" w:rsidRDefault="00A268DC" w:rsidP="008975CB">
            <w:pPr>
              <w:keepNext/>
              <w:keepLines/>
              <w:jc w:val="center"/>
              <w:rPr>
                <w:rFonts w:ascii="Arial Narrow" w:eastAsiaTheme="majorEastAsia" w:hAnsi="Arial Narrow" w:cstheme="majorBidi"/>
                <w:bCs/>
                <w:color w:val="000000"/>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40"/>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40"/>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40"/>
                <w14:textFill>
                  <w14:solidFill>
                    <w14:srgbClr w14:val="000000">
                      <w14:alpha w14:val="100000"/>
                    </w14:srgbClr>
                  </w14:solidFill>
                </w14:textFill>
              </w:rPr>
              <w:t xml:space="preserve">　</w:t>
            </w:r>
            <w:r w:rsidR="00894DA8" w:rsidRPr="00894DA8">
              <w:rPr>
                <w:rFonts w:ascii="Arial Narrow" w:eastAsiaTheme="majorEastAsia" w:hAnsi="Arial Narrow" w:cstheme="majorBidi"/>
                <w:bCs/>
                <w:sz w:val="20"/>
                <w:vertAlign w:val="superscript"/>
              </w:rPr>
              <w:t>1</w:t>
            </w:r>
          </w:p>
        </w:tc>
      </w:tr>
      <w:tr w:rsidR="008975CB" w:rsidRPr="00567618" w14:paraId="3DAE9D8C" w14:textId="77777777" w:rsidTr="00A268DC">
        <w:tc>
          <w:tcPr>
            <w:tcW w:w="1334" w:type="pct"/>
            <w:shd w:val="clear" w:color="auto" w:fill="auto"/>
            <w:vAlign w:val="center"/>
          </w:tcPr>
          <w:p w14:paraId="1AD45C0F" w14:textId="34CC00C1" w:rsidR="008975CB" w:rsidRPr="00567618" w:rsidRDefault="008975CB" w:rsidP="0F1D33A4">
            <w:pPr>
              <w:keepNext/>
              <w:keepLines/>
              <w:jc w:val="left"/>
              <w:rPr>
                <w:rFonts w:ascii="Times" w:eastAsiaTheme="majorEastAsia" w:hAnsi="Times" w:cstheme="majorBidi"/>
                <w:sz w:val="20"/>
                <w:szCs w:val="20"/>
              </w:rPr>
            </w:pPr>
            <w:r w:rsidRPr="0F1D33A4">
              <w:rPr>
                <w:rFonts w:ascii="Arial Narrow" w:eastAsiaTheme="majorEastAsia" w:hAnsi="Arial Narrow" w:cstheme="majorBidi"/>
                <w:sz w:val="20"/>
                <w:szCs w:val="20"/>
              </w:rPr>
              <w:t>Number of scripts dispensed</w:t>
            </w:r>
            <w:r w:rsidR="00B33726">
              <w:rPr>
                <w:rFonts w:ascii="Arial Narrow" w:eastAsiaTheme="majorEastAsia" w:hAnsi="Arial Narrow" w:cstheme="majorBidi"/>
                <w:sz w:val="20"/>
                <w:szCs w:val="20"/>
              </w:rPr>
              <w:t xml:space="preserve"> </w:t>
            </w:r>
            <w:r w:rsidRPr="0F1D33A4">
              <w:rPr>
                <w:rFonts w:ascii="Arial Narrow" w:eastAsiaTheme="majorEastAsia" w:hAnsi="Arial Narrow" w:cstheme="majorBidi"/>
                <w:sz w:val="20"/>
                <w:szCs w:val="20"/>
                <w:vertAlign w:val="superscript"/>
              </w:rPr>
              <w:t>a</w:t>
            </w:r>
          </w:p>
        </w:tc>
        <w:tc>
          <w:tcPr>
            <w:tcW w:w="611" w:type="pct"/>
            <w:shd w:val="clear" w:color="auto" w:fill="auto"/>
          </w:tcPr>
          <w:p w14:paraId="5FDC5F00" w14:textId="79E25AFD" w:rsidR="008975CB" w:rsidRPr="00C2249C" w:rsidRDefault="00A268DC" w:rsidP="008975CB">
            <w:pPr>
              <w:keepNext/>
              <w:keepLines/>
              <w:jc w:val="center"/>
              <w:rPr>
                <w:rFonts w:ascii="Arial Narrow" w:eastAsiaTheme="majorEastAsia" w:hAnsi="Arial Narrow" w:cstheme="majorBidi"/>
                <w:bCs/>
                <w:color w:val="000000"/>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39"/>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39"/>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39"/>
                <w14:textFill>
                  <w14:solidFill>
                    <w14:srgbClr w14:val="000000">
                      <w14:alpha w14:val="100000"/>
                    </w14:srgbClr>
                  </w14:solidFill>
                </w14:textFill>
              </w:rPr>
              <w:t xml:space="preserve">　</w:t>
            </w:r>
            <w:r w:rsidR="00B44D0F" w:rsidRPr="00B44D0F">
              <w:rPr>
                <w:rFonts w:ascii="Arial Narrow" w:eastAsiaTheme="majorEastAsia" w:hAnsi="Arial Narrow" w:cstheme="majorBidi"/>
                <w:bCs/>
                <w:sz w:val="20"/>
                <w:vertAlign w:val="superscript"/>
              </w:rPr>
              <w:t>2</w:t>
            </w:r>
          </w:p>
        </w:tc>
        <w:tc>
          <w:tcPr>
            <w:tcW w:w="611" w:type="pct"/>
            <w:shd w:val="clear" w:color="auto" w:fill="auto"/>
          </w:tcPr>
          <w:p w14:paraId="24355BA4" w14:textId="16DAA21A" w:rsidR="008975CB" w:rsidRPr="00C2249C" w:rsidRDefault="00A268DC" w:rsidP="008975CB">
            <w:pPr>
              <w:keepNext/>
              <w:keepLines/>
              <w:jc w:val="center"/>
              <w:rPr>
                <w:rFonts w:ascii="Arial Narrow" w:eastAsiaTheme="majorEastAsia" w:hAnsi="Arial Narrow" w:cstheme="majorBidi"/>
                <w:bCs/>
                <w:color w:val="000000"/>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38"/>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38"/>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38"/>
                <w14:textFill>
                  <w14:solidFill>
                    <w14:srgbClr w14:val="000000">
                      <w14:alpha w14:val="100000"/>
                    </w14:srgbClr>
                  </w14:solidFill>
                </w14:textFill>
              </w:rPr>
              <w:t xml:space="preserve">　</w:t>
            </w:r>
            <w:r w:rsidR="00B44D0F" w:rsidRPr="00B44D0F">
              <w:rPr>
                <w:rFonts w:ascii="Arial Narrow" w:eastAsiaTheme="majorEastAsia" w:hAnsi="Arial Narrow" w:cstheme="majorBidi"/>
                <w:bCs/>
                <w:sz w:val="20"/>
                <w:vertAlign w:val="superscript"/>
              </w:rPr>
              <w:t>3</w:t>
            </w:r>
          </w:p>
        </w:tc>
        <w:tc>
          <w:tcPr>
            <w:tcW w:w="611" w:type="pct"/>
            <w:shd w:val="clear" w:color="auto" w:fill="auto"/>
          </w:tcPr>
          <w:p w14:paraId="2E0977D9" w14:textId="32DD0CEE" w:rsidR="008975CB" w:rsidRPr="00C2249C" w:rsidRDefault="00A268DC" w:rsidP="008975CB">
            <w:pPr>
              <w:keepNext/>
              <w:keepLines/>
              <w:jc w:val="center"/>
              <w:rPr>
                <w:rFonts w:ascii="Arial Narrow" w:eastAsiaTheme="majorEastAsia" w:hAnsi="Arial Narrow" w:cstheme="majorBidi"/>
                <w:bCs/>
                <w:color w:val="000000"/>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37"/>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37"/>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37"/>
                <w14:textFill>
                  <w14:solidFill>
                    <w14:srgbClr w14:val="000000">
                      <w14:alpha w14:val="100000"/>
                    </w14:srgbClr>
                  </w14:solidFill>
                </w14:textFill>
              </w:rPr>
              <w:t xml:space="preserve">　</w:t>
            </w:r>
            <w:r w:rsidR="00B44D0F" w:rsidRPr="00B44D0F">
              <w:rPr>
                <w:rFonts w:ascii="Arial Narrow" w:eastAsiaTheme="majorEastAsia" w:hAnsi="Arial Narrow" w:cstheme="majorBidi"/>
                <w:bCs/>
                <w:sz w:val="20"/>
                <w:vertAlign w:val="superscript"/>
              </w:rPr>
              <w:t>3</w:t>
            </w:r>
          </w:p>
        </w:tc>
        <w:tc>
          <w:tcPr>
            <w:tcW w:w="611" w:type="pct"/>
            <w:shd w:val="solid" w:color="000000" w:fill="000000"/>
          </w:tcPr>
          <w:p w14:paraId="3C478E6F" w14:textId="411F0CDF" w:rsidR="008975CB" w:rsidRPr="00C2249C" w:rsidRDefault="00A268DC" w:rsidP="008975CB">
            <w:pPr>
              <w:keepNext/>
              <w:keepLines/>
              <w:jc w:val="center"/>
              <w:rPr>
                <w:rFonts w:ascii="Arial Narrow" w:eastAsiaTheme="majorEastAsia" w:hAnsi="Arial Narrow" w:cstheme="majorBidi"/>
                <w:bCs/>
                <w:color w:val="000000"/>
                <w:sz w:val="20"/>
                <w:highlight w:val="darkGray"/>
              </w:rPr>
            </w:pPr>
            <w:r w:rsidRPr="00A268DC">
              <w:rPr>
                <w:rFonts w:ascii="Arial Narrow" w:eastAsiaTheme="majorEastAsia" w:hAnsi="Arial Narrow" w:cstheme="majorBidi" w:hint="eastAsia"/>
                <w:bCs/>
                <w:color w:val="000000"/>
                <w:w w:val="15"/>
                <w:sz w:val="20"/>
                <w:fitText w:val="30" w:id="-694973436"/>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fitText w:val="30" w:id="-694973436"/>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35"/>
                <w:w w:val="15"/>
                <w:sz w:val="20"/>
                <w:fitText w:val="30" w:id="-694973436"/>
                <w14:textFill>
                  <w14:solidFill>
                    <w14:srgbClr w14:val="000000">
                      <w14:alpha w14:val="100000"/>
                    </w14:srgbClr>
                  </w14:solidFill>
                </w14:textFill>
              </w:rPr>
              <w:t xml:space="preserve">　</w:t>
            </w:r>
          </w:p>
        </w:tc>
        <w:tc>
          <w:tcPr>
            <w:tcW w:w="611" w:type="pct"/>
            <w:shd w:val="clear" w:color="auto" w:fill="auto"/>
          </w:tcPr>
          <w:p w14:paraId="2030008F" w14:textId="369C7410" w:rsidR="008975CB" w:rsidRPr="00C2249C" w:rsidRDefault="00A268DC" w:rsidP="008975CB">
            <w:pPr>
              <w:keepNext/>
              <w:keepLines/>
              <w:jc w:val="center"/>
              <w:rPr>
                <w:rFonts w:ascii="Arial Narrow" w:eastAsiaTheme="majorEastAsia" w:hAnsi="Arial Narrow" w:cstheme="majorBidi"/>
                <w:bCs/>
                <w:color w:val="000000"/>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35"/>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35"/>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35"/>
                <w14:textFill>
                  <w14:solidFill>
                    <w14:srgbClr w14:val="000000">
                      <w14:alpha w14:val="100000"/>
                    </w14:srgbClr>
                  </w14:solidFill>
                </w14:textFill>
              </w:rPr>
              <w:t xml:space="preserve">　</w:t>
            </w:r>
            <w:r w:rsidR="00B44D0F" w:rsidRPr="00B44D0F">
              <w:rPr>
                <w:rFonts w:ascii="Arial Narrow" w:eastAsiaTheme="majorEastAsia" w:hAnsi="Arial Narrow" w:cstheme="majorBidi"/>
                <w:bCs/>
                <w:sz w:val="20"/>
                <w:vertAlign w:val="superscript"/>
              </w:rPr>
              <w:t>3</w:t>
            </w:r>
          </w:p>
        </w:tc>
        <w:tc>
          <w:tcPr>
            <w:tcW w:w="611" w:type="pct"/>
          </w:tcPr>
          <w:p w14:paraId="6C922552" w14:textId="35E1AE37" w:rsidR="008975CB" w:rsidRPr="00C2249C" w:rsidRDefault="00A268DC" w:rsidP="008975CB">
            <w:pPr>
              <w:keepNext/>
              <w:keepLines/>
              <w:jc w:val="center"/>
              <w:rPr>
                <w:rFonts w:ascii="Arial Narrow" w:eastAsiaTheme="majorEastAsia" w:hAnsi="Arial Narrow" w:cstheme="majorBidi"/>
                <w:bCs/>
                <w:color w:val="000000"/>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34"/>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34"/>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34"/>
                <w14:textFill>
                  <w14:solidFill>
                    <w14:srgbClr w14:val="000000">
                      <w14:alpha w14:val="100000"/>
                    </w14:srgbClr>
                  </w14:solidFill>
                </w14:textFill>
              </w:rPr>
              <w:t xml:space="preserve">　</w:t>
            </w:r>
            <w:r w:rsidR="00B44D0F" w:rsidRPr="00B44D0F">
              <w:rPr>
                <w:rFonts w:ascii="Arial Narrow" w:eastAsiaTheme="majorEastAsia" w:hAnsi="Arial Narrow" w:cstheme="majorBidi"/>
                <w:bCs/>
                <w:sz w:val="20"/>
                <w:vertAlign w:val="superscript"/>
              </w:rPr>
              <w:t>3</w:t>
            </w:r>
          </w:p>
        </w:tc>
      </w:tr>
      <w:tr w:rsidR="008975CB" w:rsidRPr="00567618" w14:paraId="73821503" w14:textId="77777777" w:rsidTr="0F1D33A4">
        <w:tc>
          <w:tcPr>
            <w:tcW w:w="5000" w:type="pct"/>
            <w:gridSpan w:val="7"/>
            <w:shd w:val="clear" w:color="auto" w:fill="auto"/>
            <w:vAlign w:val="center"/>
          </w:tcPr>
          <w:p w14:paraId="6EDEC6EB" w14:textId="77777777" w:rsidR="008975CB" w:rsidRPr="00567618" w:rsidRDefault="008975CB" w:rsidP="008975CB">
            <w:pPr>
              <w:keepNext/>
              <w:keepLines/>
              <w:jc w:val="left"/>
              <w:rPr>
                <w:rFonts w:ascii="Arial Narrow" w:eastAsiaTheme="majorEastAsia" w:hAnsi="Arial Narrow" w:cs="Times New Roman"/>
                <w:b/>
                <w:sz w:val="20"/>
                <w:lang w:val="en-US"/>
              </w:rPr>
            </w:pPr>
            <w:r w:rsidRPr="00567618">
              <w:rPr>
                <w:rFonts w:ascii="Arial Narrow" w:eastAsiaTheme="majorEastAsia" w:hAnsi="Arial Narrow" w:cs="Times New Roman"/>
                <w:b/>
                <w:sz w:val="20"/>
                <w:lang w:val="en-US"/>
              </w:rPr>
              <w:t>Estimated financial implications of ruxolitinib</w:t>
            </w:r>
          </w:p>
        </w:tc>
      </w:tr>
      <w:tr w:rsidR="008975CB" w:rsidRPr="00567618" w14:paraId="48B5268E" w14:textId="77777777" w:rsidTr="0F1D33A4">
        <w:tc>
          <w:tcPr>
            <w:tcW w:w="1334" w:type="pct"/>
            <w:shd w:val="clear" w:color="auto" w:fill="auto"/>
            <w:vAlign w:val="center"/>
          </w:tcPr>
          <w:p w14:paraId="606D06CE" w14:textId="77777777" w:rsidR="008975CB" w:rsidRPr="00567618" w:rsidRDefault="008975CB" w:rsidP="008975CB">
            <w:pPr>
              <w:keepNext/>
              <w:keepLines/>
              <w:jc w:val="left"/>
              <w:rPr>
                <w:rFonts w:ascii="Arial Narrow" w:eastAsiaTheme="majorEastAsia" w:hAnsi="Arial Narrow" w:cstheme="majorBidi"/>
                <w:bCs/>
                <w:sz w:val="19"/>
                <w:szCs w:val="19"/>
              </w:rPr>
            </w:pPr>
            <w:r w:rsidRPr="00567618">
              <w:rPr>
                <w:rFonts w:ascii="Arial Narrow" w:eastAsiaTheme="majorEastAsia" w:hAnsi="Arial Narrow" w:cstheme="majorBidi"/>
                <w:bCs/>
                <w:sz w:val="19"/>
                <w:szCs w:val="19"/>
              </w:rPr>
              <w:t>Cost to PBS/RPBS less copayments</w:t>
            </w:r>
          </w:p>
        </w:tc>
        <w:tc>
          <w:tcPr>
            <w:tcW w:w="611" w:type="pct"/>
            <w:shd w:val="clear" w:color="auto" w:fill="auto"/>
          </w:tcPr>
          <w:p w14:paraId="51AAEA45" w14:textId="7945AA8C"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33"/>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33"/>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33"/>
                <w14:textFill>
                  <w14:solidFill>
                    <w14:srgbClr w14:val="000000">
                      <w14:alpha w14:val="100000"/>
                    </w14:srgbClr>
                  </w14:solidFill>
                </w14:textFill>
              </w:rPr>
              <w:t xml:space="preserve">　</w:t>
            </w:r>
            <w:r w:rsidR="00936783" w:rsidRPr="00936783">
              <w:rPr>
                <w:rFonts w:ascii="Arial Narrow" w:eastAsiaTheme="majorEastAsia" w:hAnsi="Arial Narrow" w:cstheme="majorBidi"/>
                <w:bCs/>
                <w:sz w:val="20"/>
                <w:vertAlign w:val="superscript"/>
              </w:rPr>
              <w:t>4</w:t>
            </w:r>
          </w:p>
        </w:tc>
        <w:tc>
          <w:tcPr>
            <w:tcW w:w="611" w:type="pct"/>
            <w:shd w:val="clear" w:color="auto" w:fill="auto"/>
          </w:tcPr>
          <w:p w14:paraId="24EA4650" w14:textId="623881D3"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32"/>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32"/>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32"/>
                <w14:textFill>
                  <w14:solidFill>
                    <w14:srgbClr w14:val="000000">
                      <w14:alpha w14:val="100000"/>
                    </w14:srgbClr>
                  </w14:solidFill>
                </w14:textFill>
              </w:rPr>
              <w:t xml:space="preserve">　</w:t>
            </w:r>
            <w:r w:rsidR="00936783" w:rsidRPr="00936783">
              <w:rPr>
                <w:rFonts w:ascii="Arial Narrow" w:eastAsiaTheme="majorEastAsia" w:hAnsi="Arial Narrow" w:cstheme="majorBidi"/>
                <w:bCs/>
                <w:sz w:val="20"/>
                <w:vertAlign w:val="superscript"/>
              </w:rPr>
              <w:t>4</w:t>
            </w:r>
          </w:p>
        </w:tc>
        <w:tc>
          <w:tcPr>
            <w:tcW w:w="611" w:type="pct"/>
            <w:shd w:val="clear" w:color="auto" w:fill="auto"/>
          </w:tcPr>
          <w:p w14:paraId="4A983E75" w14:textId="1774BF0E"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31"/>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31"/>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31"/>
                <w14:textFill>
                  <w14:solidFill>
                    <w14:srgbClr w14:val="000000">
                      <w14:alpha w14:val="100000"/>
                    </w14:srgbClr>
                  </w14:solidFill>
                </w14:textFill>
              </w:rPr>
              <w:t xml:space="preserve">　</w:t>
            </w:r>
            <w:r w:rsidR="00936783" w:rsidRPr="00936783">
              <w:rPr>
                <w:rFonts w:ascii="Arial Narrow" w:eastAsiaTheme="majorEastAsia" w:hAnsi="Arial Narrow" w:cstheme="majorBidi"/>
                <w:bCs/>
                <w:sz w:val="20"/>
                <w:vertAlign w:val="superscript"/>
              </w:rPr>
              <w:t>4</w:t>
            </w:r>
          </w:p>
        </w:tc>
        <w:tc>
          <w:tcPr>
            <w:tcW w:w="611" w:type="pct"/>
            <w:shd w:val="clear" w:color="auto" w:fill="auto"/>
          </w:tcPr>
          <w:p w14:paraId="4DA0EEB6" w14:textId="6A35CEF6"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30"/>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30"/>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30"/>
                <w14:textFill>
                  <w14:solidFill>
                    <w14:srgbClr w14:val="000000">
                      <w14:alpha w14:val="100000"/>
                    </w14:srgbClr>
                  </w14:solidFill>
                </w14:textFill>
              </w:rPr>
              <w:t xml:space="preserve">　</w:t>
            </w:r>
            <w:r w:rsidR="00270C0B" w:rsidRPr="008515F4">
              <w:rPr>
                <w:rFonts w:ascii="Arial Narrow" w:eastAsiaTheme="majorEastAsia" w:hAnsi="Arial Narrow" w:cstheme="majorBidi"/>
                <w:bCs/>
                <w:sz w:val="20"/>
                <w:vertAlign w:val="superscript"/>
              </w:rPr>
              <w:t>5</w:t>
            </w:r>
          </w:p>
        </w:tc>
        <w:tc>
          <w:tcPr>
            <w:tcW w:w="611" w:type="pct"/>
            <w:shd w:val="clear" w:color="auto" w:fill="auto"/>
          </w:tcPr>
          <w:p w14:paraId="31F29EA6" w14:textId="46E3D539"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29"/>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29"/>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29"/>
                <w14:textFill>
                  <w14:solidFill>
                    <w14:srgbClr w14:val="000000">
                      <w14:alpha w14:val="100000"/>
                    </w14:srgbClr>
                  </w14:solidFill>
                </w14:textFill>
              </w:rPr>
              <w:t xml:space="preserve">　</w:t>
            </w:r>
            <w:r w:rsidR="00270C0B" w:rsidRPr="008515F4">
              <w:rPr>
                <w:rFonts w:ascii="Arial Narrow" w:eastAsiaTheme="majorEastAsia" w:hAnsi="Arial Narrow" w:cstheme="majorBidi"/>
                <w:bCs/>
                <w:sz w:val="20"/>
                <w:vertAlign w:val="superscript"/>
              </w:rPr>
              <w:t>5</w:t>
            </w:r>
          </w:p>
        </w:tc>
        <w:tc>
          <w:tcPr>
            <w:tcW w:w="611" w:type="pct"/>
          </w:tcPr>
          <w:p w14:paraId="43BD1AAD" w14:textId="2DBEADE4"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28"/>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28"/>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28"/>
                <w14:textFill>
                  <w14:solidFill>
                    <w14:srgbClr w14:val="000000">
                      <w14:alpha w14:val="100000"/>
                    </w14:srgbClr>
                  </w14:solidFill>
                </w14:textFill>
              </w:rPr>
              <w:t xml:space="preserve">　</w:t>
            </w:r>
            <w:r w:rsidR="008515F4" w:rsidRPr="008515F4">
              <w:rPr>
                <w:rFonts w:ascii="Arial Narrow" w:eastAsiaTheme="majorEastAsia" w:hAnsi="Arial Narrow" w:cstheme="majorBidi"/>
                <w:bCs/>
                <w:sz w:val="20"/>
                <w:vertAlign w:val="superscript"/>
              </w:rPr>
              <w:t>5</w:t>
            </w:r>
          </w:p>
        </w:tc>
      </w:tr>
      <w:tr w:rsidR="008975CB" w:rsidRPr="00567618" w14:paraId="33B7E586" w14:textId="77777777" w:rsidTr="0F1D33A4">
        <w:tc>
          <w:tcPr>
            <w:tcW w:w="5000" w:type="pct"/>
            <w:gridSpan w:val="7"/>
            <w:shd w:val="clear" w:color="auto" w:fill="auto"/>
            <w:vAlign w:val="center"/>
          </w:tcPr>
          <w:p w14:paraId="6894E8E7" w14:textId="77777777" w:rsidR="008975CB" w:rsidRPr="00567618" w:rsidRDefault="008975CB" w:rsidP="008975CB">
            <w:pPr>
              <w:keepNext/>
              <w:keepLines/>
              <w:jc w:val="left"/>
              <w:rPr>
                <w:rFonts w:ascii="Arial Narrow" w:eastAsiaTheme="majorEastAsia" w:hAnsi="Arial Narrow" w:cstheme="majorBidi"/>
                <w:b/>
                <w:bCs/>
                <w:sz w:val="20"/>
              </w:rPr>
            </w:pPr>
            <w:r w:rsidRPr="00567618">
              <w:rPr>
                <w:rFonts w:ascii="Arial Narrow" w:eastAsiaTheme="majorEastAsia" w:hAnsi="Arial Narrow" w:cstheme="majorBidi"/>
                <w:b/>
                <w:bCs/>
                <w:sz w:val="20"/>
              </w:rPr>
              <w:t xml:space="preserve">Estimated financial implications for </w:t>
            </w:r>
            <w:r w:rsidRPr="00567618">
              <w:rPr>
                <w:rFonts w:ascii="Arial Narrow" w:eastAsiaTheme="majorEastAsia" w:hAnsi="Arial Narrow" w:cstheme="majorBidi"/>
                <w:b/>
                <w:sz w:val="20"/>
              </w:rPr>
              <w:t>BAT</w:t>
            </w:r>
          </w:p>
        </w:tc>
      </w:tr>
      <w:tr w:rsidR="008975CB" w:rsidRPr="00567618" w14:paraId="1DBC778A" w14:textId="77777777" w:rsidTr="0F1D33A4">
        <w:tc>
          <w:tcPr>
            <w:tcW w:w="1334" w:type="pct"/>
            <w:shd w:val="clear" w:color="auto" w:fill="auto"/>
            <w:vAlign w:val="center"/>
          </w:tcPr>
          <w:p w14:paraId="30ED05F8" w14:textId="77777777" w:rsidR="008975CB" w:rsidRPr="00567618" w:rsidRDefault="008975CB" w:rsidP="008975CB">
            <w:pPr>
              <w:keepNext/>
              <w:keepLines/>
              <w:jc w:val="left"/>
              <w:rPr>
                <w:rFonts w:ascii="Arial Narrow" w:eastAsiaTheme="majorEastAsia" w:hAnsi="Arial Narrow" w:cstheme="majorBidi"/>
                <w:bCs/>
                <w:sz w:val="19"/>
                <w:szCs w:val="19"/>
              </w:rPr>
            </w:pPr>
            <w:r w:rsidRPr="00567618">
              <w:rPr>
                <w:rFonts w:ascii="Arial Narrow" w:eastAsiaTheme="majorEastAsia" w:hAnsi="Arial Narrow" w:cstheme="majorBidi"/>
                <w:bCs/>
                <w:sz w:val="19"/>
                <w:szCs w:val="19"/>
              </w:rPr>
              <w:t>Cost to PBS/RPBS less copayments</w:t>
            </w:r>
          </w:p>
        </w:tc>
        <w:tc>
          <w:tcPr>
            <w:tcW w:w="611" w:type="pct"/>
            <w:shd w:val="clear" w:color="auto" w:fill="auto"/>
          </w:tcPr>
          <w:p w14:paraId="100ACF17" w14:textId="376A520B"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27"/>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27"/>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27"/>
                <w14:textFill>
                  <w14:solidFill>
                    <w14:srgbClr w14:val="000000">
                      <w14:alpha w14:val="100000"/>
                    </w14:srgbClr>
                  </w14:solidFill>
                </w14:textFill>
              </w:rPr>
              <w:t xml:space="preserve">　</w:t>
            </w:r>
            <w:r w:rsidR="00F64580" w:rsidRPr="00F64580">
              <w:rPr>
                <w:rFonts w:ascii="Arial Narrow" w:eastAsiaTheme="majorEastAsia" w:hAnsi="Arial Narrow" w:cstheme="majorBidi"/>
                <w:bCs/>
                <w:sz w:val="20"/>
                <w:vertAlign w:val="superscript"/>
              </w:rPr>
              <w:t>6</w:t>
            </w:r>
          </w:p>
        </w:tc>
        <w:tc>
          <w:tcPr>
            <w:tcW w:w="611" w:type="pct"/>
            <w:shd w:val="clear" w:color="auto" w:fill="auto"/>
          </w:tcPr>
          <w:p w14:paraId="09B77096" w14:textId="23DF7B7F"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26"/>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26"/>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26"/>
                <w14:textFill>
                  <w14:solidFill>
                    <w14:srgbClr w14:val="000000">
                      <w14:alpha w14:val="100000"/>
                    </w14:srgbClr>
                  </w14:solidFill>
                </w14:textFill>
              </w:rPr>
              <w:t xml:space="preserve">　</w:t>
            </w:r>
            <w:r w:rsidR="00F64580" w:rsidRPr="00F64580">
              <w:rPr>
                <w:rFonts w:ascii="Arial Narrow" w:eastAsiaTheme="majorEastAsia" w:hAnsi="Arial Narrow" w:cstheme="majorBidi"/>
                <w:bCs/>
                <w:sz w:val="20"/>
                <w:vertAlign w:val="superscript"/>
              </w:rPr>
              <w:t>6</w:t>
            </w:r>
          </w:p>
        </w:tc>
        <w:tc>
          <w:tcPr>
            <w:tcW w:w="611" w:type="pct"/>
            <w:shd w:val="clear" w:color="auto" w:fill="auto"/>
          </w:tcPr>
          <w:p w14:paraId="5D66EC0E" w14:textId="46354026"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25"/>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25"/>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25"/>
                <w14:textFill>
                  <w14:solidFill>
                    <w14:srgbClr w14:val="000000">
                      <w14:alpha w14:val="100000"/>
                    </w14:srgbClr>
                  </w14:solidFill>
                </w14:textFill>
              </w:rPr>
              <w:t xml:space="preserve">　</w:t>
            </w:r>
            <w:r w:rsidR="00F64580" w:rsidRPr="00F64580">
              <w:rPr>
                <w:rFonts w:ascii="Arial Narrow" w:eastAsiaTheme="majorEastAsia" w:hAnsi="Arial Narrow" w:cstheme="majorBidi"/>
                <w:bCs/>
                <w:sz w:val="20"/>
                <w:vertAlign w:val="superscript"/>
              </w:rPr>
              <w:t>6</w:t>
            </w:r>
          </w:p>
        </w:tc>
        <w:tc>
          <w:tcPr>
            <w:tcW w:w="611" w:type="pct"/>
            <w:shd w:val="clear" w:color="auto" w:fill="auto"/>
          </w:tcPr>
          <w:p w14:paraId="507AAC74" w14:textId="35D946DD"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24"/>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24"/>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24"/>
                <w14:textFill>
                  <w14:solidFill>
                    <w14:srgbClr w14:val="000000">
                      <w14:alpha w14:val="100000"/>
                    </w14:srgbClr>
                  </w14:solidFill>
                </w14:textFill>
              </w:rPr>
              <w:t xml:space="preserve">　</w:t>
            </w:r>
            <w:r w:rsidR="00F64580" w:rsidRPr="00F64580">
              <w:rPr>
                <w:rFonts w:ascii="Arial Narrow" w:eastAsiaTheme="majorEastAsia" w:hAnsi="Arial Narrow" w:cstheme="majorBidi"/>
                <w:bCs/>
                <w:sz w:val="20"/>
                <w:vertAlign w:val="superscript"/>
              </w:rPr>
              <w:t>6</w:t>
            </w:r>
          </w:p>
        </w:tc>
        <w:tc>
          <w:tcPr>
            <w:tcW w:w="611" w:type="pct"/>
            <w:shd w:val="clear" w:color="auto" w:fill="auto"/>
          </w:tcPr>
          <w:p w14:paraId="0D36B00A" w14:textId="2E0A04DE"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40"/>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40"/>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40"/>
                <w14:textFill>
                  <w14:solidFill>
                    <w14:srgbClr w14:val="000000">
                      <w14:alpha w14:val="100000"/>
                    </w14:srgbClr>
                  </w14:solidFill>
                </w14:textFill>
              </w:rPr>
              <w:t xml:space="preserve">　</w:t>
            </w:r>
            <w:r w:rsidR="00F64580" w:rsidRPr="00F64580">
              <w:rPr>
                <w:rFonts w:ascii="Arial Narrow" w:eastAsiaTheme="majorEastAsia" w:hAnsi="Arial Narrow" w:cstheme="majorBidi"/>
                <w:bCs/>
                <w:sz w:val="20"/>
                <w:vertAlign w:val="superscript"/>
              </w:rPr>
              <w:t>6</w:t>
            </w:r>
          </w:p>
        </w:tc>
        <w:tc>
          <w:tcPr>
            <w:tcW w:w="611" w:type="pct"/>
          </w:tcPr>
          <w:p w14:paraId="060C3791" w14:textId="4703CB6B"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39"/>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39"/>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39"/>
                <w14:textFill>
                  <w14:solidFill>
                    <w14:srgbClr w14:val="000000">
                      <w14:alpha w14:val="100000"/>
                    </w14:srgbClr>
                  </w14:solidFill>
                </w14:textFill>
              </w:rPr>
              <w:t xml:space="preserve">　</w:t>
            </w:r>
            <w:r w:rsidR="00F64580" w:rsidRPr="00F64580">
              <w:rPr>
                <w:rFonts w:ascii="Arial Narrow" w:eastAsiaTheme="majorEastAsia" w:hAnsi="Arial Narrow" w:cstheme="majorBidi"/>
                <w:bCs/>
                <w:sz w:val="20"/>
                <w:vertAlign w:val="superscript"/>
              </w:rPr>
              <w:t>6</w:t>
            </w:r>
          </w:p>
        </w:tc>
      </w:tr>
      <w:tr w:rsidR="008975CB" w:rsidRPr="00567618" w14:paraId="344D5281" w14:textId="77777777" w:rsidTr="0F1D33A4">
        <w:tc>
          <w:tcPr>
            <w:tcW w:w="5000" w:type="pct"/>
            <w:gridSpan w:val="7"/>
            <w:shd w:val="clear" w:color="auto" w:fill="auto"/>
            <w:vAlign w:val="center"/>
          </w:tcPr>
          <w:p w14:paraId="6242B602" w14:textId="77777777" w:rsidR="008975CB" w:rsidRPr="00567618" w:rsidRDefault="008975CB" w:rsidP="008975CB">
            <w:pPr>
              <w:keepNext/>
              <w:keepLines/>
              <w:jc w:val="left"/>
              <w:rPr>
                <w:rFonts w:ascii="Arial Narrow" w:eastAsiaTheme="majorEastAsia" w:hAnsi="Arial Narrow" w:cs="Times New Roman"/>
                <w:b/>
                <w:sz w:val="20"/>
                <w:lang w:val="en-US"/>
              </w:rPr>
            </w:pPr>
            <w:r w:rsidRPr="00567618">
              <w:rPr>
                <w:rFonts w:ascii="Arial Narrow" w:eastAsiaTheme="majorEastAsia" w:hAnsi="Arial Narrow" w:cs="Times New Roman"/>
                <w:b/>
                <w:sz w:val="20"/>
                <w:lang w:val="en-US"/>
              </w:rPr>
              <w:t>Net financial implications</w:t>
            </w:r>
          </w:p>
        </w:tc>
      </w:tr>
      <w:tr w:rsidR="008975CB" w:rsidRPr="00567618" w14:paraId="20B18238" w14:textId="77777777" w:rsidTr="0F1D33A4">
        <w:tc>
          <w:tcPr>
            <w:tcW w:w="1334" w:type="pct"/>
            <w:shd w:val="clear" w:color="auto" w:fill="auto"/>
            <w:vAlign w:val="center"/>
          </w:tcPr>
          <w:p w14:paraId="1562E84C" w14:textId="77777777" w:rsidR="008975CB" w:rsidRPr="00567618" w:rsidRDefault="008975CB" w:rsidP="008975CB">
            <w:pPr>
              <w:keepNext/>
              <w:keepLines/>
              <w:jc w:val="left"/>
              <w:rPr>
                <w:rFonts w:ascii="Arial Narrow" w:eastAsiaTheme="majorEastAsia" w:hAnsi="Arial Narrow" w:cstheme="majorBidi"/>
                <w:bCs/>
                <w:sz w:val="19"/>
                <w:szCs w:val="19"/>
              </w:rPr>
            </w:pPr>
            <w:r w:rsidRPr="00567618">
              <w:rPr>
                <w:rFonts w:ascii="Arial Narrow" w:eastAsiaTheme="majorEastAsia" w:hAnsi="Arial Narrow" w:cstheme="majorBidi"/>
                <w:bCs/>
                <w:sz w:val="19"/>
                <w:szCs w:val="19"/>
              </w:rPr>
              <w:t>Net cost to PBS/RPBS</w:t>
            </w:r>
          </w:p>
        </w:tc>
        <w:tc>
          <w:tcPr>
            <w:tcW w:w="611" w:type="pct"/>
            <w:shd w:val="clear" w:color="auto" w:fill="auto"/>
          </w:tcPr>
          <w:p w14:paraId="0E765F63" w14:textId="70024C65"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38"/>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38"/>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38"/>
                <w14:textFill>
                  <w14:solidFill>
                    <w14:srgbClr w14:val="000000">
                      <w14:alpha w14:val="100000"/>
                    </w14:srgbClr>
                  </w14:solidFill>
                </w14:textFill>
              </w:rPr>
              <w:t xml:space="preserve">　</w:t>
            </w:r>
            <w:r w:rsidR="00936783" w:rsidRPr="00936783">
              <w:rPr>
                <w:rFonts w:ascii="Arial Narrow" w:eastAsiaTheme="majorEastAsia" w:hAnsi="Arial Narrow" w:cstheme="majorBidi"/>
                <w:bCs/>
                <w:sz w:val="20"/>
                <w:vertAlign w:val="superscript"/>
              </w:rPr>
              <w:t>4</w:t>
            </w:r>
          </w:p>
        </w:tc>
        <w:tc>
          <w:tcPr>
            <w:tcW w:w="611" w:type="pct"/>
            <w:shd w:val="clear" w:color="auto" w:fill="auto"/>
          </w:tcPr>
          <w:p w14:paraId="6E362025" w14:textId="6892C3A3"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37"/>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37"/>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37"/>
                <w14:textFill>
                  <w14:solidFill>
                    <w14:srgbClr w14:val="000000">
                      <w14:alpha w14:val="100000"/>
                    </w14:srgbClr>
                  </w14:solidFill>
                </w14:textFill>
              </w:rPr>
              <w:t xml:space="preserve">　</w:t>
            </w:r>
            <w:r w:rsidR="00936783" w:rsidRPr="00936783">
              <w:rPr>
                <w:rFonts w:ascii="Arial Narrow" w:eastAsiaTheme="majorEastAsia" w:hAnsi="Arial Narrow" w:cstheme="majorBidi"/>
                <w:bCs/>
                <w:sz w:val="20"/>
                <w:vertAlign w:val="superscript"/>
              </w:rPr>
              <w:t>4</w:t>
            </w:r>
          </w:p>
        </w:tc>
        <w:tc>
          <w:tcPr>
            <w:tcW w:w="611" w:type="pct"/>
            <w:shd w:val="clear" w:color="auto" w:fill="auto"/>
          </w:tcPr>
          <w:p w14:paraId="2D7C1AB6" w14:textId="14E27A1C"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36"/>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36"/>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36"/>
                <w14:textFill>
                  <w14:solidFill>
                    <w14:srgbClr w14:val="000000">
                      <w14:alpha w14:val="100000"/>
                    </w14:srgbClr>
                  </w14:solidFill>
                </w14:textFill>
              </w:rPr>
              <w:t xml:space="preserve">　</w:t>
            </w:r>
            <w:r w:rsidR="00936783" w:rsidRPr="00936783">
              <w:rPr>
                <w:rFonts w:ascii="Arial Narrow" w:eastAsiaTheme="majorEastAsia" w:hAnsi="Arial Narrow" w:cstheme="majorBidi"/>
                <w:bCs/>
                <w:sz w:val="20"/>
                <w:vertAlign w:val="superscript"/>
              </w:rPr>
              <w:t>4</w:t>
            </w:r>
          </w:p>
        </w:tc>
        <w:tc>
          <w:tcPr>
            <w:tcW w:w="611" w:type="pct"/>
            <w:shd w:val="clear" w:color="auto" w:fill="auto"/>
          </w:tcPr>
          <w:p w14:paraId="0D1987EB" w14:textId="0FEE6A7E"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35"/>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35"/>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35"/>
                <w14:textFill>
                  <w14:solidFill>
                    <w14:srgbClr w14:val="000000">
                      <w14:alpha w14:val="100000"/>
                    </w14:srgbClr>
                  </w14:solidFill>
                </w14:textFill>
              </w:rPr>
              <w:t xml:space="preserve">　</w:t>
            </w:r>
            <w:r w:rsidR="00936783" w:rsidRPr="00936783">
              <w:rPr>
                <w:rFonts w:ascii="Arial Narrow" w:eastAsiaTheme="majorEastAsia" w:hAnsi="Arial Narrow" w:cstheme="majorBidi"/>
                <w:bCs/>
                <w:sz w:val="20"/>
                <w:vertAlign w:val="superscript"/>
              </w:rPr>
              <w:t>4</w:t>
            </w:r>
          </w:p>
        </w:tc>
        <w:tc>
          <w:tcPr>
            <w:tcW w:w="611" w:type="pct"/>
            <w:shd w:val="clear" w:color="auto" w:fill="auto"/>
          </w:tcPr>
          <w:p w14:paraId="27800702" w14:textId="42B1B9CE"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34"/>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34"/>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34"/>
                <w14:textFill>
                  <w14:solidFill>
                    <w14:srgbClr w14:val="000000">
                      <w14:alpha w14:val="100000"/>
                    </w14:srgbClr>
                  </w14:solidFill>
                </w14:textFill>
              </w:rPr>
              <w:t xml:space="preserve">　</w:t>
            </w:r>
            <w:r w:rsidR="008515F4" w:rsidRPr="008515F4">
              <w:rPr>
                <w:rFonts w:ascii="Arial Narrow" w:eastAsiaTheme="majorEastAsia" w:hAnsi="Arial Narrow" w:cstheme="majorBidi"/>
                <w:bCs/>
                <w:sz w:val="20"/>
                <w:vertAlign w:val="superscript"/>
              </w:rPr>
              <w:t>5</w:t>
            </w:r>
          </w:p>
        </w:tc>
        <w:tc>
          <w:tcPr>
            <w:tcW w:w="611" w:type="pct"/>
          </w:tcPr>
          <w:p w14:paraId="759999E3" w14:textId="181A465E"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33"/>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33"/>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33"/>
                <w14:textFill>
                  <w14:solidFill>
                    <w14:srgbClr w14:val="000000">
                      <w14:alpha w14:val="100000"/>
                    </w14:srgbClr>
                  </w14:solidFill>
                </w14:textFill>
              </w:rPr>
              <w:t xml:space="preserve">　</w:t>
            </w:r>
            <w:r w:rsidR="008515F4" w:rsidRPr="008515F4">
              <w:rPr>
                <w:rFonts w:ascii="Arial Narrow" w:eastAsiaTheme="majorEastAsia" w:hAnsi="Arial Narrow" w:cstheme="majorBidi"/>
                <w:bCs/>
                <w:sz w:val="20"/>
                <w:vertAlign w:val="superscript"/>
              </w:rPr>
              <w:t>5</w:t>
            </w:r>
          </w:p>
        </w:tc>
      </w:tr>
      <w:tr w:rsidR="008975CB" w:rsidRPr="00567618" w14:paraId="4567D3D6" w14:textId="77777777" w:rsidTr="0F1D33A4">
        <w:tc>
          <w:tcPr>
            <w:tcW w:w="1334" w:type="pct"/>
            <w:shd w:val="clear" w:color="auto" w:fill="auto"/>
            <w:vAlign w:val="center"/>
          </w:tcPr>
          <w:p w14:paraId="54DD4F6C" w14:textId="77777777" w:rsidR="008975CB" w:rsidRPr="00567618" w:rsidRDefault="008975CB" w:rsidP="008975CB">
            <w:pPr>
              <w:keepNext/>
              <w:keepLines/>
              <w:jc w:val="left"/>
              <w:rPr>
                <w:rFonts w:ascii="Times" w:eastAsiaTheme="majorEastAsia" w:hAnsi="Times" w:cstheme="majorBidi"/>
                <w:bCs/>
                <w:sz w:val="20"/>
              </w:rPr>
            </w:pPr>
            <w:r w:rsidRPr="00567618">
              <w:rPr>
                <w:rFonts w:ascii="Arial Narrow" w:eastAsiaTheme="majorEastAsia" w:hAnsi="Arial Narrow" w:cstheme="majorBidi"/>
                <w:bCs/>
                <w:sz w:val="19"/>
                <w:szCs w:val="19"/>
              </w:rPr>
              <w:t>Net cost to MBS</w:t>
            </w:r>
          </w:p>
        </w:tc>
        <w:tc>
          <w:tcPr>
            <w:tcW w:w="611" w:type="pct"/>
            <w:shd w:val="clear" w:color="auto" w:fill="auto"/>
          </w:tcPr>
          <w:p w14:paraId="493CBB19" w14:textId="3FCA430A"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32"/>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32"/>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32"/>
                <w14:textFill>
                  <w14:solidFill>
                    <w14:srgbClr w14:val="000000">
                      <w14:alpha w14:val="100000"/>
                    </w14:srgbClr>
                  </w14:solidFill>
                </w14:textFill>
              </w:rPr>
              <w:t xml:space="preserve">　</w:t>
            </w:r>
            <w:r w:rsidR="00F64580" w:rsidRPr="00F64580">
              <w:rPr>
                <w:rFonts w:ascii="Arial Narrow" w:eastAsiaTheme="majorEastAsia" w:hAnsi="Arial Narrow" w:cstheme="majorBidi"/>
                <w:bCs/>
                <w:sz w:val="20"/>
                <w:vertAlign w:val="superscript"/>
              </w:rPr>
              <w:t>6</w:t>
            </w:r>
          </w:p>
        </w:tc>
        <w:tc>
          <w:tcPr>
            <w:tcW w:w="611" w:type="pct"/>
            <w:shd w:val="clear" w:color="auto" w:fill="auto"/>
          </w:tcPr>
          <w:p w14:paraId="39E29842" w14:textId="3AEB1DB6"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31"/>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31"/>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31"/>
                <w14:textFill>
                  <w14:solidFill>
                    <w14:srgbClr w14:val="000000">
                      <w14:alpha w14:val="100000"/>
                    </w14:srgbClr>
                  </w14:solidFill>
                </w14:textFill>
              </w:rPr>
              <w:t xml:space="preserve">　</w:t>
            </w:r>
            <w:r w:rsidR="00F64580" w:rsidRPr="00F64580">
              <w:rPr>
                <w:rFonts w:ascii="Arial Narrow" w:eastAsiaTheme="majorEastAsia" w:hAnsi="Arial Narrow" w:cstheme="majorBidi"/>
                <w:bCs/>
                <w:sz w:val="20"/>
                <w:vertAlign w:val="superscript"/>
              </w:rPr>
              <w:t>6</w:t>
            </w:r>
          </w:p>
        </w:tc>
        <w:tc>
          <w:tcPr>
            <w:tcW w:w="611" w:type="pct"/>
            <w:shd w:val="clear" w:color="auto" w:fill="auto"/>
          </w:tcPr>
          <w:p w14:paraId="44F7DE37" w14:textId="7F2B3EF6"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30"/>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30"/>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30"/>
                <w14:textFill>
                  <w14:solidFill>
                    <w14:srgbClr w14:val="000000">
                      <w14:alpha w14:val="100000"/>
                    </w14:srgbClr>
                  </w14:solidFill>
                </w14:textFill>
              </w:rPr>
              <w:t xml:space="preserve">　</w:t>
            </w:r>
            <w:r w:rsidR="00F64580" w:rsidRPr="00F64580">
              <w:rPr>
                <w:rFonts w:ascii="Arial Narrow" w:eastAsiaTheme="majorEastAsia" w:hAnsi="Arial Narrow" w:cstheme="majorBidi"/>
                <w:bCs/>
                <w:sz w:val="20"/>
                <w:vertAlign w:val="superscript"/>
              </w:rPr>
              <w:t>6</w:t>
            </w:r>
          </w:p>
        </w:tc>
        <w:tc>
          <w:tcPr>
            <w:tcW w:w="611" w:type="pct"/>
            <w:shd w:val="clear" w:color="auto" w:fill="auto"/>
          </w:tcPr>
          <w:p w14:paraId="7414AD55" w14:textId="1EEE0FEC"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29"/>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29"/>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29"/>
                <w14:textFill>
                  <w14:solidFill>
                    <w14:srgbClr w14:val="000000">
                      <w14:alpha w14:val="100000"/>
                    </w14:srgbClr>
                  </w14:solidFill>
                </w14:textFill>
              </w:rPr>
              <w:t xml:space="preserve">　</w:t>
            </w:r>
            <w:r w:rsidR="00F64580" w:rsidRPr="00F64580">
              <w:rPr>
                <w:rFonts w:ascii="Arial Narrow" w:eastAsiaTheme="majorEastAsia" w:hAnsi="Arial Narrow" w:cstheme="majorBidi"/>
                <w:bCs/>
                <w:sz w:val="20"/>
                <w:vertAlign w:val="superscript"/>
              </w:rPr>
              <w:t>6</w:t>
            </w:r>
          </w:p>
        </w:tc>
        <w:tc>
          <w:tcPr>
            <w:tcW w:w="611" w:type="pct"/>
            <w:shd w:val="clear" w:color="auto" w:fill="auto"/>
          </w:tcPr>
          <w:p w14:paraId="584A8F69" w14:textId="4647B2EA"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28"/>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28"/>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28"/>
                <w14:textFill>
                  <w14:solidFill>
                    <w14:srgbClr w14:val="000000">
                      <w14:alpha w14:val="100000"/>
                    </w14:srgbClr>
                  </w14:solidFill>
                </w14:textFill>
              </w:rPr>
              <w:t xml:space="preserve">　</w:t>
            </w:r>
            <w:r w:rsidR="00F64580" w:rsidRPr="00F64580">
              <w:rPr>
                <w:rFonts w:ascii="Arial Narrow" w:eastAsiaTheme="majorEastAsia" w:hAnsi="Arial Narrow" w:cstheme="majorBidi"/>
                <w:bCs/>
                <w:sz w:val="20"/>
                <w:vertAlign w:val="superscript"/>
              </w:rPr>
              <w:t>6</w:t>
            </w:r>
          </w:p>
        </w:tc>
        <w:tc>
          <w:tcPr>
            <w:tcW w:w="611" w:type="pct"/>
          </w:tcPr>
          <w:p w14:paraId="3F6CA0F6" w14:textId="2CA97756"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Cs/>
                <w:color w:val="000000"/>
                <w:w w:val="15"/>
                <w:sz w:val="20"/>
                <w:shd w:val="solid" w:color="000000" w:fill="000000"/>
                <w:fitText w:val="60" w:id="-694973427"/>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hd w:val="solid" w:color="000000" w:fill="000000"/>
                <w:fitText w:val="60" w:id="-694973427"/>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hd w:val="solid" w:color="000000" w:fill="000000"/>
                <w:fitText w:val="60" w:id="-694973427"/>
                <w14:textFill>
                  <w14:solidFill>
                    <w14:srgbClr w14:val="000000">
                      <w14:alpha w14:val="100000"/>
                    </w14:srgbClr>
                  </w14:solidFill>
                </w14:textFill>
              </w:rPr>
              <w:t xml:space="preserve">　</w:t>
            </w:r>
            <w:r w:rsidR="00F64580" w:rsidRPr="00F64580">
              <w:rPr>
                <w:rFonts w:ascii="Arial Narrow" w:eastAsiaTheme="majorEastAsia" w:hAnsi="Arial Narrow" w:cstheme="majorBidi"/>
                <w:bCs/>
                <w:sz w:val="20"/>
                <w:vertAlign w:val="superscript"/>
              </w:rPr>
              <w:t>6</w:t>
            </w:r>
          </w:p>
        </w:tc>
      </w:tr>
      <w:tr w:rsidR="008975CB" w:rsidRPr="00567618" w14:paraId="26066FDB" w14:textId="77777777" w:rsidTr="0F1D33A4">
        <w:tc>
          <w:tcPr>
            <w:tcW w:w="1334" w:type="pct"/>
            <w:shd w:val="clear" w:color="auto" w:fill="auto"/>
            <w:vAlign w:val="center"/>
          </w:tcPr>
          <w:p w14:paraId="3B3683BF" w14:textId="77777777" w:rsidR="008975CB" w:rsidRPr="00567618" w:rsidRDefault="008975CB" w:rsidP="008975CB">
            <w:pPr>
              <w:keepNext/>
              <w:keepLines/>
              <w:jc w:val="left"/>
              <w:rPr>
                <w:rFonts w:ascii="Arial Narrow" w:eastAsiaTheme="majorEastAsia" w:hAnsi="Arial Narrow" w:cstheme="majorBidi"/>
                <w:bCs/>
                <w:sz w:val="19"/>
                <w:szCs w:val="19"/>
              </w:rPr>
            </w:pPr>
            <w:r w:rsidRPr="00567618">
              <w:rPr>
                <w:rFonts w:ascii="Arial Narrow" w:eastAsiaTheme="majorEastAsia" w:hAnsi="Arial Narrow" w:cstheme="majorBidi"/>
                <w:bCs/>
                <w:sz w:val="19"/>
                <w:szCs w:val="19"/>
              </w:rPr>
              <w:t>Net cost to health budget</w:t>
            </w:r>
          </w:p>
        </w:tc>
        <w:tc>
          <w:tcPr>
            <w:tcW w:w="611" w:type="pct"/>
            <w:shd w:val="clear" w:color="auto" w:fill="auto"/>
          </w:tcPr>
          <w:p w14:paraId="35690969" w14:textId="2E06CCDC"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
                <w:color w:val="000000"/>
                <w:w w:val="22"/>
                <w:sz w:val="20"/>
                <w:shd w:val="solid" w:color="000000" w:fill="000000"/>
                <w:fitText w:val="100" w:id="-694973426"/>
                <w14:textFill>
                  <w14:solidFill>
                    <w14:srgbClr w14:val="000000">
                      <w14:alpha w14:val="100000"/>
                    </w14:srgbClr>
                  </w14:solidFill>
                </w14:textFill>
              </w:rPr>
              <w:t xml:space="preserve">　</w:t>
            </w:r>
            <w:r w:rsidRPr="00A268DC">
              <w:rPr>
                <w:rFonts w:ascii="Arial Narrow" w:eastAsiaTheme="majorEastAsia" w:hAnsi="Arial Narrow" w:cstheme="majorBidi"/>
                <w:b/>
                <w:color w:val="000000"/>
                <w:w w:val="22"/>
                <w:sz w:val="20"/>
                <w:shd w:val="solid" w:color="000000" w:fill="000000"/>
                <w:fitText w:val="100" w:id="-694973426"/>
                <w14:textFill>
                  <w14:solidFill>
                    <w14:srgbClr w14:val="000000">
                      <w14:alpha w14:val="100000"/>
                    </w14:srgbClr>
                  </w14:solidFill>
                </w14:textFill>
              </w:rPr>
              <w:t>|</w:t>
            </w:r>
            <w:r w:rsidRPr="00A268DC">
              <w:rPr>
                <w:rFonts w:ascii="Arial Narrow" w:eastAsiaTheme="majorEastAsia" w:hAnsi="Arial Narrow" w:cstheme="majorBidi" w:hint="eastAsia"/>
                <w:b/>
                <w:color w:val="000000"/>
                <w:spacing w:val="2"/>
                <w:w w:val="22"/>
                <w:sz w:val="20"/>
                <w:shd w:val="solid" w:color="000000" w:fill="000000"/>
                <w:fitText w:val="100" w:id="-694973426"/>
                <w14:textFill>
                  <w14:solidFill>
                    <w14:srgbClr w14:val="000000">
                      <w14:alpha w14:val="100000"/>
                    </w14:srgbClr>
                  </w14:solidFill>
                </w14:textFill>
              </w:rPr>
              <w:t xml:space="preserve">　</w:t>
            </w:r>
            <w:r w:rsidR="00936783" w:rsidRPr="00936783">
              <w:rPr>
                <w:rFonts w:ascii="Arial Narrow" w:eastAsiaTheme="majorEastAsia" w:hAnsi="Arial Narrow" w:cstheme="majorBidi"/>
                <w:bCs/>
                <w:sz w:val="20"/>
                <w:vertAlign w:val="superscript"/>
              </w:rPr>
              <w:t>4</w:t>
            </w:r>
          </w:p>
        </w:tc>
        <w:tc>
          <w:tcPr>
            <w:tcW w:w="611" w:type="pct"/>
            <w:shd w:val="clear" w:color="auto" w:fill="auto"/>
          </w:tcPr>
          <w:p w14:paraId="199ABE83" w14:textId="70B3D683"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
                <w:color w:val="000000"/>
                <w:w w:val="22"/>
                <w:sz w:val="20"/>
                <w:shd w:val="solid" w:color="000000" w:fill="000000"/>
                <w:fitText w:val="100" w:id="-694973425"/>
                <w14:textFill>
                  <w14:solidFill>
                    <w14:srgbClr w14:val="000000">
                      <w14:alpha w14:val="100000"/>
                    </w14:srgbClr>
                  </w14:solidFill>
                </w14:textFill>
              </w:rPr>
              <w:t xml:space="preserve">　</w:t>
            </w:r>
            <w:r w:rsidRPr="00A268DC">
              <w:rPr>
                <w:rFonts w:ascii="Arial Narrow" w:eastAsiaTheme="majorEastAsia" w:hAnsi="Arial Narrow" w:cstheme="majorBidi"/>
                <w:b/>
                <w:color w:val="000000"/>
                <w:w w:val="22"/>
                <w:sz w:val="20"/>
                <w:shd w:val="solid" w:color="000000" w:fill="000000"/>
                <w:fitText w:val="100" w:id="-694973425"/>
                <w14:textFill>
                  <w14:solidFill>
                    <w14:srgbClr w14:val="000000">
                      <w14:alpha w14:val="100000"/>
                    </w14:srgbClr>
                  </w14:solidFill>
                </w14:textFill>
              </w:rPr>
              <w:t>|</w:t>
            </w:r>
            <w:r w:rsidRPr="00A268DC">
              <w:rPr>
                <w:rFonts w:ascii="Arial Narrow" w:eastAsiaTheme="majorEastAsia" w:hAnsi="Arial Narrow" w:cstheme="majorBidi" w:hint="eastAsia"/>
                <w:b/>
                <w:color w:val="000000"/>
                <w:spacing w:val="2"/>
                <w:w w:val="22"/>
                <w:sz w:val="20"/>
                <w:shd w:val="solid" w:color="000000" w:fill="000000"/>
                <w:fitText w:val="100" w:id="-694973425"/>
                <w14:textFill>
                  <w14:solidFill>
                    <w14:srgbClr w14:val="000000">
                      <w14:alpha w14:val="100000"/>
                    </w14:srgbClr>
                  </w14:solidFill>
                </w14:textFill>
              </w:rPr>
              <w:t xml:space="preserve">　</w:t>
            </w:r>
            <w:r w:rsidR="00936783" w:rsidRPr="00936783">
              <w:rPr>
                <w:rFonts w:ascii="Arial Narrow" w:eastAsiaTheme="majorEastAsia" w:hAnsi="Arial Narrow" w:cstheme="majorBidi"/>
                <w:bCs/>
                <w:sz w:val="20"/>
                <w:vertAlign w:val="superscript"/>
              </w:rPr>
              <w:t>4</w:t>
            </w:r>
          </w:p>
        </w:tc>
        <w:tc>
          <w:tcPr>
            <w:tcW w:w="611" w:type="pct"/>
            <w:shd w:val="clear" w:color="auto" w:fill="auto"/>
          </w:tcPr>
          <w:p w14:paraId="608B785C" w14:textId="48322EAD"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
                <w:color w:val="000000"/>
                <w:w w:val="22"/>
                <w:sz w:val="20"/>
                <w:shd w:val="solid" w:color="000000" w:fill="000000"/>
                <w:fitText w:val="100" w:id="-694973424"/>
                <w14:textFill>
                  <w14:solidFill>
                    <w14:srgbClr w14:val="000000">
                      <w14:alpha w14:val="100000"/>
                    </w14:srgbClr>
                  </w14:solidFill>
                </w14:textFill>
              </w:rPr>
              <w:t xml:space="preserve">　</w:t>
            </w:r>
            <w:r w:rsidRPr="00A268DC">
              <w:rPr>
                <w:rFonts w:ascii="Arial Narrow" w:eastAsiaTheme="majorEastAsia" w:hAnsi="Arial Narrow" w:cstheme="majorBidi"/>
                <w:b/>
                <w:color w:val="000000"/>
                <w:w w:val="22"/>
                <w:sz w:val="20"/>
                <w:shd w:val="solid" w:color="000000" w:fill="000000"/>
                <w:fitText w:val="100" w:id="-694973424"/>
                <w14:textFill>
                  <w14:solidFill>
                    <w14:srgbClr w14:val="000000">
                      <w14:alpha w14:val="100000"/>
                    </w14:srgbClr>
                  </w14:solidFill>
                </w14:textFill>
              </w:rPr>
              <w:t>|</w:t>
            </w:r>
            <w:r w:rsidRPr="00A268DC">
              <w:rPr>
                <w:rFonts w:ascii="Arial Narrow" w:eastAsiaTheme="majorEastAsia" w:hAnsi="Arial Narrow" w:cstheme="majorBidi" w:hint="eastAsia"/>
                <w:b/>
                <w:color w:val="000000"/>
                <w:spacing w:val="2"/>
                <w:w w:val="22"/>
                <w:sz w:val="20"/>
                <w:shd w:val="solid" w:color="000000" w:fill="000000"/>
                <w:fitText w:val="100" w:id="-694973424"/>
                <w14:textFill>
                  <w14:solidFill>
                    <w14:srgbClr w14:val="000000">
                      <w14:alpha w14:val="100000"/>
                    </w14:srgbClr>
                  </w14:solidFill>
                </w14:textFill>
              </w:rPr>
              <w:t xml:space="preserve">　</w:t>
            </w:r>
            <w:r w:rsidR="00936783" w:rsidRPr="00936783">
              <w:rPr>
                <w:rFonts w:ascii="Arial Narrow" w:eastAsiaTheme="majorEastAsia" w:hAnsi="Arial Narrow" w:cstheme="majorBidi"/>
                <w:bCs/>
                <w:sz w:val="20"/>
                <w:vertAlign w:val="superscript"/>
              </w:rPr>
              <w:t>4</w:t>
            </w:r>
          </w:p>
        </w:tc>
        <w:tc>
          <w:tcPr>
            <w:tcW w:w="611" w:type="pct"/>
            <w:shd w:val="clear" w:color="auto" w:fill="auto"/>
          </w:tcPr>
          <w:p w14:paraId="61955A48" w14:textId="74FC8C25"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
                <w:color w:val="000000"/>
                <w:w w:val="22"/>
                <w:sz w:val="20"/>
                <w:shd w:val="solid" w:color="000000" w:fill="000000"/>
                <w:fitText w:val="100" w:id="-694973440"/>
                <w14:textFill>
                  <w14:solidFill>
                    <w14:srgbClr w14:val="000000">
                      <w14:alpha w14:val="100000"/>
                    </w14:srgbClr>
                  </w14:solidFill>
                </w14:textFill>
              </w:rPr>
              <w:t xml:space="preserve">　</w:t>
            </w:r>
            <w:r w:rsidRPr="00A268DC">
              <w:rPr>
                <w:rFonts w:ascii="Arial Narrow" w:eastAsiaTheme="majorEastAsia" w:hAnsi="Arial Narrow" w:cstheme="majorBidi"/>
                <w:b/>
                <w:color w:val="000000"/>
                <w:w w:val="22"/>
                <w:sz w:val="20"/>
                <w:shd w:val="solid" w:color="000000" w:fill="000000"/>
                <w:fitText w:val="100" w:id="-694973440"/>
                <w14:textFill>
                  <w14:solidFill>
                    <w14:srgbClr w14:val="000000">
                      <w14:alpha w14:val="100000"/>
                    </w14:srgbClr>
                  </w14:solidFill>
                </w14:textFill>
              </w:rPr>
              <w:t>|</w:t>
            </w:r>
            <w:r w:rsidRPr="00A268DC">
              <w:rPr>
                <w:rFonts w:ascii="Arial Narrow" w:eastAsiaTheme="majorEastAsia" w:hAnsi="Arial Narrow" w:cstheme="majorBidi" w:hint="eastAsia"/>
                <w:b/>
                <w:color w:val="000000"/>
                <w:spacing w:val="2"/>
                <w:w w:val="22"/>
                <w:sz w:val="20"/>
                <w:shd w:val="solid" w:color="000000" w:fill="000000"/>
                <w:fitText w:val="100" w:id="-694973440"/>
                <w14:textFill>
                  <w14:solidFill>
                    <w14:srgbClr w14:val="000000">
                      <w14:alpha w14:val="100000"/>
                    </w14:srgbClr>
                  </w14:solidFill>
                </w14:textFill>
              </w:rPr>
              <w:t xml:space="preserve">　</w:t>
            </w:r>
            <w:r w:rsidR="00936783" w:rsidRPr="00936783">
              <w:rPr>
                <w:rFonts w:ascii="Arial Narrow" w:eastAsiaTheme="majorEastAsia" w:hAnsi="Arial Narrow" w:cstheme="majorBidi"/>
                <w:bCs/>
                <w:sz w:val="20"/>
                <w:vertAlign w:val="superscript"/>
              </w:rPr>
              <w:t>4</w:t>
            </w:r>
          </w:p>
        </w:tc>
        <w:tc>
          <w:tcPr>
            <w:tcW w:w="611" w:type="pct"/>
            <w:shd w:val="clear" w:color="auto" w:fill="auto"/>
          </w:tcPr>
          <w:p w14:paraId="39B55579" w14:textId="6D5D2FC4"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
                <w:color w:val="000000"/>
                <w:w w:val="22"/>
                <w:sz w:val="20"/>
                <w:shd w:val="solid" w:color="000000" w:fill="000000"/>
                <w:fitText w:val="100" w:id="-694973439"/>
                <w14:textFill>
                  <w14:solidFill>
                    <w14:srgbClr w14:val="000000">
                      <w14:alpha w14:val="100000"/>
                    </w14:srgbClr>
                  </w14:solidFill>
                </w14:textFill>
              </w:rPr>
              <w:t xml:space="preserve">　</w:t>
            </w:r>
            <w:r w:rsidRPr="00A268DC">
              <w:rPr>
                <w:rFonts w:ascii="Arial Narrow" w:eastAsiaTheme="majorEastAsia" w:hAnsi="Arial Narrow" w:cstheme="majorBidi"/>
                <w:b/>
                <w:color w:val="000000"/>
                <w:w w:val="22"/>
                <w:sz w:val="20"/>
                <w:shd w:val="solid" w:color="000000" w:fill="000000"/>
                <w:fitText w:val="100" w:id="-694973439"/>
                <w14:textFill>
                  <w14:solidFill>
                    <w14:srgbClr w14:val="000000">
                      <w14:alpha w14:val="100000"/>
                    </w14:srgbClr>
                  </w14:solidFill>
                </w14:textFill>
              </w:rPr>
              <w:t>|</w:t>
            </w:r>
            <w:r w:rsidRPr="00A268DC">
              <w:rPr>
                <w:rFonts w:ascii="Arial Narrow" w:eastAsiaTheme="majorEastAsia" w:hAnsi="Arial Narrow" w:cstheme="majorBidi" w:hint="eastAsia"/>
                <w:b/>
                <w:color w:val="000000"/>
                <w:spacing w:val="2"/>
                <w:w w:val="22"/>
                <w:sz w:val="20"/>
                <w:shd w:val="solid" w:color="000000" w:fill="000000"/>
                <w:fitText w:val="100" w:id="-694973439"/>
                <w14:textFill>
                  <w14:solidFill>
                    <w14:srgbClr w14:val="000000">
                      <w14:alpha w14:val="100000"/>
                    </w14:srgbClr>
                  </w14:solidFill>
                </w14:textFill>
              </w:rPr>
              <w:t xml:space="preserve">　</w:t>
            </w:r>
            <w:r w:rsidR="008515F4" w:rsidRPr="008515F4">
              <w:rPr>
                <w:rFonts w:ascii="Arial Narrow" w:eastAsiaTheme="majorEastAsia" w:hAnsi="Arial Narrow" w:cstheme="majorBidi"/>
                <w:bCs/>
                <w:sz w:val="20"/>
                <w:vertAlign w:val="superscript"/>
              </w:rPr>
              <w:t>5</w:t>
            </w:r>
          </w:p>
        </w:tc>
        <w:tc>
          <w:tcPr>
            <w:tcW w:w="611" w:type="pct"/>
          </w:tcPr>
          <w:p w14:paraId="7C9CCA36" w14:textId="0876887B"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
                <w:color w:val="000000"/>
                <w:w w:val="22"/>
                <w:sz w:val="20"/>
                <w:shd w:val="solid" w:color="000000" w:fill="000000"/>
                <w:fitText w:val="100" w:id="-694973438"/>
                <w14:textFill>
                  <w14:solidFill>
                    <w14:srgbClr w14:val="000000">
                      <w14:alpha w14:val="100000"/>
                    </w14:srgbClr>
                  </w14:solidFill>
                </w14:textFill>
              </w:rPr>
              <w:t xml:space="preserve">　</w:t>
            </w:r>
            <w:r w:rsidRPr="00A268DC">
              <w:rPr>
                <w:rFonts w:ascii="Arial Narrow" w:eastAsiaTheme="majorEastAsia" w:hAnsi="Arial Narrow" w:cstheme="majorBidi"/>
                <w:b/>
                <w:color w:val="000000"/>
                <w:w w:val="22"/>
                <w:sz w:val="20"/>
                <w:shd w:val="solid" w:color="000000" w:fill="000000"/>
                <w:fitText w:val="100" w:id="-694973438"/>
                <w14:textFill>
                  <w14:solidFill>
                    <w14:srgbClr w14:val="000000">
                      <w14:alpha w14:val="100000"/>
                    </w14:srgbClr>
                  </w14:solidFill>
                </w14:textFill>
              </w:rPr>
              <w:t>|</w:t>
            </w:r>
            <w:r w:rsidRPr="00A268DC">
              <w:rPr>
                <w:rFonts w:ascii="Arial Narrow" w:eastAsiaTheme="majorEastAsia" w:hAnsi="Arial Narrow" w:cstheme="majorBidi" w:hint="eastAsia"/>
                <w:b/>
                <w:color w:val="000000"/>
                <w:spacing w:val="2"/>
                <w:w w:val="22"/>
                <w:sz w:val="20"/>
                <w:shd w:val="solid" w:color="000000" w:fill="000000"/>
                <w:fitText w:val="100" w:id="-694973438"/>
                <w14:textFill>
                  <w14:solidFill>
                    <w14:srgbClr w14:val="000000">
                      <w14:alpha w14:val="100000"/>
                    </w14:srgbClr>
                  </w14:solidFill>
                </w14:textFill>
              </w:rPr>
              <w:t xml:space="preserve">　</w:t>
            </w:r>
            <w:r w:rsidR="008515F4" w:rsidRPr="008515F4">
              <w:rPr>
                <w:rFonts w:ascii="Arial Narrow" w:eastAsiaTheme="majorEastAsia" w:hAnsi="Arial Narrow" w:cstheme="majorBidi"/>
                <w:bCs/>
                <w:sz w:val="20"/>
                <w:vertAlign w:val="superscript"/>
              </w:rPr>
              <w:t>5</w:t>
            </w:r>
          </w:p>
        </w:tc>
      </w:tr>
      <w:tr w:rsidR="008975CB" w:rsidRPr="00567618" w14:paraId="2BF8F90B" w14:textId="77777777" w:rsidTr="0F1D33A4">
        <w:tc>
          <w:tcPr>
            <w:tcW w:w="5000" w:type="pct"/>
            <w:gridSpan w:val="7"/>
            <w:shd w:val="clear" w:color="auto" w:fill="B8CCE4" w:themeFill="accent1" w:themeFillTint="66"/>
            <w:vAlign w:val="center"/>
          </w:tcPr>
          <w:p w14:paraId="5FFDF04F" w14:textId="77777777" w:rsidR="008975CB" w:rsidRPr="00567618" w:rsidRDefault="008975CB" w:rsidP="008975CB">
            <w:pPr>
              <w:keepNext/>
              <w:keepLines/>
              <w:jc w:val="left"/>
              <w:rPr>
                <w:rFonts w:ascii="Arial Narrow" w:eastAsiaTheme="majorEastAsia" w:hAnsi="Arial Narrow" w:cs="Times New Roman"/>
                <w:b/>
                <w:sz w:val="20"/>
                <w:lang w:val="en-US"/>
              </w:rPr>
            </w:pPr>
            <w:r w:rsidRPr="00567618">
              <w:rPr>
                <w:rFonts w:ascii="Arial Narrow" w:eastAsiaTheme="majorEastAsia" w:hAnsi="Arial Narrow" w:cs="Times New Roman"/>
                <w:b/>
                <w:sz w:val="20"/>
                <w:lang w:val="en-US"/>
              </w:rPr>
              <w:t>Previous submission November 2019</w:t>
            </w:r>
          </w:p>
        </w:tc>
      </w:tr>
      <w:tr w:rsidR="008975CB" w:rsidRPr="00567618" w14:paraId="77A7F31A" w14:textId="77777777" w:rsidTr="0F1D33A4">
        <w:tc>
          <w:tcPr>
            <w:tcW w:w="1334" w:type="pct"/>
            <w:shd w:val="clear" w:color="auto" w:fill="B8CCE4" w:themeFill="accent1" w:themeFillTint="66"/>
            <w:vAlign w:val="center"/>
          </w:tcPr>
          <w:p w14:paraId="0976D585" w14:textId="77777777" w:rsidR="008975CB" w:rsidRPr="00567618" w:rsidRDefault="008975CB" w:rsidP="008975CB">
            <w:pPr>
              <w:keepNext/>
              <w:keepLines/>
              <w:jc w:val="left"/>
              <w:rPr>
                <w:rFonts w:ascii="Arial Narrow" w:eastAsiaTheme="majorEastAsia" w:hAnsi="Arial Narrow" w:cstheme="majorBidi"/>
                <w:bCs/>
                <w:sz w:val="19"/>
                <w:szCs w:val="19"/>
              </w:rPr>
            </w:pPr>
            <w:r w:rsidRPr="00567618">
              <w:rPr>
                <w:rFonts w:ascii="Arial Narrow" w:eastAsiaTheme="majorEastAsia" w:hAnsi="Arial Narrow" w:cstheme="majorBidi"/>
                <w:bCs/>
                <w:sz w:val="20"/>
                <w:szCs w:val="20"/>
              </w:rPr>
              <w:t>Total commencing patients</w:t>
            </w:r>
          </w:p>
        </w:tc>
        <w:tc>
          <w:tcPr>
            <w:tcW w:w="611" w:type="pct"/>
            <w:shd w:val="clear" w:color="auto" w:fill="B8CCE4" w:themeFill="accent1" w:themeFillTint="66"/>
            <w:vAlign w:val="center"/>
          </w:tcPr>
          <w:p w14:paraId="2EE9FD79" w14:textId="7E7B4D75"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Cs/>
                <w:color w:val="000000"/>
                <w:w w:val="15"/>
                <w:sz w:val="20"/>
                <w:szCs w:val="20"/>
                <w:shd w:val="solid" w:color="000000" w:fill="000000"/>
                <w:fitText w:val="60" w:id="-694973437"/>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zCs w:val="20"/>
                <w:shd w:val="solid" w:color="000000" w:fill="000000"/>
                <w:fitText w:val="60" w:id="-694973437"/>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zCs w:val="20"/>
                <w:shd w:val="solid" w:color="000000" w:fill="000000"/>
                <w:fitText w:val="60" w:id="-694973437"/>
                <w14:textFill>
                  <w14:solidFill>
                    <w14:srgbClr w14:val="000000">
                      <w14:alpha w14:val="100000"/>
                    </w14:srgbClr>
                  </w14:solidFill>
                </w14:textFill>
              </w:rPr>
              <w:t xml:space="preserve">　</w:t>
            </w:r>
            <w:r w:rsidR="00B44D0F" w:rsidRPr="00B44D0F">
              <w:rPr>
                <w:rFonts w:ascii="Arial Narrow" w:eastAsiaTheme="majorEastAsia" w:hAnsi="Arial Narrow" w:cstheme="majorBidi"/>
                <w:bCs/>
                <w:sz w:val="20"/>
                <w:vertAlign w:val="superscript"/>
              </w:rPr>
              <w:t>2</w:t>
            </w:r>
          </w:p>
        </w:tc>
        <w:tc>
          <w:tcPr>
            <w:tcW w:w="611" w:type="pct"/>
            <w:shd w:val="clear" w:color="auto" w:fill="B8CCE4" w:themeFill="accent1" w:themeFillTint="66"/>
            <w:vAlign w:val="center"/>
          </w:tcPr>
          <w:p w14:paraId="61ADE099" w14:textId="142A47B1"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Cs/>
                <w:color w:val="000000"/>
                <w:w w:val="15"/>
                <w:sz w:val="20"/>
                <w:szCs w:val="20"/>
                <w:shd w:val="solid" w:color="000000" w:fill="000000"/>
                <w:fitText w:val="60" w:id="-694973436"/>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zCs w:val="20"/>
                <w:shd w:val="solid" w:color="000000" w:fill="000000"/>
                <w:fitText w:val="60" w:id="-694973436"/>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zCs w:val="20"/>
                <w:shd w:val="solid" w:color="000000" w:fill="000000"/>
                <w:fitText w:val="60" w:id="-694973436"/>
                <w14:textFill>
                  <w14:solidFill>
                    <w14:srgbClr w14:val="000000">
                      <w14:alpha w14:val="100000"/>
                    </w14:srgbClr>
                  </w14:solidFill>
                </w14:textFill>
              </w:rPr>
              <w:t xml:space="preserve">　</w:t>
            </w:r>
            <w:r w:rsidR="00894DA8" w:rsidRPr="00894DA8">
              <w:rPr>
                <w:rFonts w:ascii="Arial Narrow" w:eastAsiaTheme="majorEastAsia" w:hAnsi="Arial Narrow" w:cstheme="majorBidi"/>
                <w:bCs/>
                <w:sz w:val="20"/>
                <w:vertAlign w:val="superscript"/>
              </w:rPr>
              <w:t>1</w:t>
            </w:r>
          </w:p>
        </w:tc>
        <w:tc>
          <w:tcPr>
            <w:tcW w:w="611" w:type="pct"/>
            <w:shd w:val="clear" w:color="auto" w:fill="B8CCE4" w:themeFill="accent1" w:themeFillTint="66"/>
            <w:vAlign w:val="center"/>
          </w:tcPr>
          <w:p w14:paraId="668E3F05" w14:textId="190B1CEF"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Cs/>
                <w:color w:val="000000"/>
                <w:w w:val="15"/>
                <w:sz w:val="20"/>
                <w:szCs w:val="20"/>
                <w:shd w:val="solid" w:color="000000" w:fill="000000"/>
                <w:fitText w:val="60" w:id="-694973435"/>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zCs w:val="20"/>
                <w:shd w:val="solid" w:color="000000" w:fill="000000"/>
                <w:fitText w:val="60" w:id="-694973435"/>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zCs w:val="20"/>
                <w:shd w:val="solid" w:color="000000" w:fill="000000"/>
                <w:fitText w:val="60" w:id="-694973435"/>
                <w14:textFill>
                  <w14:solidFill>
                    <w14:srgbClr w14:val="000000">
                      <w14:alpha w14:val="100000"/>
                    </w14:srgbClr>
                  </w14:solidFill>
                </w14:textFill>
              </w:rPr>
              <w:t xml:space="preserve">　</w:t>
            </w:r>
            <w:r w:rsidR="00894DA8" w:rsidRPr="00894DA8">
              <w:rPr>
                <w:rFonts w:ascii="Arial Narrow" w:eastAsiaTheme="majorEastAsia" w:hAnsi="Arial Narrow" w:cstheme="majorBidi"/>
                <w:bCs/>
                <w:sz w:val="20"/>
                <w:vertAlign w:val="superscript"/>
              </w:rPr>
              <w:t>1</w:t>
            </w:r>
          </w:p>
        </w:tc>
        <w:tc>
          <w:tcPr>
            <w:tcW w:w="611" w:type="pct"/>
            <w:shd w:val="clear" w:color="auto" w:fill="B8CCE4" w:themeFill="accent1" w:themeFillTint="66"/>
            <w:vAlign w:val="center"/>
          </w:tcPr>
          <w:p w14:paraId="7A14A32A" w14:textId="7CB657F1"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Cs/>
                <w:color w:val="000000"/>
                <w:w w:val="15"/>
                <w:sz w:val="20"/>
                <w:szCs w:val="20"/>
                <w:shd w:val="solid" w:color="000000" w:fill="000000"/>
                <w:fitText w:val="60" w:id="-694973434"/>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zCs w:val="20"/>
                <w:shd w:val="solid" w:color="000000" w:fill="000000"/>
                <w:fitText w:val="60" w:id="-694973434"/>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zCs w:val="20"/>
                <w:shd w:val="solid" w:color="000000" w:fill="000000"/>
                <w:fitText w:val="60" w:id="-694973434"/>
                <w14:textFill>
                  <w14:solidFill>
                    <w14:srgbClr w14:val="000000">
                      <w14:alpha w14:val="100000"/>
                    </w14:srgbClr>
                  </w14:solidFill>
                </w14:textFill>
              </w:rPr>
              <w:t xml:space="preserve">　</w:t>
            </w:r>
            <w:r w:rsidR="00894DA8" w:rsidRPr="00894DA8">
              <w:rPr>
                <w:rFonts w:ascii="Arial Narrow" w:eastAsiaTheme="majorEastAsia" w:hAnsi="Arial Narrow" w:cstheme="majorBidi"/>
                <w:bCs/>
                <w:sz w:val="20"/>
                <w:vertAlign w:val="superscript"/>
              </w:rPr>
              <w:t>1</w:t>
            </w:r>
          </w:p>
        </w:tc>
        <w:tc>
          <w:tcPr>
            <w:tcW w:w="611" w:type="pct"/>
            <w:shd w:val="clear" w:color="auto" w:fill="B8CCE4" w:themeFill="accent1" w:themeFillTint="66"/>
            <w:vAlign w:val="center"/>
          </w:tcPr>
          <w:p w14:paraId="04C4883C" w14:textId="142B66D8"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Cs/>
                <w:color w:val="000000"/>
                <w:w w:val="15"/>
                <w:sz w:val="20"/>
                <w:szCs w:val="20"/>
                <w:shd w:val="solid" w:color="000000" w:fill="000000"/>
                <w:fitText w:val="60" w:id="-694973433"/>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zCs w:val="20"/>
                <w:shd w:val="solid" w:color="000000" w:fill="000000"/>
                <w:fitText w:val="60" w:id="-694973433"/>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zCs w:val="20"/>
                <w:shd w:val="solid" w:color="000000" w:fill="000000"/>
                <w:fitText w:val="60" w:id="-694973433"/>
                <w14:textFill>
                  <w14:solidFill>
                    <w14:srgbClr w14:val="000000">
                      <w14:alpha w14:val="100000"/>
                    </w14:srgbClr>
                  </w14:solidFill>
                </w14:textFill>
              </w:rPr>
              <w:t xml:space="preserve">　</w:t>
            </w:r>
            <w:r w:rsidR="00894DA8" w:rsidRPr="00894DA8">
              <w:rPr>
                <w:rFonts w:ascii="Arial Narrow" w:eastAsiaTheme="majorEastAsia" w:hAnsi="Arial Narrow" w:cstheme="majorBidi"/>
                <w:bCs/>
                <w:sz w:val="20"/>
                <w:vertAlign w:val="superscript"/>
              </w:rPr>
              <w:t>1</w:t>
            </w:r>
          </w:p>
        </w:tc>
        <w:tc>
          <w:tcPr>
            <w:tcW w:w="611" w:type="pct"/>
            <w:shd w:val="clear" w:color="auto" w:fill="B8CCE4" w:themeFill="accent1" w:themeFillTint="66"/>
            <w:vAlign w:val="center"/>
          </w:tcPr>
          <w:p w14:paraId="02AB1096" w14:textId="19E13482" w:rsidR="008975CB" w:rsidRPr="00C2249C" w:rsidRDefault="00A268DC" w:rsidP="008975CB">
            <w:pPr>
              <w:keepNext/>
              <w:keepLines/>
              <w:jc w:val="center"/>
              <w:rPr>
                <w:rFonts w:ascii="Arial Narrow" w:eastAsiaTheme="majorEastAsia" w:hAnsi="Arial Narrow" w:cstheme="majorBidi"/>
                <w:bCs/>
                <w:sz w:val="20"/>
                <w:highlight w:val="darkGray"/>
              </w:rPr>
            </w:pPr>
            <w:r w:rsidRPr="00A268DC">
              <w:rPr>
                <w:rFonts w:ascii="Arial Narrow" w:eastAsiaTheme="majorEastAsia" w:hAnsi="Arial Narrow" w:cstheme="majorBidi" w:hint="eastAsia"/>
                <w:bCs/>
                <w:color w:val="000000"/>
                <w:w w:val="15"/>
                <w:sz w:val="20"/>
                <w:szCs w:val="20"/>
                <w:shd w:val="solid" w:color="000000" w:fill="000000"/>
                <w:fitText w:val="60" w:id="-694973432"/>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zCs w:val="20"/>
                <w:shd w:val="solid" w:color="000000" w:fill="000000"/>
                <w:fitText w:val="60" w:id="-694973432"/>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zCs w:val="20"/>
                <w:shd w:val="solid" w:color="000000" w:fill="000000"/>
                <w:fitText w:val="60" w:id="-694973432"/>
                <w14:textFill>
                  <w14:solidFill>
                    <w14:srgbClr w14:val="000000">
                      <w14:alpha w14:val="100000"/>
                    </w14:srgbClr>
                  </w14:solidFill>
                </w14:textFill>
              </w:rPr>
              <w:t xml:space="preserve">　</w:t>
            </w:r>
            <w:r w:rsidR="00894DA8" w:rsidRPr="00894DA8">
              <w:rPr>
                <w:rFonts w:ascii="Arial Narrow" w:eastAsiaTheme="majorEastAsia" w:hAnsi="Arial Narrow" w:cstheme="majorBidi"/>
                <w:bCs/>
                <w:sz w:val="20"/>
                <w:vertAlign w:val="superscript"/>
              </w:rPr>
              <w:t>1</w:t>
            </w:r>
          </w:p>
        </w:tc>
      </w:tr>
      <w:tr w:rsidR="008975CB" w:rsidRPr="00567618" w14:paraId="4FC4F252" w14:textId="77777777" w:rsidTr="0F1D33A4">
        <w:tc>
          <w:tcPr>
            <w:tcW w:w="1334" w:type="pct"/>
            <w:shd w:val="clear" w:color="auto" w:fill="B8CCE4" w:themeFill="accent1" w:themeFillTint="66"/>
            <w:vAlign w:val="center"/>
          </w:tcPr>
          <w:p w14:paraId="01261786" w14:textId="77777777" w:rsidR="008975CB" w:rsidRPr="00567618" w:rsidRDefault="008975CB" w:rsidP="0910F2D2">
            <w:pPr>
              <w:keepNext/>
              <w:keepLines/>
              <w:jc w:val="left"/>
              <w:rPr>
                <w:rFonts w:ascii="Arial Narrow" w:eastAsiaTheme="majorEastAsia" w:hAnsi="Arial Narrow" w:cstheme="majorBidi"/>
                <w:sz w:val="20"/>
                <w:szCs w:val="20"/>
              </w:rPr>
            </w:pPr>
            <w:r w:rsidRPr="0910F2D2">
              <w:rPr>
                <w:rFonts w:ascii="Arial Narrow" w:eastAsiaTheme="majorEastAsia" w:hAnsi="Arial Narrow" w:cstheme="majorBidi"/>
                <w:sz w:val="20"/>
                <w:szCs w:val="20"/>
              </w:rPr>
              <w:t>Total ruxolitinib (PV) scripts</w:t>
            </w:r>
          </w:p>
        </w:tc>
        <w:tc>
          <w:tcPr>
            <w:tcW w:w="611" w:type="pct"/>
            <w:shd w:val="clear" w:color="auto" w:fill="B8CCE4" w:themeFill="accent1" w:themeFillTint="66"/>
            <w:vAlign w:val="center"/>
          </w:tcPr>
          <w:p w14:paraId="2D612973" w14:textId="1F22A312" w:rsidR="008975CB" w:rsidRPr="00C2249C" w:rsidRDefault="00A268DC" w:rsidP="008975CB">
            <w:pPr>
              <w:keepNext/>
              <w:keepLines/>
              <w:jc w:val="center"/>
              <w:rPr>
                <w:rFonts w:ascii="Arial Narrow" w:eastAsiaTheme="majorEastAsia" w:hAnsi="Arial Narrow" w:cstheme="majorBidi"/>
                <w:bCs/>
                <w:sz w:val="20"/>
                <w:szCs w:val="20"/>
                <w:highlight w:val="darkGray"/>
              </w:rPr>
            </w:pPr>
            <w:r w:rsidRPr="00A268DC">
              <w:rPr>
                <w:rFonts w:ascii="Arial Narrow" w:eastAsiaTheme="majorEastAsia" w:hAnsi="Arial Narrow" w:cstheme="majorBidi" w:hint="eastAsia"/>
                <w:bCs/>
                <w:color w:val="000000"/>
                <w:w w:val="15"/>
                <w:sz w:val="20"/>
                <w:szCs w:val="20"/>
                <w:shd w:val="solid" w:color="000000" w:fill="000000"/>
                <w:fitText w:val="60" w:id="-694973431"/>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zCs w:val="20"/>
                <w:shd w:val="solid" w:color="000000" w:fill="000000"/>
                <w:fitText w:val="60" w:id="-694973431"/>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zCs w:val="20"/>
                <w:shd w:val="solid" w:color="000000" w:fill="000000"/>
                <w:fitText w:val="60" w:id="-694973431"/>
                <w14:textFill>
                  <w14:solidFill>
                    <w14:srgbClr w14:val="000000">
                      <w14:alpha w14:val="100000"/>
                    </w14:srgbClr>
                  </w14:solidFill>
                </w14:textFill>
              </w:rPr>
              <w:t xml:space="preserve">　</w:t>
            </w:r>
            <w:r w:rsidR="00B44D0F" w:rsidRPr="00B44D0F">
              <w:rPr>
                <w:rFonts w:ascii="Arial Narrow" w:eastAsiaTheme="majorEastAsia" w:hAnsi="Arial Narrow" w:cstheme="majorBidi"/>
                <w:bCs/>
                <w:sz w:val="20"/>
                <w:vertAlign w:val="superscript"/>
              </w:rPr>
              <w:t>3</w:t>
            </w:r>
          </w:p>
        </w:tc>
        <w:tc>
          <w:tcPr>
            <w:tcW w:w="611" w:type="pct"/>
            <w:shd w:val="clear" w:color="auto" w:fill="B8CCE4" w:themeFill="accent1" w:themeFillTint="66"/>
            <w:vAlign w:val="center"/>
          </w:tcPr>
          <w:p w14:paraId="037FFC58" w14:textId="374E8E70" w:rsidR="008975CB" w:rsidRPr="00C2249C" w:rsidRDefault="00A268DC" w:rsidP="008975CB">
            <w:pPr>
              <w:keepNext/>
              <w:keepLines/>
              <w:jc w:val="center"/>
              <w:rPr>
                <w:rFonts w:ascii="Arial Narrow" w:eastAsiaTheme="majorEastAsia" w:hAnsi="Arial Narrow" w:cstheme="majorBidi"/>
                <w:bCs/>
                <w:sz w:val="20"/>
                <w:szCs w:val="20"/>
                <w:highlight w:val="darkGray"/>
              </w:rPr>
            </w:pPr>
            <w:r w:rsidRPr="00A268DC">
              <w:rPr>
                <w:rFonts w:ascii="Arial Narrow" w:eastAsiaTheme="majorEastAsia" w:hAnsi="Arial Narrow" w:cstheme="majorBidi" w:hint="eastAsia"/>
                <w:bCs/>
                <w:color w:val="000000"/>
                <w:w w:val="15"/>
                <w:sz w:val="20"/>
                <w:szCs w:val="20"/>
                <w:shd w:val="solid" w:color="000000" w:fill="000000"/>
                <w:fitText w:val="60" w:id="-694973430"/>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zCs w:val="20"/>
                <w:shd w:val="solid" w:color="000000" w:fill="000000"/>
                <w:fitText w:val="60" w:id="-694973430"/>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zCs w:val="20"/>
                <w:shd w:val="solid" w:color="000000" w:fill="000000"/>
                <w:fitText w:val="60" w:id="-694973430"/>
                <w14:textFill>
                  <w14:solidFill>
                    <w14:srgbClr w14:val="000000">
                      <w14:alpha w14:val="100000"/>
                    </w14:srgbClr>
                  </w14:solidFill>
                </w14:textFill>
              </w:rPr>
              <w:t xml:space="preserve">　</w:t>
            </w:r>
            <w:r w:rsidR="00B44D0F" w:rsidRPr="00B44D0F">
              <w:rPr>
                <w:rFonts w:ascii="Arial Narrow" w:eastAsiaTheme="majorEastAsia" w:hAnsi="Arial Narrow" w:cstheme="majorBidi"/>
                <w:bCs/>
                <w:sz w:val="20"/>
                <w:vertAlign w:val="superscript"/>
              </w:rPr>
              <w:t>3</w:t>
            </w:r>
          </w:p>
        </w:tc>
        <w:tc>
          <w:tcPr>
            <w:tcW w:w="611" w:type="pct"/>
            <w:shd w:val="clear" w:color="auto" w:fill="B8CCE4" w:themeFill="accent1" w:themeFillTint="66"/>
            <w:vAlign w:val="center"/>
          </w:tcPr>
          <w:p w14:paraId="60007998" w14:textId="0F86C21A" w:rsidR="008975CB" w:rsidRPr="00C2249C" w:rsidRDefault="00A268DC" w:rsidP="008975CB">
            <w:pPr>
              <w:keepNext/>
              <w:keepLines/>
              <w:jc w:val="center"/>
              <w:rPr>
                <w:rFonts w:ascii="Arial Narrow" w:eastAsiaTheme="majorEastAsia" w:hAnsi="Arial Narrow" w:cstheme="majorBidi"/>
                <w:bCs/>
                <w:sz w:val="20"/>
                <w:szCs w:val="20"/>
                <w:highlight w:val="darkGray"/>
              </w:rPr>
            </w:pPr>
            <w:r w:rsidRPr="00A268DC">
              <w:rPr>
                <w:rFonts w:ascii="Arial Narrow" w:eastAsiaTheme="majorEastAsia" w:hAnsi="Arial Narrow" w:cstheme="majorBidi" w:hint="eastAsia"/>
                <w:bCs/>
                <w:color w:val="000000"/>
                <w:w w:val="15"/>
                <w:sz w:val="20"/>
                <w:szCs w:val="20"/>
                <w:shd w:val="solid" w:color="000000" w:fill="000000"/>
                <w:fitText w:val="60" w:id="-694973429"/>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zCs w:val="20"/>
                <w:shd w:val="solid" w:color="000000" w:fill="000000"/>
                <w:fitText w:val="60" w:id="-694973429"/>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zCs w:val="20"/>
                <w:shd w:val="solid" w:color="000000" w:fill="000000"/>
                <w:fitText w:val="60" w:id="-694973429"/>
                <w14:textFill>
                  <w14:solidFill>
                    <w14:srgbClr w14:val="000000">
                      <w14:alpha w14:val="100000"/>
                    </w14:srgbClr>
                  </w14:solidFill>
                </w14:textFill>
              </w:rPr>
              <w:t xml:space="preserve">　</w:t>
            </w:r>
            <w:r w:rsidR="00032ABB" w:rsidRPr="00032ABB">
              <w:rPr>
                <w:rFonts w:ascii="Arial Narrow" w:eastAsiaTheme="majorEastAsia" w:hAnsi="Arial Narrow" w:cstheme="majorBidi"/>
                <w:bCs/>
                <w:sz w:val="20"/>
                <w:szCs w:val="20"/>
                <w:vertAlign w:val="superscript"/>
              </w:rPr>
              <w:t>7</w:t>
            </w:r>
          </w:p>
        </w:tc>
        <w:tc>
          <w:tcPr>
            <w:tcW w:w="611" w:type="pct"/>
            <w:shd w:val="clear" w:color="auto" w:fill="B8CCE4" w:themeFill="accent1" w:themeFillTint="66"/>
            <w:vAlign w:val="center"/>
          </w:tcPr>
          <w:p w14:paraId="0D45B891" w14:textId="28BCDE69" w:rsidR="008975CB" w:rsidRPr="00C2249C" w:rsidRDefault="00A268DC" w:rsidP="008975CB">
            <w:pPr>
              <w:keepNext/>
              <w:keepLines/>
              <w:jc w:val="center"/>
              <w:rPr>
                <w:rFonts w:ascii="Arial Narrow" w:eastAsiaTheme="majorEastAsia" w:hAnsi="Arial Narrow" w:cstheme="majorBidi"/>
                <w:bCs/>
                <w:sz w:val="20"/>
                <w:szCs w:val="20"/>
                <w:highlight w:val="darkGray"/>
              </w:rPr>
            </w:pPr>
            <w:r w:rsidRPr="00A268DC">
              <w:rPr>
                <w:rFonts w:ascii="Arial Narrow" w:eastAsiaTheme="majorEastAsia" w:hAnsi="Arial Narrow" w:cstheme="majorBidi" w:hint="eastAsia"/>
                <w:bCs/>
                <w:color w:val="000000"/>
                <w:w w:val="15"/>
                <w:sz w:val="20"/>
                <w:szCs w:val="20"/>
                <w:shd w:val="solid" w:color="000000" w:fill="000000"/>
                <w:fitText w:val="60" w:id="-694973428"/>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zCs w:val="20"/>
                <w:shd w:val="solid" w:color="000000" w:fill="000000"/>
                <w:fitText w:val="60" w:id="-694973428"/>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zCs w:val="20"/>
                <w:shd w:val="solid" w:color="000000" w:fill="000000"/>
                <w:fitText w:val="60" w:id="-694973428"/>
                <w14:textFill>
                  <w14:solidFill>
                    <w14:srgbClr w14:val="000000">
                      <w14:alpha w14:val="100000"/>
                    </w14:srgbClr>
                  </w14:solidFill>
                </w14:textFill>
              </w:rPr>
              <w:t xml:space="preserve">　</w:t>
            </w:r>
            <w:r w:rsidR="00032ABB" w:rsidRPr="00032ABB">
              <w:rPr>
                <w:rFonts w:ascii="Arial Narrow" w:eastAsiaTheme="majorEastAsia" w:hAnsi="Arial Narrow" w:cstheme="majorBidi"/>
                <w:bCs/>
                <w:sz w:val="20"/>
                <w:szCs w:val="20"/>
                <w:vertAlign w:val="superscript"/>
              </w:rPr>
              <w:t>7</w:t>
            </w:r>
          </w:p>
        </w:tc>
        <w:tc>
          <w:tcPr>
            <w:tcW w:w="611" w:type="pct"/>
            <w:shd w:val="clear" w:color="auto" w:fill="B8CCE4" w:themeFill="accent1" w:themeFillTint="66"/>
            <w:vAlign w:val="center"/>
          </w:tcPr>
          <w:p w14:paraId="46C64387" w14:textId="2A300F88" w:rsidR="008975CB" w:rsidRPr="00C2249C" w:rsidRDefault="00A268DC" w:rsidP="008975CB">
            <w:pPr>
              <w:keepNext/>
              <w:keepLines/>
              <w:jc w:val="center"/>
              <w:rPr>
                <w:rFonts w:ascii="Arial Narrow" w:eastAsiaTheme="majorEastAsia" w:hAnsi="Arial Narrow" w:cstheme="majorBidi"/>
                <w:bCs/>
                <w:sz w:val="20"/>
                <w:szCs w:val="20"/>
                <w:highlight w:val="darkGray"/>
              </w:rPr>
            </w:pPr>
            <w:r w:rsidRPr="00A268DC">
              <w:rPr>
                <w:rFonts w:ascii="Arial Narrow" w:eastAsiaTheme="majorEastAsia" w:hAnsi="Arial Narrow" w:cstheme="majorBidi" w:hint="eastAsia"/>
                <w:bCs/>
                <w:color w:val="000000"/>
                <w:w w:val="15"/>
                <w:sz w:val="20"/>
                <w:szCs w:val="20"/>
                <w:shd w:val="solid" w:color="000000" w:fill="000000"/>
                <w:fitText w:val="60" w:id="-694973427"/>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zCs w:val="20"/>
                <w:shd w:val="solid" w:color="000000" w:fill="000000"/>
                <w:fitText w:val="60" w:id="-694973427"/>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zCs w:val="20"/>
                <w:shd w:val="solid" w:color="000000" w:fill="000000"/>
                <w:fitText w:val="60" w:id="-694973427"/>
                <w14:textFill>
                  <w14:solidFill>
                    <w14:srgbClr w14:val="000000">
                      <w14:alpha w14:val="100000"/>
                    </w14:srgbClr>
                  </w14:solidFill>
                </w14:textFill>
              </w:rPr>
              <w:t xml:space="preserve">　</w:t>
            </w:r>
            <w:r w:rsidR="00032ABB" w:rsidRPr="00032ABB">
              <w:rPr>
                <w:rFonts w:ascii="Arial Narrow" w:eastAsiaTheme="majorEastAsia" w:hAnsi="Arial Narrow" w:cstheme="majorBidi"/>
                <w:bCs/>
                <w:sz w:val="20"/>
                <w:szCs w:val="20"/>
                <w:vertAlign w:val="superscript"/>
              </w:rPr>
              <w:t>7</w:t>
            </w:r>
          </w:p>
        </w:tc>
        <w:tc>
          <w:tcPr>
            <w:tcW w:w="611" w:type="pct"/>
            <w:shd w:val="clear" w:color="auto" w:fill="B8CCE4" w:themeFill="accent1" w:themeFillTint="66"/>
            <w:vAlign w:val="center"/>
          </w:tcPr>
          <w:p w14:paraId="3F197C5E" w14:textId="02056FBB" w:rsidR="008975CB" w:rsidRPr="00C2249C" w:rsidRDefault="00A268DC" w:rsidP="008975CB">
            <w:pPr>
              <w:keepNext/>
              <w:keepLines/>
              <w:jc w:val="center"/>
              <w:rPr>
                <w:rFonts w:ascii="Arial Narrow" w:eastAsiaTheme="majorEastAsia" w:hAnsi="Arial Narrow" w:cstheme="majorBidi"/>
                <w:bCs/>
                <w:sz w:val="20"/>
                <w:szCs w:val="20"/>
                <w:highlight w:val="darkGray"/>
              </w:rPr>
            </w:pPr>
            <w:r w:rsidRPr="00A268DC">
              <w:rPr>
                <w:rFonts w:ascii="Arial Narrow" w:eastAsiaTheme="majorEastAsia" w:hAnsi="Arial Narrow" w:cstheme="majorBidi" w:hint="eastAsia"/>
                <w:bCs/>
                <w:color w:val="000000"/>
                <w:w w:val="15"/>
                <w:sz w:val="20"/>
                <w:szCs w:val="20"/>
                <w:shd w:val="solid" w:color="000000" w:fill="000000"/>
                <w:fitText w:val="60" w:id="-694973426"/>
                <w14:textFill>
                  <w14:solidFill>
                    <w14:srgbClr w14:val="000000">
                      <w14:alpha w14:val="100000"/>
                    </w14:srgbClr>
                  </w14:solidFill>
                </w14:textFill>
              </w:rPr>
              <w:t xml:space="preserve">　</w:t>
            </w:r>
            <w:r w:rsidRPr="00A268DC">
              <w:rPr>
                <w:rFonts w:ascii="Arial Narrow" w:eastAsiaTheme="majorEastAsia" w:hAnsi="Arial Narrow" w:cstheme="majorBidi"/>
                <w:bCs/>
                <w:color w:val="000000"/>
                <w:w w:val="15"/>
                <w:sz w:val="20"/>
                <w:szCs w:val="20"/>
                <w:shd w:val="solid" w:color="000000" w:fill="000000"/>
                <w:fitText w:val="60" w:id="-694973426"/>
                <w14:textFill>
                  <w14:solidFill>
                    <w14:srgbClr w14:val="000000">
                      <w14:alpha w14:val="100000"/>
                    </w14:srgbClr>
                  </w14:solidFill>
                </w14:textFill>
              </w:rPr>
              <w:t>|</w:t>
            </w:r>
            <w:r w:rsidRPr="00A268DC">
              <w:rPr>
                <w:rFonts w:ascii="Arial Narrow" w:eastAsiaTheme="majorEastAsia" w:hAnsi="Arial Narrow" w:cstheme="majorBidi" w:hint="eastAsia"/>
                <w:bCs/>
                <w:color w:val="000000"/>
                <w:spacing w:val="-5"/>
                <w:w w:val="15"/>
                <w:sz w:val="20"/>
                <w:szCs w:val="20"/>
                <w:shd w:val="solid" w:color="000000" w:fill="000000"/>
                <w:fitText w:val="60" w:id="-694973426"/>
                <w14:textFill>
                  <w14:solidFill>
                    <w14:srgbClr w14:val="000000">
                      <w14:alpha w14:val="100000"/>
                    </w14:srgbClr>
                  </w14:solidFill>
                </w14:textFill>
              </w:rPr>
              <w:t xml:space="preserve">　</w:t>
            </w:r>
            <w:r w:rsidR="00032ABB" w:rsidRPr="00032ABB">
              <w:rPr>
                <w:rFonts w:ascii="Arial Narrow" w:eastAsiaTheme="majorEastAsia" w:hAnsi="Arial Narrow" w:cstheme="majorBidi"/>
                <w:bCs/>
                <w:sz w:val="20"/>
                <w:szCs w:val="20"/>
                <w:vertAlign w:val="superscript"/>
              </w:rPr>
              <w:t>7</w:t>
            </w:r>
          </w:p>
        </w:tc>
      </w:tr>
      <w:tr w:rsidR="008975CB" w:rsidRPr="00567618" w14:paraId="44AFEA9E" w14:textId="77777777" w:rsidTr="0F1D33A4">
        <w:tc>
          <w:tcPr>
            <w:tcW w:w="1334" w:type="pct"/>
            <w:shd w:val="clear" w:color="auto" w:fill="B8CCE4" w:themeFill="accent1" w:themeFillTint="66"/>
            <w:vAlign w:val="center"/>
          </w:tcPr>
          <w:p w14:paraId="51911B44" w14:textId="77777777" w:rsidR="008975CB" w:rsidRPr="00567618" w:rsidRDefault="008975CB" w:rsidP="008975CB">
            <w:pPr>
              <w:keepNext/>
              <w:keepLines/>
              <w:jc w:val="left"/>
              <w:rPr>
                <w:rFonts w:ascii="Arial Narrow" w:eastAsiaTheme="majorEastAsia" w:hAnsi="Arial Narrow" w:cstheme="majorBidi"/>
                <w:bCs/>
                <w:sz w:val="19"/>
                <w:szCs w:val="19"/>
              </w:rPr>
            </w:pPr>
            <w:r w:rsidRPr="00567618">
              <w:rPr>
                <w:rFonts w:ascii="Arial Narrow" w:eastAsiaTheme="majorEastAsia" w:hAnsi="Arial Narrow" w:cstheme="majorBidi"/>
                <w:bCs/>
                <w:sz w:val="19"/>
                <w:szCs w:val="19"/>
              </w:rPr>
              <w:t>Net cost to PBS/RPBS</w:t>
            </w:r>
          </w:p>
        </w:tc>
        <w:tc>
          <w:tcPr>
            <w:tcW w:w="611" w:type="pct"/>
            <w:shd w:val="clear" w:color="auto" w:fill="B8CCE4" w:themeFill="accent1" w:themeFillTint="66"/>
            <w:vAlign w:val="center"/>
          </w:tcPr>
          <w:p w14:paraId="46CFD39F" w14:textId="00247193" w:rsidR="008975CB" w:rsidRPr="00C2249C" w:rsidRDefault="00A268DC" w:rsidP="008975CB">
            <w:pPr>
              <w:keepNext/>
              <w:keepLines/>
              <w:jc w:val="center"/>
              <w:rPr>
                <w:rFonts w:ascii="Arial Narrow" w:eastAsiaTheme="majorEastAsia" w:hAnsi="Arial Narrow" w:cstheme="minorBidi"/>
                <w:sz w:val="20"/>
                <w:szCs w:val="20"/>
                <w:highlight w:val="darkGray"/>
              </w:rPr>
            </w:pPr>
            <w:r w:rsidRPr="00A268DC">
              <w:rPr>
                <w:rFonts w:ascii="Arial Narrow" w:eastAsiaTheme="majorEastAsia" w:hAnsi="Arial Narrow" w:cstheme="minorBidi" w:hint="eastAsia"/>
                <w:color w:val="000000"/>
                <w:w w:val="15"/>
                <w:sz w:val="20"/>
                <w:szCs w:val="20"/>
                <w:shd w:val="solid" w:color="000000" w:fill="000000"/>
                <w:fitText w:val="60" w:id="-694973425"/>
                <w14:textFill>
                  <w14:solidFill>
                    <w14:srgbClr w14:val="000000">
                      <w14:alpha w14:val="100000"/>
                    </w14:srgbClr>
                  </w14:solidFill>
                </w14:textFill>
              </w:rPr>
              <w:t xml:space="preserve">　</w:t>
            </w:r>
            <w:r w:rsidRPr="00A268DC">
              <w:rPr>
                <w:rFonts w:ascii="Arial Narrow" w:eastAsiaTheme="majorEastAsia" w:hAnsi="Arial Narrow" w:cstheme="minorBidi"/>
                <w:color w:val="000000"/>
                <w:w w:val="15"/>
                <w:sz w:val="20"/>
                <w:szCs w:val="20"/>
                <w:shd w:val="solid" w:color="000000" w:fill="000000"/>
                <w:fitText w:val="60" w:id="-694973425"/>
                <w14:textFill>
                  <w14:solidFill>
                    <w14:srgbClr w14:val="000000">
                      <w14:alpha w14:val="100000"/>
                    </w14:srgbClr>
                  </w14:solidFill>
                </w14:textFill>
              </w:rPr>
              <w:t>|</w:t>
            </w:r>
            <w:r w:rsidRPr="00A268DC">
              <w:rPr>
                <w:rFonts w:ascii="Arial Narrow" w:eastAsiaTheme="majorEastAsia" w:hAnsi="Arial Narrow" w:cstheme="minorBidi" w:hint="eastAsia"/>
                <w:color w:val="000000"/>
                <w:spacing w:val="-5"/>
                <w:w w:val="15"/>
                <w:sz w:val="20"/>
                <w:szCs w:val="20"/>
                <w:shd w:val="solid" w:color="000000" w:fill="000000"/>
                <w:fitText w:val="60" w:id="-694973425"/>
                <w14:textFill>
                  <w14:solidFill>
                    <w14:srgbClr w14:val="000000">
                      <w14:alpha w14:val="100000"/>
                    </w14:srgbClr>
                  </w14:solidFill>
                </w14:textFill>
              </w:rPr>
              <w:t xml:space="preserve">　</w:t>
            </w:r>
            <w:r w:rsidR="00936783" w:rsidRPr="00936783">
              <w:rPr>
                <w:rFonts w:ascii="Arial Narrow" w:eastAsiaTheme="majorEastAsia" w:hAnsi="Arial Narrow" w:cstheme="majorBidi"/>
                <w:bCs/>
                <w:sz w:val="20"/>
                <w:vertAlign w:val="superscript"/>
              </w:rPr>
              <w:t>4</w:t>
            </w:r>
          </w:p>
        </w:tc>
        <w:tc>
          <w:tcPr>
            <w:tcW w:w="611" w:type="pct"/>
            <w:shd w:val="clear" w:color="auto" w:fill="B8CCE4" w:themeFill="accent1" w:themeFillTint="66"/>
            <w:vAlign w:val="center"/>
          </w:tcPr>
          <w:p w14:paraId="2DF66563" w14:textId="76D3C1CB" w:rsidR="008975CB" w:rsidRPr="00C2249C" w:rsidRDefault="00A268DC" w:rsidP="008975CB">
            <w:pPr>
              <w:keepNext/>
              <w:keepLines/>
              <w:jc w:val="center"/>
              <w:rPr>
                <w:rFonts w:ascii="Arial Narrow" w:eastAsiaTheme="majorEastAsia" w:hAnsi="Arial Narrow" w:cstheme="minorBidi"/>
                <w:sz w:val="20"/>
                <w:szCs w:val="20"/>
                <w:highlight w:val="darkGray"/>
              </w:rPr>
            </w:pPr>
            <w:r w:rsidRPr="00A268DC">
              <w:rPr>
                <w:rFonts w:ascii="Arial Narrow" w:eastAsiaTheme="majorEastAsia" w:hAnsi="Arial Narrow" w:cstheme="minorBidi" w:hint="eastAsia"/>
                <w:color w:val="000000"/>
                <w:w w:val="15"/>
                <w:sz w:val="20"/>
                <w:szCs w:val="20"/>
                <w:shd w:val="solid" w:color="000000" w:fill="000000"/>
                <w:fitText w:val="60" w:id="-694973424"/>
                <w14:textFill>
                  <w14:solidFill>
                    <w14:srgbClr w14:val="000000">
                      <w14:alpha w14:val="100000"/>
                    </w14:srgbClr>
                  </w14:solidFill>
                </w14:textFill>
              </w:rPr>
              <w:t xml:space="preserve">　</w:t>
            </w:r>
            <w:r w:rsidRPr="00A268DC">
              <w:rPr>
                <w:rFonts w:ascii="Arial Narrow" w:eastAsiaTheme="majorEastAsia" w:hAnsi="Arial Narrow" w:cstheme="minorBidi"/>
                <w:color w:val="000000"/>
                <w:w w:val="15"/>
                <w:sz w:val="20"/>
                <w:szCs w:val="20"/>
                <w:shd w:val="solid" w:color="000000" w:fill="000000"/>
                <w:fitText w:val="60" w:id="-694973424"/>
                <w14:textFill>
                  <w14:solidFill>
                    <w14:srgbClr w14:val="000000">
                      <w14:alpha w14:val="100000"/>
                    </w14:srgbClr>
                  </w14:solidFill>
                </w14:textFill>
              </w:rPr>
              <w:t>|</w:t>
            </w:r>
            <w:r w:rsidRPr="00A268DC">
              <w:rPr>
                <w:rFonts w:ascii="Arial Narrow" w:eastAsiaTheme="majorEastAsia" w:hAnsi="Arial Narrow" w:cstheme="minorBidi" w:hint="eastAsia"/>
                <w:color w:val="000000"/>
                <w:spacing w:val="-5"/>
                <w:w w:val="15"/>
                <w:sz w:val="20"/>
                <w:szCs w:val="20"/>
                <w:shd w:val="solid" w:color="000000" w:fill="000000"/>
                <w:fitText w:val="60" w:id="-694973424"/>
                <w14:textFill>
                  <w14:solidFill>
                    <w14:srgbClr w14:val="000000">
                      <w14:alpha w14:val="100000"/>
                    </w14:srgbClr>
                  </w14:solidFill>
                </w14:textFill>
              </w:rPr>
              <w:t xml:space="preserve">　</w:t>
            </w:r>
            <w:r w:rsidR="00936783" w:rsidRPr="00936783">
              <w:rPr>
                <w:rFonts w:ascii="Arial Narrow" w:eastAsiaTheme="majorEastAsia" w:hAnsi="Arial Narrow" w:cstheme="majorBidi"/>
                <w:bCs/>
                <w:sz w:val="20"/>
                <w:vertAlign w:val="superscript"/>
              </w:rPr>
              <w:t>4</w:t>
            </w:r>
          </w:p>
        </w:tc>
        <w:tc>
          <w:tcPr>
            <w:tcW w:w="611" w:type="pct"/>
            <w:shd w:val="clear" w:color="auto" w:fill="B8CCE4" w:themeFill="accent1" w:themeFillTint="66"/>
            <w:vAlign w:val="center"/>
          </w:tcPr>
          <w:p w14:paraId="609C4CA6" w14:textId="775EF67F" w:rsidR="008975CB" w:rsidRPr="00C2249C" w:rsidRDefault="00A268DC" w:rsidP="008975CB">
            <w:pPr>
              <w:keepNext/>
              <w:keepLines/>
              <w:jc w:val="center"/>
              <w:rPr>
                <w:rFonts w:ascii="Arial Narrow" w:eastAsiaTheme="majorEastAsia" w:hAnsi="Arial Narrow" w:cstheme="minorBidi"/>
                <w:sz w:val="20"/>
                <w:szCs w:val="20"/>
                <w:highlight w:val="darkGray"/>
              </w:rPr>
            </w:pPr>
            <w:r w:rsidRPr="00A268DC">
              <w:rPr>
                <w:rFonts w:ascii="Arial Narrow" w:eastAsiaTheme="majorEastAsia" w:hAnsi="Arial Narrow" w:cstheme="minorBidi" w:hint="eastAsia"/>
                <w:color w:val="000000"/>
                <w:w w:val="15"/>
                <w:sz w:val="20"/>
                <w:szCs w:val="20"/>
                <w:shd w:val="solid" w:color="000000" w:fill="000000"/>
                <w:fitText w:val="60" w:id="-694973440"/>
                <w14:textFill>
                  <w14:solidFill>
                    <w14:srgbClr w14:val="000000">
                      <w14:alpha w14:val="100000"/>
                    </w14:srgbClr>
                  </w14:solidFill>
                </w14:textFill>
              </w:rPr>
              <w:t xml:space="preserve">　</w:t>
            </w:r>
            <w:r w:rsidRPr="00A268DC">
              <w:rPr>
                <w:rFonts w:ascii="Arial Narrow" w:eastAsiaTheme="majorEastAsia" w:hAnsi="Arial Narrow" w:cstheme="minorBidi"/>
                <w:color w:val="000000"/>
                <w:w w:val="15"/>
                <w:sz w:val="20"/>
                <w:szCs w:val="20"/>
                <w:shd w:val="solid" w:color="000000" w:fill="000000"/>
                <w:fitText w:val="60" w:id="-694973440"/>
                <w14:textFill>
                  <w14:solidFill>
                    <w14:srgbClr w14:val="000000">
                      <w14:alpha w14:val="100000"/>
                    </w14:srgbClr>
                  </w14:solidFill>
                </w14:textFill>
              </w:rPr>
              <w:t>|</w:t>
            </w:r>
            <w:r w:rsidRPr="00A268DC">
              <w:rPr>
                <w:rFonts w:ascii="Arial Narrow" w:eastAsiaTheme="majorEastAsia" w:hAnsi="Arial Narrow" w:cstheme="minorBidi" w:hint="eastAsia"/>
                <w:color w:val="000000"/>
                <w:spacing w:val="-5"/>
                <w:w w:val="15"/>
                <w:sz w:val="20"/>
                <w:szCs w:val="20"/>
                <w:shd w:val="solid" w:color="000000" w:fill="000000"/>
                <w:fitText w:val="60" w:id="-694973440"/>
                <w14:textFill>
                  <w14:solidFill>
                    <w14:srgbClr w14:val="000000">
                      <w14:alpha w14:val="100000"/>
                    </w14:srgbClr>
                  </w14:solidFill>
                </w14:textFill>
              </w:rPr>
              <w:t xml:space="preserve">　</w:t>
            </w:r>
            <w:r w:rsidR="00936783" w:rsidRPr="00936783">
              <w:rPr>
                <w:rFonts w:ascii="Arial Narrow" w:eastAsiaTheme="majorEastAsia" w:hAnsi="Arial Narrow" w:cstheme="majorBidi"/>
                <w:bCs/>
                <w:sz w:val="20"/>
                <w:vertAlign w:val="superscript"/>
              </w:rPr>
              <w:t>4</w:t>
            </w:r>
          </w:p>
        </w:tc>
        <w:tc>
          <w:tcPr>
            <w:tcW w:w="611" w:type="pct"/>
            <w:shd w:val="clear" w:color="auto" w:fill="B8CCE4" w:themeFill="accent1" w:themeFillTint="66"/>
            <w:vAlign w:val="center"/>
          </w:tcPr>
          <w:p w14:paraId="6735534B" w14:textId="41C4CA33" w:rsidR="008975CB" w:rsidRPr="00C2249C" w:rsidRDefault="00A268DC" w:rsidP="008975CB">
            <w:pPr>
              <w:keepNext/>
              <w:keepLines/>
              <w:jc w:val="center"/>
              <w:rPr>
                <w:rFonts w:ascii="Arial Narrow" w:eastAsiaTheme="majorEastAsia" w:hAnsi="Arial Narrow" w:cstheme="minorBidi"/>
                <w:sz w:val="20"/>
                <w:szCs w:val="20"/>
                <w:highlight w:val="darkGray"/>
              </w:rPr>
            </w:pPr>
            <w:r w:rsidRPr="00A268DC">
              <w:rPr>
                <w:rFonts w:ascii="Arial Narrow" w:eastAsiaTheme="majorEastAsia" w:hAnsi="Arial Narrow" w:cstheme="minorBidi" w:hint="eastAsia"/>
                <w:color w:val="000000"/>
                <w:w w:val="15"/>
                <w:sz w:val="20"/>
                <w:szCs w:val="20"/>
                <w:shd w:val="solid" w:color="000000" w:fill="000000"/>
                <w:fitText w:val="60" w:id="-694973439"/>
                <w14:textFill>
                  <w14:solidFill>
                    <w14:srgbClr w14:val="000000">
                      <w14:alpha w14:val="100000"/>
                    </w14:srgbClr>
                  </w14:solidFill>
                </w14:textFill>
              </w:rPr>
              <w:t xml:space="preserve">　</w:t>
            </w:r>
            <w:r w:rsidRPr="00A268DC">
              <w:rPr>
                <w:rFonts w:ascii="Arial Narrow" w:eastAsiaTheme="majorEastAsia" w:hAnsi="Arial Narrow" w:cstheme="minorBidi"/>
                <w:color w:val="000000"/>
                <w:w w:val="15"/>
                <w:sz w:val="20"/>
                <w:szCs w:val="20"/>
                <w:shd w:val="solid" w:color="000000" w:fill="000000"/>
                <w:fitText w:val="60" w:id="-694973439"/>
                <w14:textFill>
                  <w14:solidFill>
                    <w14:srgbClr w14:val="000000">
                      <w14:alpha w14:val="100000"/>
                    </w14:srgbClr>
                  </w14:solidFill>
                </w14:textFill>
              </w:rPr>
              <w:t>|</w:t>
            </w:r>
            <w:r w:rsidRPr="00A268DC">
              <w:rPr>
                <w:rFonts w:ascii="Arial Narrow" w:eastAsiaTheme="majorEastAsia" w:hAnsi="Arial Narrow" w:cstheme="minorBidi" w:hint="eastAsia"/>
                <w:color w:val="000000"/>
                <w:spacing w:val="-5"/>
                <w:w w:val="15"/>
                <w:sz w:val="20"/>
                <w:szCs w:val="20"/>
                <w:shd w:val="solid" w:color="000000" w:fill="000000"/>
                <w:fitText w:val="60" w:id="-694973439"/>
                <w14:textFill>
                  <w14:solidFill>
                    <w14:srgbClr w14:val="000000">
                      <w14:alpha w14:val="100000"/>
                    </w14:srgbClr>
                  </w14:solidFill>
                </w14:textFill>
              </w:rPr>
              <w:t xml:space="preserve">　</w:t>
            </w:r>
            <w:r w:rsidR="00936783" w:rsidRPr="00936783">
              <w:rPr>
                <w:rFonts w:ascii="Arial Narrow" w:eastAsiaTheme="majorEastAsia" w:hAnsi="Arial Narrow" w:cstheme="majorBidi"/>
                <w:bCs/>
                <w:sz w:val="20"/>
                <w:vertAlign w:val="superscript"/>
              </w:rPr>
              <w:t>4</w:t>
            </w:r>
          </w:p>
        </w:tc>
        <w:tc>
          <w:tcPr>
            <w:tcW w:w="611" w:type="pct"/>
            <w:shd w:val="clear" w:color="auto" w:fill="B8CCE4" w:themeFill="accent1" w:themeFillTint="66"/>
            <w:vAlign w:val="center"/>
          </w:tcPr>
          <w:p w14:paraId="03C96008" w14:textId="1604B5F6" w:rsidR="008975CB" w:rsidRPr="00C2249C" w:rsidRDefault="00A268DC" w:rsidP="008975CB">
            <w:pPr>
              <w:keepNext/>
              <w:keepLines/>
              <w:jc w:val="center"/>
              <w:rPr>
                <w:rFonts w:ascii="Arial Narrow" w:eastAsiaTheme="majorEastAsia" w:hAnsi="Arial Narrow" w:cstheme="minorBidi"/>
                <w:sz w:val="20"/>
                <w:szCs w:val="20"/>
                <w:highlight w:val="darkGray"/>
              </w:rPr>
            </w:pPr>
            <w:r w:rsidRPr="00A268DC">
              <w:rPr>
                <w:rFonts w:ascii="Arial Narrow" w:eastAsiaTheme="majorEastAsia" w:hAnsi="Arial Narrow" w:cstheme="minorBidi" w:hint="eastAsia"/>
                <w:color w:val="000000"/>
                <w:w w:val="15"/>
                <w:sz w:val="20"/>
                <w:szCs w:val="20"/>
                <w:shd w:val="solid" w:color="000000" w:fill="000000"/>
                <w:fitText w:val="60" w:id="-694973438"/>
                <w14:textFill>
                  <w14:solidFill>
                    <w14:srgbClr w14:val="000000">
                      <w14:alpha w14:val="100000"/>
                    </w14:srgbClr>
                  </w14:solidFill>
                </w14:textFill>
              </w:rPr>
              <w:t xml:space="preserve">　</w:t>
            </w:r>
            <w:r w:rsidRPr="00A268DC">
              <w:rPr>
                <w:rFonts w:ascii="Arial Narrow" w:eastAsiaTheme="majorEastAsia" w:hAnsi="Arial Narrow" w:cstheme="minorBidi"/>
                <w:color w:val="000000"/>
                <w:w w:val="15"/>
                <w:sz w:val="20"/>
                <w:szCs w:val="20"/>
                <w:shd w:val="solid" w:color="000000" w:fill="000000"/>
                <w:fitText w:val="60" w:id="-694973438"/>
                <w14:textFill>
                  <w14:solidFill>
                    <w14:srgbClr w14:val="000000">
                      <w14:alpha w14:val="100000"/>
                    </w14:srgbClr>
                  </w14:solidFill>
                </w14:textFill>
              </w:rPr>
              <w:t>|</w:t>
            </w:r>
            <w:r w:rsidRPr="00A268DC">
              <w:rPr>
                <w:rFonts w:ascii="Arial Narrow" w:eastAsiaTheme="majorEastAsia" w:hAnsi="Arial Narrow" w:cstheme="minorBidi" w:hint="eastAsia"/>
                <w:color w:val="000000"/>
                <w:spacing w:val="-5"/>
                <w:w w:val="15"/>
                <w:sz w:val="20"/>
                <w:szCs w:val="20"/>
                <w:shd w:val="solid" w:color="000000" w:fill="000000"/>
                <w:fitText w:val="60" w:id="-694973438"/>
                <w14:textFill>
                  <w14:solidFill>
                    <w14:srgbClr w14:val="000000">
                      <w14:alpha w14:val="100000"/>
                    </w14:srgbClr>
                  </w14:solidFill>
                </w14:textFill>
              </w:rPr>
              <w:t xml:space="preserve">　</w:t>
            </w:r>
            <w:r w:rsidR="00936783" w:rsidRPr="00936783">
              <w:rPr>
                <w:rFonts w:ascii="Arial Narrow" w:eastAsiaTheme="majorEastAsia" w:hAnsi="Arial Narrow" w:cstheme="majorBidi"/>
                <w:bCs/>
                <w:sz w:val="20"/>
                <w:vertAlign w:val="superscript"/>
              </w:rPr>
              <w:t>4</w:t>
            </w:r>
          </w:p>
        </w:tc>
        <w:tc>
          <w:tcPr>
            <w:tcW w:w="611" w:type="pct"/>
            <w:shd w:val="clear" w:color="auto" w:fill="B8CCE4" w:themeFill="accent1" w:themeFillTint="66"/>
            <w:vAlign w:val="center"/>
          </w:tcPr>
          <w:p w14:paraId="5F75C914" w14:textId="25BE20A5" w:rsidR="008975CB" w:rsidRPr="00C2249C" w:rsidRDefault="00A268DC" w:rsidP="008975CB">
            <w:pPr>
              <w:keepNext/>
              <w:keepLines/>
              <w:jc w:val="center"/>
              <w:rPr>
                <w:rFonts w:ascii="Arial Narrow" w:eastAsiaTheme="majorEastAsia" w:hAnsi="Arial Narrow" w:cstheme="majorBidi"/>
                <w:sz w:val="20"/>
                <w:szCs w:val="20"/>
                <w:highlight w:val="darkGray"/>
              </w:rPr>
            </w:pPr>
            <w:r w:rsidRPr="006F1436">
              <w:rPr>
                <w:rFonts w:ascii="Arial Narrow" w:eastAsiaTheme="majorEastAsia" w:hAnsi="Arial Narrow" w:cstheme="majorBidi" w:hint="eastAsia"/>
                <w:color w:val="000000"/>
                <w:w w:val="15"/>
                <w:sz w:val="20"/>
                <w:szCs w:val="20"/>
                <w:shd w:val="solid" w:color="000000" w:fill="000000"/>
                <w:fitText w:val="60" w:id="-694973437"/>
                <w14:textFill>
                  <w14:solidFill>
                    <w14:srgbClr w14:val="000000">
                      <w14:alpha w14:val="100000"/>
                    </w14:srgbClr>
                  </w14:solidFill>
                </w14:textFill>
              </w:rPr>
              <w:t xml:space="preserve">　</w:t>
            </w:r>
            <w:r w:rsidRPr="006F1436">
              <w:rPr>
                <w:rFonts w:ascii="Arial Narrow" w:eastAsiaTheme="majorEastAsia" w:hAnsi="Arial Narrow" w:cstheme="majorBidi"/>
                <w:color w:val="000000"/>
                <w:w w:val="15"/>
                <w:sz w:val="20"/>
                <w:szCs w:val="20"/>
                <w:shd w:val="solid" w:color="000000" w:fill="000000"/>
                <w:fitText w:val="60" w:id="-694973437"/>
                <w14:textFill>
                  <w14:solidFill>
                    <w14:srgbClr w14:val="000000">
                      <w14:alpha w14:val="100000"/>
                    </w14:srgbClr>
                  </w14:solidFill>
                </w14:textFill>
              </w:rPr>
              <w:t>|</w:t>
            </w:r>
            <w:r w:rsidRPr="006F1436">
              <w:rPr>
                <w:rFonts w:ascii="Arial Narrow" w:eastAsiaTheme="majorEastAsia" w:hAnsi="Arial Narrow" w:cstheme="majorBidi" w:hint="eastAsia"/>
                <w:color w:val="000000"/>
                <w:spacing w:val="-5"/>
                <w:w w:val="15"/>
                <w:sz w:val="20"/>
                <w:szCs w:val="20"/>
                <w:shd w:val="solid" w:color="000000" w:fill="000000"/>
                <w:fitText w:val="60" w:id="-694973437"/>
                <w14:textFill>
                  <w14:solidFill>
                    <w14:srgbClr w14:val="000000">
                      <w14:alpha w14:val="100000"/>
                    </w14:srgbClr>
                  </w14:solidFill>
                </w14:textFill>
              </w:rPr>
              <w:t xml:space="preserve">　</w:t>
            </w:r>
            <w:r w:rsidR="00936783" w:rsidRPr="00936783">
              <w:rPr>
                <w:rFonts w:ascii="Arial Narrow" w:eastAsiaTheme="majorEastAsia" w:hAnsi="Arial Narrow" w:cstheme="majorBidi"/>
                <w:bCs/>
                <w:sz w:val="20"/>
                <w:vertAlign w:val="superscript"/>
              </w:rPr>
              <w:t>4</w:t>
            </w:r>
          </w:p>
        </w:tc>
      </w:tr>
    </w:tbl>
    <w:p w14:paraId="2BC88DE2" w14:textId="26A73C8C" w:rsidR="008975CB" w:rsidRPr="00567618" w:rsidRDefault="008975CB" w:rsidP="0F1D33A4">
      <w:pPr>
        <w:spacing w:after="120"/>
        <w:contextualSpacing/>
        <w:rPr>
          <w:rFonts w:ascii="Arial Narrow" w:hAnsi="Arial Narrow"/>
          <w:snapToGrid w:val="0"/>
          <w:sz w:val="18"/>
          <w:szCs w:val="18"/>
        </w:rPr>
      </w:pPr>
      <w:r w:rsidRPr="0F1D33A4">
        <w:rPr>
          <w:rFonts w:ascii="Arial Narrow" w:hAnsi="Arial Narrow"/>
          <w:snapToGrid w:val="0"/>
          <w:sz w:val="18"/>
          <w:szCs w:val="18"/>
        </w:rPr>
        <w:t>Source: Table 4.2 and 4.7, pp196 and 199 of the submission</w:t>
      </w:r>
      <w:r w:rsidR="00B442F1" w:rsidRPr="0F1D33A4">
        <w:rPr>
          <w:rFonts w:ascii="Arial Narrow" w:hAnsi="Arial Narrow"/>
          <w:snapToGrid w:val="0"/>
          <w:sz w:val="18"/>
          <w:szCs w:val="18"/>
        </w:rPr>
        <w:t xml:space="preserve">, March 2025 Section 4 </w:t>
      </w:r>
      <w:r w:rsidR="006E5D6C" w:rsidRPr="0F1D33A4">
        <w:rPr>
          <w:rFonts w:ascii="Arial Narrow" w:hAnsi="Arial Narrow"/>
          <w:snapToGrid w:val="0"/>
          <w:sz w:val="18"/>
          <w:szCs w:val="18"/>
        </w:rPr>
        <w:t>workbook</w:t>
      </w:r>
      <w:r w:rsidRPr="0F1D33A4">
        <w:rPr>
          <w:rFonts w:ascii="Arial Narrow" w:hAnsi="Arial Narrow"/>
          <w:snapToGrid w:val="0"/>
          <w:sz w:val="18"/>
          <w:szCs w:val="18"/>
        </w:rPr>
        <w:t xml:space="preserve"> and Table 4.2.of the </w:t>
      </w:r>
      <w:r w:rsidR="008C3010" w:rsidRPr="0F1D33A4">
        <w:rPr>
          <w:rFonts w:ascii="Arial Narrow" w:hAnsi="Arial Narrow"/>
          <w:snapToGrid w:val="0"/>
          <w:sz w:val="18"/>
          <w:szCs w:val="18"/>
        </w:rPr>
        <w:t xml:space="preserve">November 2019 </w:t>
      </w:r>
      <w:r w:rsidR="004327F5" w:rsidRPr="0F1D33A4">
        <w:rPr>
          <w:rFonts w:ascii="Arial Narrow" w:hAnsi="Arial Narrow"/>
          <w:snapToGrid w:val="0"/>
          <w:sz w:val="18"/>
          <w:szCs w:val="18"/>
        </w:rPr>
        <w:t>evaluation</w:t>
      </w:r>
    </w:p>
    <w:p w14:paraId="47F7F2D0" w14:textId="77777777" w:rsidR="008975CB" w:rsidRPr="00567618" w:rsidRDefault="008975CB" w:rsidP="008975CB">
      <w:pPr>
        <w:spacing w:after="120"/>
        <w:contextualSpacing/>
        <w:rPr>
          <w:rFonts w:ascii="Arial Narrow" w:hAnsi="Arial Narrow"/>
          <w:b/>
          <w:snapToGrid w:val="0"/>
          <w:sz w:val="20"/>
          <w:szCs w:val="16"/>
        </w:rPr>
      </w:pPr>
      <w:r w:rsidRPr="00567618">
        <w:rPr>
          <w:rFonts w:ascii="Arial Narrow" w:hAnsi="Arial Narrow"/>
          <w:snapToGrid w:val="0"/>
          <w:sz w:val="18"/>
          <w:szCs w:val="22"/>
        </w:rPr>
        <w:t>Abbreviations: MBS, Medicare Benefits Schedule; PBS, Pharmaceutical benefits Scheme; RPBS, Repatriation Pharmaceutical Benefits Scheme.</w:t>
      </w:r>
    </w:p>
    <w:p w14:paraId="08FFF749" w14:textId="77B7D986" w:rsidR="00894DA8" w:rsidRDefault="008975CB" w:rsidP="00894DA8">
      <w:pPr>
        <w:spacing w:after="120"/>
        <w:contextualSpacing/>
        <w:rPr>
          <w:rFonts w:ascii="Arial Narrow" w:hAnsi="Arial Narrow"/>
          <w:snapToGrid w:val="0"/>
          <w:sz w:val="18"/>
          <w:szCs w:val="18"/>
        </w:rPr>
      </w:pPr>
      <w:r w:rsidRPr="0F1D33A4">
        <w:rPr>
          <w:rFonts w:ascii="Arial Narrow" w:hAnsi="Arial Narrow"/>
          <w:snapToGrid w:val="0"/>
          <w:sz w:val="18"/>
          <w:szCs w:val="18"/>
          <w:vertAlign w:val="superscript"/>
        </w:rPr>
        <w:t>a</w:t>
      </w:r>
      <w:r w:rsidRPr="0F1D33A4">
        <w:rPr>
          <w:rFonts w:ascii="Arial Narrow" w:hAnsi="Arial Narrow"/>
          <w:snapToGrid w:val="0"/>
          <w:sz w:val="18"/>
          <w:szCs w:val="18"/>
        </w:rPr>
        <w:t xml:space="preserve"> The script numbers presented in Table 4.14, p204 of the submission do not align with the script numbers calculated in the Section 4 of the workbook. For example, </w:t>
      </w:r>
      <w:r w:rsidR="00A57EE6">
        <w:rPr>
          <w:rFonts w:ascii="Arial Narrow" w:hAnsi="Arial Narrow"/>
          <w:snapToGrid w:val="0"/>
          <w:sz w:val="18"/>
          <w:szCs w:val="18"/>
        </w:rPr>
        <w:t>&lt;500</w:t>
      </w:r>
      <w:r w:rsidR="00A57EE6" w:rsidRPr="0F1D33A4">
        <w:rPr>
          <w:rFonts w:ascii="Arial Narrow" w:hAnsi="Arial Narrow"/>
          <w:snapToGrid w:val="0"/>
          <w:sz w:val="18"/>
          <w:szCs w:val="18"/>
        </w:rPr>
        <w:t xml:space="preserve"> </w:t>
      </w:r>
      <w:r w:rsidRPr="0F1D33A4">
        <w:rPr>
          <w:rFonts w:ascii="Arial Narrow" w:hAnsi="Arial Narrow"/>
          <w:snapToGrid w:val="0"/>
          <w:sz w:val="18"/>
          <w:szCs w:val="18"/>
        </w:rPr>
        <w:t xml:space="preserve">scripts were estimated in Year 1 for 5mg (initiating) in the resubmission; however, according to the workbook, </w:t>
      </w:r>
      <w:r w:rsidR="00A57EE6">
        <w:rPr>
          <w:rFonts w:ascii="Arial Narrow" w:hAnsi="Arial Narrow"/>
          <w:snapToGrid w:val="0"/>
          <w:sz w:val="18"/>
          <w:szCs w:val="18"/>
        </w:rPr>
        <w:t>&lt;500</w:t>
      </w:r>
      <w:r w:rsidR="00A57EE6" w:rsidRPr="0F1D33A4">
        <w:rPr>
          <w:rFonts w:ascii="Arial Narrow" w:hAnsi="Arial Narrow"/>
          <w:snapToGrid w:val="0"/>
          <w:sz w:val="18"/>
          <w:szCs w:val="18"/>
        </w:rPr>
        <w:t xml:space="preserve"> </w:t>
      </w:r>
      <w:r w:rsidRPr="0F1D33A4">
        <w:rPr>
          <w:rFonts w:ascii="Arial Narrow" w:hAnsi="Arial Narrow"/>
          <w:snapToGrid w:val="0"/>
          <w:sz w:val="18"/>
          <w:szCs w:val="18"/>
        </w:rPr>
        <w:t>scripts were estimated.</w:t>
      </w:r>
      <w:r w:rsidR="00F165C6" w:rsidRPr="0F1D33A4">
        <w:rPr>
          <w:rFonts w:ascii="Arial Narrow" w:hAnsi="Arial Narrow"/>
          <w:snapToGrid w:val="0"/>
          <w:sz w:val="18"/>
          <w:szCs w:val="18"/>
        </w:rPr>
        <w:t xml:space="preserve"> The </w:t>
      </w:r>
      <w:r w:rsidR="004D0815" w:rsidRPr="0F1D33A4">
        <w:rPr>
          <w:rFonts w:ascii="Arial Narrow" w:hAnsi="Arial Narrow"/>
          <w:snapToGrid w:val="0"/>
          <w:sz w:val="18"/>
          <w:szCs w:val="18"/>
        </w:rPr>
        <w:t xml:space="preserve">figures presented in </w:t>
      </w:r>
      <w:r w:rsidR="004D0815">
        <w:rPr>
          <w:rFonts w:ascii="Arial Narrow" w:hAnsi="Arial Narrow"/>
          <w:snapToGrid w:val="0"/>
          <w:sz w:val="18"/>
          <w:szCs w:val="18"/>
        </w:rPr>
        <w:fldChar w:fldCharType="begin" w:fldLock="1"/>
      </w:r>
      <w:r w:rsidR="004D0815">
        <w:rPr>
          <w:rFonts w:ascii="Arial Narrow" w:hAnsi="Arial Narrow"/>
          <w:snapToGrid w:val="0"/>
          <w:sz w:val="18"/>
          <w:szCs w:val="18"/>
        </w:rPr>
        <w:instrText xml:space="preserve"> REF _Ref104805295 \h  \* MERGEFORMAT </w:instrText>
      </w:r>
      <w:r w:rsidR="004D0815">
        <w:rPr>
          <w:rFonts w:ascii="Arial Narrow" w:hAnsi="Arial Narrow"/>
          <w:snapToGrid w:val="0"/>
          <w:sz w:val="18"/>
          <w:szCs w:val="18"/>
        </w:rPr>
      </w:r>
      <w:r w:rsidR="004D0815">
        <w:rPr>
          <w:rFonts w:ascii="Arial Narrow" w:hAnsi="Arial Narrow"/>
          <w:snapToGrid w:val="0"/>
          <w:sz w:val="18"/>
          <w:szCs w:val="18"/>
        </w:rPr>
        <w:fldChar w:fldCharType="separate"/>
      </w:r>
      <w:r w:rsidR="004D0815" w:rsidRPr="0F1D33A4">
        <w:rPr>
          <w:rFonts w:ascii="Arial Narrow" w:hAnsi="Arial Narrow"/>
          <w:snapToGrid w:val="0"/>
          <w:sz w:val="18"/>
          <w:szCs w:val="18"/>
        </w:rPr>
        <w:t>Table 19</w:t>
      </w:r>
      <w:r w:rsidR="004D0815">
        <w:rPr>
          <w:rFonts w:ascii="Arial Narrow" w:hAnsi="Arial Narrow"/>
          <w:snapToGrid w:val="0"/>
          <w:sz w:val="18"/>
          <w:szCs w:val="18"/>
        </w:rPr>
        <w:fldChar w:fldCharType="end"/>
      </w:r>
      <w:r w:rsidR="004D0815" w:rsidRPr="0F1D33A4">
        <w:rPr>
          <w:rFonts w:ascii="Arial Narrow" w:hAnsi="Arial Narrow"/>
          <w:snapToGrid w:val="0"/>
          <w:sz w:val="18"/>
          <w:szCs w:val="18"/>
        </w:rPr>
        <w:t xml:space="preserve"> are based on the Section 4 workbook. </w:t>
      </w:r>
    </w:p>
    <w:p w14:paraId="0D658308" w14:textId="6320F305" w:rsidR="00B44D0F" w:rsidRPr="00917993" w:rsidRDefault="00894DA8" w:rsidP="00B44D0F">
      <w:pPr>
        <w:spacing w:after="120"/>
        <w:contextualSpacing/>
        <w:rPr>
          <w:rFonts w:ascii="Arial Narrow" w:hAnsi="Arial Narrow"/>
          <w:i/>
          <w:iCs/>
          <w:snapToGrid w:val="0"/>
          <w:sz w:val="18"/>
          <w:szCs w:val="18"/>
        </w:rPr>
      </w:pPr>
      <w:r w:rsidRPr="00917993">
        <w:rPr>
          <w:rFonts w:ascii="Arial Narrow" w:hAnsi="Arial Narrow"/>
          <w:i/>
          <w:iCs/>
          <w:snapToGrid w:val="0"/>
          <w:sz w:val="18"/>
          <w:szCs w:val="18"/>
        </w:rPr>
        <w:t>The redacted values correspond to the following ranges</w:t>
      </w:r>
      <w:r w:rsidR="00917993" w:rsidRPr="00917993">
        <w:rPr>
          <w:rFonts w:ascii="Arial Narrow" w:hAnsi="Arial Narrow"/>
          <w:i/>
          <w:iCs/>
          <w:snapToGrid w:val="0"/>
          <w:sz w:val="18"/>
          <w:szCs w:val="18"/>
        </w:rPr>
        <w:t>:</w:t>
      </w:r>
    </w:p>
    <w:p w14:paraId="53C60086" w14:textId="6C50EF87" w:rsidR="00B44D0F" w:rsidRPr="00917993" w:rsidRDefault="00B44D0F" w:rsidP="00B44D0F">
      <w:pPr>
        <w:spacing w:after="120"/>
        <w:contextualSpacing/>
        <w:rPr>
          <w:rFonts w:ascii="Arial Narrow" w:hAnsi="Arial Narrow"/>
          <w:i/>
          <w:iCs/>
          <w:snapToGrid w:val="0"/>
          <w:sz w:val="18"/>
          <w:szCs w:val="18"/>
        </w:rPr>
      </w:pPr>
      <w:r w:rsidRPr="00917993">
        <w:rPr>
          <w:rFonts w:ascii="Arial Narrow" w:hAnsi="Arial Narrow"/>
          <w:i/>
          <w:iCs/>
          <w:snapToGrid w:val="0"/>
          <w:sz w:val="18"/>
          <w:szCs w:val="18"/>
          <w:vertAlign w:val="superscript"/>
        </w:rPr>
        <w:t>1</w:t>
      </w:r>
      <w:r w:rsidRPr="00917993">
        <w:rPr>
          <w:rFonts w:ascii="Arial Narrow" w:hAnsi="Arial Narrow"/>
          <w:i/>
          <w:iCs/>
          <w:snapToGrid w:val="0"/>
          <w:sz w:val="18"/>
          <w:szCs w:val="18"/>
        </w:rPr>
        <w:t xml:space="preserve"> &lt; 500</w:t>
      </w:r>
    </w:p>
    <w:p w14:paraId="6E0EE932" w14:textId="090C9BBA" w:rsidR="00B44D0F" w:rsidRPr="00917993" w:rsidRDefault="00B44D0F" w:rsidP="00B44D0F">
      <w:pPr>
        <w:spacing w:after="120"/>
        <w:contextualSpacing/>
        <w:rPr>
          <w:rFonts w:ascii="Arial Narrow" w:hAnsi="Arial Narrow"/>
          <w:i/>
          <w:iCs/>
          <w:snapToGrid w:val="0"/>
          <w:sz w:val="18"/>
          <w:szCs w:val="18"/>
        </w:rPr>
      </w:pPr>
      <w:r w:rsidRPr="00917993">
        <w:rPr>
          <w:rFonts w:ascii="Arial Narrow" w:hAnsi="Arial Narrow"/>
          <w:i/>
          <w:iCs/>
          <w:snapToGrid w:val="0"/>
          <w:sz w:val="18"/>
          <w:szCs w:val="18"/>
          <w:vertAlign w:val="superscript"/>
        </w:rPr>
        <w:t>2</w:t>
      </w:r>
      <w:r w:rsidRPr="00917993">
        <w:rPr>
          <w:rFonts w:ascii="Arial Narrow" w:hAnsi="Arial Narrow"/>
          <w:i/>
          <w:iCs/>
          <w:snapToGrid w:val="0"/>
          <w:sz w:val="18"/>
          <w:szCs w:val="18"/>
        </w:rPr>
        <w:t xml:space="preserve"> 500 to &lt; 5,000</w:t>
      </w:r>
    </w:p>
    <w:p w14:paraId="36D61397" w14:textId="77777777" w:rsidR="00DF605B" w:rsidRPr="00917993" w:rsidRDefault="00B44D0F" w:rsidP="00B44D0F">
      <w:pPr>
        <w:spacing w:after="120"/>
        <w:contextualSpacing/>
        <w:rPr>
          <w:rFonts w:ascii="Arial Narrow" w:hAnsi="Arial Narrow"/>
          <w:i/>
          <w:iCs/>
          <w:snapToGrid w:val="0"/>
          <w:sz w:val="18"/>
          <w:szCs w:val="18"/>
        </w:rPr>
      </w:pPr>
      <w:r w:rsidRPr="00917993">
        <w:rPr>
          <w:rFonts w:ascii="Arial Narrow" w:hAnsi="Arial Narrow"/>
          <w:i/>
          <w:iCs/>
          <w:snapToGrid w:val="0"/>
          <w:sz w:val="18"/>
          <w:szCs w:val="18"/>
          <w:vertAlign w:val="superscript"/>
        </w:rPr>
        <w:t>3</w:t>
      </w:r>
      <w:r w:rsidRPr="00917993">
        <w:rPr>
          <w:rFonts w:ascii="Arial Narrow" w:hAnsi="Arial Narrow"/>
          <w:i/>
          <w:iCs/>
          <w:snapToGrid w:val="0"/>
          <w:sz w:val="18"/>
          <w:szCs w:val="18"/>
        </w:rPr>
        <w:t xml:space="preserve"> 5,000 to &lt; 10,000</w:t>
      </w:r>
      <w:r w:rsidR="00DF605B" w:rsidRPr="00917993">
        <w:rPr>
          <w:rFonts w:ascii="Arial Narrow" w:hAnsi="Arial Narrow"/>
          <w:i/>
          <w:iCs/>
          <w:snapToGrid w:val="0"/>
          <w:sz w:val="18"/>
          <w:szCs w:val="18"/>
        </w:rPr>
        <w:t xml:space="preserve"> </w:t>
      </w:r>
    </w:p>
    <w:p w14:paraId="3098C444" w14:textId="77777777" w:rsidR="00F64580" w:rsidRPr="00917993" w:rsidRDefault="00DF605B" w:rsidP="00B44D0F">
      <w:pPr>
        <w:spacing w:after="120"/>
        <w:contextualSpacing/>
        <w:rPr>
          <w:rFonts w:ascii="Arial Narrow" w:hAnsi="Arial Narrow"/>
          <w:i/>
          <w:iCs/>
          <w:snapToGrid w:val="0"/>
          <w:sz w:val="18"/>
          <w:szCs w:val="18"/>
        </w:rPr>
      </w:pPr>
      <w:r w:rsidRPr="00917993">
        <w:rPr>
          <w:rFonts w:ascii="Arial Narrow" w:hAnsi="Arial Narrow"/>
          <w:i/>
          <w:iCs/>
          <w:snapToGrid w:val="0"/>
          <w:sz w:val="18"/>
          <w:szCs w:val="18"/>
          <w:vertAlign w:val="superscript"/>
        </w:rPr>
        <w:t>4</w:t>
      </w:r>
      <w:r w:rsidRPr="00917993">
        <w:rPr>
          <w:rFonts w:ascii="Arial Narrow" w:hAnsi="Arial Narrow"/>
          <w:i/>
          <w:iCs/>
          <w:snapToGrid w:val="0"/>
          <w:sz w:val="18"/>
          <w:szCs w:val="18"/>
        </w:rPr>
        <w:t xml:space="preserve"> $0 to &lt; $10 million</w:t>
      </w:r>
      <w:r w:rsidR="00F64580" w:rsidRPr="00917993">
        <w:rPr>
          <w:rFonts w:ascii="Arial Narrow" w:hAnsi="Arial Narrow"/>
          <w:i/>
          <w:iCs/>
          <w:snapToGrid w:val="0"/>
          <w:sz w:val="18"/>
          <w:szCs w:val="18"/>
        </w:rPr>
        <w:t xml:space="preserve"> </w:t>
      </w:r>
    </w:p>
    <w:p w14:paraId="0A687BC7" w14:textId="77777777" w:rsidR="00BE229C" w:rsidRPr="00917993" w:rsidRDefault="00F64580" w:rsidP="00B44D0F">
      <w:pPr>
        <w:spacing w:after="120"/>
        <w:contextualSpacing/>
        <w:rPr>
          <w:rFonts w:ascii="Arial Narrow" w:hAnsi="Arial Narrow"/>
          <w:i/>
          <w:iCs/>
          <w:snapToGrid w:val="0"/>
          <w:sz w:val="18"/>
          <w:szCs w:val="18"/>
        </w:rPr>
      </w:pPr>
      <w:r w:rsidRPr="00917993">
        <w:rPr>
          <w:rFonts w:ascii="Arial Narrow" w:hAnsi="Arial Narrow"/>
          <w:i/>
          <w:iCs/>
          <w:snapToGrid w:val="0"/>
          <w:sz w:val="18"/>
          <w:szCs w:val="18"/>
          <w:vertAlign w:val="superscript"/>
        </w:rPr>
        <w:t>5</w:t>
      </w:r>
      <w:r w:rsidRPr="00917993">
        <w:rPr>
          <w:rFonts w:ascii="Arial Narrow" w:hAnsi="Arial Narrow"/>
          <w:i/>
          <w:iCs/>
          <w:snapToGrid w:val="0"/>
          <w:sz w:val="18"/>
          <w:szCs w:val="18"/>
        </w:rPr>
        <w:t xml:space="preserve"> $10 million to &lt; $20 million</w:t>
      </w:r>
    </w:p>
    <w:p w14:paraId="4D151F2B" w14:textId="71F58A65" w:rsidR="00B44D0F" w:rsidRPr="00917993" w:rsidRDefault="00BE229C" w:rsidP="00B44D0F">
      <w:pPr>
        <w:spacing w:after="120"/>
        <w:contextualSpacing/>
        <w:rPr>
          <w:rFonts w:ascii="Arial Narrow" w:hAnsi="Arial Narrow"/>
          <w:i/>
          <w:iCs/>
          <w:snapToGrid w:val="0"/>
          <w:sz w:val="18"/>
          <w:szCs w:val="18"/>
        </w:rPr>
      </w:pPr>
      <w:r w:rsidRPr="00917993">
        <w:rPr>
          <w:rFonts w:ascii="Arial Narrow" w:hAnsi="Arial Narrow"/>
          <w:i/>
          <w:iCs/>
          <w:snapToGrid w:val="0"/>
          <w:sz w:val="18"/>
          <w:szCs w:val="18"/>
          <w:vertAlign w:val="superscript"/>
        </w:rPr>
        <w:t>6</w:t>
      </w:r>
      <w:r w:rsidRPr="00917993">
        <w:rPr>
          <w:rFonts w:ascii="Arial Narrow" w:hAnsi="Arial Narrow"/>
          <w:i/>
          <w:iCs/>
          <w:snapToGrid w:val="0"/>
          <w:sz w:val="18"/>
          <w:szCs w:val="18"/>
        </w:rPr>
        <w:t xml:space="preserve"> net cost saving </w:t>
      </w:r>
    </w:p>
    <w:p w14:paraId="75028B59" w14:textId="45249F56" w:rsidR="00894DA8" w:rsidRPr="00917993" w:rsidRDefault="002179D9" w:rsidP="00B44D0F">
      <w:pPr>
        <w:spacing w:after="120"/>
        <w:contextualSpacing/>
        <w:rPr>
          <w:rFonts w:ascii="Arial Narrow" w:hAnsi="Arial Narrow"/>
          <w:i/>
          <w:iCs/>
          <w:snapToGrid w:val="0"/>
          <w:sz w:val="18"/>
          <w:szCs w:val="18"/>
        </w:rPr>
      </w:pPr>
      <w:r w:rsidRPr="00917993">
        <w:rPr>
          <w:rFonts w:ascii="Arial Narrow" w:hAnsi="Arial Narrow"/>
          <w:i/>
          <w:iCs/>
          <w:snapToGrid w:val="0"/>
          <w:sz w:val="18"/>
          <w:szCs w:val="18"/>
          <w:vertAlign w:val="superscript"/>
        </w:rPr>
        <w:t>7</w:t>
      </w:r>
      <w:r w:rsidR="00B44D0F" w:rsidRPr="00917993">
        <w:rPr>
          <w:rFonts w:ascii="Arial Narrow" w:hAnsi="Arial Narrow"/>
          <w:i/>
          <w:iCs/>
          <w:snapToGrid w:val="0"/>
          <w:sz w:val="18"/>
          <w:szCs w:val="18"/>
        </w:rPr>
        <w:t xml:space="preserve"> 10,000 to &lt; 20,000</w:t>
      </w:r>
    </w:p>
    <w:p w14:paraId="27580D61" w14:textId="01898300" w:rsidR="008975CB" w:rsidRPr="00567618" w:rsidRDefault="008975CB" w:rsidP="00953620">
      <w:pPr>
        <w:pStyle w:val="3-BodyText"/>
      </w:pPr>
      <w:bookmarkStart w:id="97" w:name="_Ref184728353"/>
      <w:r w:rsidRPr="0910F2D2">
        <w:t xml:space="preserve">The total cost to the PBS/Repatriation Pharmaceutical Benefits Scheme (RPBS) of listing </w:t>
      </w:r>
      <w:r w:rsidR="00951E92" w:rsidRPr="0910F2D2">
        <w:t>ruxolitinib</w:t>
      </w:r>
      <w:r w:rsidRPr="0910F2D2">
        <w:t xml:space="preserve"> was estimated to be</w:t>
      </w:r>
      <w:r w:rsidR="00F87B86">
        <w:t xml:space="preserve"> </w:t>
      </w:r>
      <w:r w:rsidR="0094582D" w:rsidRPr="0094582D">
        <w:t>$10 million to &lt; $20 million</w:t>
      </w:r>
      <w:r w:rsidR="00917993">
        <w:t xml:space="preserve"> </w:t>
      </w:r>
      <w:r w:rsidRPr="0910F2D2">
        <w:t xml:space="preserve">in Year 6, and a total of </w:t>
      </w:r>
      <w:r w:rsidR="00A06447" w:rsidRPr="00A06447">
        <w:t>$50 million to &lt; $60 million</w:t>
      </w:r>
      <w:r w:rsidR="00917993">
        <w:t xml:space="preserve"> </w:t>
      </w:r>
      <w:r w:rsidRPr="0910F2D2">
        <w:t xml:space="preserve">in the first 6 years of listing. </w:t>
      </w:r>
    </w:p>
    <w:p w14:paraId="780602AC" w14:textId="2B4C44CF" w:rsidR="008975CB" w:rsidRPr="00567618" w:rsidRDefault="6DC8D53B" w:rsidP="3AA7350F">
      <w:pPr>
        <w:pStyle w:val="3-BodyText"/>
      </w:pPr>
      <w:bookmarkStart w:id="98" w:name="_Ref184729763"/>
      <w:r w:rsidRPr="00567618">
        <w:t>The estimated use and financial estimates presented in the resubmission were considered uncertain for the following reasons:</w:t>
      </w:r>
      <w:bookmarkEnd w:id="97"/>
      <w:bookmarkEnd w:id="98"/>
    </w:p>
    <w:p w14:paraId="19A188C8" w14:textId="28218F30" w:rsidR="008975CB" w:rsidRPr="00567618" w:rsidRDefault="6DC8D53B" w:rsidP="009E06E3">
      <w:pPr>
        <w:numPr>
          <w:ilvl w:val="0"/>
          <w:numId w:val="10"/>
        </w:numPr>
        <w:spacing w:before="60" w:after="60"/>
        <w:ind w:left="993"/>
        <w:rPr>
          <w:rFonts w:asciiTheme="minorHAnsi" w:eastAsiaTheme="minorEastAsia" w:hAnsiTheme="minorHAnsi" w:cstheme="minorBidi"/>
        </w:rPr>
      </w:pPr>
      <w:r w:rsidRPr="0F1D33A4">
        <w:rPr>
          <w:rFonts w:asciiTheme="minorHAnsi" w:eastAsiaTheme="minorEastAsia" w:hAnsiTheme="minorHAnsi" w:cstheme="minorBidi"/>
        </w:rPr>
        <w:t xml:space="preserve">The resubmission’s approach of modelling both incident and prevalent populations together </w:t>
      </w:r>
      <w:r w:rsidR="66BC43BF" w:rsidRPr="0F1D33A4">
        <w:rPr>
          <w:rFonts w:asciiTheme="minorHAnsi" w:eastAsiaTheme="minorEastAsia" w:hAnsiTheme="minorHAnsi" w:cstheme="minorBidi"/>
        </w:rPr>
        <w:t>wa</w:t>
      </w:r>
      <w:r w:rsidRPr="0F1D33A4">
        <w:rPr>
          <w:rFonts w:asciiTheme="minorHAnsi" w:eastAsiaTheme="minorEastAsia" w:hAnsiTheme="minorHAnsi" w:cstheme="minorBidi"/>
        </w:rPr>
        <w:t xml:space="preserve">s inappropriate. </w:t>
      </w:r>
      <w:r w:rsidR="5F4B075E" w:rsidRPr="0F1D33A4">
        <w:rPr>
          <w:rFonts w:asciiTheme="minorHAnsi" w:eastAsiaTheme="minorEastAsia" w:hAnsiTheme="minorHAnsi" w:cstheme="minorBidi"/>
        </w:rPr>
        <w:t>It had</w:t>
      </w:r>
      <w:r w:rsidRPr="0F1D33A4">
        <w:rPr>
          <w:rFonts w:asciiTheme="minorHAnsi" w:eastAsiaTheme="minorEastAsia" w:hAnsiTheme="minorHAnsi" w:cstheme="minorBidi"/>
        </w:rPr>
        <w:t xml:space="preserve"> structural implications for the model that impact</w:t>
      </w:r>
      <w:r w:rsidR="5F4B075E" w:rsidRPr="0F1D33A4">
        <w:rPr>
          <w:rFonts w:asciiTheme="minorHAnsi" w:eastAsiaTheme="minorEastAsia" w:hAnsiTheme="minorHAnsi" w:cstheme="minorBidi"/>
        </w:rPr>
        <w:t>ed</w:t>
      </w:r>
      <w:r w:rsidRPr="0F1D33A4">
        <w:rPr>
          <w:rFonts w:asciiTheme="minorHAnsi" w:eastAsiaTheme="minorEastAsia" w:hAnsiTheme="minorHAnsi" w:cstheme="minorBidi"/>
        </w:rPr>
        <w:t xml:space="preserve"> the prescription numbers and the resulting financial estimates. Further, the application of the same assumptions (e.g. uptake rate, response to treatment) to both populations may not be reasonable. </w:t>
      </w:r>
      <w:r w:rsidR="00432B62" w:rsidRPr="00946411">
        <w:t>The PSCR</w:t>
      </w:r>
      <w:r w:rsidR="00F87B86">
        <w:t xml:space="preserve"> </w:t>
      </w:r>
      <w:r w:rsidR="00432B62" w:rsidRPr="00946411">
        <w:t>acknowledged that the incident and prevalent populations should be modelled separately.</w:t>
      </w:r>
    </w:p>
    <w:p w14:paraId="451C5A71" w14:textId="006F4FE2" w:rsidR="008975CB" w:rsidRDefault="008975CB" w:rsidP="009E06E3">
      <w:pPr>
        <w:numPr>
          <w:ilvl w:val="0"/>
          <w:numId w:val="10"/>
        </w:numPr>
        <w:spacing w:before="60" w:after="60"/>
        <w:ind w:left="993"/>
        <w:rPr>
          <w:rFonts w:asciiTheme="minorHAnsi" w:eastAsiaTheme="minorEastAsia" w:hAnsiTheme="minorHAnsi" w:cstheme="minorBidi"/>
          <w:i/>
          <w:iCs/>
        </w:rPr>
      </w:pPr>
      <w:r w:rsidRPr="0F1D33A4">
        <w:rPr>
          <w:rFonts w:asciiTheme="minorHAnsi" w:eastAsiaTheme="minorEastAsia" w:hAnsiTheme="minorHAnsi" w:cstheme="minorBidi"/>
        </w:rPr>
        <w:lastRenderedPageBreak/>
        <w:t>The incidence and prevalence rates used were based on outdated data, likely leading to overestimation. They also appear to be higher than rates reported by Baade et al., 2019</w:t>
      </w:r>
      <w:r w:rsidRPr="0F1D33A4">
        <w:rPr>
          <w:rFonts w:asciiTheme="minorHAnsi" w:eastAsiaTheme="minorEastAsia" w:hAnsiTheme="minorHAnsi" w:cstheme="minorBidi"/>
          <w:vertAlign w:val="superscript"/>
        </w:rPr>
        <w:footnoteReference w:id="11"/>
      </w:r>
      <w:r w:rsidRPr="0F1D33A4">
        <w:rPr>
          <w:rFonts w:asciiTheme="minorHAnsi" w:eastAsiaTheme="minorEastAsia" w:hAnsiTheme="minorHAnsi" w:cstheme="minorBidi"/>
        </w:rPr>
        <w:t xml:space="preserve"> which reported a lower incidence rate </w:t>
      </w:r>
      <w:r w:rsidR="009F3510" w:rsidRPr="0F1D33A4">
        <w:rPr>
          <w:rFonts w:asciiTheme="minorHAnsi" w:eastAsiaTheme="minorEastAsia" w:hAnsiTheme="minorHAnsi" w:cstheme="minorBidi"/>
        </w:rPr>
        <w:t xml:space="preserve">(0.9 per 100,000) </w:t>
      </w:r>
      <w:r w:rsidRPr="0F1D33A4">
        <w:rPr>
          <w:rFonts w:asciiTheme="minorHAnsi" w:eastAsiaTheme="minorEastAsia" w:hAnsiTheme="minorHAnsi" w:cstheme="minorBidi"/>
        </w:rPr>
        <w:t>using the same data source.</w:t>
      </w:r>
      <w:r w:rsidR="000C53C2" w:rsidRPr="0F1D33A4">
        <w:rPr>
          <w:rFonts w:asciiTheme="minorHAnsi" w:eastAsiaTheme="minorEastAsia" w:hAnsiTheme="minorHAnsi" w:cstheme="minorBidi"/>
        </w:rPr>
        <w:t xml:space="preserve"> </w:t>
      </w:r>
      <w:r w:rsidR="000C53C2" w:rsidRPr="00946411">
        <w:rPr>
          <w:rFonts w:asciiTheme="minorHAnsi" w:eastAsiaTheme="minorEastAsia" w:hAnsiTheme="minorHAnsi" w:cstheme="minorBidi"/>
        </w:rPr>
        <w:t xml:space="preserve">The ESC </w:t>
      </w:r>
      <w:r w:rsidR="00FF5AFE" w:rsidRPr="00946411">
        <w:rPr>
          <w:rFonts w:asciiTheme="minorHAnsi" w:eastAsiaTheme="minorEastAsia" w:hAnsiTheme="minorHAnsi" w:cstheme="minorBidi"/>
        </w:rPr>
        <w:t>considered the resubmissions inputs for</w:t>
      </w:r>
      <w:r w:rsidR="000C53C2" w:rsidRPr="00946411">
        <w:rPr>
          <w:rFonts w:asciiTheme="minorHAnsi" w:eastAsiaTheme="minorEastAsia" w:hAnsiTheme="minorHAnsi" w:cstheme="minorBidi"/>
        </w:rPr>
        <w:t xml:space="preserve"> incidence and prevalence rates were overestimated</w:t>
      </w:r>
      <w:r w:rsidR="001226E5" w:rsidRPr="00946411">
        <w:rPr>
          <w:rFonts w:asciiTheme="minorHAnsi" w:eastAsiaTheme="minorEastAsia" w:hAnsiTheme="minorHAnsi" w:cstheme="minorBidi"/>
        </w:rPr>
        <w:t xml:space="preserve"> (see </w:t>
      </w:r>
      <w:r w:rsidR="001226E5" w:rsidRPr="00946411">
        <w:rPr>
          <w:rFonts w:asciiTheme="minorHAnsi" w:eastAsiaTheme="minorEastAsia" w:hAnsiTheme="minorHAnsi" w:cstheme="minorBidi"/>
        </w:rPr>
        <w:fldChar w:fldCharType="begin" w:fldLock="1"/>
      </w:r>
      <w:r w:rsidR="001226E5" w:rsidRPr="00946411">
        <w:rPr>
          <w:rFonts w:asciiTheme="minorHAnsi" w:eastAsiaTheme="minorEastAsia" w:hAnsiTheme="minorHAnsi" w:cstheme="minorBidi"/>
        </w:rPr>
        <w:instrText xml:space="preserve"> REF _Ref104805262 \h  \* MERGEFORMAT </w:instrText>
      </w:r>
      <w:r w:rsidR="001226E5" w:rsidRPr="00946411">
        <w:rPr>
          <w:rFonts w:asciiTheme="minorHAnsi" w:eastAsiaTheme="minorEastAsia" w:hAnsiTheme="minorHAnsi" w:cstheme="minorBidi"/>
        </w:rPr>
      </w:r>
      <w:r w:rsidR="001226E5" w:rsidRPr="00946411">
        <w:rPr>
          <w:rFonts w:asciiTheme="minorHAnsi" w:eastAsiaTheme="minorEastAsia" w:hAnsiTheme="minorHAnsi" w:cstheme="minorBidi"/>
        </w:rPr>
        <w:fldChar w:fldCharType="separate"/>
      </w:r>
      <w:r w:rsidR="00CF6E5F" w:rsidRPr="00CF6E5F">
        <w:rPr>
          <w:rFonts w:asciiTheme="minorHAnsi" w:eastAsiaTheme="minorEastAsia" w:hAnsiTheme="minorHAnsi" w:cstheme="minorBidi"/>
        </w:rPr>
        <w:t>Table 21</w:t>
      </w:r>
      <w:r w:rsidR="001226E5" w:rsidRPr="00946411">
        <w:rPr>
          <w:rFonts w:asciiTheme="minorHAnsi" w:eastAsiaTheme="minorEastAsia" w:hAnsiTheme="minorHAnsi" w:cstheme="minorBidi"/>
        </w:rPr>
        <w:fldChar w:fldCharType="end"/>
      </w:r>
      <w:r w:rsidR="001226E5" w:rsidRPr="00946411">
        <w:rPr>
          <w:rFonts w:asciiTheme="minorHAnsi" w:eastAsiaTheme="minorEastAsia" w:hAnsiTheme="minorHAnsi" w:cstheme="minorBidi"/>
        </w:rPr>
        <w:t>)</w:t>
      </w:r>
      <w:r w:rsidR="000C53C2" w:rsidRPr="00946411">
        <w:rPr>
          <w:rFonts w:asciiTheme="minorHAnsi" w:eastAsiaTheme="minorEastAsia" w:hAnsiTheme="minorHAnsi" w:cstheme="minorBidi"/>
        </w:rPr>
        <w:t>.</w:t>
      </w:r>
    </w:p>
    <w:p w14:paraId="17722FE0" w14:textId="41483427" w:rsidR="00A5224D" w:rsidRPr="00946411" w:rsidRDefault="00A5224D" w:rsidP="009E06E3">
      <w:pPr>
        <w:numPr>
          <w:ilvl w:val="0"/>
          <w:numId w:val="10"/>
        </w:numPr>
        <w:spacing w:before="60" w:after="60"/>
        <w:ind w:left="993"/>
        <w:rPr>
          <w:rFonts w:asciiTheme="minorHAnsi" w:eastAsiaTheme="minorEastAsia" w:hAnsiTheme="minorHAnsi" w:cstheme="minorBidi"/>
        </w:rPr>
      </w:pPr>
      <w:r w:rsidRPr="00946411">
        <w:rPr>
          <w:rFonts w:asciiTheme="minorHAnsi" w:eastAsiaTheme="minorEastAsia" w:hAnsiTheme="minorHAnsi" w:cstheme="minorBidi"/>
        </w:rPr>
        <w:t xml:space="preserve">The ESC recalled that in November 2019 the DUSC had considered the proportion </w:t>
      </w:r>
      <w:r w:rsidR="00D927E5" w:rsidRPr="00946411">
        <w:rPr>
          <w:rFonts w:asciiTheme="minorHAnsi" w:eastAsiaTheme="minorEastAsia" w:hAnsiTheme="minorHAnsi" w:cstheme="minorBidi"/>
        </w:rPr>
        <w:t xml:space="preserve">of patients </w:t>
      </w:r>
      <w:r w:rsidRPr="00946411">
        <w:rPr>
          <w:rFonts w:asciiTheme="minorHAnsi" w:eastAsiaTheme="minorEastAsia" w:hAnsiTheme="minorHAnsi" w:cstheme="minorBidi"/>
        </w:rPr>
        <w:t>intolerant or resistant to HC</w:t>
      </w:r>
      <w:r w:rsidR="00186587" w:rsidRPr="00946411">
        <w:rPr>
          <w:rFonts w:asciiTheme="minorHAnsi" w:eastAsiaTheme="minorEastAsia" w:hAnsiTheme="minorHAnsi" w:cstheme="minorBidi"/>
        </w:rPr>
        <w:t>/HU</w:t>
      </w:r>
      <w:r w:rsidRPr="00946411">
        <w:rPr>
          <w:rFonts w:asciiTheme="minorHAnsi" w:eastAsiaTheme="minorEastAsia" w:hAnsiTheme="minorHAnsi" w:cstheme="minorBidi"/>
        </w:rPr>
        <w:t xml:space="preserve"> (24%) was overestimated </w:t>
      </w:r>
      <w:r w:rsidR="00B35A78" w:rsidRPr="00946411">
        <w:rPr>
          <w:rFonts w:asciiTheme="minorHAnsi" w:eastAsiaTheme="minorEastAsia" w:hAnsiTheme="minorHAnsi" w:cstheme="minorBidi"/>
        </w:rPr>
        <w:t>(para 6.8</w:t>
      </w:r>
      <w:r w:rsidR="00482C63" w:rsidRPr="00946411">
        <w:rPr>
          <w:rFonts w:asciiTheme="minorHAnsi" w:eastAsiaTheme="minorEastAsia" w:hAnsiTheme="minorHAnsi" w:cstheme="minorBidi"/>
        </w:rPr>
        <w:t>2</w:t>
      </w:r>
      <w:r w:rsidR="00B35A78" w:rsidRPr="00946411">
        <w:rPr>
          <w:rFonts w:asciiTheme="minorHAnsi" w:eastAsiaTheme="minorEastAsia" w:hAnsiTheme="minorHAnsi" w:cstheme="minorBidi"/>
        </w:rPr>
        <w:t>, ruxolitinib, PSD, November 2019 PBAC meeting)</w:t>
      </w:r>
      <w:r w:rsidRPr="00946411">
        <w:rPr>
          <w:rFonts w:asciiTheme="minorHAnsi" w:eastAsiaTheme="minorEastAsia" w:hAnsiTheme="minorHAnsi" w:cstheme="minorBidi"/>
        </w:rPr>
        <w:t>. Noting the rates available from the literature</w:t>
      </w:r>
      <w:r w:rsidR="00482C63" w:rsidRPr="00946411">
        <w:rPr>
          <w:rFonts w:asciiTheme="minorHAnsi" w:eastAsiaTheme="minorEastAsia" w:hAnsiTheme="minorHAnsi" w:cstheme="minorBidi"/>
        </w:rPr>
        <w:t xml:space="preserve"> outlined in </w:t>
      </w:r>
      <w:r w:rsidR="00D927E5" w:rsidRPr="00946411">
        <w:rPr>
          <w:rFonts w:asciiTheme="minorHAnsi" w:eastAsiaTheme="minorEastAsia" w:hAnsiTheme="minorHAnsi" w:cstheme="minorBidi"/>
        </w:rPr>
        <w:fldChar w:fldCharType="begin" w:fldLock="1"/>
      </w:r>
      <w:r w:rsidR="00D927E5" w:rsidRPr="00946411">
        <w:rPr>
          <w:rFonts w:asciiTheme="minorHAnsi" w:eastAsiaTheme="minorEastAsia" w:hAnsiTheme="minorHAnsi" w:cstheme="minorBidi"/>
        </w:rPr>
        <w:instrText xml:space="preserve"> REF _Ref104805262 \h  \* MERGEFORMAT </w:instrText>
      </w:r>
      <w:r w:rsidR="00D927E5" w:rsidRPr="00946411">
        <w:rPr>
          <w:rFonts w:asciiTheme="minorHAnsi" w:eastAsiaTheme="minorEastAsia" w:hAnsiTheme="minorHAnsi" w:cstheme="minorBidi"/>
        </w:rPr>
      </w:r>
      <w:r w:rsidR="00D927E5" w:rsidRPr="00946411">
        <w:rPr>
          <w:rFonts w:asciiTheme="minorHAnsi" w:eastAsiaTheme="minorEastAsia" w:hAnsiTheme="minorHAnsi" w:cstheme="minorBidi"/>
        </w:rPr>
        <w:fldChar w:fldCharType="separate"/>
      </w:r>
      <w:r w:rsidR="00CF6E5F" w:rsidRPr="00CF6E5F">
        <w:rPr>
          <w:rFonts w:asciiTheme="minorHAnsi" w:eastAsiaTheme="minorEastAsia" w:hAnsiTheme="minorHAnsi" w:cstheme="minorBidi"/>
        </w:rPr>
        <w:t>Table 21</w:t>
      </w:r>
      <w:r w:rsidR="00D927E5" w:rsidRPr="00946411">
        <w:rPr>
          <w:rFonts w:asciiTheme="minorHAnsi" w:eastAsiaTheme="minorEastAsia" w:hAnsiTheme="minorHAnsi" w:cstheme="minorBidi"/>
        </w:rPr>
        <w:fldChar w:fldCharType="end"/>
      </w:r>
      <w:r w:rsidR="00D927E5" w:rsidRPr="00946411">
        <w:rPr>
          <w:rFonts w:asciiTheme="minorHAnsi" w:eastAsiaTheme="minorEastAsia" w:hAnsiTheme="minorHAnsi" w:cstheme="minorBidi"/>
        </w:rPr>
        <w:t xml:space="preserve"> (10% to 20%)</w:t>
      </w:r>
      <w:r w:rsidRPr="00946411">
        <w:rPr>
          <w:rFonts w:asciiTheme="minorHAnsi" w:eastAsiaTheme="minorEastAsia" w:hAnsiTheme="minorHAnsi" w:cstheme="minorBidi"/>
        </w:rPr>
        <w:t xml:space="preserve"> the ESC considered that the proportion remained overestimated.</w:t>
      </w:r>
    </w:p>
    <w:p w14:paraId="72B44D15" w14:textId="619AE1BE" w:rsidR="00B87AEB" w:rsidRPr="00946411" w:rsidRDefault="00B87AEB" w:rsidP="009E06E3">
      <w:pPr>
        <w:numPr>
          <w:ilvl w:val="0"/>
          <w:numId w:val="10"/>
        </w:numPr>
        <w:spacing w:before="60" w:after="60"/>
        <w:ind w:left="993"/>
        <w:rPr>
          <w:rFonts w:asciiTheme="minorHAnsi" w:eastAsiaTheme="minorEastAsia" w:hAnsiTheme="minorHAnsi" w:cstheme="minorBidi"/>
        </w:rPr>
      </w:pPr>
      <w:r w:rsidRPr="0F1D33A4">
        <w:rPr>
          <w:rFonts w:asciiTheme="minorHAnsi" w:eastAsiaTheme="minorEastAsia" w:hAnsiTheme="minorHAnsi" w:cstheme="minorBidi"/>
        </w:rPr>
        <w:t>The rationale for the inclusion of a parameter titled ‘the proportion of patients electing treatment (</w:t>
      </w:r>
      <w:r w:rsidR="00A268DC" w:rsidRPr="00C0236C">
        <w:rPr>
          <w:rFonts w:asciiTheme="minorHAnsi" w:eastAsiaTheme="minorEastAsia" w:hAnsiTheme="minorHAnsi" w:cstheme="minorBidi"/>
          <w:color w:val="000000"/>
          <w:w w:val="15"/>
          <w:shd w:val="solid" w:color="000000" w:fill="000000"/>
          <w:fitText w:val="-20" w:id="-694973436"/>
          <w14:textFill>
            <w14:solidFill>
              <w14:srgbClr w14:val="000000">
                <w14:alpha w14:val="100000"/>
              </w14:srgbClr>
            </w14:solidFill>
          </w14:textFill>
        </w:rPr>
        <w:t>|</w:t>
      </w:r>
      <w:r w:rsidR="00F87B86" w:rsidRPr="00C0236C">
        <w:rPr>
          <w:rFonts w:asciiTheme="minorHAnsi" w:eastAsiaTheme="minorEastAsia" w:hAnsiTheme="minorHAnsi" w:cstheme="minorBidi"/>
          <w:color w:val="000000"/>
          <w:w w:val="15"/>
          <w:shd w:val="solid" w:color="000000" w:fill="000000"/>
          <w:fitText w:val="-20" w:id="-694973436"/>
          <w14:textFill>
            <w14:solidFill>
              <w14:srgbClr w14:val="000000">
                <w14:alpha w14:val="100000"/>
              </w14:srgbClr>
            </w14:solidFill>
          </w14:textFill>
        </w:rPr>
        <w:t xml:space="preserve"> </w:t>
      </w:r>
      <w:r w:rsidR="00A268DC" w:rsidRPr="00C0236C">
        <w:rPr>
          <w:rFonts w:asciiTheme="minorHAnsi" w:eastAsiaTheme="minorEastAsia" w:hAnsiTheme="minorHAnsi" w:cstheme="minorBidi"/>
          <w:color w:val="000000"/>
          <w:spacing w:val="-61"/>
          <w:w w:val="15"/>
          <w:shd w:val="solid" w:color="000000" w:fill="000000"/>
          <w:fitText w:val="-20" w:id="-694973436"/>
          <w14:textFill>
            <w14:solidFill>
              <w14:srgbClr w14:val="000000">
                <w14:alpha w14:val="100000"/>
              </w14:srgbClr>
            </w14:solidFill>
          </w14:textFill>
        </w:rPr>
        <w:t>|</w:t>
      </w:r>
      <w:r w:rsidRPr="0F1D33A4">
        <w:rPr>
          <w:rFonts w:asciiTheme="minorHAnsi" w:eastAsiaTheme="minorEastAsia" w:hAnsiTheme="minorHAnsi" w:cstheme="minorBidi"/>
        </w:rPr>
        <w:t xml:space="preserve">%)’ in addition to the application of an uptake rate was unclear. </w:t>
      </w:r>
      <w:r w:rsidRPr="00946411">
        <w:rPr>
          <w:rFonts w:asciiTheme="minorHAnsi" w:eastAsiaTheme="minorEastAsia" w:hAnsiTheme="minorHAnsi" w:cstheme="minorBidi"/>
        </w:rPr>
        <w:t xml:space="preserve">The ESC advised that this parameter should be justified or removed by the sponsor. </w:t>
      </w:r>
    </w:p>
    <w:p w14:paraId="0E032FAF" w14:textId="75CC9B6B" w:rsidR="006E3E6F" w:rsidRPr="00567618" w:rsidRDefault="008975CB" w:rsidP="00353EF5">
      <w:pPr>
        <w:pStyle w:val="3-BodyText"/>
      </w:pPr>
      <w:r w:rsidRPr="00567618">
        <w:t>The financial estimates were most sensitive to the assumptions on the proportion of patients resistant or intolerant to HC/HU</w:t>
      </w:r>
      <w:r w:rsidR="00F5364F">
        <w:t xml:space="preserve"> </w:t>
      </w:r>
      <w:r w:rsidRPr="00567618">
        <w:t>and prevalence and incidence rates. The impact on the financial estimates for PBS/RPBS were:</w:t>
      </w:r>
      <w:r w:rsidR="00F70325">
        <w:t xml:space="preserve"> </w:t>
      </w:r>
    </w:p>
    <w:p w14:paraId="7897BFD7" w14:textId="15AF3755" w:rsidR="008975CB" w:rsidRPr="00567618" w:rsidRDefault="008975CB" w:rsidP="009E06E3">
      <w:pPr>
        <w:numPr>
          <w:ilvl w:val="0"/>
          <w:numId w:val="10"/>
        </w:numPr>
        <w:spacing w:before="60" w:after="60"/>
        <w:ind w:left="993"/>
        <w:rPr>
          <w:rFonts w:asciiTheme="minorHAnsi" w:eastAsiaTheme="minorHAnsi" w:hAnsiTheme="minorHAnsi" w:cstheme="minorBidi"/>
          <w:szCs w:val="22"/>
        </w:rPr>
      </w:pPr>
      <w:r w:rsidRPr="00567618">
        <w:rPr>
          <w:rFonts w:asciiTheme="minorHAnsi" w:eastAsiaTheme="minorHAnsi" w:hAnsiTheme="minorHAnsi" w:cstheme="minorBidi"/>
          <w:szCs w:val="22"/>
        </w:rPr>
        <w:t>Proportion of patients resistant or intolerant to HC/HU</w:t>
      </w:r>
      <w:r w:rsidR="00866535">
        <w:rPr>
          <w:rFonts w:asciiTheme="minorHAnsi" w:eastAsiaTheme="minorHAnsi" w:hAnsiTheme="minorHAnsi" w:cstheme="minorBidi"/>
          <w:szCs w:val="22"/>
        </w:rPr>
        <w:t xml:space="preserve"> was </w:t>
      </w:r>
      <w:r w:rsidR="001C4682">
        <w:rPr>
          <w:rFonts w:asciiTheme="minorHAnsi" w:eastAsiaTheme="minorHAnsi" w:hAnsiTheme="minorHAnsi" w:cstheme="minorBidi"/>
          <w:szCs w:val="22"/>
        </w:rPr>
        <w:t>22.5% in the base case</w:t>
      </w:r>
      <w:r w:rsidRPr="00567618">
        <w:rPr>
          <w:rFonts w:asciiTheme="minorHAnsi" w:eastAsiaTheme="minorHAnsi" w:hAnsiTheme="minorHAnsi" w:cstheme="minorBidi"/>
          <w:szCs w:val="22"/>
        </w:rPr>
        <w:t xml:space="preserve">: Decreasing this </w:t>
      </w:r>
      <w:r w:rsidR="001C4682">
        <w:rPr>
          <w:rFonts w:asciiTheme="minorHAnsi" w:eastAsiaTheme="minorHAnsi" w:hAnsiTheme="minorHAnsi" w:cstheme="minorBidi"/>
          <w:szCs w:val="22"/>
        </w:rPr>
        <w:t xml:space="preserve">proportion </w:t>
      </w:r>
      <w:r w:rsidRPr="00567618">
        <w:rPr>
          <w:rFonts w:asciiTheme="minorHAnsi" w:eastAsiaTheme="minorHAnsi" w:hAnsiTheme="minorHAnsi" w:cstheme="minorBidi"/>
          <w:szCs w:val="22"/>
        </w:rPr>
        <w:t>to 10%</w:t>
      </w:r>
      <w:r w:rsidR="008A78BA">
        <w:rPr>
          <w:rFonts w:asciiTheme="minorHAnsi" w:eastAsiaTheme="minorHAnsi" w:hAnsiTheme="minorHAnsi" w:cstheme="minorBidi"/>
          <w:szCs w:val="22"/>
        </w:rPr>
        <w:t xml:space="preserve"> reduces</w:t>
      </w:r>
      <w:r w:rsidRPr="00567618">
        <w:rPr>
          <w:rFonts w:asciiTheme="minorHAnsi" w:eastAsiaTheme="minorHAnsi" w:hAnsiTheme="minorHAnsi" w:cstheme="minorBidi"/>
          <w:szCs w:val="22"/>
        </w:rPr>
        <w:t xml:space="preserve"> the financial estimates to the PBS/RPBS across the 6 years of listing from </w:t>
      </w:r>
      <w:r w:rsidR="00252A64" w:rsidRPr="00252A64">
        <w:rPr>
          <w:rFonts w:asciiTheme="minorHAnsi" w:eastAsiaTheme="minorHAnsi" w:hAnsiTheme="minorHAnsi" w:cstheme="minorBidi"/>
          <w:szCs w:val="22"/>
        </w:rPr>
        <w:t>$50 million to &lt; $60 million</w:t>
      </w:r>
      <w:r w:rsidR="001F61B6">
        <w:rPr>
          <w:rFonts w:asciiTheme="minorHAnsi" w:eastAsiaTheme="minorHAnsi" w:hAnsiTheme="minorHAnsi" w:cstheme="minorBidi"/>
          <w:szCs w:val="22"/>
        </w:rPr>
        <w:t xml:space="preserve"> </w:t>
      </w:r>
      <w:r w:rsidRPr="00567618">
        <w:rPr>
          <w:rFonts w:asciiTheme="minorHAnsi" w:eastAsiaTheme="minorHAnsi" w:hAnsiTheme="minorHAnsi" w:cstheme="minorBidi"/>
          <w:szCs w:val="22"/>
        </w:rPr>
        <w:t xml:space="preserve">to </w:t>
      </w:r>
      <w:r w:rsidR="00DF1549" w:rsidRPr="00DF1549">
        <w:rPr>
          <w:rFonts w:asciiTheme="minorHAnsi" w:eastAsiaTheme="minorHAnsi" w:hAnsiTheme="minorHAnsi" w:cstheme="minorBidi"/>
          <w:szCs w:val="22"/>
        </w:rPr>
        <w:t>$20 million to &lt; $30 million</w:t>
      </w:r>
      <w:r w:rsidR="00DF1549" w:rsidRPr="00DF1549" w:rsidDel="00DF1549">
        <w:rPr>
          <w:rFonts w:asciiTheme="minorHAnsi" w:eastAsiaTheme="minorHAnsi" w:hAnsiTheme="minorHAnsi" w:cstheme="minorBidi"/>
          <w:szCs w:val="22"/>
        </w:rPr>
        <w:t xml:space="preserve"> </w:t>
      </w:r>
      <w:r w:rsidRPr="00567618">
        <w:rPr>
          <w:rFonts w:asciiTheme="minorHAnsi" w:eastAsiaTheme="minorHAnsi" w:hAnsiTheme="minorHAnsi" w:cstheme="minorBidi"/>
          <w:szCs w:val="22"/>
        </w:rPr>
        <w:t>(-52%).</w:t>
      </w:r>
    </w:p>
    <w:p w14:paraId="4C160BC6" w14:textId="35E2B98A" w:rsidR="001756B1" w:rsidRDefault="00341206" w:rsidP="009E06E3">
      <w:pPr>
        <w:numPr>
          <w:ilvl w:val="0"/>
          <w:numId w:val="10"/>
        </w:numPr>
        <w:spacing w:before="60" w:after="60"/>
        <w:ind w:left="993"/>
        <w:rPr>
          <w:rFonts w:asciiTheme="minorHAnsi" w:eastAsiaTheme="minorHAnsi" w:hAnsiTheme="minorHAnsi" w:cstheme="minorBidi"/>
          <w:szCs w:val="22"/>
        </w:rPr>
      </w:pPr>
      <w:r>
        <w:rPr>
          <w:rFonts w:asciiTheme="minorHAnsi" w:eastAsiaTheme="minorHAnsi" w:hAnsiTheme="minorHAnsi" w:cstheme="minorBidi"/>
          <w:szCs w:val="22"/>
        </w:rPr>
        <w:t xml:space="preserve">Incidence and prevalence rates were </w:t>
      </w:r>
      <w:r w:rsidR="00631EFE">
        <w:rPr>
          <w:rFonts w:asciiTheme="minorHAnsi" w:eastAsiaTheme="minorHAnsi" w:hAnsiTheme="minorHAnsi" w:cstheme="minorBidi"/>
          <w:szCs w:val="22"/>
        </w:rPr>
        <w:t>1.33 and 10.2 per 100,000 in the base case</w:t>
      </w:r>
      <w:r w:rsidR="00BF7A72">
        <w:rPr>
          <w:rFonts w:asciiTheme="minorHAnsi" w:eastAsiaTheme="minorHAnsi" w:hAnsiTheme="minorHAnsi" w:cstheme="minorBidi"/>
          <w:szCs w:val="22"/>
        </w:rPr>
        <w:t>: Using the i</w:t>
      </w:r>
      <w:r w:rsidR="7ADEAC43" w:rsidRPr="00567618">
        <w:rPr>
          <w:rFonts w:asciiTheme="minorHAnsi" w:eastAsiaTheme="minorHAnsi" w:hAnsiTheme="minorHAnsi" w:cstheme="minorBidi"/>
          <w:szCs w:val="22"/>
        </w:rPr>
        <w:t>ncidence and p</w:t>
      </w:r>
      <w:r w:rsidR="6DC8D53B" w:rsidRPr="00567618">
        <w:rPr>
          <w:rFonts w:asciiTheme="minorHAnsi" w:eastAsiaTheme="minorHAnsi" w:hAnsiTheme="minorHAnsi" w:cstheme="minorBidi"/>
          <w:szCs w:val="22"/>
        </w:rPr>
        <w:t xml:space="preserve">revalence rates </w:t>
      </w:r>
      <w:r w:rsidR="00A66286">
        <w:rPr>
          <w:rFonts w:asciiTheme="minorHAnsi" w:eastAsiaTheme="minorHAnsi" w:hAnsiTheme="minorHAnsi" w:cstheme="minorBidi"/>
          <w:szCs w:val="22"/>
        </w:rPr>
        <w:t xml:space="preserve">of </w:t>
      </w:r>
      <w:r w:rsidR="6DC8D53B" w:rsidRPr="00567618">
        <w:rPr>
          <w:rFonts w:asciiTheme="minorHAnsi" w:eastAsiaTheme="minorHAnsi" w:hAnsiTheme="minorHAnsi" w:cstheme="minorBidi"/>
          <w:szCs w:val="22"/>
        </w:rPr>
        <w:t>1.19 and 8.2 per 100,000 from AIHW [2024] data extracted during the evaluation</w:t>
      </w:r>
      <w:r w:rsidR="00A66286">
        <w:rPr>
          <w:rFonts w:asciiTheme="minorHAnsi" w:eastAsiaTheme="minorHAnsi" w:hAnsiTheme="minorHAnsi" w:cstheme="minorBidi"/>
          <w:szCs w:val="22"/>
        </w:rPr>
        <w:t xml:space="preserve"> reduces</w:t>
      </w:r>
      <w:r w:rsidR="6DC8D53B" w:rsidRPr="00567618">
        <w:rPr>
          <w:rFonts w:asciiTheme="minorHAnsi" w:eastAsiaTheme="minorHAnsi" w:hAnsiTheme="minorHAnsi" w:cstheme="minorBidi"/>
          <w:szCs w:val="22"/>
        </w:rPr>
        <w:t xml:space="preserve"> the financial estimates to </w:t>
      </w:r>
      <w:r w:rsidR="00F620AF" w:rsidRPr="00F620AF">
        <w:rPr>
          <w:rFonts w:asciiTheme="minorHAnsi" w:eastAsiaTheme="minorHAnsi" w:hAnsiTheme="minorHAnsi" w:cstheme="minorBidi"/>
          <w:szCs w:val="22"/>
        </w:rPr>
        <w:t>$40 million to &lt; $50 million</w:t>
      </w:r>
      <w:r w:rsidR="00F620AF" w:rsidRPr="00F620AF" w:rsidDel="00F620AF">
        <w:rPr>
          <w:rFonts w:asciiTheme="minorHAnsi" w:eastAsiaTheme="minorHAnsi" w:hAnsiTheme="minorHAnsi" w:cstheme="minorBidi"/>
          <w:szCs w:val="22"/>
        </w:rPr>
        <w:t xml:space="preserve"> </w:t>
      </w:r>
      <w:r w:rsidR="6DC8D53B" w:rsidRPr="00567618">
        <w:rPr>
          <w:rFonts w:asciiTheme="minorHAnsi" w:eastAsiaTheme="minorHAnsi" w:hAnsiTheme="minorHAnsi" w:cstheme="minorBidi"/>
          <w:szCs w:val="22"/>
        </w:rPr>
        <w:t>(-1</w:t>
      </w:r>
      <w:r w:rsidR="00A35D0E" w:rsidRPr="00567618">
        <w:rPr>
          <w:rFonts w:asciiTheme="minorHAnsi" w:eastAsiaTheme="minorHAnsi" w:hAnsiTheme="minorHAnsi" w:cstheme="minorBidi"/>
          <w:szCs w:val="22"/>
        </w:rPr>
        <w:t>7</w:t>
      </w:r>
      <w:r w:rsidR="6DC8D53B" w:rsidRPr="00567618">
        <w:rPr>
          <w:rFonts w:asciiTheme="minorHAnsi" w:eastAsiaTheme="minorHAnsi" w:hAnsiTheme="minorHAnsi" w:cstheme="minorBidi"/>
          <w:szCs w:val="22"/>
        </w:rPr>
        <w:t>%).</w:t>
      </w:r>
    </w:p>
    <w:p w14:paraId="62931E4C" w14:textId="7997EEF7" w:rsidR="00E05CE2" w:rsidRDefault="00E05CE2" w:rsidP="00E05CE2">
      <w:pPr>
        <w:pStyle w:val="3-BodyText"/>
      </w:pPr>
      <w:r>
        <w:t>The pre-PBAC response</w:t>
      </w:r>
      <w:r w:rsidR="00F87B86">
        <w:t xml:space="preserve"> </w:t>
      </w:r>
      <w:r>
        <w:t>provided revised financial estimates which:</w:t>
      </w:r>
    </w:p>
    <w:p w14:paraId="4557B492" w14:textId="69B00943" w:rsidR="00E05CE2" w:rsidRDefault="00E05CE2" w:rsidP="00E05CE2">
      <w:pPr>
        <w:numPr>
          <w:ilvl w:val="0"/>
          <w:numId w:val="10"/>
        </w:numPr>
        <w:spacing w:before="60" w:after="60"/>
        <w:ind w:left="993"/>
        <w:rPr>
          <w:rFonts w:eastAsiaTheme="minorHAnsi"/>
        </w:rPr>
      </w:pPr>
      <w:r>
        <w:rPr>
          <w:rFonts w:eastAsiaTheme="minorHAnsi"/>
        </w:rPr>
        <w:t>Amended the estimates for the incidence and prevalence rates of PV to be consistent with the evaluator extracted rates of 1.19 and 8.2 per 100,000 respectively</w:t>
      </w:r>
      <w:r w:rsidR="00C32E89">
        <w:rPr>
          <w:rFonts w:eastAsiaTheme="minorHAnsi"/>
        </w:rPr>
        <w:t>;</w:t>
      </w:r>
    </w:p>
    <w:p w14:paraId="2FC92F19" w14:textId="03E466A6" w:rsidR="00E05CE2" w:rsidRDefault="00E05CE2" w:rsidP="00E05CE2">
      <w:pPr>
        <w:numPr>
          <w:ilvl w:val="0"/>
          <w:numId w:val="10"/>
        </w:numPr>
        <w:spacing w:before="60" w:after="60"/>
        <w:ind w:left="993"/>
        <w:rPr>
          <w:rFonts w:eastAsiaTheme="minorHAnsi"/>
        </w:rPr>
      </w:pPr>
      <w:r>
        <w:rPr>
          <w:rFonts w:eastAsiaTheme="minorHAnsi"/>
        </w:rPr>
        <w:t>Reduced the proportion of patients who are resistant or intolerant to HC/HU from 22.5% to 20%</w:t>
      </w:r>
      <w:r w:rsidR="00C32E89">
        <w:rPr>
          <w:rFonts w:eastAsiaTheme="minorHAnsi"/>
        </w:rPr>
        <w:t>;</w:t>
      </w:r>
      <w:r>
        <w:rPr>
          <w:rFonts w:eastAsiaTheme="minorHAnsi"/>
        </w:rPr>
        <w:t xml:space="preserve"> </w:t>
      </w:r>
    </w:p>
    <w:p w14:paraId="7C2B76B9" w14:textId="1CAE2482" w:rsidR="00C32E89" w:rsidRPr="00C32E89" w:rsidRDefault="00C32E89" w:rsidP="00C32E89">
      <w:pPr>
        <w:numPr>
          <w:ilvl w:val="0"/>
          <w:numId w:val="10"/>
        </w:numPr>
        <w:spacing w:before="60" w:after="60"/>
        <w:ind w:left="993"/>
        <w:rPr>
          <w:rFonts w:eastAsiaTheme="minorHAnsi"/>
        </w:rPr>
      </w:pPr>
      <w:r>
        <w:rPr>
          <w:rFonts w:eastAsiaTheme="minorHAnsi"/>
        </w:rPr>
        <w:t xml:space="preserve">Removed the </w:t>
      </w:r>
      <w:r w:rsidRPr="0F1D33A4">
        <w:rPr>
          <w:rFonts w:asciiTheme="minorHAnsi" w:eastAsiaTheme="minorEastAsia" w:hAnsiTheme="minorHAnsi" w:cstheme="minorBidi"/>
        </w:rPr>
        <w:t>parameter titled ‘the proportion of patients electing treatment (</w:t>
      </w:r>
      <w:r w:rsidR="00A268DC" w:rsidRPr="00C0236C">
        <w:rPr>
          <w:rFonts w:asciiTheme="minorHAnsi" w:eastAsiaTheme="minorEastAsia" w:hAnsiTheme="minorHAnsi" w:cstheme="minorBidi"/>
          <w:color w:val="000000"/>
          <w:w w:val="15"/>
          <w:shd w:val="solid" w:color="000000" w:fill="000000"/>
          <w:fitText w:val="-20" w:id="-694973435"/>
          <w14:textFill>
            <w14:solidFill>
              <w14:srgbClr w14:val="000000">
                <w14:alpha w14:val="100000"/>
              </w14:srgbClr>
            </w14:solidFill>
          </w14:textFill>
        </w:rPr>
        <w:t>|</w:t>
      </w:r>
      <w:r w:rsidR="00F87B86" w:rsidRPr="00C0236C">
        <w:rPr>
          <w:rFonts w:asciiTheme="minorHAnsi" w:eastAsiaTheme="minorEastAsia" w:hAnsiTheme="minorHAnsi" w:cstheme="minorBidi"/>
          <w:color w:val="000000"/>
          <w:w w:val="15"/>
          <w:shd w:val="solid" w:color="000000" w:fill="000000"/>
          <w:fitText w:val="-20" w:id="-694973435"/>
          <w14:textFill>
            <w14:solidFill>
              <w14:srgbClr w14:val="000000">
                <w14:alpha w14:val="100000"/>
              </w14:srgbClr>
            </w14:solidFill>
          </w14:textFill>
        </w:rPr>
        <w:t xml:space="preserve"> </w:t>
      </w:r>
      <w:r w:rsidR="00A268DC" w:rsidRPr="00C0236C">
        <w:rPr>
          <w:rFonts w:asciiTheme="minorHAnsi" w:eastAsiaTheme="minorEastAsia" w:hAnsiTheme="minorHAnsi" w:cstheme="minorBidi"/>
          <w:color w:val="000000"/>
          <w:spacing w:val="-61"/>
          <w:w w:val="15"/>
          <w:shd w:val="solid" w:color="000000" w:fill="000000"/>
          <w:fitText w:val="-20" w:id="-694973435"/>
          <w14:textFill>
            <w14:solidFill>
              <w14:srgbClr w14:val="000000">
                <w14:alpha w14:val="100000"/>
              </w14:srgbClr>
            </w14:solidFill>
          </w14:textFill>
        </w:rPr>
        <w:t>|</w:t>
      </w:r>
      <w:r w:rsidRPr="0F1D33A4">
        <w:rPr>
          <w:rFonts w:asciiTheme="minorHAnsi" w:eastAsiaTheme="minorEastAsia" w:hAnsiTheme="minorHAnsi" w:cstheme="minorBidi"/>
        </w:rPr>
        <w:t>%)’</w:t>
      </w:r>
      <w:r>
        <w:rPr>
          <w:rFonts w:asciiTheme="minorHAnsi" w:eastAsiaTheme="minorEastAsia" w:hAnsiTheme="minorHAnsi" w:cstheme="minorBidi"/>
        </w:rPr>
        <w:t>;</w:t>
      </w:r>
    </w:p>
    <w:p w14:paraId="47CA5376" w14:textId="1FC4EDD3" w:rsidR="00C32E89" w:rsidRPr="00C32E89" w:rsidRDefault="00C32E89" w:rsidP="00E05CE2">
      <w:pPr>
        <w:numPr>
          <w:ilvl w:val="0"/>
          <w:numId w:val="10"/>
        </w:numPr>
        <w:spacing w:before="60" w:after="60"/>
        <w:ind w:left="993"/>
        <w:rPr>
          <w:rFonts w:eastAsiaTheme="minorHAnsi"/>
        </w:rPr>
      </w:pPr>
      <w:r>
        <w:rPr>
          <w:rFonts w:asciiTheme="minorHAnsi" w:eastAsiaTheme="minorEastAsia" w:hAnsiTheme="minorHAnsi" w:cstheme="minorBidi"/>
        </w:rPr>
        <w:t>Modelled incident and prevalent patients separately;</w:t>
      </w:r>
    </w:p>
    <w:p w14:paraId="279F712F" w14:textId="7A20CCA1" w:rsidR="004763C7" w:rsidRPr="004763C7" w:rsidRDefault="00C32E89" w:rsidP="00E05CE2">
      <w:pPr>
        <w:numPr>
          <w:ilvl w:val="0"/>
          <w:numId w:val="10"/>
        </w:numPr>
        <w:spacing w:before="60" w:after="60"/>
        <w:ind w:left="993"/>
        <w:rPr>
          <w:rFonts w:eastAsiaTheme="minorHAnsi"/>
        </w:rPr>
      </w:pPr>
      <w:r>
        <w:rPr>
          <w:rFonts w:asciiTheme="minorHAnsi" w:eastAsiaTheme="minorEastAsia" w:hAnsiTheme="minorHAnsi" w:cstheme="minorBidi"/>
        </w:rPr>
        <w:t>Increased the rate of uptake in the incident population to 100% (previously ranged from</w:t>
      </w:r>
      <w:r w:rsidR="000B78F5">
        <w:rPr>
          <w:rFonts w:asciiTheme="minorHAnsi" w:eastAsiaTheme="minorEastAsia" w:hAnsiTheme="minorHAnsi" w:cstheme="minorBidi"/>
        </w:rPr>
        <w:t xml:space="preserve"> </w:t>
      </w:r>
      <w:r w:rsidR="000B78F5" w:rsidRPr="00C0236C">
        <w:rPr>
          <w:rFonts w:asciiTheme="minorHAnsi" w:eastAsiaTheme="minorEastAsia" w:hAnsiTheme="minorHAnsi" w:cstheme="minorBidi"/>
          <w:color w:val="000000"/>
          <w:w w:val="15"/>
          <w:shd w:val="solid" w:color="000000" w:fill="000000"/>
          <w:fitText w:val="-20" w:id="-694973942"/>
          <w14:textFill>
            <w14:solidFill>
              <w14:srgbClr w14:val="000000">
                <w14:alpha w14:val="100000"/>
              </w14:srgbClr>
            </w14:solidFill>
          </w14:textFill>
        </w:rPr>
        <w:t>|</w:t>
      </w:r>
      <w:r w:rsidR="00F87B86" w:rsidRPr="00C0236C">
        <w:rPr>
          <w:rFonts w:asciiTheme="minorHAnsi" w:eastAsiaTheme="minorEastAsia" w:hAnsiTheme="minorHAnsi" w:cstheme="minorBidi"/>
          <w:color w:val="000000"/>
          <w:w w:val="15"/>
          <w:shd w:val="solid" w:color="000000" w:fill="000000"/>
          <w:fitText w:val="-20" w:id="-694973942"/>
          <w14:textFill>
            <w14:solidFill>
              <w14:srgbClr w14:val="000000">
                <w14:alpha w14:val="100000"/>
              </w14:srgbClr>
            </w14:solidFill>
          </w14:textFill>
        </w:rPr>
        <w:t xml:space="preserve"> </w:t>
      </w:r>
      <w:r w:rsidR="000B78F5" w:rsidRPr="00C0236C">
        <w:rPr>
          <w:rFonts w:asciiTheme="minorHAnsi" w:eastAsiaTheme="minorEastAsia" w:hAnsiTheme="minorHAnsi" w:cstheme="minorBidi"/>
          <w:color w:val="000000"/>
          <w:spacing w:val="-61"/>
          <w:w w:val="15"/>
          <w:shd w:val="solid" w:color="000000" w:fill="000000"/>
          <w:fitText w:val="-20" w:id="-694973942"/>
          <w14:textFill>
            <w14:solidFill>
              <w14:srgbClr w14:val="000000">
                <w14:alpha w14:val="100000"/>
              </w14:srgbClr>
            </w14:solidFill>
          </w14:textFill>
        </w:rPr>
        <w:t>|</w:t>
      </w:r>
      <w:r>
        <w:rPr>
          <w:rFonts w:asciiTheme="minorHAnsi" w:eastAsiaTheme="minorEastAsia" w:hAnsiTheme="minorHAnsi" w:cstheme="minorBidi"/>
        </w:rPr>
        <w:t>% to</w:t>
      </w:r>
      <w:r w:rsidR="000B78F5">
        <w:rPr>
          <w:rFonts w:asciiTheme="minorHAnsi" w:eastAsiaTheme="minorEastAsia" w:hAnsiTheme="minorHAnsi" w:cstheme="minorBidi"/>
        </w:rPr>
        <w:t xml:space="preserve"> </w:t>
      </w:r>
      <w:r w:rsidR="000B78F5" w:rsidRPr="00C0236C">
        <w:rPr>
          <w:rFonts w:asciiTheme="minorHAnsi" w:eastAsiaTheme="minorEastAsia" w:hAnsiTheme="minorHAnsi" w:cstheme="minorBidi"/>
          <w:color w:val="000000"/>
          <w:w w:val="15"/>
          <w:shd w:val="solid" w:color="000000" w:fill="000000"/>
          <w:fitText w:val="-20" w:id="-694973941"/>
          <w14:textFill>
            <w14:solidFill>
              <w14:srgbClr w14:val="000000">
                <w14:alpha w14:val="100000"/>
              </w14:srgbClr>
            </w14:solidFill>
          </w14:textFill>
        </w:rPr>
        <w:t>|</w:t>
      </w:r>
      <w:r w:rsidR="00F87B86" w:rsidRPr="00C0236C">
        <w:rPr>
          <w:rFonts w:asciiTheme="minorHAnsi" w:eastAsiaTheme="minorEastAsia" w:hAnsiTheme="minorHAnsi" w:cstheme="minorBidi"/>
          <w:color w:val="000000"/>
          <w:w w:val="15"/>
          <w:shd w:val="solid" w:color="000000" w:fill="000000"/>
          <w:fitText w:val="-20" w:id="-694973941"/>
          <w14:textFill>
            <w14:solidFill>
              <w14:srgbClr w14:val="000000">
                <w14:alpha w14:val="100000"/>
              </w14:srgbClr>
            </w14:solidFill>
          </w14:textFill>
        </w:rPr>
        <w:t xml:space="preserve"> </w:t>
      </w:r>
      <w:r w:rsidR="000B78F5" w:rsidRPr="00C0236C">
        <w:rPr>
          <w:rFonts w:asciiTheme="minorHAnsi" w:eastAsiaTheme="minorEastAsia" w:hAnsiTheme="minorHAnsi" w:cstheme="minorBidi"/>
          <w:color w:val="000000"/>
          <w:spacing w:val="-61"/>
          <w:w w:val="15"/>
          <w:shd w:val="solid" w:color="000000" w:fill="000000"/>
          <w:fitText w:val="-20" w:id="-694973941"/>
          <w14:textFill>
            <w14:solidFill>
              <w14:srgbClr w14:val="000000">
                <w14:alpha w14:val="100000"/>
              </w14:srgbClr>
            </w14:solidFill>
          </w14:textFill>
        </w:rPr>
        <w:t>|</w:t>
      </w:r>
      <w:r>
        <w:rPr>
          <w:rFonts w:asciiTheme="minorHAnsi" w:eastAsiaTheme="minorEastAsia" w:hAnsiTheme="minorHAnsi" w:cstheme="minorBidi"/>
        </w:rPr>
        <w:t xml:space="preserve">%). </w:t>
      </w:r>
      <w:r w:rsidR="00823AD4">
        <w:rPr>
          <w:rFonts w:asciiTheme="minorHAnsi" w:eastAsiaTheme="minorEastAsia" w:hAnsiTheme="minorHAnsi" w:cstheme="minorBidi"/>
        </w:rPr>
        <w:t>The rate of uptake in the prevalent population remained at the original range of</w:t>
      </w:r>
      <w:r w:rsidR="000B78F5">
        <w:rPr>
          <w:rFonts w:asciiTheme="minorHAnsi" w:eastAsiaTheme="minorEastAsia" w:hAnsiTheme="minorHAnsi" w:cstheme="minorBidi"/>
        </w:rPr>
        <w:t xml:space="preserve"> </w:t>
      </w:r>
      <w:r w:rsidR="000B78F5" w:rsidRPr="00C0236C">
        <w:rPr>
          <w:rFonts w:asciiTheme="minorHAnsi" w:eastAsiaTheme="minorEastAsia" w:hAnsiTheme="minorHAnsi" w:cstheme="minorBidi"/>
          <w:color w:val="000000"/>
          <w:w w:val="15"/>
          <w:shd w:val="solid" w:color="000000" w:fill="000000"/>
          <w:fitText w:val="-20" w:id="-694973940"/>
          <w14:textFill>
            <w14:solidFill>
              <w14:srgbClr w14:val="000000">
                <w14:alpha w14:val="100000"/>
              </w14:srgbClr>
            </w14:solidFill>
          </w14:textFill>
        </w:rPr>
        <w:t>|</w:t>
      </w:r>
      <w:r w:rsidR="00F87B86" w:rsidRPr="00C0236C">
        <w:rPr>
          <w:rFonts w:asciiTheme="minorHAnsi" w:eastAsiaTheme="minorEastAsia" w:hAnsiTheme="minorHAnsi" w:cstheme="minorBidi"/>
          <w:color w:val="000000"/>
          <w:w w:val="15"/>
          <w:shd w:val="solid" w:color="000000" w:fill="000000"/>
          <w:fitText w:val="-20" w:id="-694973940"/>
          <w14:textFill>
            <w14:solidFill>
              <w14:srgbClr w14:val="000000">
                <w14:alpha w14:val="100000"/>
              </w14:srgbClr>
            </w14:solidFill>
          </w14:textFill>
        </w:rPr>
        <w:t xml:space="preserve"> </w:t>
      </w:r>
      <w:r w:rsidR="000B78F5" w:rsidRPr="00C0236C">
        <w:rPr>
          <w:rFonts w:asciiTheme="minorHAnsi" w:eastAsiaTheme="minorEastAsia" w:hAnsiTheme="minorHAnsi" w:cstheme="minorBidi"/>
          <w:color w:val="000000"/>
          <w:spacing w:val="-61"/>
          <w:w w:val="15"/>
          <w:shd w:val="solid" w:color="000000" w:fill="000000"/>
          <w:fitText w:val="-20" w:id="-694973940"/>
          <w14:textFill>
            <w14:solidFill>
              <w14:srgbClr w14:val="000000">
                <w14:alpha w14:val="100000"/>
              </w14:srgbClr>
            </w14:solidFill>
          </w14:textFill>
        </w:rPr>
        <w:t>|</w:t>
      </w:r>
      <w:r w:rsidR="00823AD4">
        <w:rPr>
          <w:rFonts w:asciiTheme="minorHAnsi" w:eastAsiaTheme="minorEastAsia" w:hAnsiTheme="minorHAnsi" w:cstheme="minorBidi"/>
        </w:rPr>
        <w:t>% to</w:t>
      </w:r>
      <w:r w:rsidR="000B78F5">
        <w:rPr>
          <w:rFonts w:asciiTheme="minorHAnsi" w:eastAsiaTheme="minorEastAsia" w:hAnsiTheme="minorHAnsi" w:cstheme="minorBidi"/>
        </w:rPr>
        <w:t xml:space="preserve"> </w:t>
      </w:r>
      <w:r w:rsidR="000B78F5" w:rsidRPr="00C0236C">
        <w:rPr>
          <w:rFonts w:asciiTheme="minorHAnsi" w:eastAsiaTheme="minorEastAsia" w:hAnsiTheme="minorHAnsi" w:cstheme="minorBidi"/>
          <w:color w:val="000000"/>
          <w:w w:val="15"/>
          <w:shd w:val="solid" w:color="000000" w:fill="000000"/>
          <w:fitText w:val="-20" w:id="-694973939"/>
          <w14:textFill>
            <w14:solidFill>
              <w14:srgbClr w14:val="000000">
                <w14:alpha w14:val="100000"/>
              </w14:srgbClr>
            </w14:solidFill>
          </w14:textFill>
        </w:rPr>
        <w:t>|</w:t>
      </w:r>
      <w:r w:rsidR="00F87B86" w:rsidRPr="00C0236C">
        <w:rPr>
          <w:rFonts w:asciiTheme="minorHAnsi" w:eastAsiaTheme="minorEastAsia" w:hAnsiTheme="minorHAnsi" w:cstheme="minorBidi"/>
          <w:color w:val="000000"/>
          <w:w w:val="15"/>
          <w:shd w:val="solid" w:color="000000" w:fill="000000"/>
          <w:fitText w:val="-20" w:id="-694973939"/>
          <w14:textFill>
            <w14:solidFill>
              <w14:srgbClr w14:val="000000">
                <w14:alpha w14:val="100000"/>
              </w14:srgbClr>
            </w14:solidFill>
          </w14:textFill>
        </w:rPr>
        <w:t xml:space="preserve"> </w:t>
      </w:r>
      <w:r w:rsidR="000B78F5" w:rsidRPr="00C0236C">
        <w:rPr>
          <w:rFonts w:asciiTheme="minorHAnsi" w:eastAsiaTheme="minorEastAsia" w:hAnsiTheme="minorHAnsi" w:cstheme="minorBidi"/>
          <w:color w:val="000000"/>
          <w:spacing w:val="-61"/>
          <w:w w:val="15"/>
          <w:shd w:val="solid" w:color="000000" w:fill="000000"/>
          <w:fitText w:val="-20" w:id="-694973939"/>
          <w14:textFill>
            <w14:solidFill>
              <w14:srgbClr w14:val="000000">
                <w14:alpha w14:val="100000"/>
              </w14:srgbClr>
            </w14:solidFill>
          </w14:textFill>
        </w:rPr>
        <w:t>|</w:t>
      </w:r>
      <w:r w:rsidR="00823AD4">
        <w:rPr>
          <w:rFonts w:asciiTheme="minorHAnsi" w:eastAsiaTheme="minorEastAsia" w:hAnsiTheme="minorHAnsi" w:cstheme="minorBidi"/>
        </w:rPr>
        <w:t>% presented in the resubmission</w:t>
      </w:r>
      <w:r w:rsidR="004763C7">
        <w:rPr>
          <w:rFonts w:asciiTheme="minorHAnsi" w:eastAsiaTheme="minorEastAsia" w:hAnsiTheme="minorHAnsi" w:cstheme="minorBidi"/>
        </w:rPr>
        <w:t>; and</w:t>
      </w:r>
    </w:p>
    <w:p w14:paraId="03A50F1F" w14:textId="4B91C92C" w:rsidR="00C32E89" w:rsidRPr="00823AD4" w:rsidRDefault="004763C7" w:rsidP="00E05CE2">
      <w:pPr>
        <w:numPr>
          <w:ilvl w:val="0"/>
          <w:numId w:val="10"/>
        </w:numPr>
        <w:spacing w:before="60" w:after="60"/>
        <w:ind w:left="993"/>
        <w:rPr>
          <w:rFonts w:eastAsiaTheme="minorHAnsi"/>
        </w:rPr>
      </w:pPr>
      <w:r>
        <w:rPr>
          <w:rFonts w:asciiTheme="minorHAnsi" w:eastAsiaTheme="minorEastAsia" w:hAnsiTheme="minorHAnsi" w:cstheme="minorBidi"/>
        </w:rPr>
        <w:lastRenderedPageBreak/>
        <w:t xml:space="preserve">Included the price reduction proposed in the pre-PBAC response (see paragraph </w:t>
      </w:r>
      <w:r>
        <w:rPr>
          <w:rFonts w:asciiTheme="minorHAnsi" w:eastAsiaTheme="minorEastAsia" w:hAnsiTheme="minorHAnsi" w:cstheme="minorBidi"/>
        </w:rPr>
        <w:fldChar w:fldCharType="begin" w:fldLock="1"/>
      </w:r>
      <w:r>
        <w:rPr>
          <w:rFonts w:asciiTheme="minorHAnsi" w:eastAsiaTheme="minorEastAsia" w:hAnsiTheme="minorHAnsi" w:cstheme="minorBidi"/>
        </w:rPr>
        <w:instrText xml:space="preserve"> REF _Ref194308825 \r \h </w:instrText>
      </w:r>
      <w:r>
        <w:rPr>
          <w:rFonts w:asciiTheme="minorHAnsi" w:eastAsiaTheme="minorEastAsia" w:hAnsiTheme="minorHAnsi" w:cstheme="minorBidi"/>
        </w:rPr>
      </w:r>
      <w:r>
        <w:rPr>
          <w:rFonts w:asciiTheme="minorHAnsi" w:eastAsiaTheme="minorEastAsia" w:hAnsiTheme="minorHAnsi" w:cstheme="minorBidi"/>
        </w:rPr>
        <w:fldChar w:fldCharType="separate"/>
      </w:r>
      <w:r>
        <w:rPr>
          <w:rFonts w:asciiTheme="minorHAnsi" w:eastAsiaTheme="minorEastAsia" w:hAnsiTheme="minorHAnsi" w:cstheme="minorBidi"/>
        </w:rPr>
        <w:t>3.2</w:t>
      </w:r>
      <w:r>
        <w:rPr>
          <w:rFonts w:asciiTheme="minorHAnsi" w:eastAsiaTheme="minorEastAsia" w:hAnsiTheme="minorHAnsi" w:cstheme="minorBidi"/>
        </w:rPr>
        <w:fldChar w:fldCharType="end"/>
      </w:r>
      <w:r>
        <w:rPr>
          <w:rFonts w:asciiTheme="minorHAnsi" w:eastAsiaTheme="minorEastAsia" w:hAnsiTheme="minorHAnsi" w:cstheme="minorBidi"/>
        </w:rPr>
        <w:t>).</w:t>
      </w:r>
      <w:r w:rsidR="00823AD4">
        <w:rPr>
          <w:rFonts w:asciiTheme="minorHAnsi" w:eastAsiaTheme="minorEastAsia" w:hAnsiTheme="minorHAnsi" w:cstheme="minorBidi"/>
        </w:rPr>
        <w:t xml:space="preserve"> </w:t>
      </w:r>
    </w:p>
    <w:p w14:paraId="4591A0EA" w14:textId="4741D553" w:rsidR="00C32E89" w:rsidRPr="00A66286" w:rsidRDefault="00C32E89" w:rsidP="00C32E89">
      <w:pPr>
        <w:spacing w:before="60" w:after="60"/>
        <w:ind w:left="633"/>
        <w:rPr>
          <w:rFonts w:eastAsiaTheme="minorHAnsi"/>
        </w:rPr>
      </w:pPr>
      <w:r>
        <w:rPr>
          <w:rFonts w:asciiTheme="minorHAnsi" w:eastAsiaTheme="minorEastAsia" w:hAnsiTheme="minorHAnsi" w:cstheme="minorBidi"/>
        </w:rPr>
        <w:t xml:space="preserve">The pre-PBAC response noted that the resulting net cost to the PBS/RPBS of listing ruxolitinib was estimated to be </w:t>
      </w:r>
      <w:r w:rsidR="00F620AF" w:rsidRPr="00F620AF">
        <w:rPr>
          <w:rFonts w:asciiTheme="minorHAnsi" w:eastAsiaTheme="minorEastAsia" w:hAnsiTheme="minorHAnsi" w:cstheme="minorBidi"/>
        </w:rPr>
        <w:t>$40 million to &lt; $50 million</w:t>
      </w:r>
      <w:r w:rsidR="00E23DD0">
        <w:rPr>
          <w:rFonts w:asciiTheme="minorHAnsi" w:eastAsiaTheme="minorEastAsia" w:hAnsiTheme="minorHAnsi" w:cstheme="minorBidi"/>
        </w:rPr>
        <w:t xml:space="preserve"> </w:t>
      </w:r>
      <w:r>
        <w:rPr>
          <w:rFonts w:asciiTheme="minorHAnsi" w:eastAsiaTheme="minorEastAsia" w:hAnsiTheme="minorHAnsi" w:cstheme="minorBidi"/>
        </w:rPr>
        <w:t>over 6 years.</w:t>
      </w:r>
      <w:r w:rsidR="00F87B86">
        <w:rPr>
          <w:rFonts w:asciiTheme="minorHAnsi" w:eastAsiaTheme="minorEastAsia" w:hAnsiTheme="minorHAnsi" w:cstheme="minorBidi"/>
        </w:rPr>
        <w:t xml:space="preserve"> </w:t>
      </w:r>
    </w:p>
    <w:p w14:paraId="19ABDC63" w14:textId="77777777" w:rsidR="008975CB" w:rsidRPr="008975CB" w:rsidRDefault="008975CB" w:rsidP="008975CB">
      <w:pPr>
        <w:keepNext/>
        <w:spacing w:before="120" w:after="120"/>
        <w:outlineLvl w:val="1"/>
        <w:rPr>
          <w:rFonts w:asciiTheme="minorHAnsi" w:eastAsiaTheme="majorEastAsia" w:hAnsiTheme="minorHAnsi" w:cstheme="majorBidi"/>
          <w:b/>
          <w:i/>
          <w:spacing w:val="5"/>
          <w:kern w:val="28"/>
          <w:sz w:val="28"/>
          <w:szCs w:val="36"/>
          <w:lang w:eastAsia="en-US"/>
        </w:rPr>
      </w:pPr>
      <w:bookmarkStart w:id="99" w:name="_Toc22897648"/>
      <w:bookmarkStart w:id="100" w:name="_Toc184797850"/>
      <w:r w:rsidRPr="008975CB">
        <w:rPr>
          <w:rFonts w:asciiTheme="minorHAnsi" w:eastAsiaTheme="majorEastAsia" w:hAnsiTheme="minorHAnsi" w:cstheme="majorBidi"/>
          <w:b/>
          <w:i/>
          <w:spacing w:val="5"/>
          <w:kern w:val="28"/>
          <w:sz w:val="28"/>
          <w:szCs w:val="36"/>
          <w:lang w:eastAsia="en-US"/>
        </w:rPr>
        <w:t>Quality Use of Medicines</w:t>
      </w:r>
      <w:bookmarkEnd w:id="99"/>
      <w:bookmarkEnd w:id="100"/>
    </w:p>
    <w:p w14:paraId="3A5CC45E" w14:textId="153C9419" w:rsidR="008975CB" w:rsidRPr="008975CB" w:rsidRDefault="008975CB" w:rsidP="00116105">
      <w:pPr>
        <w:pStyle w:val="3-BodyText"/>
      </w:pPr>
      <w:r w:rsidRPr="0F1D33A4">
        <w:t>At the November 2019 meeting for the previous submission, the PBAC had noted that provision for ruxolitinib dosing to be tapered down in the event of treatment discontinuation had not been provided in the requested restriction (para 6.83, ruxolitinib, PSD, November 2019 PBAC meeting). The resubmission acknowledged that treatment with ruxolitinib involves a dose titration period where patients’ dose is increased in 5 mg BD increments to reach a maximum dose. During this period patients are required to be closely monitored by the treating physician. The sponsor has proposed to work collaboratively with healthcare practitioners to ensure that ruxolitinib is used appropriately. Additionally, advice received from the Australian PV Advisory Board indicated that there was agreement amongst the clinical experts there was no need for the proposed restriction to mandate dose tapering when patients discontinue treatment (Australian PV Advisory Board Minutes; Attachment 5).</w:t>
      </w:r>
    </w:p>
    <w:p w14:paraId="13E614DB" w14:textId="77777777" w:rsidR="008975CB" w:rsidRPr="008975CB" w:rsidRDefault="008975CB" w:rsidP="008975CB">
      <w:pPr>
        <w:keepNext/>
        <w:spacing w:before="120" w:after="120"/>
        <w:outlineLvl w:val="1"/>
        <w:rPr>
          <w:rFonts w:asciiTheme="minorHAnsi" w:eastAsiaTheme="majorEastAsia" w:hAnsiTheme="minorHAnsi" w:cstheme="majorBidi"/>
          <w:b/>
          <w:i/>
          <w:spacing w:val="5"/>
          <w:kern w:val="28"/>
          <w:sz w:val="28"/>
          <w:szCs w:val="36"/>
          <w:lang w:eastAsia="en-US"/>
        </w:rPr>
      </w:pPr>
      <w:bookmarkStart w:id="101" w:name="_Toc22897649"/>
      <w:bookmarkStart w:id="102" w:name="_Toc184797851"/>
      <w:r w:rsidRPr="008975CB">
        <w:rPr>
          <w:rFonts w:asciiTheme="minorHAnsi" w:eastAsiaTheme="majorEastAsia" w:hAnsiTheme="minorHAnsi" w:cstheme="majorBidi"/>
          <w:b/>
          <w:i/>
          <w:spacing w:val="5"/>
          <w:kern w:val="28"/>
          <w:sz w:val="28"/>
          <w:szCs w:val="36"/>
          <w:lang w:eastAsia="en-US"/>
        </w:rPr>
        <w:t>Financial Management – Risk Sharing Arrangements</w:t>
      </w:r>
      <w:bookmarkEnd w:id="101"/>
      <w:bookmarkEnd w:id="102"/>
    </w:p>
    <w:p w14:paraId="7CBACCB4" w14:textId="098B15C9" w:rsidR="008975CB" w:rsidRPr="004932E5" w:rsidRDefault="008975CB" w:rsidP="005670D5">
      <w:pPr>
        <w:pStyle w:val="3-BodyText"/>
        <w:rPr>
          <w:i/>
          <w:iCs/>
        </w:rPr>
      </w:pPr>
      <w:r w:rsidRPr="008975CB">
        <w:t>No risk-sharing arrangements were proposed in the resubmission.</w:t>
      </w:r>
    </w:p>
    <w:p w14:paraId="72EB6A94" w14:textId="7BB2CC44" w:rsidR="008975CB" w:rsidRPr="00A270A5" w:rsidRDefault="004932E5" w:rsidP="00A270A5">
      <w:pPr>
        <w:pStyle w:val="3-BodyText"/>
        <w:numPr>
          <w:ilvl w:val="0"/>
          <w:numId w:val="0"/>
        </w:numPr>
        <w:ind w:left="720"/>
        <w:rPr>
          <w:i/>
          <w:iCs/>
        </w:rPr>
      </w:pPr>
      <w:r w:rsidRPr="004932E5">
        <w:rPr>
          <w:i/>
          <w:iCs/>
        </w:rPr>
        <w:t>For more detail on PBAC’s view, see section 7 PBAC outcome.</w:t>
      </w:r>
    </w:p>
    <w:p w14:paraId="2B21BECB" w14:textId="77777777" w:rsidR="00A270A5" w:rsidRPr="00A270A5" w:rsidRDefault="00A270A5" w:rsidP="009E06E3">
      <w:pPr>
        <w:keepNext/>
        <w:numPr>
          <w:ilvl w:val="0"/>
          <w:numId w:val="5"/>
        </w:numPr>
        <w:spacing w:before="240" w:after="120"/>
        <w:jc w:val="left"/>
        <w:outlineLvl w:val="0"/>
        <w:rPr>
          <w:rFonts w:asciiTheme="minorHAnsi" w:hAnsiTheme="minorHAnsi"/>
          <w:b/>
          <w:snapToGrid w:val="0"/>
          <w:sz w:val="32"/>
          <w:szCs w:val="32"/>
        </w:rPr>
      </w:pPr>
      <w:bookmarkStart w:id="103" w:name="_Hlk76381249"/>
      <w:bookmarkStart w:id="104" w:name="_Hlk76377955"/>
      <w:bookmarkStart w:id="105" w:name="_Toc184797855"/>
      <w:r w:rsidRPr="00A270A5">
        <w:rPr>
          <w:rFonts w:asciiTheme="minorHAnsi" w:hAnsiTheme="minorHAnsi"/>
          <w:b/>
          <w:snapToGrid w:val="0"/>
          <w:sz w:val="32"/>
          <w:szCs w:val="32"/>
        </w:rPr>
        <w:t>PBAC Outcome</w:t>
      </w:r>
    </w:p>
    <w:p w14:paraId="0217ECC7" w14:textId="72EBB66A" w:rsidR="00A270A5" w:rsidRDefault="00A270A5" w:rsidP="009E06E3">
      <w:pPr>
        <w:widowControl w:val="0"/>
        <w:numPr>
          <w:ilvl w:val="1"/>
          <w:numId w:val="5"/>
        </w:numPr>
        <w:spacing w:after="120"/>
        <w:rPr>
          <w:rFonts w:asciiTheme="minorHAnsi" w:hAnsiTheme="minorHAnsi"/>
          <w:snapToGrid w:val="0"/>
          <w:lang w:val="en-GB" w:eastAsia="en-US"/>
        </w:rPr>
      </w:pPr>
      <w:r w:rsidRPr="00A270A5">
        <w:rPr>
          <w:rFonts w:asciiTheme="minorHAnsi" w:hAnsiTheme="minorHAnsi"/>
          <w:snapToGrid w:val="0"/>
          <w:lang w:val="en-GB" w:eastAsia="en-US"/>
        </w:rPr>
        <w:t xml:space="preserve">The PBAC recommended the listing of </w:t>
      </w:r>
      <w:r w:rsidR="006E3FE0" w:rsidRPr="0910F2D2">
        <w:t>listing for ruxolitinib for the treatment of adult patients with polycythaemia vera (PV) who are resistant to or intolerant of hydroxycarbamide (hydroxyurea) (HC/HU)</w:t>
      </w:r>
      <w:r w:rsidRPr="00A270A5">
        <w:rPr>
          <w:rFonts w:asciiTheme="minorHAnsi" w:hAnsiTheme="minorHAnsi"/>
          <w:snapToGrid w:val="0"/>
          <w:lang w:val="en-GB" w:eastAsia="en-US"/>
        </w:rPr>
        <w:t>.</w:t>
      </w:r>
      <w:r w:rsidR="007A6A2B">
        <w:rPr>
          <w:rFonts w:asciiTheme="minorHAnsi" w:hAnsiTheme="minorHAnsi"/>
          <w:snapToGrid w:val="0"/>
          <w:lang w:val="en-GB" w:eastAsia="en-US"/>
        </w:rPr>
        <w:t xml:space="preserve"> </w:t>
      </w:r>
      <w:r w:rsidR="007B1909">
        <w:rPr>
          <w:rFonts w:asciiTheme="minorHAnsi" w:hAnsiTheme="minorHAnsi"/>
          <w:snapToGrid w:val="0"/>
          <w:lang w:val="en-GB" w:eastAsia="en-US"/>
        </w:rPr>
        <w:t xml:space="preserve">The </w:t>
      </w:r>
      <w:r w:rsidR="00B817EE">
        <w:rPr>
          <w:rFonts w:asciiTheme="minorHAnsi" w:hAnsiTheme="minorHAnsi"/>
          <w:snapToGrid w:val="0"/>
          <w:lang w:val="en-GB" w:eastAsia="en-US"/>
        </w:rPr>
        <w:t>PBAC noted the resubmission provided updated data w</w:t>
      </w:r>
      <w:r w:rsidR="00810E10">
        <w:rPr>
          <w:rFonts w:asciiTheme="minorHAnsi" w:hAnsiTheme="minorHAnsi"/>
          <w:snapToGrid w:val="0"/>
          <w:lang w:val="en-GB" w:eastAsia="en-US"/>
        </w:rPr>
        <w:t>hich reported</w:t>
      </w:r>
      <w:r w:rsidR="00B817EE">
        <w:rPr>
          <w:rFonts w:asciiTheme="minorHAnsi" w:hAnsiTheme="minorHAnsi"/>
          <w:snapToGrid w:val="0"/>
          <w:lang w:val="en-GB" w:eastAsia="en-US"/>
        </w:rPr>
        <w:t xml:space="preserve"> </w:t>
      </w:r>
      <w:r w:rsidR="00B817EE" w:rsidRPr="00946411">
        <w:t>significant improvements in major</w:t>
      </w:r>
      <w:r w:rsidR="006203A7">
        <w:t xml:space="preserve"> event-free survival</w:t>
      </w:r>
      <w:r w:rsidR="00B817EE" w:rsidRPr="00946411">
        <w:t xml:space="preserve"> </w:t>
      </w:r>
      <w:r w:rsidR="006203A7">
        <w:t>(</w:t>
      </w:r>
      <w:r w:rsidR="00B817EE" w:rsidRPr="00946411">
        <w:t>EFS</w:t>
      </w:r>
      <w:r w:rsidR="006203A7">
        <w:t>)</w:t>
      </w:r>
      <w:r w:rsidR="00B817EE" w:rsidRPr="00946411">
        <w:t>, reductions in venesections and improvements in duration of response</w:t>
      </w:r>
      <w:r w:rsidR="006203A7">
        <w:t xml:space="preserve"> </w:t>
      </w:r>
      <w:r w:rsidR="00810E10">
        <w:t>that</w:t>
      </w:r>
      <w:r w:rsidR="006203A7">
        <w:t xml:space="preserve"> were c</w:t>
      </w:r>
      <w:r w:rsidR="0025488B">
        <w:t>linically relevant.</w:t>
      </w:r>
      <w:r w:rsidR="00776501">
        <w:t xml:space="preserve"> </w:t>
      </w:r>
      <w:r w:rsidR="007C2590">
        <w:t xml:space="preserve">As such, </w:t>
      </w:r>
      <w:r w:rsidR="007C2590">
        <w:rPr>
          <w:rFonts w:asciiTheme="minorHAnsi" w:hAnsiTheme="minorHAnsi"/>
          <w:snapToGrid w:val="0"/>
          <w:lang w:val="en-GB" w:eastAsia="en-US"/>
        </w:rPr>
        <w:t>t</w:t>
      </w:r>
      <w:r w:rsidRPr="00E2163D">
        <w:rPr>
          <w:rFonts w:asciiTheme="minorHAnsi" w:hAnsiTheme="minorHAnsi"/>
          <w:snapToGrid w:val="0"/>
          <w:lang w:val="en-GB" w:eastAsia="en-US"/>
        </w:rPr>
        <w:t xml:space="preserve">he PBAC </w:t>
      </w:r>
      <w:r w:rsidR="00861F97">
        <w:rPr>
          <w:rFonts w:asciiTheme="minorHAnsi" w:hAnsiTheme="minorHAnsi"/>
          <w:snapToGrid w:val="0"/>
          <w:lang w:val="en-GB" w:eastAsia="en-US"/>
        </w:rPr>
        <w:t>i</w:t>
      </w:r>
      <w:r w:rsidRPr="00E2163D">
        <w:rPr>
          <w:rFonts w:asciiTheme="minorHAnsi" w:hAnsiTheme="minorHAnsi"/>
          <w:snapToGrid w:val="0"/>
          <w:lang w:val="en-GB" w:eastAsia="en-US"/>
        </w:rPr>
        <w:t xml:space="preserve">s satisfied that </w:t>
      </w:r>
      <w:r w:rsidR="003370B9" w:rsidRPr="00E2163D">
        <w:rPr>
          <w:rFonts w:asciiTheme="minorHAnsi" w:hAnsiTheme="minorHAnsi"/>
          <w:snapToGrid w:val="0"/>
          <w:lang w:val="en-GB" w:eastAsia="en-US"/>
        </w:rPr>
        <w:t>ruxol</w:t>
      </w:r>
      <w:r w:rsidR="007C572A" w:rsidRPr="00E2163D">
        <w:rPr>
          <w:rFonts w:asciiTheme="minorHAnsi" w:hAnsiTheme="minorHAnsi"/>
          <w:snapToGrid w:val="0"/>
          <w:lang w:val="en-GB" w:eastAsia="en-US"/>
        </w:rPr>
        <w:t>itinib</w:t>
      </w:r>
      <w:r w:rsidRPr="00E2163D">
        <w:rPr>
          <w:rFonts w:asciiTheme="minorHAnsi" w:hAnsiTheme="minorHAnsi"/>
          <w:snapToGrid w:val="0"/>
          <w:lang w:val="en-GB" w:eastAsia="en-US"/>
        </w:rPr>
        <w:t xml:space="preserve"> provides, for some patients, a significant improvement in efficacy over </w:t>
      </w:r>
      <w:r w:rsidR="000D0285" w:rsidRPr="0F1D33A4">
        <w:t>best available therapy (BAT)</w:t>
      </w:r>
      <w:r w:rsidR="007137CF" w:rsidRPr="00E2163D">
        <w:rPr>
          <w:rFonts w:asciiTheme="minorHAnsi" w:hAnsiTheme="minorHAnsi"/>
          <w:snapToGrid w:val="0"/>
          <w:lang w:val="en-GB" w:eastAsia="en-US"/>
        </w:rPr>
        <w:t xml:space="preserve">. </w:t>
      </w:r>
      <w:r w:rsidR="007137CF" w:rsidRPr="00BB47F4">
        <w:rPr>
          <w:rFonts w:asciiTheme="minorHAnsi" w:hAnsiTheme="minorHAnsi"/>
          <w:snapToGrid w:val="0"/>
          <w:lang w:val="en-GB" w:eastAsia="en-US"/>
        </w:rPr>
        <w:t>The PBAC</w:t>
      </w:r>
      <w:r w:rsidR="00BB47F4">
        <w:rPr>
          <w:rFonts w:asciiTheme="minorHAnsi" w:hAnsiTheme="minorHAnsi"/>
          <w:snapToGrid w:val="0"/>
          <w:lang w:val="en-GB" w:eastAsia="en-US"/>
        </w:rPr>
        <w:t xml:space="preserve"> noted that</w:t>
      </w:r>
      <w:r w:rsidR="00555356">
        <w:rPr>
          <w:rFonts w:asciiTheme="minorHAnsi" w:hAnsiTheme="minorHAnsi"/>
          <w:snapToGrid w:val="0"/>
          <w:lang w:val="en-GB" w:eastAsia="en-US"/>
        </w:rPr>
        <w:t xml:space="preserve"> while </w:t>
      </w:r>
      <w:r w:rsidR="00BB47F4">
        <w:rPr>
          <w:rFonts w:asciiTheme="minorHAnsi" w:hAnsiTheme="minorHAnsi"/>
          <w:snapToGrid w:val="0"/>
          <w:lang w:val="en-GB" w:eastAsia="en-US"/>
        </w:rPr>
        <w:t xml:space="preserve">no statistically significant differences in </w:t>
      </w:r>
      <w:r w:rsidR="00BB47F4" w:rsidRPr="009143BA">
        <w:rPr>
          <w:rFonts w:asciiTheme="minorHAnsi" w:hAnsiTheme="minorHAnsi"/>
          <w:snapToGrid w:val="0"/>
        </w:rPr>
        <w:t xml:space="preserve">progression-free survival (PFS) </w:t>
      </w:r>
      <w:r w:rsidR="00BB47F4">
        <w:rPr>
          <w:rFonts w:asciiTheme="minorHAnsi" w:hAnsiTheme="minorHAnsi"/>
          <w:snapToGrid w:val="0"/>
        </w:rPr>
        <w:t>or overall survival (OS) were reported in the clinical trial</w:t>
      </w:r>
      <w:r w:rsidR="00555356">
        <w:rPr>
          <w:rFonts w:asciiTheme="minorHAnsi" w:hAnsiTheme="minorHAnsi"/>
          <w:snapToGrid w:val="0"/>
        </w:rPr>
        <w:t xml:space="preserve"> evidence, differences in these outcomes were assumed </w:t>
      </w:r>
      <w:r w:rsidR="00024729">
        <w:rPr>
          <w:rFonts w:asciiTheme="minorHAnsi" w:hAnsiTheme="minorHAnsi"/>
          <w:snapToGrid w:val="0"/>
        </w:rPr>
        <w:t>in</w:t>
      </w:r>
      <w:r w:rsidR="00555356">
        <w:rPr>
          <w:rFonts w:asciiTheme="minorHAnsi" w:hAnsiTheme="minorHAnsi"/>
          <w:snapToGrid w:val="0"/>
        </w:rPr>
        <w:t xml:space="preserve"> the economic model and maintained throughout the 20 year time horizon. Despite revisions to the economic model inputs in the pre-PBAC response the PBAC considered the resulting </w:t>
      </w:r>
      <w:r w:rsidR="00CE05AC">
        <w:t>incremental cost-effectiveness ratio (ICER) remained uncertain</w:t>
      </w:r>
      <w:r w:rsidRPr="00BB47F4">
        <w:rPr>
          <w:rFonts w:asciiTheme="minorHAnsi" w:hAnsiTheme="minorHAnsi"/>
          <w:snapToGrid w:val="0"/>
          <w:lang w:val="en-GB" w:eastAsia="en-US"/>
        </w:rPr>
        <w:t>.</w:t>
      </w:r>
      <w:r w:rsidRPr="00E2163D">
        <w:rPr>
          <w:rFonts w:asciiTheme="minorHAnsi" w:hAnsiTheme="minorHAnsi"/>
          <w:snapToGrid w:val="0"/>
          <w:lang w:val="en-GB" w:eastAsia="en-US"/>
        </w:rPr>
        <w:t xml:space="preserve"> </w:t>
      </w:r>
      <w:r w:rsidR="00CE05AC">
        <w:rPr>
          <w:rFonts w:asciiTheme="minorHAnsi" w:hAnsiTheme="minorHAnsi"/>
          <w:snapToGrid w:val="0"/>
          <w:lang w:val="en-GB" w:eastAsia="en-US"/>
        </w:rPr>
        <w:t>The PBAC noted a cost-per-overall response was determined and advised that</w:t>
      </w:r>
      <w:r w:rsidR="005E051B">
        <w:rPr>
          <w:rFonts w:asciiTheme="minorHAnsi" w:hAnsiTheme="minorHAnsi"/>
          <w:snapToGrid w:val="0"/>
          <w:lang w:val="en-GB" w:eastAsia="en-US"/>
        </w:rPr>
        <w:t>, together with the economic model,</w:t>
      </w:r>
      <w:r w:rsidR="00CE05AC">
        <w:rPr>
          <w:rFonts w:asciiTheme="minorHAnsi" w:hAnsiTheme="minorHAnsi"/>
          <w:snapToGrid w:val="0"/>
          <w:lang w:val="en-GB" w:eastAsia="en-US"/>
        </w:rPr>
        <w:t xml:space="preserve"> it adequately supported the cost-effectiveness of ruxolitinib at the price proposed in the pre-PBAC response. </w:t>
      </w:r>
    </w:p>
    <w:p w14:paraId="2F97B97F" w14:textId="51C57DF3" w:rsidR="00DD5E95" w:rsidRDefault="00377C52" w:rsidP="009E06E3">
      <w:pPr>
        <w:widowControl w:val="0"/>
        <w:numPr>
          <w:ilvl w:val="1"/>
          <w:numId w:val="5"/>
        </w:numPr>
        <w:spacing w:after="120"/>
        <w:rPr>
          <w:rFonts w:asciiTheme="minorHAnsi" w:hAnsiTheme="minorHAnsi"/>
          <w:snapToGrid w:val="0"/>
          <w:lang w:val="en-GB" w:eastAsia="en-US"/>
        </w:rPr>
      </w:pPr>
      <w:r>
        <w:rPr>
          <w:rFonts w:asciiTheme="minorHAnsi" w:hAnsiTheme="minorHAnsi"/>
          <w:snapToGrid w:val="0"/>
          <w:lang w:val="en-GB" w:eastAsia="en-US"/>
        </w:rPr>
        <w:t xml:space="preserve">The PBAC noted the input from </w:t>
      </w:r>
      <w:r w:rsidR="008807B5">
        <w:rPr>
          <w:rFonts w:asciiTheme="minorHAnsi" w:hAnsiTheme="minorHAnsi"/>
          <w:snapToGrid w:val="0"/>
          <w:lang w:val="en-GB" w:eastAsia="en-US"/>
        </w:rPr>
        <w:t xml:space="preserve">individuals, health care professionals and organisations </w:t>
      </w:r>
      <w:r w:rsidR="000A23D8">
        <w:rPr>
          <w:rFonts w:asciiTheme="minorHAnsi" w:hAnsiTheme="minorHAnsi"/>
          <w:snapToGrid w:val="0"/>
          <w:lang w:val="en-GB" w:eastAsia="en-US"/>
        </w:rPr>
        <w:t xml:space="preserve">that </w:t>
      </w:r>
      <w:r w:rsidR="00AB23C9">
        <w:rPr>
          <w:rFonts w:asciiTheme="minorHAnsi" w:hAnsiTheme="minorHAnsi"/>
          <w:snapToGrid w:val="0"/>
          <w:lang w:val="en-GB" w:eastAsia="en-US"/>
        </w:rPr>
        <w:t>which described</w:t>
      </w:r>
      <w:r w:rsidR="000A23D8">
        <w:rPr>
          <w:rFonts w:asciiTheme="minorHAnsi" w:hAnsiTheme="minorHAnsi"/>
          <w:snapToGrid w:val="0"/>
          <w:lang w:val="en-GB" w:eastAsia="en-US"/>
        </w:rPr>
        <w:t xml:space="preserve"> the </w:t>
      </w:r>
      <w:r w:rsidR="00AB23C9">
        <w:rPr>
          <w:rFonts w:asciiTheme="minorHAnsi" w:hAnsiTheme="minorHAnsi"/>
          <w:snapToGrid w:val="0"/>
          <w:lang w:val="en-GB" w:eastAsia="en-US"/>
        </w:rPr>
        <w:t xml:space="preserve">burden of frequent hospital visits, along with </w:t>
      </w:r>
      <w:r w:rsidR="008E436B">
        <w:rPr>
          <w:rFonts w:asciiTheme="minorHAnsi" w:hAnsiTheme="minorHAnsi"/>
          <w:snapToGrid w:val="0"/>
          <w:lang w:val="en-GB" w:eastAsia="en-US"/>
        </w:rPr>
        <w:lastRenderedPageBreak/>
        <w:t xml:space="preserve">how </w:t>
      </w:r>
      <w:r w:rsidR="00AB23C9">
        <w:rPr>
          <w:rFonts w:asciiTheme="minorHAnsi" w:hAnsiTheme="minorHAnsi"/>
          <w:snapToGrid w:val="0"/>
          <w:lang w:val="en-GB" w:eastAsia="en-US"/>
        </w:rPr>
        <w:t>the symptoms and complications</w:t>
      </w:r>
      <w:r w:rsidR="000A23D8">
        <w:rPr>
          <w:rFonts w:asciiTheme="minorHAnsi" w:hAnsiTheme="minorHAnsi"/>
          <w:snapToGrid w:val="0"/>
          <w:lang w:val="en-GB" w:eastAsia="en-US"/>
        </w:rPr>
        <w:t xml:space="preserve"> of PV </w:t>
      </w:r>
      <w:r w:rsidR="00AB23C9">
        <w:rPr>
          <w:rFonts w:asciiTheme="minorHAnsi" w:hAnsiTheme="minorHAnsi"/>
          <w:snapToGrid w:val="0"/>
          <w:lang w:val="en-GB" w:eastAsia="en-US"/>
        </w:rPr>
        <w:t>significantly affect</w:t>
      </w:r>
      <w:r w:rsidR="000A23D8">
        <w:rPr>
          <w:rFonts w:asciiTheme="minorHAnsi" w:hAnsiTheme="minorHAnsi"/>
          <w:snapToGrid w:val="0"/>
          <w:lang w:val="en-GB" w:eastAsia="en-US"/>
        </w:rPr>
        <w:t xml:space="preserve"> </w:t>
      </w:r>
      <w:r w:rsidR="006452F7">
        <w:rPr>
          <w:rFonts w:asciiTheme="minorHAnsi" w:hAnsiTheme="minorHAnsi"/>
          <w:snapToGrid w:val="0"/>
          <w:lang w:val="en-GB" w:eastAsia="en-US"/>
        </w:rPr>
        <w:t>patients’</w:t>
      </w:r>
      <w:r w:rsidR="000A23D8">
        <w:rPr>
          <w:rFonts w:asciiTheme="minorHAnsi" w:hAnsiTheme="minorHAnsi"/>
          <w:snapToGrid w:val="0"/>
          <w:lang w:val="en-GB" w:eastAsia="en-US"/>
        </w:rPr>
        <w:t xml:space="preserve"> quality of life (QoL)</w:t>
      </w:r>
      <w:r w:rsidR="00536BE0">
        <w:rPr>
          <w:rFonts w:asciiTheme="minorHAnsi" w:hAnsiTheme="minorHAnsi"/>
          <w:snapToGrid w:val="0"/>
          <w:lang w:val="en-GB" w:eastAsia="en-US"/>
        </w:rPr>
        <w:t xml:space="preserve">. </w:t>
      </w:r>
      <w:r w:rsidR="004B0D60">
        <w:rPr>
          <w:rFonts w:asciiTheme="minorHAnsi" w:hAnsiTheme="minorHAnsi"/>
          <w:snapToGrid w:val="0"/>
          <w:lang w:val="en-GB" w:eastAsia="en-US"/>
        </w:rPr>
        <w:t xml:space="preserve">The PBAC noted the </w:t>
      </w:r>
      <w:r w:rsidR="0041643D">
        <w:rPr>
          <w:rFonts w:asciiTheme="minorHAnsi" w:hAnsiTheme="minorHAnsi"/>
          <w:snapToGrid w:val="0"/>
          <w:lang w:val="en-GB" w:eastAsia="en-US"/>
        </w:rPr>
        <w:t>input</w:t>
      </w:r>
      <w:r w:rsidR="00FB5973">
        <w:rPr>
          <w:rFonts w:asciiTheme="minorHAnsi" w:hAnsiTheme="minorHAnsi"/>
          <w:snapToGrid w:val="0"/>
          <w:lang w:val="en-GB" w:eastAsia="en-US"/>
        </w:rPr>
        <w:t xml:space="preserve"> </w:t>
      </w:r>
      <w:r w:rsidR="00AB23C9">
        <w:rPr>
          <w:rFonts w:asciiTheme="minorHAnsi" w:hAnsiTheme="minorHAnsi"/>
          <w:snapToGrid w:val="0"/>
          <w:lang w:val="en-GB" w:eastAsia="en-US"/>
        </w:rPr>
        <w:t xml:space="preserve">described the benefits of patients responding to ruxolitinib in terms of reducing complication rates and improving symptom burden. </w:t>
      </w:r>
      <w:r w:rsidR="004B0D60">
        <w:rPr>
          <w:rFonts w:asciiTheme="minorHAnsi" w:hAnsiTheme="minorHAnsi"/>
          <w:snapToGrid w:val="0"/>
          <w:lang w:val="en-GB" w:eastAsia="en-US"/>
        </w:rPr>
        <w:t xml:space="preserve">The PBAC noted the </w:t>
      </w:r>
      <w:r w:rsidR="0041643D">
        <w:rPr>
          <w:rFonts w:asciiTheme="minorHAnsi" w:hAnsiTheme="minorHAnsi"/>
          <w:snapToGrid w:val="0"/>
          <w:lang w:val="en-GB" w:eastAsia="en-US"/>
        </w:rPr>
        <w:t>input</w:t>
      </w:r>
      <w:r w:rsidR="00FB5973">
        <w:rPr>
          <w:rFonts w:asciiTheme="minorHAnsi" w:hAnsiTheme="minorHAnsi"/>
          <w:snapToGrid w:val="0"/>
          <w:lang w:val="en-GB" w:eastAsia="en-US"/>
        </w:rPr>
        <w:t xml:space="preserve"> </w:t>
      </w:r>
      <w:r w:rsidR="00AB23C9">
        <w:rPr>
          <w:rFonts w:asciiTheme="minorHAnsi" w:hAnsiTheme="minorHAnsi"/>
          <w:snapToGrid w:val="0"/>
          <w:lang w:val="en-GB" w:eastAsia="en-US"/>
        </w:rPr>
        <w:t xml:space="preserve">also </w:t>
      </w:r>
      <w:r w:rsidR="002651FB">
        <w:rPr>
          <w:rFonts w:asciiTheme="minorHAnsi" w:hAnsiTheme="minorHAnsi"/>
          <w:snapToGrid w:val="0"/>
          <w:lang w:val="en-GB" w:eastAsia="en-US"/>
        </w:rPr>
        <w:t xml:space="preserve">outlined the issues associated with the treatment options currently available </w:t>
      </w:r>
      <w:r w:rsidR="00182BB9">
        <w:rPr>
          <w:rFonts w:asciiTheme="minorHAnsi" w:hAnsiTheme="minorHAnsi"/>
          <w:snapToGrid w:val="0"/>
          <w:lang w:val="en-GB" w:eastAsia="en-US"/>
        </w:rPr>
        <w:t xml:space="preserve">(including supply concerns with </w:t>
      </w:r>
      <w:r w:rsidR="00182BB9" w:rsidRPr="00182BB9">
        <w:rPr>
          <w:rFonts w:asciiTheme="minorHAnsi" w:hAnsiTheme="minorHAnsi"/>
          <w:snapToGrid w:val="0"/>
          <w:lang w:val="en-GB" w:eastAsia="en-US"/>
        </w:rPr>
        <w:t>peginterferon α-2a)</w:t>
      </w:r>
      <w:r w:rsidR="00182BB9">
        <w:rPr>
          <w:rFonts w:asciiTheme="minorHAnsi" w:hAnsiTheme="minorHAnsi"/>
          <w:snapToGrid w:val="0"/>
          <w:lang w:val="en-GB" w:eastAsia="en-US"/>
        </w:rPr>
        <w:t xml:space="preserve"> </w:t>
      </w:r>
      <w:r w:rsidR="002651FB">
        <w:rPr>
          <w:rFonts w:asciiTheme="minorHAnsi" w:hAnsiTheme="minorHAnsi"/>
          <w:snapToGrid w:val="0"/>
          <w:lang w:val="en-GB" w:eastAsia="en-US"/>
        </w:rPr>
        <w:t xml:space="preserve">and </w:t>
      </w:r>
      <w:r w:rsidR="00DD5E95">
        <w:rPr>
          <w:rFonts w:asciiTheme="minorHAnsi" w:hAnsiTheme="minorHAnsi"/>
          <w:snapToGrid w:val="0"/>
          <w:lang w:val="en-GB" w:eastAsia="en-US"/>
        </w:rPr>
        <w:t>acknowledged</w:t>
      </w:r>
      <w:r w:rsidR="002651FB">
        <w:rPr>
          <w:rFonts w:asciiTheme="minorHAnsi" w:hAnsiTheme="minorHAnsi"/>
          <w:snapToGrid w:val="0"/>
          <w:lang w:val="en-GB" w:eastAsia="en-US"/>
        </w:rPr>
        <w:t xml:space="preserve"> the need for </w:t>
      </w:r>
      <w:r w:rsidR="00FB5973">
        <w:rPr>
          <w:rFonts w:asciiTheme="minorHAnsi" w:hAnsiTheme="minorHAnsi"/>
          <w:snapToGrid w:val="0"/>
          <w:lang w:val="en-GB" w:eastAsia="en-US"/>
        </w:rPr>
        <w:t xml:space="preserve">alternative therapies. </w:t>
      </w:r>
    </w:p>
    <w:p w14:paraId="59871F38" w14:textId="24B34B7B" w:rsidR="00E60D97" w:rsidRPr="00E60D97" w:rsidRDefault="007F238F" w:rsidP="009E06E3">
      <w:pPr>
        <w:widowControl w:val="0"/>
        <w:numPr>
          <w:ilvl w:val="1"/>
          <w:numId w:val="5"/>
        </w:numPr>
        <w:spacing w:after="120"/>
        <w:rPr>
          <w:rFonts w:asciiTheme="minorHAnsi" w:hAnsiTheme="minorHAnsi"/>
          <w:snapToGrid w:val="0"/>
          <w:lang w:val="en-GB" w:eastAsia="en-US"/>
        </w:rPr>
      </w:pPr>
      <w:r>
        <w:rPr>
          <w:rFonts w:asciiTheme="minorHAnsi" w:hAnsiTheme="minorHAnsi"/>
          <w:snapToGrid w:val="0"/>
          <w:lang w:val="en-GB" w:eastAsia="en-US"/>
        </w:rPr>
        <w:t>The PBAC noted the clinician</w:t>
      </w:r>
      <w:r w:rsidR="004D358F">
        <w:rPr>
          <w:rFonts w:asciiTheme="minorHAnsi" w:hAnsiTheme="minorHAnsi"/>
          <w:snapToGrid w:val="0"/>
          <w:lang w:val="en-GB" w:eastAsia="en-US"/>
        </w:rPr>
        <w:t xml:space="preserve"> in the sponsor hearing </w:t>
      </w:r>
      <w:r w:rsidR="006A51FE" w:rsidRPr="008B2386">
        <w:rPr>
          <w:snapToGrid w:val="0"/>
        </w:rPr>
        <w:t xml:space="preserve">raised the possibility of ruxolitinib being used </w:t>
      </w:r>
      <w:r w:rsidR="006452F7" w:rsidRPr="008B2386">
        <w:rPr>
          <w:snapToGrid w:val="0"/>
        </w:rPr>
        <w:t>second line</w:t>
      </w:r>
      <w:r w:rsidR="006A51FE" w:rsidRPr="008B2386">
        <w:rPr>
          <w:snapToGrid w:val="0"/>
        </w:rPr>
        <w:t xml:space="preserve"> </w:t>
      </w:r>
      <w:r w:rsidR="006A51FE">
        <w:rPr>
          <w:snapToGrid w:val="0"/>
        </w:rPr>
        <w:t xml:space="preserve">for patients treated with </w:t>
      </w:r>
      <w:r w:rsidR="006A51FE" w:rsidRPr="008B2386">
        <w:rPr>
          <w:snapToGrid w:val="0"/>
        </w:rPr>
        <w:t>peginterferon α-2a</w:t>
      </w:r>
      <w:r w:rsidR="006A51FE">
        <w:rPr>
          <w:snapToGrid w:val="0"/>
        </w:rPr>
        <w:t xml:space="preserve"> as first-line therapy</w:t>
      </w:r>
      <w:r w:rsidR="000451D4">
        <w:rPr>
          <w:snapToGrid w:val="0"/>
        </w:rPr>
        <w:t xml:space="preserve"> (</w:t>
      </w:r>
      <w:r w:rsidR="00745444">
        <w:rPr>
          <w:snapToGrid w:val="0"/>
        </w:rPr>
        <w:t>para</w:t>
      </w:r>
      <w:r w:rsidR="000451D4">
        <w:rPr>
          <w:snapToGrid w:val="0"/>
        </w:rPr>
        <w:t xml:space="preserve"> </w:t>
      </w:r>
      <w:r w:rsidR="000451D4">
        <w:rPr>
          <w:snapToGrid w:val="0"/>
        </w:rPr>
        <w:fldChar w:fldCharType="begin" w:fldLock="1"/>
      </w:r>
      <w:r w:rsidR="000451D4">
        <w:rPr>
          <w:snapToGrid w:val="0"/>
        </w:rPr>
        <w:instrText xml:space="preserve"> REF _Ref194228865 \r \h </w:instrText>
      </w:r>
      <w:r w:rsidR="000451D4">
        <w:rPr>
          <w:snapToGrid w:val="0"/>
        </w:rPr>
      </w:r>
      <w:r w:rsidR="000451D4">
        <w:rPr>
          <w:snapToGrid w:val="0"/>
        </w:rPr>
        <w:fldChar w:fldCharType="separate"/>
      </w:r>
      <w:r w:rsidR="000451D4">
        <w:rPr>
          <w:snapToGrid w:val="0"/>
        </w:rPr>
        <w:t>6.1</w:t>
      </w:r>
      <w:r w:rsidR="000451D4">
        <w:rPr>
          <w:snapToGrid w:val="0"/>
        </w:rPr>
        <w:fldChar w:fldCharType="end"/>
      </w:r>
      <w:r w:rsidR="000451D4">
        <w:rPr>
          <w:snapToGrid w:val="0"/>
        </w:rPr>
        <w:t>)</w:t>
      </w:r>
      <w:r w:rsidR="006A51FE" w:rsidRPr="008B2386">
        <w:rPr>
          <w:snapToGrid w:val="0"/>
        </w:rPr>
        <w:t>.</w:t>
      </w:r>
      <w:r w:rsidR="006A51FE">
        <w:rPr>
          <w:snapToGrid w:val="0"/>
        </w:rPr>
        <w:t xml:space="preserve"> The PBAC noted that use as second-line therapy for patients commenced on peginterferon </w:t>
      </w:r>
      <w:r w:rsidR="006A51FE" w:rsidRPr="008B2386">
        <w:rPr>
          <w:snapToGrid w:val="0"/>
        </w:rPr>
        <w:t xml:space="preserve">α-2a </w:t>
      </w:r>
      <w:r w:rsidR="002B20A5">
        <w:rPr>
          <w:snapToGrid w:val="0"/>
        </w:rPr>
        <w:t xml:space="preserve">first-line </w:t>
      </w:r>
      <w:r w:rsidR="006A51FE">
        <w:rPr>
          <w:snapToGrid w:val="0"/>
        </w:rPr>
        <w:t>was not consistent with the clinical trial evidence or the TGA indication</w:t>
      </w:r>
      <w:r w:rsidR="006A51FE">
        <w:t xml:space="preserve">. </w:t>
      </w:r>
      <w:r w:rsidR="002B20A5">
        <w:t>As such, t</w:t>
      </w:r>
      <w:r w:rsidR="00643217">
        <w:t xml:space="preserve">he PBAC considered </w:t>
      </w:r>
      <w:r w:rsidR="00552E8B">
        <w:t>that</w:t>
      </w:r>
      <w:r w:rsidR="007C7601">
        <w:t xml:space="preserve"> the </w:t>
      </w:r>
      <w:r w:rsidR="00F7103D">
        <w:t xml:space="preserve">clinical </w:t>
      </w:r>
      <w:r w:rsidR="007C7601">
        <w:t xml:space="preserve">place </w:t>
      </w:r>
      <w:r w:rsidR="00552E8B">
        <w:t>for</w:t>
      </w:r>
      <w:r w:rsidR="007C7601">
        <w:t xml:space="preserve"> ruxolitinib should </w:t>
      </w:r>
      <w:r w:rsidR="00D907BE">
        <w:t xml:space="preserve">be </w:t>
      </w:r>
      <w:r w:rsidR="00E60D97">
        <w:t xml:space="preserve">restricted to patients who were resistant to or intolerant of HC/HU. </w:t>
      </w:r>
    </w:p>
    <w:p w14:paraId="6761D4C8" w14:textId="77777777" w:rsidR="00CB2559" w:rsidRPr="00CB2559" w:rsidRDefault="00CB2559" w:rsidP="009E06E3">
      <w:pPr>
        <w:widowControl w:val="0"/>
        <w:numPr>
          <w:ilvl w:val="1"/>
          <w:numId w:val="5"/>
        </w:numPr>
        <w:spacing w:after="120"/>
        <w:rPr>
          <w:rFonts w:asciiTheme="minorHAnsi" w:hAnsiTheme="minorHAnsi"/>
          <w:snapToGrid w:val="0"/>
          <w:lang w:val="en-GB" w:eastAsia="en-US"/>
        </w:rPr>
      </w:pPr>
      <w:r>
        <w:rPr>
          <w:snapToGrid w:val="0"/>
        </w:rPr>
        <w:t>With regard to the requested listing and restriction, the PBAC advised that:</w:t>
      </w:r>
    </w:p>
    <w:p w14:paraId="72B9A11C" w14:textId="0EE7E14E" w:rsidR="00E2163D" w:rsidRPr="009E58AE" w:rsidRDefault="00B65102" w:rsidP="009E06E3">
      <w:pPr>
        <w:numPr>
          <w:ilvl w:val="0"/>
          <w:numId w:val="10"/>
        </w:numPr>
        <w:spacing w:before="60" w:after="60"/>
        <w:ind w:left="993"/>
        <w:rPr>
          <w:rFonts w:asciiTheme="minorHAnsi" w:hAnsiTheme="minorHAnsi"/>
          <w:snapToGrid w:val="0"/>
          <w:lang w:val="en-GB" w:eastAsia="en-US"/>
        </w:rPr>
      </w:pPr>
      <w:r>
        <w:rPr>
          <w:rFonts w:asciiTheme="minorHAnsi" w:hAnsiTheme="minorHAnsi"/>
          <w:bCs/>
          <w:snapToGrid w:val="0"/>
        </w:rPr>
        <w:t xml:space="preserve">A General Schedule </w:t>
      </w:r>
      <w:r w:rsidR="003109A5">
        <w:rPr>
          <w:rFonts w:asciiTheme="minorHAnsi" w:hAnsiTheme="minorHAnsi"/>
          <w:bCs/>
          <w:snapToGrid w:val="0"/>
        </w:rPr>
        <w:t xml:space="preserve">Authority Required </w:t>
      </w:r>
      <w:r w:rsidR="00015C48">
        <w:rPr>
          <w:rFonts w:asciiTheme="minorHAnsi" w:hAnsiTheme="minorHAnsi"/>
          <w:bCs/>
          <w:snapToGrid w:val="0"/>
        </w:rPr>
        <w:t>(Written</w:t>
      </w:r>
      <w:r w:rsidR="00D53F55">
        <w:rPr>
          <w:rFonts w:asciiTheme="minorHAnsi" w:hAnsiTheme="minorHAnsi"/>
          <w:bCs/>
          <w:snapToGrid w:val="0"/>
        </w:rPr>
        <w:t>/HPOS upload</w:t>
      </w:r>
      <w:r w:rsidR="003109A5">
        <w:rPr>
          <w:rFonts w:asciiTheme="minorHAnsi" w:hAnsiTheme="minorHAnsi"/>
          <w:bCs/>
          <w:snapToGrid w:val="0"/>
        </w:rPr>
        <w:t>) listing</w:t>
      </w:r>
      <w:r w:rsidR="00B76AEA">
        <w:rPr>
          <w:rFonts w:asciiTheme="minorHAnsi" w:hAnsiTheme="minorHAnsi"/>
          <w:bCs/>
          <w:snapToGrid w:val="0"/>
        </w:rPr>
        <w:t xml:space="preserve"> with 5 repeats</w:t>
      </w:r>
      <w:r w:rsidR="003109A5">
        <w:rPr>
          <w:rFonts w:asciiTheme="minorHAnsi" w:hAnsiTheme="minorHAnsi"/>
          <w:bCs/>
          <w:snapToGrid w:val="0"/>
        </w:rPr>
        <w:t xml:space="preserve"> was </w:t>
      </w:r>
      <w:r w:rsidR="00ED02EF">
        <w:rPr>
          <w:rFonts w:asciiTheme="minorHAnsi" w:hAnsiTheme="minorHAnsi"/>
          <w:bCs/>
          <w:snapToGrid w:val="0"/>
        </w:rPr>
        <w:t>appropriate for the initial</w:t>
      </w:r>
      <w:r w:rsidR="008271F8">
        <w:rPr>
          <w:rFonts w:asciiTheme="minorHAnsi" w:hAnsiTheme="minorHAnsi"/>
          <w:bCs/>
          <w:snapToGrid w:val="0"/>
        </w:rPr>
        <w:t xml:space="preserve"> treatment restriction. A General Schedule Authority Required (Telephone/Online PBS Authorities system) listing with 5 repeats was appropriate for the balance of initial treatment – up to 48 weeks</w:t>
      </w:r>
      <w:r w:rsidR="004A5DA9">
        <w:rPr>
          <w:rFonts w:asciiTheme="minorHAnsi" w:hAnsiTheme="minorHAnsi"/>
          <w:bCs/>
          <w:snapToGrid w:val="0"/>
        </w:rPr>
        <w:t xml:space="preserve">, first continuing and subsequent continuing treatment restrictions. </w:t>
      </w:r>
    </w:p>
    <w:p w14:paraId="37F42058" w14:textId="04CC5FF3" w:rsidR="009E58AE" w:rsidRDefault="00796C8B" w:rsidP="009E06E3">
      <w:pPr>
        <w:numPr>
          <w:ilvl w:val="0"/>
          <w:numId w:val="10"/>
        </w:numPr>
        <w:spacing w:before="60" w:after="60"/>
        <w:ind w:left="993"/>
        <w:rPr>
          <w:rFonts w:asciiTheme="minorHAnsi" w:hAnsiTheme="minorHAnsi"/>
          <w:snapToGrid w:val="0"/>
          <w:lang w:val="en-GB" w:eastAsia="en-US"/>
        </w:rPr>
      </w:pPr>
      <w:r>
        <w:rPr>
          <w:rFonts w:asciiTheme="minorHAnsi" w:hAnsiTheme="minorHAnsi"/>
          <w:snapToGrid w:val="0"/>
          <w:lang w:val="en-GB" w:eastAsia="en-US"/>
        </w:rPr>
        <w:t xml:space="preserve">The </w:t>
      </w:r>
      <w:r w:rsidR="00170790">
        <w:rPr>
          <w:rFonts w:asciiTheme="minorHAnsi" w:hAnsiTheme="minorHAnsi"/>
          <w:snapToGrid w:val="0"/>
          <w:lang w:val="en-GB" w:eastAsia="en-US"/>
        </w:rPr>
        <w:t xml:space="preserve">inclusion of a </w:t>
      </w:r>
      <w:r w:rsidR="00F10FFC">
        <w:rPr>
          <w:rFonts w:asciiTheme="minorHAnsi" w:hAnsiTheme="minorHAnsi"/>
          <w:snapToGrid w:val="0"/>
          <w:lang w:val="en-GB" w:eastAsia="en-US"/>
        </w:rPr>
        <w:t xml:space="preserve">population </w:t>
      </w:r>
      <w:r w:rsidR="00717FBC">
        <w:rPr>
          <w:rFonts w:asciiTheme="minorHAnsi" w:hAnsiTheme="minorHAnsi"/>
          <w:snapToGrid w:val="0"/>
          <w:lang w:val="en-GB" w:eastAsia="en-US"/>
        </w:rPr>
        <w:t>criteria stating a patient must be at least 18 years of age was appropriate</w:t>
      </w:r>
      <w:r w:rsidR="00992870">
        <w:rPr>
          <w:rFonts w:asciiTheme="minorHAnsi" w:hAnsiTheme="minorHAnsi"/>
          <w:snapToGrid w:val="0"/>
          <w:lang w:val="en-GB" w:eastAsia="en-US"/>
        </w:rPr>
        <w:t>.</w:t>
      </w:r>
    </w:p>
    <w:p w14:paraId="79ADF08A" w14:textId="09968B42" w:rsidR="006C4F2B" w:rsidRPr="00D655BD" w:rsidRDefault="006C4F2B" w:rsidP="00D655BD">
      <w:pPr>
        <w:numPr>
          <w:ilvl w:val="0"/>
          <w:numId w:val="10"/>
        </w:numPr>
        <w:spacing w:before="60" w:after="60"/>
        <w:ind w:left="993"/>
        <w:rPr>
          <w:rFonts w:asciiTheme="minorHAnsi" w:hAnsiTheme="minorHAnsi"/>
          <w:snapToGrid w:val="0"/>
          <w:lang w:val="en-GB" w:eastAsia="en-US"/>
        </w:rPr>
      </w:pPr>
      <w:r w:rsidRPr="00D655BD">
        <w:rPr>
          <w:rFonts w:asciiTheme="minorHAnsi" w:hAnsiTheme="minorHAnsi"/>
          <w:snapToGrid w:val="0"/>
          <w:lang w:val="en-GB" w:eastAsia="en-US"/>
        </w:rPr>
        <w:t>The resubmission’s proposed amend</w:t>
      </w:r>
      <w:r w:rsidR="00D655BD">
        <w:rPr>
          <w:rFonts w:asciiTheme="minorHAnsi" w:hAnsiTheme="minorHAnsi"/>
          <w:snapToGrid w:val="0"/>
          <w:lang w:val="en-GB" w:eastAsia="en-US"/>
        </w:rPr>
        <w:t xml:space="preserve">ment </w:t>
      </w:r>
      <w:r w:rsidRPr="00D655BD">
        <w:rPr>
          <w:rFonts w:asciiTheme="minorHAnsi" w:hAnsiTheme="minorHAnsi"/>
          <w:snapToGrid w:val="0"/>
          <w:lang w:val="en-GB" w:eastAsia="en-US"/>
        </w:rPr>
        <w:t>limit</w:t>
      </w:r>
      <w:r w:rsidR="00C17ED3">
        <w:rPr>
          <w:rFonts w:asciiTheme="minorHAnsi" w:hAnsiTheme="minorHAnsi"/>
          <w:snapToGrid w:val="0"/>
          <w:lang w:val="en-GB" w:eastAsia="en-US"/>
        </w:rPr>
        <w:t>ing</w:t>
      </w:r>
      <w:r w:rsidRPr="00D655BD">
        <w:rPr>
          <w:rFonts w:asciiTheme="minorHAnsi" w:hAnsiTheme="minorHAnsi"/>
          <w:snapToGrid w:val="0"/>
          <w:lang w:val="en-GB" w:eastAsia="en-US"/>
        </w:rPr>
        <w:t xml:space="preserve"> the number of times a patient may access ruxolitinib under the initial treatment restriction, in order to prevent patients from re-trialling treatment</w:t>
      </w:r>
      <w:r w:rsidR="00C17ED3">
        <w:rPr>
          <w:rFonts w:asciiTheme="minorHAnsi" w:hAnsiTheme="minorHAnsi"/>
          <w:snapToGrid w:val="0"/>
          <w:lang w:val="en-GB" w:eastAsia="en-US"/>
        </w:rPr>
        <w:t>, was appropriate</w:t>
      </w:r>
      <w:r w:rsidRPr="00D655BD">
        <w:rPr>
          <w:rFonts w:asciiTheme="minorHAnsi" w:hAnsiTheme="minorHAnsi"/>
          <w:snapToGrid w:val="0"/>
          <w:lang w:val="en-GB" w:eastAsia="en-US"/>
        </w:rPr>
        <w:t>.</w:t>
      </w:r>
    </w:p>
    <w:p w14:paraId="4E3CBD16" w14:textId="4B95FA86" w:rsidR="005B1C7F" w:rsidRDefault="00B5627B" w:rsidP="009E06E3">
      <w:pPr>
        <w:numPr>
          <w:ilvl w:val="0"/>
          <w:numId w:val="10"/>
        </w:numPr>
        <w:spacing w:before="60" w:after="60"/>
        <w:ind w:left="993"/>
        <w:rPr>
          <w:rFonts w:asciiTheme="minorHAnsi" w:hAnsiTheme="minorHAnsi"/>
          <w:snapToGrid w:val="0"/>
          <w:lang w:val="en-GB" w:eastAsia="en-US"/>
        </w:rPr>
      </w:pPr>
      <w:r>
        <w:rPr>
          <w:rFonts w:asciiTheme="minorHAnsi" w:hAnsiTheme="minorHAnsi"/>
          <w:snapToGrid w:val="0"/>
          <w:lang w:val="en-GB" w:eastAsia="en-US"/>
        </w:rPr>
        <w:t>Consistent with the MAJIC trial, d</w:t>
      </w:r>
      <w:r w:rsidR="002C16DD">
        <w:rPr>
          <w:rFonts w:asciiTheme="minorHAnsi" w:hAnsiTheme="minorHAnsi"/>
          <w:snapToGrid w:val="0"/>
          <w:lang w:val="en-GB" w:eastAsia="en-US"/>
        </w:rPr>
        <w:t xml:space="preserve">emonstration of response to </w:t>
      </w:r>
      <w:r w:rsidR="00353381">
        <w:rPr>
          <w:rFonts w:asciiTheme="minorHAnsi" w:hAnsiTheme="minorHAnsi"/>
          <w:snapToGrid w:val="0"/>
          <w:lang w:val="en-GB" w:eastAsia="en-US"/>
        </w:rPr>
        <w:t>treatment within 12 months was appropriate</w:t>
      </w:r>
      <w:r>
        <w:rPr>
          <w:rFonts w:asciiTheme="minorHAnsi" w:hAnsiTheme="minorHAnsi"/>
          <w:snapToGrid w:val="0"/>
          <w:lang w:val="en-GB" w:eastAsia="en-US"/>
        </w:rPr>
        <w:t>. As such,</w:t>
      </w:r>
      <w:r w:rsidR="001C44C0">
        <w:rPr>
          <w:rFonts w:asciiTheme="minorHAnsi" w:hAnsiTheme="minorHAnsi"/>
          <w:snapToGrid w:val="0"/>
          <w:lang w:val="en-GB" w:eastAsia="en-US"/>
        </w:rPr>
        <w:t xml:space="preserve"> a balance of initial treatment restriction was appropriate to provide the remaining 6 months of initial treatment. The PBAC advised</w:t>
      </w:r>
      <w:r w:rsidR="005A3FD0">
        <w:rPr>
          <w:rFonts w:asciiTheme="minorHAnsi" w:hAnsiTheme="minorHAnsi"/>
          <w:snapToGrid w:val="0"/>
          <w:lang w:val="en-GB" w:eastAsia="en-US"/>
        </w:rPr>
        <w:t xml:space="preserve"> the </w:t>
      </w:r>
      <w:r w:rsidR="00760060">
        <w:rPr>
          <w:rFonts w:asciiTheme="minorHAnsi" w:hAnsiTheme="minorHAnsi"/>
          <w:snapToGrid w:val="0"/>
          <w:lang w:val="en-GB" w:eastAsia="en-US"/>
        </w:rPr>
        <w:t xml:space="preserve">continuing treatment restriction should be </w:t>
      </w:r>
      <w:r>
        <w:rPr>
          <w:rFonts w:asciiTheme="minorHAnsi" w:hAnsiTheme="minorHAnsi"/>
          <w:snapToGrid w:val="0"/>
          <w:lang w:val="en-GB" w:eastAsia="en-US"/>
        </w:rPr>
        <w:t>separated</w:t>
      </w:r>
      <w:r w:rsidR="00760060">
        <w:rPr>
          <w:rFonts w:asciiTheme="minorHAnsi" w:hAnsiTheme="minorHAnsi"/>
          <w:snapToGrid w:val="0"/>
          <w:lang w:val="en-GB" w:eastAsia="en-US"/>
        </w:rPr>
        <w:t xml:space="preserve"> into a first </w:t>
      </w:r>
      <w:r>
        <w:rPr>
          <w:rFonts w:asciiTheme="minorHAnsi" w:hAnsiTheme="minorHAnsi"/>
          <w:snapToGrid w:val="0"/>
          <w:lang w:val="en-GB" w:eastAsia="en-US"/>
        </w:rPr>
        <w:t xml:space="preserve">continuing </w:t>
      </w:r>
      <w:r w:rsidR="0060748B">
        <w:rPr>
          <w:rFonts w:asciiTheme="minorHAnsi" w:hAnsiTheme="minorHAnsi"/>
          <w:snapToGrid w:val="0"/>
          <w:lang w:val="en-GB" w:eastAsia="en-US"/>
        </w:rPr>
        <w:t xml:space="preserve">treatment </w:t>
      </w:r>
      <w:r>
        <w:rPr>
          <w:rFonts w:asciiTheme="minorHAnsi" w:hAnsiTheme="minorHAnsi"/>
          <w:snapToGrid w:val="0"/>
          <w:lang w:val="en-GB" w:eastAsia="en-US"/>
        </w:rPr>
        <w:t xml:space="preserve">restriction and a subsequent continuing </w:t>
      </w:r>
      <w:r w:rsidR="0060748B">
        <w:rPr>
          <w:rFonts w:asciiTheme="minorHAnsi" w:hAnsiTheme="minorHAnsi"/>
          <w:snapToGrid w:val="0"/>
          <w:lang w:val="en-GB" w:eastAsia="en-US"/>
        </w:rPr>
        <w:t xml:space="preserve">treatment restriction to allow </w:t>
      </w:r>
      <w:r w:rsidR="001C44C0">
        <w:rPr>
          <w:rFonts w:asciiTheme="minorHAnsi" w:hAnsiTheme="minorHAnsi"/>
          <w:snapToGrid w:val="0"/>
          <w:lang w:val="en-GB" w:eastAsia="en-US"/>
        </w:rPr>
        <w:t>response to treatment to be assessed in the first continuing treatment restriction</w:t>
      </w:r>
      <w:r w:rsidR="0061553D">
        <w:rPr>
          <w:rFonts w:asciiTheme="minorHAnsi" w:hAnsiTheme="minorHAnsi"/>
          <w:snapToGrid w:val="0"/>
          <w:lang w:val="en-GB" w:eastAsia="en-US"/>
        </w:rPr>
        <w:t xml:space="preserve">. </w:t>
      </w:r>
    </w:p>
    <w:p w14:paraId="7D825310" w14:textId="35E7132A" w:rsidR="0061553D" w:rsidRPr="00F00CBD" w:rsidRDefault="004B6AF9" w:rsidP="009E06E3">
      <w:pPr>
        <w:numPr>
          <w:ilvl w:val="0"/>
          <w:numId w:val="10"/>
        </w:numPr>
        <w:spacing w:before="60" w:after="60"/>
        <w:ind w:left="993"/>
        <w:rPr>
          <w:rFonts w:asciiTheme="minorHAnsi" w:hAnsiTheme="minorHAnsi"/>
          <w:snapToGrid w:val="0"/>
          <w:lang w:val="en-GB" w:eastAsia="en-US"/>
        </w:rPr>
      </w:pPr>
      <w:r>
        <w:rPr>
          <w:rFonts w:asciiTheme="minorHAnsi" w:hAnsiTheme="minorHAnsi"/>
          <w:snapToGrid w:val="0"/>
          <w:lang w:val="en-GB" w:eastAsia="en-US"/>
        </w:rPr>
        <w:t>A</w:t>
      </w:r>
      <w:r w:rsidR="00206960">
        <w:rPr>
          <w:rFonts w:asciiTheme="minorHAnsi" w:hAnsiTheme="minorHAnsi"/>
          <w:snapToGrid w:val="0"/>
          <w:lang w:val="en-GB" w:eastAsia="en-US"/>
        </w:rPr>
        <w:t xml:space="preserve"> prescribing instruction </w:t>
      </w:r>
      <w:r w:rsidR="004A133B">
        <w:rPr>
          <w:rFonts w:asciiTheme="minorHAnsi" w:hAnsiTheme="minorHAnsi"/>
          <w:snapToGrid w:val="0"/>
          <w:lang w:val="en-GB" w:eastAsia="en-US"/>
        </w:rPr>
        <w:t xml:space="preserve">in the </w:t>
      </w:r>
      <w:r w:rsidR="001C44C0">
        <w:rPr>
          <w:rFonts w:asciiTheme="minorHAnsi" w:hAnsiTheme="minorHAnsi"/>
          <w:snapToGrid w:val="0"/>
          <w:lang w:val="en-GB" w:eastAsia="en-US"/>
        </w:rPr>
        <w:t xml:space="preserve">first </w:t>
      </w:r>
      <w:r w:rsidR="004A133B">
        <w:rPr>
          <w:rFonts w:asciiTheme="minorHAnsi" w:hAnsiTheme="minorHAnsi"/>
          <w:snapToGrid w:val="0"/>
          <w:lang w:val="en-GB" w:eastAsia="en-US"/>
        </w:rPr>
        <w:t xml:space="preserve">continuing treatment restriction </w:t>
      </w:r>
      <w:r w:rsidR="0097168E">
        <w:rPr>
          <w:rFonts w:asciiTheme="minorHAnsi" w:hAnsiTheme="minorHAnsi"/>
          <w:snapToGrid w:val="0"/>
          <w:lang w:val="en-GB" w:eastAsia="en-US"/>
        </w:rPr>
        <w:t>defining the response to treatment</w:t>
      </w:r>
      <w:r w:rsidR="00E47DA8">
        <w:rPr>
          <w:rFonts w:asciiTheme="minorHAnsi" w:hAnsiTheme="minorHAnsi"/>
          <w:snapToGrid w:val="0"/>
          <w:lang w:val="en-GB" w:eastAsia="en-US"/>
        </w:rPr>
        <w:t xml:space="preserve"> </w:t>
      </w:r>
      <w:r w:rsidR="004A133B">
        <w:rPr>
          <w:rFonts w:asciiTheme="minorHAnsi" w:hAnsiTheme="minorHAnsi"/>
          <w:snapToGrid w:val="0"/>
          <w:lang w:val="en-GB" w:eastAsia="en-US"/>
        </w:rPr>
        <w:t>was appropriate. The</w:t>
      </w:r>
      <w:r>
        <w:rPr>
          <w:rFonts w:asciiTheme="minorHAnsi" w:hAnsiTheme="minorHAnsi"/>
          <w:snapToGrid w:val="0"/>
          <w:lang w:val="en-GB" w:eastAsia="en-US"/>
        </w:rPr>
        <w:t xml:space="preserve"> PBAC considered a response to treatment should include</w:t>
      </w:r>
      <w:r w:rsidR="004A133B">
        <w:rPr>
          <w:rFonts w:asciiTheme="minorHAnsi" w:hAnsiTheme="minorHAnsi"/>
          <w:snapToGrid w:val="0"/>
          <w:lang w:val="en-GB" w:eastAsia="en-US"/>
        </w:rPr>
        <w:t xml:space="preserve"> as</w:t>
      </w:r>
      <w:r w:rsidR="005D4DF8">
        <w:rPr>
          <w:rFonts w:asciiTheme="minorHAnsi" w:hAnsiTheme="minorHAnsi"/>
          <w:snapToGrid w:val="0"/>
          <w:lang w:val="en-GB" w:eastAsia="en-US"/>
        </w:rPr>
        <w:t xml:space="preserve"> </w:t>
      </w:r>
      <w:r w:rsidR="005D4DF8" w:rsidRPr="0F1D33A4">
        <w:t>least one of the following: haematocrit (HCT) &lt; 45% without venesection for 3 months; platelet count ≤ 400 x 10^9/L; or absence of palpable splenomegaly</w:t>
      </w:r>
      <w:r w:rsidR="00F00CBD">
        <w:t>.</w:t>
      </w:r>
    </w:p>
    <w:p w14:paraId="68CAAFD2" w14:textId="4B9920EA" w:rsidR="00D319A8" w:rsidRPr="00457DDB" w:rsidRDefault="00F00CBD" w:rsidP="009E06E3">
      <w:pPr>
        <w:numPr>
          <w:ilvl w:val="0"/>
          <w:numId w:val="10"/>
        </w:numPr>
        <w:spacing w:before="60" w:after="120"/>
        <w:ind w:left="992" w:hanging="357"/>
        <w:rPr>
          <w:rFonts w:asciiTheme="minorHAnsi" w:hAnsiTheme="minorHAnsi"/>
          <w:snapToGrid w:val="0"/>
          <w:lang w:val="en-GB" w:eastAsia="en-US"/>
        </w:rPr>
      </w:pPr>
      <w:r>
        <w:rPr>
          <w:rFonts w:asciiTheme="minorHAnsi" w:hAnsiTheme="minorHAnsi"/>
          <w:snapToGrid w:val="0"/>
          <w:lang w:val="en-GB" w:eastAsia="en-US"/>
        </w:rPr>
        <w:t>Inclusion of grandfathering patients was appropriate</w:t>
      </w:r>
      <w:r w:rsidR="00DF0897">
        <w:rPr>
          <w:rFonts w:asciiTheme="minorHAnsi" w:hAnsiTheme="minorHAnsi"/>
          <w:snapToGrid w:val="0"/>
          <w:lang w:val="en-GB" w:eastAsia="en-US"/>
        </w:rPr>
        <w:t>. However, a separate grandfathering restriction was not required as th</w:t>
      </w:r>
      <w:r w:rsidR="000E2765">
        <w:rPr>
          <w:rFonts w:asciiTheme="minorHAnsi" w:hAnsiTheme="minorHAnsi"/>
          <w:snapToGrid w:val="0"/>
          <w:lang w:val="en-GB" w:eastAsia="en-US"/>
        </w:rPr>
        <w:t>e initial treatment restriction would not exclude these patients from receiving subsidised therapy if they are resistant</w:t>
      </w:r>
      <w:r w:rsidR="00B9552A">
        <w:rPr>
          <w:rFonts w:asciiTheme="minorHAnsi" w:hAnsiTheme="minorHAnsi"/>
          <w:snapToGrid w:val="0"/>
          <w:lang w:val="en-GB" w:eastAsia="en-US"/>
        </w:rPr>
        <w:t>, intolerant or have a contraindication to HC/HU</w:t>
      </w:r>
      <w:r w:rsidR="008F1996" w:rsidRPr="00457DDB">
        <w:rPr>
          <w:rFonts w:asciiTheme="minorHAnsi" w:hAnsiTheme="minorHAnsi"/>
          <w:snapToGrid w:val="0"/>
          <w:lang w:val="en-GB" w:eastAsia="en-US"/>
        </w:rPr>
        <w:t xml:space="preserve">. </w:t>
      </w:r>
    </w:p>
    <w:p w14:paraId="758B431E" w14:textId="19547C75" w:rsidR="00B9552A" w:rsidRDefault="00467A59" w:rsidP="009E06E3">
      <w:pPr>
        <w:widowControl w:val="0"/>
        <w:numPr>
          <w:ilvl w:val="1"/>
          <w:numId w:val="5"/>
        </w:numPr>
        <w:spacing w:after="120"/>
        <w:rPr>
          <w:rFonts w:asciiTheme="minorHAnsi" w:hAnsiTheme="minorHAnsi"/>
          <w:snapToGrid w:val="0"/>
          <w:lang w:val="en-GB" w:eastAsia="en-US"/>
        </w:rPr>
      </w:pPr>
      <w:r>
        <w:rPr>
          <w:rFonts w:asciiTheme="minorHAnsi" w:hAnsiTheme="minorHAnsi"/>
          <w:snapToGrid w:val="0"/>
          <w:lang w:val="en-GB" w:eastAsia="en-US"/>
        </w:rPr>
        <w:lastRenderedPageBreak/>
        <w:t xml:space="preserve">The PBAC considered the </w:t>
      </w:r>
      <w:r w:rsidR="00D15FBF">
        <w:rPr>
          <w:rFonts w:asciiTheme="minorHAnsi" w:hAnsiTheme="minorHAnsi"/>
          <w:snapToGrid w:val="0"/>
          <w:lang w:val="en-GB" w:eastAsia="en-US"/>
        </w:rPr>
        <w:t xml:space="preserve">nominated comparator of BAT was appropriate. </w:t>
      </w:r>
    </w:p>
    <w:p w14:paraId="481E5E26" w14:textId="6B507772" w:rsidR="00D37C7B" w:rsidRPr="00D37C7B" w:rsidRDefault="005376BA" w:rsidP="009E06E3">
      <w:pPr>
        <w:widowControl w:val="0"/>
        <w:numPr>
          <w:ilvl w:val="1"/>
          <w:numId w:val="5"/>
        </w:numPr>
        <w:spacing w:after="120"/>
        <w:rPr>
          <w:rFonts w:asciiTheme="minorHAnsi" w:hAnsiTheme="minorHAnsi"/>
          <w:snapToGrid w:val="0"/>
          <w:lang w:val="en-GB" w:eastAsia="en-US"/>
        </w:rPr>
      </w:pPr>
      <w:r>
        <w:rPr>
          <w:rFonts w:asciiTheme="minorHAnsi" w:hAnsiTheme="minorHAnsi"/>
          <w:snapToGrid w:val="0"/>
          <w:lang w:val="en-GB" w:eastAsia="en-US"/>
        </w:rPr>
        <w:t xml:space="preserve">The PBAC recalled that in November 2019 it </w:t>
      </w:r>
      <w:r w:rsidR="00335C5B">
        <w:rPr>
          <w:rFonts w:asciiTheme="minorHAnsi" w:hAnsiTheme="minorHAnsi"/>
          <w:snapToGrid w:val="0"/>
          <w:lang w:val="en-GB" w:eastAsia="en-US"/>
        </w:rPr>
        <w:t xml:space="preserve">had </w:t>
      </w:r>
      <w:r>
        <w:rPr>
          <w:rFonts w:asciiTheme="minorHAnsi" w:hAnsiTheme="minorHAnsi"/>
          <w:snapToGrid w:val="0"/>
          <w:lang w:val="en-GB" w:eastAsia="en-US"/>
        </w:rPr>
        <w:t xml:space="preserve">considered that </w:t>
      </w:r>
      <w:r w:rsidR="00AA5ABD">
        <w:rPr>
          <w:rFonts w:asciiTheme="minorHAnsi" w:hAnsiTheme="minorHAnsi"/>
          <w:snapToGrid w:val="0"/>
          <w:lang w:val="en-GB" w:eastAsia="en-US"/>
        </w:rPr>
        <w:t xml:space="preserve">the </w:t>
      </w:r>
      <w:r w:rsidR="00AA5ABD" w:rsidRPr="003A3990">
        <w:rPr>
          <w:rFonts w:asciiTheme="minorHAnsi" w:hAnsiTheme="minorHAnsi"/>
          <w:bCs/>
          <w:lang w:val="en-GB"/>
        </w:rPr>
        <w:t xml:space="preserve">evidence from the key trial </w:t>
      </w:r>
      <w:r w:rsidR="00AA5ABD">
        <w:rPr>
          <w:rFonts w:asciiTheme="minorHAnsi" w:hAnsiTheme="minorHAnsi"/>
          <w:bCs/>
          <w:lang w:val="en-GB"/>
        </w:rPr>
        <w:t xml:space="preserve">(MAJIC) </w:t>
      </w:r>
      <w:r w:rsidR="00AA5ABD" w:rsidRPr="003A3990">
        <w:rPr>
          <w:rFonts w:asciiTheme="minorHAnsi" w:hAnsiTheme="minorHAnsi"/>
          <w:bCs/>
          <w:lang w:val="en-GB"/>
        </w:rPr>
        <w:t>did not clearly support a benefit in terms of clinically relevant outcomes or overall survival</w:t>
      </w:r>
      <w:r w:rsidR="00AB7EBF">
        <w:rPr>
          <w:rFonts w:asciiTheme="minorHAnsi" w:hAnsiTheme="minorHAnsi"/>
          <w:bCs/>
          <w:lang w:val="en-GB"/>
        </w:rPr>
        <w:t xml:space="preserve"> </w:t>
      </w:r>
      <w:r w:rsidR="00AB7EBF" w:rsidRPr="003E2561">
        <w:rPr>
          <w:rFonts w:asciiTheme="minorHAnsi" w:hAnsiTheme="minorHAnsi"/>
          <w:snapToGrid w:val="0"/>
          <w:lang w:val="en-GB" w:eastAsia="en-US"/>
        </w:rPr>
        <w:t>(paragraph 7.</w:t>
      </w:r>
      <w:r w:rsidR="00AB7EBF">
        <w:rPr>
          <w:rFonts w:asciiTheme="minorHAnsi" w:hAnsiTheme="minorHAnsi"/>
          <w:snapToGrid w:val="0"/>
          <w:lang w:val="en-GB" w:eastAsia="en-US"/>
        </w:rPr>
        <w:t>1</w:t>
      </w:r>
      <w:r w:rsidR="00AB7EBF" w:rsidRPr="003E2561">
        <w:rPr>
          <w:rFonts w:asciiTheme="minorHAnsi" w:hAnsiTheme="minorHAnsi"/>
          <w:snapToGrid w:val="0"/>
          <w:lang w:val="en-GB" w:eastAsia="en-US"/>
        </w:rPr>
        <w:t xml:space="preserve">, </w:t>
      </w:r>
      <w:r w:rsidR="00F322B5" w:rsidRPr="0F1D33A4">
        <w:t>ruxolitinib, PSD, November 2019 PBAC meeting</w:t>
      </w:r>
      <w:r w:rsidR="00AB7EBF" w:rsidRPr="003E2561">
        <w:rPr>
          <w:rFonts w:asciiTheme="minorHAnsi" w:hAnsiTheme="minorHAnsi"/>
          <w:snapToGrid w:val="0"/>
          <w:lang w:val="en-GB" w:eastAsia="en-US"/>
        </w:rPr>
        <w:t>)</w:t>
      </w:r>
      <w:r w:rsidR="00F322B5">
        <w:rPr>
          <w:rFonts w:asciiTheme="minorHAnsi" w:hAnsiTheme="minorHAnsi"/>
          <w:snapToGrid w:val="0"/>
          <w:lang w:val="en-GB" w:eastAsia="en-US"/>
        </w:rPr>
        <w:t xml:space="preserve">. </w:t>
      </w:r>
      <w:r w:rsidR="00B77E0E" w:rsidRPr="00B77E0E">
        <w:rPr>
          <w:rFonts w:asciiTheme="minorHAnsi" w:hAnsiTheme="minorHAnsi"/>
          <w:snapToGrid w:val="0"/>
        </w:rPr>
        <w:t xml:space="preserve">The </w:t>
      </w:r>
      <w:r w:rsidR="00441F0E">
        <w:rPr>
          <w:rFonts w:asciiTheme="minorHAnsi" w:hAnsiTheme="minorHAnsi"/>
          <w:snapToGrid w:val="0"/>
        </w:rPr>
        <w:t xml:space="preserve">PBAC noted </w:t>
      </w:r>
      <w:r w:rsidR="004709ED">
        <w:rPr>
          <w:rFonts w:asciiTheme="minorHAnsi" w:hAnsiTheme="minorHAnsi"/>
          <w:snapToGrid w:val="0"/>
        </w:rPr>
        <w:t>that</w:t>
      </w:r>
      <w:r w:rsidR="004E728A">
        <w:rPr>
          <w:rFonts w:asciiTheme="minorHAnsi" w:hAnsiTheme="minorHAnsi"/>
          <w:snapToGrid w:val="0"/>
        </w:rPr>
        <w:t xml:space="preserve"> </w:t>
      </w:r>
      <w:r w:rsidR="0081601B">
        <w:rPr>
          <w:rFonts w:asciiTheme="minorHAnsi" w:hAnsiTheme="minorHAnsi"/>
          <w:snapToGrid w:val="0"/>
        </w:rPr>
        <w:t xml:space="preserve">since the November 2019 consideration the results of the MAJIC trial are now published and a clinical study report (CSR) </w:t>
      </w:r>
      <w:r w:rsidR="005A74C3">
        <w:rPr>
          <w:rFonts w:asciiTheme="minorHAnsi" w:hAnsiTheme="minorHAnsi"/>
          <w:snapToGrid w:val="0"/>
        </w:rPr>
        <w:t>wa</w:t>
      </w:r>
      <w:r w:rsidR="0081601B">
        <w:rPr>
          <w:rFonts w:asciiTheme="minorHAnsi" w:hAnsiTheme="minorHAnsi"/>
          <w:snapToGrid w:val="0"/>
        </w:rPr>
        <w:t xml:space="preserve">s </w:t>
      </w:r>
      <w:r w:rsidR="0048509A">
        <w:rPr>
          <w:rFonts w:asciiTheme="minorHAnsi" w:hAnsiTheme="minorHAnsi"/>
          <w:snapToGrid w:val="0"/>
        </w:rPr>
        <w:t>available (</w:t>
      </w:r>
      <w:r w:rsidR="00745444">
        <w:rPr>
          <w:rFonts w:asciiTheme="minorHAnsi" w:hAnsiTheme="minorHAnsi"/>
          <w:snapToGrid w:val="0"/>
        </w:rPr>
        <w:t>para</w:t>
      </w:r>
      <w:r w:rsidR="0048509A">
        <w:rPr>
          <w:rFonts w:asciiTheme="minorHAnsi" w:hAnsiTheme="minorHAnsi"/>
          <w:snapToGrid w:val="0"/>
        </w:rPr>
        <w:t xml:space="preserve"> </w:t>
      </w:r>
      <w:r w:rsidR="00912D88">
        <w:rPr>
          <w:rFonts w:asciiTheme="minorHAnsi" w:hAnsiTheme="minorHAnsi"/>
          <w:snapToGrid w:val="0"/>
        </w:rPr>
        <w:fldChar w:fldCharType="begin" w:fldLock="1"/>
      </w:r>
      <w:r w:rsidR="00912D88">
        <w:rPr>
          <w:rFonts w:asciiTheme="minorHAnsi" w:hAnsiTheme="minorHAnsi"/>
          <w:snapToGrid w:val="0"/>
        </w:rPr>
        <w:instrText xml:space="preserve"> REF _Ref194237094 \r \h </w:instrText>
      </w:r>
      <w:r w:rsidR="00912D88">
        <w:rPr>
          <w:rFonts w:asciiTheme="minorHAnsi" w:hAnsiTheme="minorHAnsi"/>
          <w:snapToGrid w:val="0"/>
        </w:rPr>
      </w:r>
      <w:r w:rsidR="00912D88">
        <w:rPr>
          <w:rFonts w:asciiTheme="minorHAnsi" w:hAnsiTheme="minorHAnsi"/>
          <w:snapToGrid w:val="0"/>
        </w:rPr>
        <w:fldChar w:fldCharType="separate"/>
      </w:r>
      <w:r w:rsidR="00912D88">
        <w:rPr>
          <w:rFonts w:asciiTheme="minorHAnsi" w:hAnsiTheme="minorHAnsi"/>
          <w:snapToGrid w:val="0"/>
        </w:rPr>
        <w:t>6.7</w:t>
      </w:r>
      <w:r w:rsidR="00912D88">
        <w:rPr>
          <w:rFonts w:asciiTheme="minorHAnsi" w:hAnsiTheme="minorHAnsi"/>
          <w:snapToGrid w:val="0"/>
        </w:rPr>
        <w:fldChar w:fldCharType="end"/>
      </w:r>
      <w:r w:rsidR="00912D88">
        <w:rPr>
          <w:rFonts w:asciiTheme="minorHAnsi" w:hAnsiTheme="minorHAnsi"/>
          <w:snapToGrid w:val="0"/>
        </w:rPr>
        <w:t>)</w:t>
      </w:r>
      <w:r w:rsidR="0048509A">
        <w:rPr>
          <w:rFonts w:asciiTheme="minorHAnsi" w:hAnsiTheme="minorHAnsi"/>
          <w:snapToGrid w:val="0"/>
        </w:rPr>
        <w:t>.</w:t>
      </w:r>
      <w:r w:rsidR="00912D88">
        <w:rPr>
          <w:rFonts w:asciiTheme="minorHAnsi" w:hAnsiTheme="minorHAnsi"/>
          <w:snapToGrid w:val="0"/>
        </w:rPr>
        <w:t xml:space="preserve"> </w:t>
      </w:r>
      <w:r w:rsidR="00E863A1">
        <w:rPr>
          <w:rFonts w:asciiTheme="minorHAnsi" w:hAnsiTheme="minorHAnsi"/>
          <w:snapToGrid w:val="0"/>
        </w:rPr>
        <w:t>In addition, t</w:t>
      </w:r>
      <w:r w:rsidR="00912D88">
        <w:rPr>
          <w:rFonts w:asciiTheme="minorHAnsi" w:hAnsiTheme="minorHAnsi"/>
          <w:snapToGrid w:val="0"/>
        </w:rPr>
        <w:t>he</w:t>
      </w:r>
      <w:r w:rsidR="006411CC">
        <w:rPr>
          <w:rFonts w:asciiTheme="minorHAnsi" w:hAnsiTheme="minorHAnsi"/>
          <w:snapToGrid w:val="0"/>
        </w:rPr>
        <w:t xml:space="preserve"> </w:t>
      </w:r>
      <w:r w:rsidR="00B77E0E" w:rsidRPr="00B77E0E">
        <w:rPr>
          <w:rFonts w:asciiTheme="minorHAnsi" w:hAnsiTheme="minorHAnsi"/>
          <w:snapToGrid w:val="0"/>
        </w:rPr>
        <w:t xml:space="preserve">resubmission presented updated data with </w:t>
      </w:r>
      <w:r w:rsidR="00B77E0E" w:rsidRPr="00B77E0E">
        <w:rPr>
          <w:rFonts w:asciiTheme="minorHAnsi" w:hAnsiTheme="minorHAnsi"/>
        </w:rPr>
        <w:t xml:space="preserve">a </w:t>
      </w:r>
      <w:r w:rsidR="00B77E0E" w:rsidRPr="00B77E0E">
        <w:rPr>
          <w:rFonts w:asciiTheme="minorHAnsi" w:hAnsiTheme="minorHAnsi"/>
          <w:snapToGrid w:val="0"/>
        </w:rPr>
        <w:t xml:space="preserve">longer follow-up period of up to five years for </w:t>
      </w:r>
      <w:r w:rsidR="006411CC">
        <w:rPr>
          <w:rFonts w:asciiTheme="minorHAnsi" w:hAnsiTheme="minorHAnsi"/>
          <w:snapToGrid w:val="0"/>
        </w:rPr>
        <w:t xml:space="preserve">the MAJIC trial </w:t>
      </w:r>
      <w:r w:rsidR="0067221F">
        <w:rPr>
          <w:rFonts w:asciiTheme="minorHAnsi" w:hAnsiTheme="minorHAnsi"/>
          <w:snapToGrid w:val="0"/>
        </w:rPr>
        <w:t>and</w:t>
      </w:r>
      <w:r w:rsidR="006411CC">
        <w:rPr>
          <w:rFonts w:asciiTheme="minorHAnsi" w:hAnsiTheme="minorHAnsi"/>
          <w:snapToGrid w:val="0"/>
        </w:rPr>
        <w:t xml:space="preserve"> the </w:t>
      </w:r>
      <w:r w:rsidR="00344DA6">
        <w:rPr>
          <w:rFonts w:asciiTheme="minorHAnsi" w:hAnsiTheme="minorHAnsi"/>
          <w:snapToGrid w:val="0"/>
        </w:rPr>
        <w:t xml:space="preserve">supporting </w:t>
      </w:r>
      <w:r w:rsidR="00B77E0E" w:rsidRPr="00B77E0E">
        <w:rPr>
          <w:rFonts w:asciiTheme="minorHAnsi" w:hAnsiTheme="minorHAnsi"/>
          <w:snapToGrid w:val="0"/>
        </w:rPr>
        <w:t>RESPONSE and RESPONSE-2</w:t>
      </w:r>
      <w:r w:rsidR="00344DA6">
        <w:rPr>
          <w:rFonts w:asciiTheme="minorHAnsi" w:hAnsiTheme="minorHAnsi"/>
          <w:snapToGrid w:val="0"/>
        </w:rPr>
        <w:t xml:space="preserve"> trials</w:t>
      </w:r>
      <w:r w:rsidR="0067221F">
        <w:rPr>
          <w:rFonts w:asciiTheme="minorHAnsi" w:hAnsiTheme="minorHAnsi"/>
          <w:snapToGrid w:val="0"/>
        </w:rPr>
        <w:t xml:space="preserve">. </w:t>
      </w:r>
    </w:p>
    <w:p w14:paraId="1D374305" w14:textId="63F119F4" w:rsidR="00990AFC" w:rsidRPr="00767C69" w:rsidRDefault="00B77E0E" w:rsidP="009E06E3">
      <w:pPr>
        <w:widowControl w:val="0"/>
        <w:numPr>
          <w:ilvl w:val="1"/>
          <w:numId w:val="5"/>
        </w:numPr>
        <w:spacing w:after="120"/>
        <w:rPr>
          <w:rFonts w:asciiTheme="minorHAnsi" w:hAnsiTheme="minorHAnsi"/>
          <w:snapToGrid w:val="0"/>
          <w:lang w:val="en-GB" w:eastAsia="en-US"/>
        </w:rPr>
      </w:pPr>
      <w:bookmarkStart w:id="106" w:name="_Ref194430425"/>
      <w:r w:rsidRPr="00B77E0E">
        <w:rPr>
          <w:rFonts w:asciiTheme="minorHAnsi" w:hAnsiTheme="minorHAnsi"/>
          <w:snapToGrid w:val="0"/>
        </w:rPr>
        <w:t>The</w:t>
      </w:r>
      <w:r w:rsidR="00A5511A">
        <w:rPr>
          <w:rFonts w:asciiTheme="minorHAnsi" w:hAnsiTheme="minorHAnsi"/>
          <w:snapToGrid w:val="0"/>
        </w:rPr>
        <w:t xml:space="preserve"> PBAC noted th</w:t>
      </w:r>
      <w:r w:rsidR="00AB7631">
        <w:rPr>
          <w:rFonts w:asciiTheme="minorHAnsi" w:hAnsiTheme="minorHAnsi"/>
          <w:snapToGrid w:val="0"/>
        </w:rPr>
        <w:t xml:space="preserve">at </w:t>
      </w:r>
      <w:r w:rsidR="00A5511A">
        <w:rPr>
          <w:rFonts w:asciiTheme="minorHAnsi" w:hAnsiTheme="minorHAnsi"/>
          <w:snapToGrid w:val="0"/>
        </w:rPr>
        <w:t xml:space="preserve">a </w:t>
      </w:r>
      <w:r w:rsidRPr="00B77E0E">
        <w:rPr>
          <w:rFonts w:asciiTheme="minorHAnsi" w:hAnsiTheme="minorHAnsi"/>
          <w:snapToGrid w:val="0"/>
        </w:rPr>
        <w:t>statistically significant higher proportion of patients treated with ruxolitinib achieved a complete response (CR) at 12 months compared to BAT</w:t>
      </w:r>
      <w:r w:rsidR="006E3AE8">
        <w:rPr>
          <w:rFonts w:asciiTheme="minorHAnsi" w:hAnsiTheme="minorHAnsi"/>
          <w:snapToGrid w:val="0"/>
        </w:rPr>
        <w:t xml:space="preserve"> </w:t>
      </w:r>
      <w:r w:rsidRPr="00B77E0E">
        <w:rPr>
          <w:rFonts w:asciiTheme="minorHAnsi" w:hAnsiTheme="minorHAnsi"/>
          <w:snapToGrid w:val="0"/>
        </w:rPr>
        <w:t>(43% vs 26%; OR</w:t>
      </w:r>
      <w:r w:rsidR="00EA60DE">
        <w:rPr>
          <w:rFonts w:asciiTheme="minorHAnsi" w:hAnsiTheme="minorHAnsi"/>
          <w:snapToGrid w:val="0"/>
        </w:rPr>
        <w:t xml:space="preserve"> </w:t>
      </w:r>
      <w:r w:rsidRPr="00B77E0E">
        <w:rPr>
          <w:rFonts w:asciiTheme="minorHAnsi" w:hAnsiTheme="minorHAnsi"/>
          <w:snapToGrid w:val="0"/>
        </w:rPr>
        <w:t>2.10; 95% CI: 1.12, 3.94)</w:t>
      </w:r>
      <w:r w:rsidR="001F29D8">
        <w:rPr>
          <w:rFonts w:asciiTheme="minorHAnsi" w:hAnsiTheme="minorHAnsi"/>
          <w:snapToGrid w:val="0"/>
        </w:rPr>
        <w:t xml:space="preserve"> in the MAJIC trial</w:t>
      </w:r>
      <w:r w:rsidR="00BD4216">
        <w:rPr>
          <w:rFonts w:asciiTheme="minorHAnsi" w:hAnsiTheme="minorHAnsi"/>
          <w:snapToGrid w:val="0"/>
        </w:rPr>
        <w:t>.</w:t>
      </w:r>
      <w:r w:rsidR="00F35BB2">
        <w:rPr>
          <w:rFonts w:asciiTheme="minorHAnsi" w:hAnsiTheme="minorHAnsi"/>
          <w:snapToGrid w:val="0"/>
        </w:rPr>
        <w:t xml:space="preserve"> </w:t>
      </w:r>
      <w:r w:rsidR="00C64673">
        <w:rPr>
          <w:rFonts w:asciiTheme="minorHAnsi" w:hAnsiTheme="minorHAnsi"/>
          <w:snapToGrid w:val="0"/>
        </w:rPr>
        <w:t xml:space="preserve">The PBAC noted that while </w:t>
      </w:r>
      <w:r w:rsidR="00C90087">
        <w:rPr>
          <w:rFonts w:asciiTheme="minorHAnsi" w:hAnsiTheme="minorHAnsi"/>
          <w:snapToGrid w:val="0"/>
        </w:rPr>
        <w:t xml:space="preserve">almost all patients achieved either a CR or partial response (PR) </w:t>
      </w:r>
      <w:r w:rsidR="00F35BB2">
        <w:rPr>
          <w:rFonts w:asciiTheme="minorHAnsi" w:hAnsiTheme="minorHAnsi"/>
          <w:snapToGrid w:val="0"/>
        </w:rPr>
        <w:t xml:space="preserve">across </w:t>
      </w:r>
      <w:r w:rsidR="00242931">
        <w:rPr>
          <w:rFonts w:asciiTheme="minorHAnsi" w:hAnsiTheme="minorHAnsi"/>
          <w:snapToGrid w:val="0"/>
        </w:rPr>
        <w:t>5 years</w:t>
      </w:r>
      <w:r w:rsidR="00C64673">
        <w:rPr>
          <w:rFonts w:asciiTheme="minorHAnsi" w:hAnsiTheme="minorHAnsi"/>
          <w:snapToGrid w:val="0"/>
        </w:rPr>
        <w:t xml:space="preserve"> </w:t>
      </w:r>
      <w:r w:rsidR="00C90087">
        <w:rPr>
          <w:rFonts w:asciiTheme="minorHAnsi" w:hAnsiTheme="minorHAnsi"/>
          <w:snapToGrid w:val="0"/>
        </w:rPr>
        <w:t>(</w:t>
      </w:r>
      <w:r w:rsidR="00C64673">
        <w:rPr>
          <w:rFonts w:asciiTheme="minorHAnsi" w:hAnsiTheme="minorHAnsi"/>
          <w:snapToGrid w:val="0"/>
        </w:rPr>
        <w:t xml:space="preserve">proportion achieving an </w:t>
      </w:r>
      <w:r w:rsidR="00242931">
        <w:rPr>
          <w:rFonts w:asciiTheme="minorHAnsi" w:hAnsiTheme="minorHAnsi"/>
          <w:snapToGrid w:val="0"/>
        </w:rPr>
        <w:t xml:space="preserve">overall response </w:t>
      </w:r>
      <w:r w:rsidR="00C90087">
        <w:rPr>
          <w:rFonts w:asciiTheme="minorHAnsi" w:hAnsiTheme="minorHAnsi"/>
          <w:snapToGrid w:val="0"/>
        </w:rPr>
        <w:t xml:space="preserve">[CR+PR]: 97% vs 98% for ruxolitinib and BAT arms respectively), </w:t>
      </w:r>
      <w:r w:rsidR="00C64673">
        <w:rPr>
          <w:rFonts w:asciiTheme="minorHAnsi" w:hAnsiTheme="minorHAnsi"/>
          <w:snapToGrid w:val="0"/>
        </w:rPr>
        <w:t>there was a</w:t>
      </w:r>
      <w:r w:rsidR="00C90087">
        <w:rPr>
          <w:rFonts w:asciiTheme="minorHAnsi" w:hAnsiTheme="minorHAnsi"/>
          <w:snapToGrid w:val="0"/>
        </w:rPr>
        <w:t xml:space="preserve"> </w:t>
      </w:r>
      <w:r w:rsidR="00BD4216">
        <w:rPr>
          <w:rFonts w:asciiTheme="minorHAnsi" w:hAnsiTheme="minorHAnsi"/>
          <w:snapToGrid w:val="0"/>
        </w:rPr>
        <w:t xml:space="preserve">trend towards a higher proportion of patients achieving a CR in the ruxolitinib arm </w:t>
      </w:r>
      <w:r w:rsidR="00C90087">
        <w:rPr>
          <w:rFonts w:asciiTheme="minorHAnsi" w:hAnsiTheme="minorHAnsi"/>
          <w:snapToGrid w:val="0"/>
        </w:rPr>
        <w:t>(</w:t>
      </w:r>
      <w:r w:rsidR="00C64673">
        <w:rPr>
          <w:rFonts w:asciiTheme="minorHAnsi" w:hAnsiTheme="minorHAnsi"/>
          <w:snapToGrid w:val="0"/>
        </w:rPr>
        <w:t>OR 1.48; 95% CI 0.81, 2.73)</w:t>
      </w:r>
      <w:r w:rsidR="00D452AA">
        <w:rPr>
          <w:rFonts w:asciiTheme="minorHAnsi" w:hAnsiTheme="minorHAnsi"/>
          <w:snapToGrid w:val="0"/>
        </w:rPr>
        <w:t>.</w:t>
      </w:r>
      <w:r w:rsidRPr="00B77E0E">
        <w:rPr>
          <w:rFonts w:asciiTheme="minorHAnsi" w:hAnsiTheme="minorHAnsi"/>
          <w:snapToGrid w:val="0"/>
        </w:rPr>
        <w:t xml:space="preserve"> </w:t>
      </w:r>
      <w:r w:rsidR="00C64673">
        <w:rPr>
          <w:rFonts w:asciiTheme="minorHAnsi" w:hAnsiTheme="minorHAnsi"/>
          <w:snapToGrid w:val="0"/>
        </w:rPr>
        <w:t>In addition, t</w:t>
      </w:r>
      <w:r w:rsidR="00863C06">
        <w:rPr>
          <w:rFonts w:asciiTheme="minorHAnsi" w:hAnsiTheme="minorHAnsi"/>
          <w:snapToGrid w:val="0"/>
        </w:rPr>
        <w:t>he PBAC noted that p</w:t>
      </w:r>
      <w:r w:rsidRPr="00B77E0E">
        <w:rPr>
          <w:rFonts w:asciiTheme="minorHAnsi" w:hAnsiTheme="minorHAnsi"/>
          <w:snapToGrid w:val="0"/>
        </w:rPr>
        <w:t xml:space="preserve">atients treated with ruxolitinib in MAJIC achieved </w:t>
      </w:r>
      <w:r w:rsidR="00DA7415">
        <w:rPr>
          <w:rFonts w:asciiTheme="minorHAnsi" w:hAnsiTheme="minorHAnsi"/>
          <w:snapToGrid w:val="0"/>
        </w:rPr>
        <w:t xml:space="preserve">a </w:t>
      </w:r>
      <w:r w:rsidRPr="00B77E0E">
        <w:rPr>
          <w:rFonts w:asciiTheme="minorHAnsi" w:hAnsiTheme="minorHAnsi"/>
          <w:snapToGrid w:val="0"/>
        </w:rPr>
        <w:t>significantly more durable CR or PR compared to those who had received BAT (HR</w:t>
      </w:r>
      <w:r w:rsidR="00756370">
        <w:rPr>
          <w:rFonts w:asciiTheme="minorHAnsi" w:hAnsiTheme="minorHAnsi"/>
          <w:snapToGrid w:val="0"/>
        </w:rPr>
        <w:t xml:space="preserve"> </w:t>
      </w:r>
      <w:r w:rsidRPr="00B77E0E">
        <w:rPr>
          <w:rFonts w:asciiTheme="minorHAnsi" w:hAnsiTheme="minorHAnsi"/>
          <w:snapToGrid w:val="0"/>
        </w:rPr>
        <w:t>0.14, 95% CI: 0.07, 0.30)</w:t>
      </w:r>
      <w:r w:rsidR="006A4C85" w:rsidRPr="001706E4">
        <w:rPr>
          <w:rFonts w:asciiTheme="minorHAnsi" w:hAnsiTheme="minorHAnsi"/>
          <w:snapToGrid w:val="0"/>
        </w:rPr>
        <w:t>.</w:t>
      </w:r>
      <w:r w:rsidR="00767C69">
        <w:rPr>
          <w:rFonts w:asciiTheme="minorHAnsi" w:hAnsiTheme="minorHAnsi"/>
          <w:snapToGrid w:val="0"/>
          <w:lang w:val="en-GB" w:eastAsia="en-US"/>
        </w:rPr>
        <w:t xml:space="preserve"> </w:t>
      </w:r>
      <w:r w:rsidR="00C64673">
        <w:rPr>
          <w:rFonts w:asciiTheme="minorHAnsi" w:hAnsiTheme="minorHAnsi"/>
          <w:snapToGrid w:val="0"/>
        </w:rPr>
        <w:t>T</w:t>
      </w:r>
      <w:r w:rsidR="006A4C85" w:rsidRPr="00767C69">
        <w:rPr>
          <w:rFonts w:asciiTheme="minorHAnsi" w:hAnsiTheme="minorHAnsi"/>
          <w:snapToGrid w:val="0"/>
        </w:rPr>
        <w:t xml:space="preserve">he </w:t>
      </w:r>
      <w:r w:rsidR="00E53139" w:rsidRPr="00767C69">
        <w:rPr>
          <w:rFonts w:asciiTheme="minorHAnsi" w:hAnsiTheme="minorHAnsi"/>
          <w:snapToGrid w:val="0"/>
        </w:rPr>
        <w:t xml:space="preserve">PBAC </w:t>
      </w:r>
      <w:r w:rsidR="00C64673">
        <w:rPr>
          <w:rFonts w:asciiTheme="minorHAnsi" w:hAnsiTheme="minorHAnsi"/>
          <w:snapToGrid w:val="0"/>
        </w:rPr>
        <w:t>also</w:t>
      </w:r>
      <w:r w:rsidR="00E53139" w:rsidRPr="00767C69">
        <w:rPr>
          <w:rFonts w:asciiTheme="minorHAnsi" w:hAnsiTheme="minorHAnsi"/>
          <w:snapToGrid w:val="0"/>
        </w:rPr>
        <w:t xml:space="preserve"> noted the </w:t>
      </w:r>
      <w:r w:rsidR="006A4C85" w:rsidRPr="00767C69">
        <w:rPr>
          <w:rFonts w:asciiTheme="minorHAnsi" w:hAnsiTheme="minorHAnsi"/>
          <w:snapToGrid w:val="0"/>
        </w:rPr>
        <w:t xml:space="preserve">incidence of thromboembolic and haemorrhagic events were numerically higher in patients treated with BAT across trials, with MAJIC showing an improvement in </w:t>
      </w:r>
      <w:r w:rsidR="0094547C">
        <w:rPr>
          <w:rFonts w:asciiTheme="minorHAnsi" w:hAnsiTheme="minorHAnsi"/>
          <w:snapToGrid w:val="0"/>
        </w:rPr>
        <w:t xml:space="preserve">favour of ruxolitinib in </w:t>
      </w:r>
      <w:r w:rsidR="006A4C85" w:rsidRPr="00767C69">
        <w:rPr>
          <w:rFonts w:asciiTheme="minorHAnsi" w:hAnsiTheme="minorHAnsi"/>
          <w:snapToGrid w:val="0"/>
        </w:rPr>
        <w:t>thromboembolic event-free survival (TEFS) (HR</w:t>
      </w:r>
      <w:r w:rsidR="00756370" w:rsidRPr="00767C69">
        <w:rPr>
          <w:rFonts w:asciiTheme="minorHAnsi" w:hAnsiTheme="minorHAnsi"/>
          <w:snapToGrid w:val="0"/>
        </w:rPr>
        <w:t xml:space="preserve"> </w:t>
      </w:r>
      <w:r w:rsidR="006A4C85" w:rsidRPr="00767C69">
        <w:rPr>
          <w:rFonts w:asciiTheme="minorHAnsi" w:hAnsiTheme="minorHAnsi"/>
          <w:snapToGrid w:val="0"/>
        </w:rPr>
        <w:t xml:space="preserve">0.57, 95% CI: 0.32, 0.99; p=0.05) and a significant difference in major EFS (HR 0.60, 95% CI: 0.37, 0.97; p=0.04). </w:t>
      </w:r>
      <w:r w:rsidR="00C64673">
        <w:rPr>
          <w:snapToGrid w:val="0"/>
        </w:rPr>
        <w:t>Furthermore, t</w:t>
      </w:r>
      <w:r w:rsidR="0067183C" w:rsidRPr="00767C69">
        <w:rPr>
          <w:snapToGrid w:val="0"/>
        </w:rPr>
        <w:t>he PBAC</w:t>
      </w:r>
      <w:r w:rsidR="00955DBA" w:rsidRPr="00767C69">
        <w:rPr>
          <w:snapToGrid w:val="0"/>
        </w:rPr>
        <w:t xml:space="preserve"> </w:t>
      </w:r>
      <w:r w:rsidR="0067183C" w:rsidRPr="00767C69">
        <w:rPr>
          <w:snapToGrid w:val="0"/>
        </w:rPr>
        <w:t>noted that the MAJIC trial reported a</w:t>
      </w:r>
      <w:r w:rsidR="00784B41" w:rsidRPr="00767C69">
        <w:rPr>
          <w:snapToGrid w:val="0"/>
        </w:rPr>
        <w:t xml:space="preserve"> reduction in the </w:t>
      </w:r>
      <w:r w:rsidR="0067183C" w:rsidRPr="00767C69">
        <w:rPr>
          <w:snapToGrid w:val="0"/>
        </w:rPr>
        <w:t xml:space="preserve">number of venesections in </w:t>
      </w:r>
      <w:r w:rsidR="00784B41" w:rsidRPr="00767C69">
        <w:rPr>
          <w:snapToGrid w:val="0"/>
        </w:rPr>
        <w:t xml:space="preserve">the </w:t>
      </w:r>
      <w:r w:rsidR="0067183C" w:rsidRPr="00767C69">
        <w:rPr>
          <w:snapToGrid w:val="0"/>
        </w:rPr>
        <w:t>ruxolitinib arm</w:t>
      </w:r>
      <w:r w:rsidR="00784B41" w:rsidRPr="00767C69">
        <w:rPr>
          <w:snapToGrid w:val="0"/>
        </w:rPr>
        <w:t xml:space="preserve"> compared to those receiving BAT</w:t>
      </w:r>
      <w:r w:rsidR="0067183C" w:rsidRPr="00767C69">
        <w:rPr>
          <w:snapToGrid w:val="0"/>
        </w:rPr>
        <w:t xml:space="preserve"> (</w:t>
      </w:r>
      <w:r w:rsidR="0087083B">
        <w:rPr>
          <w:snapToGrid w:val="0"/>
        </w:rPr>
        <w:t>30</w:t>
      </w:r>
      <w:r w:rsidR="00784B41" w:rsidRPr="00767C69">
        <w:rPr>
          <w:snapToGrid w:val="0"/>
        </w:rPr>
        <w:t xml:space="preserve"> vs </w:t>
      </w:r>
      <w:r w:rsidR="0087083B">
        <w:rPr>
          <w:snapToGrid w:val="0"/>
        </w:rPr>
        <w:t>49</w:t>
      </w:r>
      <w:r w:rsidR="0067183C" w:rsidRPr="00767C69">
        <w:rPr>
          <w:snapToGrid w:val="0"/>
        </w:rPr>
        <w:t>) with similar results reported in the RESPONSE and RESPONSE-2 trials.</w:t>
      </w:r>
      <w:bookmarkEnd w:id="106"/>
      <w:r w:rsidR="0067183C" w:rsidRPr="00767C69">
        <w:rPr>
          <w:snapToGrid w:val="0"/>
        </w:rPr>
        <w:t xml:space="preserve"> </w:t>
      </w:r>
    </w:p>
    <w:p w14:paraId="7A7A4578" w14:textId="6294A60A" w:rsidR="00D23A8D" w:rsidRPr="00155DD0" w:rsidRDefault="0035662A" w:rsidP="009E06E3">
      <w:pPr>
        <w:widowControl w:val="0"/>
        <w:numPr>
          <w:ilvl w:val="1"/>
          <w:numId w:val="5"/>
        </w:numPr>
        <w:spacing w:after="120"/>
        <w:rPr>
          <w:snapToGrid w:val="0"/>
        </w:rPr>
      </w:pPr>
      <w:r>
        <w:rPr>
          <w:rFonts w:asciiTheme="minorHAnsi" w:hAnsiTheme="minorHAnsi"/>
          <w:snapToGrid w:val="0"/>
        </w:rPr>
        <w:t>T</w:t>
      </w:r>
      <w:r w:rsidR="006A4C85" w:rsidRPr="009143BA">
        <w:rPr>
          <w:rFonts w:asciiTheme="minorHAnsi" w:hAnsiTheme="minorHAnsi"/>
          <w:snapToGrid w:val="0"/>
        </w:rPr>
        <w:t xml:space="preserve">he </w:t>
      </w:r>
      <w:r>
        <w:rPr>
          <w:rFonts w:asciiTheme="minorHAnsi" w:hAnsiTheme="minorHAnsi"/>
          <w:snapToGrid w:val="0"/>
        </w:rPr>
        <w:t xml:space="preserve">PBAC noted that while </w:t>
      </w:r>
      <w:r w:rsidR="006A4C85" w:rsidRPr="009143BA">
        <w:rPr>
          <w:rFonts w:asciiTheme="minorHAnsi" w:hAnsiTheme="minorHAnsi"/>
          <w:snapToGrid w:val="0"/>
        </w:rPr>
        <w:t>PFS rates at 3- and 5-year</w:t>
      </w:r>
      <w:r w:rsidR="00ED5057">
        <w:rPr>
          <w:rFonts w:asciiTheme="minorHAnsi" w:hAnsiTheme="minorHAnsi"/>
          <w:snapToGrid w:val="0"/>
        </w:rPr>
        <w:t>s</w:t>
      </w:r>
      <w:r w:rsidR="006A4C85" w:rsidRPr="009143BA">
        <w:rPr>
          <w:rFonts w:asciiTheme="minorHAnsi" w:hAnsiTheme="minorHAnsi"/>
          <w:snapToGrid w:val="0"/>
        </w:rPr>
        <w:t xml:space="preserve"> were numerically higher in the ruxolitinib arm compared to BAT</w:t>
      </w:r>
      <w:r w:rsidR="000F4102">
        <w:rPr>
          <w:rFonts w:asciiTheme="minorHAnsi" w:hAnsiTheme="minorHAnsi"/>
          <w:snapToGrid w:val="0"/>
        </w:rPr>
        <w:t xml:space="preserve"> (</w:t>
      </w:r>
      <w:r w:rsidR="006A4C85" w:rsidRPr="009143BA">
        <w:rPr>
          <w:rFonts w:asciiTheme="minorHAnsi" w:hAnsiTheme="minorHAnsi"/>
          <w:snapToGrid w:val="0"/>
        </w:rPr>
        <w:t>84% vs 75% and 76% vs 64% respectively</w:t>
      </w:r>
      <w:r w:rsidR="00F50149">
        <w:rPr>
          <w:rFonts w:asciiTheme="minorHAnsi" w:hAnsiTheme="minorHAnsi"/>
          <w:snapToGrid w:val="0"/>
        </w:rPr>
        <w:t>)</w:t>
      </w:r>
      <w:r w:rsidR="006A4C85" w:rsidRPr="009143BA">
        <w:rPr>
          <w:rFonts w:asciiTheme="minorHAnsi" w:hAnsiTheme="minorHAnsi"/>
          <w:snapToGrid w:val="0"/>
        </w:rPr>
        <w:t>, median PFS was not reached and no significant differences were observed between treatment arms based on the results across all three trials. The</w:t>
      </w:r>
      <w:r w:rsidR="00CB7C1B" w:rsidRPr="009143BA">
        <w:rPr>
          <w:rFonts w:asciiTheme="minorHAnsi" w:hAnsiTheme="minorHAnsi"/>
          <w:snapToGrid w:val="0"/>
        </w:rPr>
        <w:t xml:space="preserve"> PBAC </w:t>
      </w:r>
      <w:r w:rsidR="001F1EFA">
        <w:rPr>
          <w:rFonts w:asciiTheme="minorHAnsi" w:hAnsiTheme="minorHAnsi"/>
          <w:snapToGrid w:val="0"/>
        </w:rPr>
        <w:t xml:space="preserve">also </w:t>
      </w:r>
      <w:r w:rsidR="00CB7C1B" w:rsidRPr="009143BA">
        <w:rPr>
          <w:rFonts w:asciiTheme="minorHAnsi" w:hAnsiTheme="minorHAnsi"/>
          <w:snapToGrid w:val="0"/>
        </w:rPr>
        <w:t>noted th</w:t>
      </w:r>
      <w:r w:rsidR="006F19DF" w:rsidRPr="009143BA">
        <w:rPr>
          <w:rFonts w:asciiTheme="minorHAnsi" w:hAnsiTheme="minorHAnsi"/>
          <w:snapToGrid w:val="0"/>
        </w:rPr>
        <w:t>at</w:t>
      </w:r>
      <w:r w:rsidR="003C2FEA" w:rsidRPr="009143BA">
        <w:rPr>
          <w:rFonts w:asciiTheme="minorHAnsi" w:hAnsiTheme="minorHAnsi"/>
          <w:snapToGrid w:val="0"/>
        </w:rPr>
        <w:t xml:space="preserve"> no statistically significant OS benefit was reported </w:t>
      </w:r>
      <w:r w:rsidR="00A02B9E" w:rsidRPr="009143BA">
        <w:rPr>
          <w:rFonts w:asciiTheme="minorHAnsi" w:hAnsiTheme="minorHAnsi"/>
          <w:snapToGrid w:val="0"/>
        </w:rPr>
        <w:t>(HR</w:t>
      </w:r>
      <w:r w:rsidR="00756370" w:rsidRPr="009143BA">
        <w:rPr>
          <w:rFonts w:asciiTheme="minorHAnsi" w:hAnsiTheme="minorHAnsi"/>
          <w:snapToGrid w:val="0"/>
        </w:rPr>
        <w:t xml:space="preserve"> </w:t>
      </w:r>
      <w:r w:rsidR="00A02B9E" w:rsidRPr="009143BA">
        <w:rPr>
          <w:rFonts w:asciiTheme="minorHAnsi" w:hAnsiTheme="minorHAnsi"/>
          <w:snapToGrid w:val="0"/>
        </w:rPr>
        <w:t>0.73</w:t>
      </w:r>
      <w:r w:rsidR="00065C73" w:rsidRPr="009143BA">
        <w:rPr>
          <w:rFonts w:asciiTheme="minorHAnsi" w:hAnsiTheme="minorHAnsi"/>
          <w:snapToGrid w:val="0"/>
        </w:rPr>
        <w:t>, 95% CI</w:t>
      </w:r>
      <w:r w:rsidR="000F4B04" w:rsidRPr="009143BA">
        <w:rPr>
          <w:rFonts w:asciiTheme="minorHAnsi" w:hAnsiTheme="minorHAnsi"/>
          <w:snapToGrid w:val="0"/>
        </w:rPr>
        <w:t>:</w:t>
      </w:r>
      <w:r w:rsidR="00065C73" w:rsidRPr="009143BA">
        <w:rPr>
          <w:rFonts w:asciiTheme="minorHAnsi" w:hAnsiTheme="minorHAnsi"/>
          <w:snapToGrid w:val="0"/>
        </w:rPr>
        <w:t xml:space="preserve"> 0.36</w:t>
      </w:r>
      <w:r w:rsidR="000F4B04" w:rsidRPr="009143BA">
        <w:rPr>
          <w:rFonts w:asciiTheme="minorHAnsi" w:hAnsiTheme="minorHAnsi"/>
          <w:snapToGrid w:val="0"/>
        </w:rPr>
        <w:t xml:space="preserve">, </w:t>
      </w:r>
      <w:r w:rsidR="00065C73" w:rsidRPr="009143BA">
        <w:rPr>
          <w:rFonts w:asciiTheme="minorHAnsi" w:hAnsiTheme="minorHAnsi"/>
          <w:snapToGrid w:val="0"/>
        </w:rPr>
        <w:t>1.50)</w:t>
      </w:r>
      <w:r w:rsidR="003C2FEA" w:rsidRPr="009143BA">
        <w:rPr>
          <w:rFonts w:asciiTheme="minorHAnsi" w:hAnsiTheme="minorHAnsi"/>
          <w:snapToGrid w:val="0"/>
        </w:rPr>
        <w:t>.</w:t>
      </w:r>
      <w:r w:rsidR="000F4B04" w:rsidRPr="009143BA">
        <w:rPr>
          <w:rFonts w:asciiTheme="minorHAnsi" w:hAnsiTheme="minorHAnsi"/>
          <w:snapToGrid w:val="0"/>
        </w:rPr>
        <w:t xml:space="preserve"> </w:t>
      </w:r>
      <w:r w:rsidR="00D23A8D" w:rsidRPr="00946411">
        <w:t xml:space="preserve">The </w:t>
      </w:r>
      <w:r w:rsidR="00155DD0">
        <w:t>PBAC</w:t>
      </w:r>
      <w:r w:rsidR="00D23A8D" w:rsidRPr="00946411">
        <w:t xml:space="preserve"> acknowledged the limitations of the clinical evidence and considered that, although uncertain, the claim of superior effectiveness was supported by the significant improvements in major EFS, the reductions in venesections and the improvements in duration of response reported for ruxolitinib compared to BAT. </w:t>
      </w:r>
    </w:p>
    <w:p w14:paraId="0102BC29" w14:textId="24A330DE" w:rsidR="00382213" w:rsidRDefault="007D7216" w:rsidP="00382213">
      <w:pPr>
        <w:pStyle w:val="3-BodyText"/>
      </w:pPr>
      <w:r>
        <w:t>The PBAC noted that</w:t>
      </w:r>
      <w:r w:rsidR="00382213" w:rsidRPr="0F1D33A4">
        <w:t xml:space="preserve"> there were no significant differences in Grade ≥3 AEs, SAEs and deaths reported by the 5-year follow up</w:t>
      </w:r>
      <w:r w:rsidR="00A02035">
        <w:t xml:space="preserve"> in the MAJIC trial</w:t>
      </w:r>
      <w:r w:rsidR="00382213" w:rsidRPr="0F1D33A4">
        <w:t>. However, differences in AE profiles were evident between ruxolitinib and BAT</w:t>
      </w:r>
      <w:r w:rsidR="002035D5">
        <w:t xml:space="preserve"> in the MAJIC</w:t>
      </w:r>
      <w:r w:rsidR="00221C10">
        <w:t xml:space="preserve">, </w:t>
      </w:r>
      <w:r w:rsidR="00382213" w:rsidRPr="0F1D33A4">
        <w:t xml:space="preserve">RESPONSE and RESPONSE-2 trials. </w:t>
      </w:r>
      <w:r w:rsidR="00382213" w:rsidRPr="00946411">
        <w:t xml:space="preserve">Overall, the </w:t>
      </w:r>
      <w:r w:rsidR="00A02035">
        <w:t>PBAC</w:t>
      </w:r>
      <w:r w:rsidR="002035D5">
        <w:t xml:space="preserve"> advised</w:t>
      </w:r>
      <w:r w:rsidR="00A02035">
        <w:t xml:space="preserve"> that</w:t>
      </w:r>
      <w:r w:rsidR="00382213" w:rsidRPr="00946411">
        <w:t xml:space="preserve"> ruxolitinib has </w:t>
      </w:r>
      <w:r w:rsidR="00382213">
        <w:t xml:space="preserve">a </w:t>
      </w:r>
      <w:r w:rsidR="00382213" w:rsidRPr="00946411">
        <w:t>different safety profile compared to BAT, and considered that this is likely to be manageable.</w:t>
      </w:r>
    </w:p>
    <w:p w14:paraId="21904482" w14:textId="4026ED66" w:rsidR="00206FED" w:rsidRDefault="00396829" w:rsidP="00206FED">
      <w:pPr>
        <w:widowControl w:val="0"/>
        <w:numPr>
          <w:ilvl w:val="1"/>
          <w:numId w:val="5"/>
        </w:numPr>
        <w:spacing w:after="120"/>
        <w:rPr>
          <w:snapToGrid w:val="0"/>
        </w:rPr>
      </w:pPr>
      <w:r w:rsidRPr="00396829">
        <w:rPr>
          <w:snapToGrid w:val="0"/>
        </w:rPr>
        <w:t xml:space="preserve">The resubmission presented an updated economic model that was based on </w:t>
      </w:r>
      <w:r w:rsidRPr="00396829">
        <w:rPr>
          <w:snapToGrid w:val="0"/>
        </w:rPr>
        <w:lastRenderedPageBreak/>
        <w:t xml:space="preserve">progression in </w:t>
      </w:r>
      <w:r w:rsidR="002157D7" w:rsidRPr="0F1D33A4">
        <w:t xml:space="preserve">acute myeloid leukaemia </w:t>
      </w:r>
      <w:r w:rsidR="002157D7">
        <w:t>(</w:t>
      </w:r>
      <w:r w:rsidRPr="00396829">
        <w:rPr>
          <w:snapToGrid w:val="0"/>
        </w:rPr>
        <w:t>AML</w:t>
      </w:r>
      <w:r w:rsidR="002157D7">
        <w:rPr>
          <w:snapToGrid w:val="0"/>
        </w:rPr>
        <w:t>)</w:t>
      </w:r>
      <w:r w:rsidRPr="00396829">
        <w:rPr>
          <w:snapToGrid w:val="0"/>
        </w:rPr>
        <w:t>/myelodysplastic syndrome (MDS),</w:t>
      </w:r>
      <w:r w:rsidR="00F87B86">
        <w:rPr>
          <w:snapToGrid w:val="0"/>
        </w:rPr>
        <w:t xml:space="preserve"> </w:t>
      </w:r>
      <w:r w:rsidR="002157D7" w:rsidRPr="0910F2D2">
        <w:rPr>
          <w:rFonts w:asciiTheme="minorHAnsi" w:eastAsiaTheme="minorEastAsia" w:hAnsiTheme="minorHAnsi" w:cstheme="minorBidi"/>
        </w:rPr>
        <w:t>myelofibrosis</w:t>
      </w:r>
      <w:r w:rsidR="002157D7" w:rsidRPr="00396829">
        <w:rPr>
          <w:snapToGrid w:val="0"/>
        </w:rPr>
        <w:t xml:space="preserve"> </w:t>
      </w:r>
      <w:r w:rsidR="002157D7">
        <w:rPr>
          <w:snapToGrid w:val="0"/>
        </w:rPr>
        <w:t>(</w:t>
      </w:r>
      <w:r w:rsidRPr="00396829">
        <w:rPr>
          <w:snapToGrid w:val="0"/>
        </w:rPr>
        <w:t>MF</w:t>
      </w:r>
      <w:r w:rsidR="002157D7">
        <w:rPr>
          <w:snapToGrid w:val="0"/>
        </w:rPr>
        <w:t>)</w:t>
      </w:r>
      <w:r w:rsidRPr="00396829">
        <w:rPr>
          <w:snapToGrid w:val="0"/>
        </w:rPr>
        <w:t xml:space="preserve"> or death. The </w:t>
      </w:r>
      <w:r w:rsidR="006F7B7A">
        <w:rPr>
          <w:snapToGrid w:val="0"/>
        </w:rPr>
        <w:t>PBAC agreed with the ESC that the</w:t>
      </w:r>
      <w:r w:rsidRPr="00396829">
        <w:rPr>
          <w:snapToGrid w:val="0"/>
        </w:rPr>
        <w:t xml:space="preserve"> updated model structure appeared reasonable</w:t>
      </w:r>
      <w:r w:rsidR="006F7B7A">
        <w:rPr>
          <w:snapToGrid w:val="0"/>
        </w:rPr>
        <w:t xml:space="preserve">, </w:t>
      </w:r>
      <w:r w:rsidR="002157D7">
        <w:rPr>
          <w:snapToGrid w:val="0"/>
        </w:rPr>
        <w:t xml:space="preserve">however </w:t>
      </w:r>
      <w:r w:rsidR="006F7B7A">
        <w:rPr>
          <w:snapToGrid w:val="0"/>
        </w:rPr>
        <w:t>t</w:t>
      </w:r>
      <w:r w:rsidRPr="006F7B7A">
        <w:rPr>
          <w:snapToGrid w:val="0"/>
        </w:rPr>
        <w:t>he extrapolation of PFS and OS in the economic model was highly uncertain</w:t>
      </w:r>
      <w:r w:rsidR="006F7B7A">
        <w:rPr>
          <w:snapToGrid w:val="0"/>
        </w:rPr>
        <w:t xml:space="preserve">. </w:t>
      </w:r>
      <w:r w:rsidR="002157D7">
        <w:rPr>
          <w:snapToGrid w:val="0"/>
        </w:rPr>
        <w:t>The PBAC noted that</w:t>
      </w:r>
      <w:r w:rsidRPr="002157D7">
        <w:rPr>
          <w:snapToGrid w:val="0"/>
        </w:rPr>
        <w:t xml:space="preserve"> each progression event in the economic model (i.e. AML/MDS, MF and death) was modelled separately with an assumption of treatment benefit favouring ruxolitinib</w:t>
      </w:r>
      <w:r w:rsidR="002157D7">
        <w:rPr>
          <w:snapToGrid w:val="0"/>
        </w:rPr>
        <w:t xml:space="preserve"> despite the MAJIC trial reporting no significant difference in PFS between treatment arms</w:t>
      </w:r>
      <w:r w:rsidRPr="002157D7">
        <w:rPr>
          <w:snapToGrid w:val="0"/>
        </w:rPr>
        <w:t xml:space="preserve">. The </w:t>
      </w:r>
      <w:r w:rsidR="00044E5E">
        <w:rPr>
          <w:snapToGrid w:val="0"/>
        </w:rPr>
        <w:t>PBAC noted that when</w:t>
      </w:r>
      <w:r w:rsidRPr="002157D7">
        <w:rPr>
          <w:snapToGrid w:val="0"/>
        </w:rPr>
        <w:t xml:space="preserve"> the difference in PFS was removed the ICER increased from </w:t>
      </w:r>
      <w:r w:rsidR="0044395D" w:rsidRPr="0044395D">
        <w:rPr>
          <w:snapToGrid w:val="0"/>
        </w:rPr>
        <w:t xml:space="preserve">$55,000 to </w:t>
      </w:r>
      <w:r w:rsidR="00F87B86">
        <w:rPr>
          <w:snapToGrid w:val="0"/>
        </w:rPr>
        <w:br/>
      </w:r>
      <w:r w:rsidR="0044395D" w:rsidRPr="0044395D">
        <w:rPr>
          <w:snapToGrid w:val="0"/>
        </w:rPr>
        <w:t xml:space="preserve">&lt; $75,000 </w:t>
      </w:r>
      <w:r w:rsidRPr="002157D7">
        <w:rPr>
          <w:snapToGrid w:val="0"/>
        </w:rPr>
        <w:t xml:space="preserve">per quality adjusted life year (QALY) gained to </w:t>
      </w:r>
      <w:r w:rsidR="00ED24CB" w:rsidRPr="00ED24CB">
        <w:rPr>
          <w:snapToGrid w:val="0"/>
        </w:rPr>
        <w:t>$155,000 to &lt; $255,000</w:t>
      </w:r>
      <w:r w:rsidR="00F87B86">
        <w:rPr>
          <w:snapToGrid w:val="0"/>
        </w:rPr>
        <w:t xml:space="preserve"> </w:t>
      </w:r>
      <w:r w:rsidR="00983B1A">
        <w:rPr>
          <w:snapToGrid w:val="0"/>
        </w:rPr>
        <w:t>per QALY gained</w:t>
      </w:r>
      <w:r w:rsidRPr="002157D7">
        <w:rPr>
          <w:snapToGrid w:val="0"/>
        </w:rPr>
        <w:t>.</w:t>
      </w:r>
      <w:r w:rsidR="00801A88">
        <w:rPr>
          <w:snapToGrid w:val="0"/>
        </w:rPr>
        <w:t xml:space="preserve"> </w:t>
      </w:r>
      <w:r w:rsidR="00206FED">
        <w:rPr>
          <w:snapToGrid w:val="0"/>
        </w:rPr>
        <w:t>T</w:t>
      </w:r>
      <w:r w:rsidR="00801A88">
        <w:rPr>
          <w:snapToGrid w:val="0"/>
        </w:rPr>
        <w:t>he</w:t>
      </w:r>
      <w:r w:rsidR="00F87B86">
        <w:rPr>
          <w:snapToGrid w:val="0"/>
        </w:rPr>
        <w:t xml:space="preserve"> </w:t>
      </w:r>
      <w:r w:rsidRPr="00801A88">
        <w:rPr>
          <w:snapToGrid w:val="0"/>
        </w:rPr>
        <w:t xml:space="preserve">economic model </w:t>
      </w:r>
      <w:r w:rsidR="00206FED">
        <w:rPr>
          <w:snapToGrid w:val="0"/>
        </w:rPr>
        <w:t xml:space="preserve">also </w:t>
      </w:r>
      <w:r w:rsidRPr="00801A88">
        <w:rPr>
          <w:snapToGrid w:val="0"/>
        </w:rPr>
        <w:t xml:space="preserve">maintained a difference in pre-progression OS </w:t>
      </w:r>
      <w:r w:rsidR="00801A88">
        <w:rPr>
          <w:snapToGrid w:val="0"/>
        </w:rPr>
        <w:t>despite no statistically significant benefit reported in the MAJIC trial</w:t>
      </w:r>
      <w:r w:rsidRPr="00801A88">
        <w:rPr>
          <w:snapToGrid w:val="0"/>
        </w:rPr>
        <w:t xml:space="preserve">. </w:t>
      </w:r>
      <w:r w:rsidR="00206FED">
        <w:rPr>
          <w:snapToGrid w:val="0"/>
        </w:rPr>
        <w:t xml:space="preserve">The PBAC </w:t>
      </w:r>
      <w:r w:rsidR="00745444">
        <w:rPr>
          <w:snapToGrid w:val="0"/>
        </w:rPr>
        <w:t>considered</w:t>
      </w:r>
      <w:r w:rsidR="00206FED">
        <w:rPr>
          <w:snapToGrid w:val="0"/>
        </w:rPr>
        <w:t xml:space="preserve"> that initial differences in PFS and OS that were assumed by the economic model, led to differences in QALY gains that were </w:t>
      </w:r>
      <w:r w:rsidR="00745444">
        <w:rPr>
          <w:snapToGrid w:val="0"/>
        </w:rPr>
        <w:t xml:space="preserve">highly uncertain and were </w:t>
      </w:r>
      <w:r w:rsidR="00206FED">
        <w:rPr>
          <w:snapToGrid w:val="0"/>
        </w:rPr>
        <w:t>maintained throughout the 20 year time horizon.</w:t>
      </w:r>
      <w:r w:rsidR="00745444">
        <w:rPr>
          <w:snapToGrid w:val="0"/>
        </w:rPr>
        <w:t xml:space="preserve"> In addition, the PBAC noted the model was also driven by an assumed difference in pre-progression utilities that it considered were uncertain and favoured ruxolitinib (para </w:t>
      </w:r>
      <w:r w:rsidR="00745444">
        <w:rPr>
          <w:snapToGrid w:val="0"/>
        </w:rPr>
        <w:fldChar w:fldCharType="begin" w:fldLock="1"/>
      </w:r>
      <w:r w:rsidR="00745444">
        <w:rPr>
          <w:snapToGrid w:val="0"/>
        </w:rPr>
        <w:instrText xml:space="preserve"> REF _Ref190693228 \r \h </w:instrText>
      </w:r>
      <w:r w:rsidR="00745444">
        <w:rPr>
          <w:snapToGrid w:val="0"/>
        </w:rPr>
      </w:r>
      <w:r w:rsidR="00745444">
        <w:rPr>
          <w:snapToGrid w:val="0"/>
        </w:rPr>
        <w:fldChar w:fldCharType="separate"/>
      </w:r>
      <w:r w:rsidR="00745444">
        <w:rPr>
          <w:snapToGrid w:val="0"/>
        </w:rPr>
        <w:t>6.72</w:t>
      </w:r>
      <w:r w:rsidR="00745444">
        <w:rPr>
          <w:snapToGrid w:val="0"/>
        </w:rPr>
        <w:fldChar w:fldCharType="end"/>
      </w:r>
      <w:r w:rsidR="00745444">
        <w:rPr>
          <w:snapToGrid w:val="0"/>
        </w:rPr>
        <w:t>).</w:t>
      </w:r>
      <w:r w:rsidR="00DA5AD3">
        <w:rPr>
          <w:snapToGrid w:val="0"/>
        </w:rPr>
        <w:t xml:space="preserve"> Overall, the PBAC agreed with the ESC that the modelled benefits were highly uncertain due to the lack of clinical data to support the claimed benefits of PFS and OS that the model was based on.</w:t>
      </w:r>
      <w:r w:rsidR="00F87B86">
        <w:rPr>
          <w:snapToGrid w:val="0"/>
        </w:rPr>
        <w:t xml:space="preserve"> </w:t>
      </w:r>
    </w:p>
    <w:p w14:paraId="7416CE09" w14:textId="78BFB1F1" w:rsidR="008370F4" w:rsidRPr="00206FED" w:rsidRDefault="00DA5AD3" w:rsidP="00206FED">
      <w:pPr>
        <w:widowControl w:val="0"/>
        <w:numPr>
          <w:ilvl w:val="1"/>
          <w:numId w:val="5"/>
        </w:numPr>
        <w:spacing w:after="120"/>
        <w:rPr>
          <w:snapToGrid w:val="0"/>
        </w:rPr>
      </w:pPr>
      <w:bookmarkStart w:id="107" w:name="_Ref194430783"/>
      <w:r>
        <w:rPr>
          <w:snapToGrid w:val="0"/>
        </w:rPr>
        <w:t xml:space="preserve">The PBAC noted that the pre-PBAC response provided a revised base case that made amendments to pre-progression survival for ruxolitinib and the rate of AML (para </w:t>
      </w:r>
      <w:r>
        <w:rPr>
          <w:snapToGrid w:val="0"/>
        </w:rPr>
        <w:fldChar w:fldCharType="begin" w:fldLock="1"/>
      </w:r>
      <w:r>
        <w:rPr>
          <w:snapToGrid w:val="0"/>
        </w:rPr>
        <w:instrText xml:space="preserve"> REF _Ref194308756 \r \h </w:instrText>
      </w:r>
      <w:r>
        <w:rPr>
          <w:snapToGrid w:val="0"/>
        </w:rPr>
      </w:r>
      <w:r>
        <w:rPr>
          <w:snapToGrid w:val="0"/>
        </w:rPr>
        <w:fldChar w:fldCharType="separate"/>
      </w:r>
      <w:r>
        <w:rPr>
          <w:snapToGrid w:val="0"/>
        </w:rPr>
        <w:t>6.84</w:t>
      </w:r>
      <w:r>
        <w:rPr>
          <w:snapToGrid w:val="0"/>
        </w:rPr>
        <w:fldChar w:fldCharType="end"/>
      </w:r>
      <w:r>
        <w:rPr>
          <w:snapToGrid w:val="0"/>
        </w:rPr>
        <w:t xml:space="preserve">). The PBAC also noted that the revised base case incorporated the price reduction proposed in the pre-PBAC response (para </w:t>
      </w:r>
      <w:r>
        <w:rPr>
          <w:snapToGrid w:val="0"/>
        </w:rPr>
        <w:fldChar w:fldCharType="begin" w:fldLock="1"/>
      </w:r>
      <w:r>
        <w:rPr>
          <w:snapToGrid w:val="0"/>
        </w:rPr>
        <w:instrText xml:space="preserve"> REF _Ref194308825 \r \h </w:instrText>
      </w:r>
      <w:r>
        <w:rPr>
          <w:snapToGrid w:val="0"/>
        </w:rPr>
      </w:r>
      <w:r>
        <w:rPr>
          <w:snapToGrid w:val="0"/>
        </w:rPr>
        <w:fldChar w:fldCharType="separate"/>
      </w:r>
      <w:r>
        <w:rPr>
          <w:snapToGrid w:val="0"/>
        </w:rPr>
        <w:t>3.2</w:t>
      </w:r>
      <w:r>
        <w:rPr>
          <w:snapToGrid w:val="0"/>
        </w:rPr>
        <w:fldChar w:fldCharType="end"/>
      </w:r>
      <w:r>
        <w:rPr>
          <w:snapToGrid w:val="0"/>
        </w:rPr>
        <w:t xml:space="preserve">). The pre-PBAC response stated that these changes returned an ICER of </w:t>
      </w:r>
      <w:r w:rsidR="00274EA1" w:rsidRPr="00274EA1">
        <w:rPr>
          <w:snapToGrid w:val="0"/>
        </w:rPr>
        <w:t xml:space="preserve">$55,000 to &lt; $75,000 </w:t>
      </w:r>
      <w:r>
        <w:rPr>
          <w:snapToGrid w:val="0"/>
        </w:rPr>
        <w:t xml:space="preserve">per QALY gained. </w:t>
      </w:r>
      <w:r w:rsidR="00983B1A">
        <w:rPr>
          <w:snapToGrid w:val="0"/>
        </w:rPr>
        <w:t xml:space="preserve">The PBAC considered that as the model remained based on endpoints where statistical significance has not been demonstrated the revised base case ICER remained uncertain. The PBAC considered that the uncertainty in the ICER was unlikely to be adequately resolved with further revisions to the model inputs. </w:t>
      </w:r>
      <w:r w:rsidR="00842178">
        <w:rPr>
          <w:snapToGrid w:val="0"/>
        </w:rPr>
        <w:t xml:space="preserve">The PBAC acknowledged the unmet need for alternative treatments, </w:t>
      </w:r>
      <w:r w:rsidR="00842178">
        <w:rPr>
          <w:rFonts w:asciiTheme="minorHAnsi" w:hAnsiTheme="minorHAnsi"/>
          <w:snapToGrid w:val="0"/>
          <w:lang w:val="en-GB" w:eastAsia="en-US"/>
        </w:rPr>
        <w:t xml:space="preserve">the impact of PV on patients quality of life and the importance of </w:t>
      </w:r>
      <w:r w:rsidR="00842178" w:rsidRPr="00946411">
        <w:t>improvements in duration of response</w:t>
      </w:r>
      <w:r w:rsidR="00842178">
        <w:t xml:space="preserve"> in this condition. In this overall context, the PBAC considered that </w:t>
      </w:r>
      <w:r w:rsidR="000C379B">
        <w:t>a</w:t>
      </w:r>
      <w:r w:rsidR="00842178">
        <w:t xml:space="preserve"> cost-per-responder analysis would provide additional support for the assessment of cost-effectiveness in this instance.</w:t>
      </w:r>
      <w:bookmarkEnd w:id="107"/>
      <w:r w:rsidR="00842178">
        <w:t xml:space="preserve"> </w:t>
      </w:r>
    </w:p>
    <w:p w14:paraId="73185FFC" w14:textId="7A6D6D5B" w:rsidR="0072219E" w:rsidRPr="00333CA9" w:rsidRDefault="00BA4B90" w:rsidP="00333CA9">
      <w:pPr>
        <w:widowControl w:val="0"/>
        <w:numPr>
          <w:ilvl w:val="1"/>
          <w:numId w:val="5"/>
        </w:numPr>
        <w:spacing w:after="120"/>
        <w:rPr>
          <w:rFonts w:asciiTheme="minorHAnsi" w:hAnsiTheme="minorHAnsi"/>
          <w:snapToGrid w:val="0"/>
          <w:lang w:val="en-GB" w:eastAsia="en-US"/>
        </w:rPr>
      </w:pPr>
      <w:r>
        <w:rPr>
          <w:rFonts w:asciiTheme="minorHAnsi" w:hAnsiTheme="minorHAnsi"/>
          <w:snapToGrid w:val="0"/>
          <w:lang w:val="en-GB" w:eastAsia="en-US"/>
        </w:rPr>
        <w:t>The PBAC noted the pre-PBAC response provided a cost-per-responder analysis which returned a cost-per-overall response of $</w:t>
      </w:r>
      <w:r w:rsidR="00A268DC" w:rsidRPr="00C0236C">
        <w:rPr>
          <w:rFonts w:asciiTheme="minorHAnsi" w:hAnsiTheme="minorHAnsi"/>
          <w:snapToGrid w:val="0"/>
          <w:color w:val="000000"/>
          <w:w w:val="15"/>
          <w:shd w:val="solid" w:color="000000" w:fill="000000"/>
          <w:fitText w:val="-20" w:id="-694973434"/>
          <w:lang w:val="en-GB" w:eastAsia="en-US"/>
          <w14:textFill>
            <w14:solidFill>
              <w14:srgbClr w14:val="000000">
                <w14:alpha w14:val="100000"/>
              </w14:srgbClr>
            </w14:solidFill>
          </w14:textFill>
        </w:rPr>
        <w:t>|</w:t>
      </w:r>
      <w:r w:rsidR="00F87B86" w:rsidRPr="00C0236C">
        <w:rPr>
          <w:rFonts w:asciiTheme="minorHAnsi" w:hAnsiTheme="minorHAnsi"/>
          <w:snapToGrid w:val="0"/>
          <w:color w:val="000000"/>
          <w:w w:val="15"/>
          <w:shd w:val="solid" w:color="000000" w:fill="000000"/>
          <w:fitText w:val="-20" w:id="-694973434"/>
          <w:lang w:val="en-GB" w:eastAsia="en-US"/>
          <w14:textFill>
            <w14:solidFill>
              <w14:srgbClr w14:val="000000">
                <w14:alpha w14:val="100000"/>
              </w14:srgbClr>
            </w14:solidFill>
          </w14:textFill>
        </w:rPr>
        <w:t xml:space="preserve"> </w:t>
      </w:r>
      <w:r w:rsidR="00A268DC" w:rsidRPr="00C0236C">
        <w:rPr>
          <w:rFonts w:asciiTheme="minorHAnsi" w:hAnsiTheme="minorHAnsi"/>
          <w:snapToGrid w:val="0"/>
          <w:color w:val="000000"/>
          <w:spacing w:val="-61"/>
          <w:w w:val="15"/>
          <w:shd w:val="solid" w:color="000000" w:fill="000000"/>
          <w:fitText w:val="-20" w:id="-694973434"/>
          <w:lang w:val="en-GB" w:eastAsia="en-US"/>
          <w14:textFill>
            <w14:solidFill>
              <w14:srgbClr w14:val="000000">
                <w14:alpha w14:val="100000"/>
              </w14:srgbClr>
            </w14:solidFill>
          </w14:textFill>
        </w:rPr>
        <w:t>|</w:t>
      </w:r>
      <w:r>
        <w:rPr>
          <w:rFonts w:asciiTheme="minorHAnsi" w:hAnsiTheme="minorHAnsi"/>
          <w:snapToGrid w:val="0"/>
          <w:lang w:val="en-GB" w:eastAsia="en-US"/>
        </w:rPr>
        <w:t xml:space="preserve"> over 5 years.</w:t>
      </w:r>
      <w:r w:rsidR="000A5B83">
        <w:rPr>
          <w:rFonts w:asciiTheme="minorHAnsi" w:hAnsiTheme="minorHAnsi"/>
          <w:snapToGrid w:val="0"/>
          <w:lang w:val="en-GB" w:eastAsia="en-US"/>
        </w:rPr>
        <w:t xml:space="preserve"> The PBAC noted the analysis was based on </w:t>
      </w:r>
      <w:r w:rsidR="0087083B">
        <w:rPr>
          <w:rFonts w:asciiTheme="minorHAnsi" w:hAnsiTheme="minorHAnsi"/>
          <w:snapToGrid w:val="0"/>
          <w:lang w:val="en-GB" w:eastAsia="en-US"/>
        </w:rPr>
        <w:t xml:space="preserve">the proportion of patients who maintained a CR or PR at 5 years </w:t>
      </w:r>
      <w:r w:rsidR="000A5B83">
        <w:rPr>
          <w:rFonts w:asciiTheme="minorHAnsi" w:hAnsiTheme="minorHAnsi"/>
          <w:snapToGrid w:val="0"/>
          <w:lang w:val="en-GB" w:eastAsia="en-US"/>
        </w:rPr>
        <w:t>from the MAJIC trial</w:t>
      </w:r>
      <w:r w:rsidR="0087083B">
        <w:rPr>
          <w:rFonts w:asciiTheme="minorHAnsi" w:hAnsiTheme="minorHAnsi"/>
          <w:snapToGrid w:val="0"/>
          <w:lang w:val="en-GB" w:eastAsia="en-US"/>
        </w:rPr>
        <w:t>. The pre-PBAC response s</w:t>
      </w:r>
      <w:r w:rsidR="00D655BD">
        <w:rPr>
          <w:rFonts w:asciiTheme="minorHAnsi" w:hAnsiTheme="minorHAnsi"/>
          <w:snapToGrid w:val="0"/>
          <w:lang w:val="en-GB" w:eastAsia="en-US"/>
        </w:rPr>
        <w:t>t</w:t>
      </w:r>
      <w:r w:rsidR="0087083B">
        <w:rPr>
          <w:rFonts w:asciiTheme="minorHAnsi" w:hAnsiTheme="minorHAnsi"/>
          <w:snapToGrid w:val="0"/>
          <w:lang w:val="en-GB" w:eastAsia="en-US"/>
        </w:rPr>
        <w:t>ated that all modelled costs were included and discounted at 5% per annum.</w:t>
      </w:r>
      <w:r w:rsidR="000A5B83">
        <w:rPr>
          <w:rFonts w:asciiTheme="minorHAnsi" w:hAnsiTheme="minorHAnsi"/>
          <w:snapToGrid w:val="0"/>
          <w:lang w:val="en-GB" w:eastAsia="en-US"/>
        </w:rPr>
        <w:t xml:space="preserve"> The PBAC noted that data at year 5 was informed by a small number of patients and advised that use of duration of response data at 3 years would be more robust (para </w:t>
      </w:r>
      <w:r w:rsidR="000A5B83">
        <w:rPr>
          <w:rFonts w:asciiTheme="minorHAnsi" w:hAnsiTheme="minorHAnsi"/>
          <w:snapToGrid w:val="0"/>
          <w:lang w:val="en-GB" w:eastAsia="en-US"/>
        </w:rPr>
        <w:fldChar w:fldCharType="begin" w:fldLock="1"/>
      </w:r>
      <w:r w:rsidR="000A5B83">
        <w:rPr>
          <w:rFonts w:asciiTheme="minorHAnsi" w:hAnsiTheme="minorHAnsi"/>
          <w:snapToGrid w:val="0"/>
          <w:lang w:val="en-GB" w:eastAsia="en-US"/>
        </w:rPr>
        <w:instrText xml:space="preserve"> REF _Ref194253716 \r \h </w:instrText>
      </w:r>
      <w:r w:rsidR="000A5B83">
        <w:rPr>
          <w:rFonts w:asciiTheme="minorHAnsi" w:hAnsiTheme="minorHAnsi"/>
          <w:snapToGrid w:val="0"/>
          <w:lang w:val="en-GB" w:eastAsia="en-US"/>
        </w:rPr>
      </w:r>
      <w:r w:rsidR="000A5B83">
        <w:rPr>
          <w:rFonts w:asciiTheme="minorHAnsi" w:hAnsiTheme="minorHAnsi"/>
          <w:snapToGrid w:val="0"/>
          <w:lang w:val="en-GB" w:eastAsia="en-US"/>
        </w:rPr>
        <w:fldChar w:fldCharType="separate"/>
      </w:r>
      <w:r w:rsidR="000A5B83">
        <w:rPr>
          <w:rFonts w:asciiTheme="minorHAnsi" w:hAnsiTheme="minorHAnsi"/>
          <w:snapToGrid w:val="0"/>
          <w:lang w:val="en-GB" w:eastAsia="en-US"/>
        </w:rPr>
        <w:t>6.20</w:t>
      </w:r>
      <w:r w:rsidR="000A5B83">
        <w:rPr>
          <w:rFonts w:asciiTheme="minorHAnsi" w:hAnsiTheme="minorHAnsi"/>
          <w:snapToGrid w:val="0"/>
          <w:lang w:val="en-GB" w:eastAsia="en-US"/>
        </w:rPr>
        <w:fldChar w:fldCharType="end"/>
      </w:r>
      <w:r w:rsidR="000A5B83">
        <w:rPr>
          <w:rFonts w:asciiTheme="minorHAnsi" w:hAnsiTheme="minorHAnsi"/>
          <w:snapToGrid w:val="0"/>
          <w:lang w:val="en-GB" w:eastAsia="en-US"/>
        </w:rPr>
        <w:t>).</w:t>
      </w:r>
      <w:r w:rsidR="0072219E">
        <w:rPr>
          <w:rFonts w:asciiTheme="minorHAnsi" w:hAnsiTheme="minorHAnsi"/>
          <w:snapToGrid w:val="0"/>
          <w:lang w:val="en-GB" w:eastAsia="en-US"/>
        </w:rPr>
        <w:t xml:space="preserve"> In addition, the PBAC considered that the cost should be restricted to drug costs. The PBAC noted that the incremental cost-per-overall responder over 3 years was estimated to be </w:t>
      </w:r>
      <w:r w:rsidR="00C05887" w:rsidRPr="00C05887">
        <w:rPr>
          <w:rFonts w:asciiTheme="minorHAnsi" w:hAnsiTheme="minorHAnsi"/>
          <w:snapToGrid w:val="0"/>
          <w:lang w:val="en-GB" w:eastAsia="en-US"/>
        </w:rPr>
        <w:t>$75,000 to &lt; $95,00</w:t>
      </w:r>
      <w:r w:rsidR="0072219E">
        <w:rPr>
          <w:rFonts w:asciiTheme="minorHAnsi" w:hAnsiTheme="minorHAnsi"/>
          <w:snapToGrid w:val="0"/>
          <w:lang w:val="en-GB" w:eastAsia="en-US"/>
        </w:rPr>
        <w:t>.</w:t>
      </w:r>
      <w:r w:rsidR="0094547C">
        <w:rPr>
          <w:rFonts w:asciiTheme="minorHAnsi" w:hAnsiTheme="minorHAnsi"/>
          <w:snapToGrid w:val="0"/>
          <w:lang w:val="en-GB" w:eastAsia="en-US"/>
        </w:rPr>
        <w:t xml:space="preserve"> The PBAC </w:t>
      </w:r>
      <w:r w:rsidR="0094547C">
        <w:rPr>
          <w:rFonts w:asciiTheme="minorHAnsi" w:hAnsiTheme="minorHAnsi"/>
          <w:snapToGrid w:val="0"/>
          <w:lang w:val="en-GB" w:eastAsia="en-US"/>
        </w:rPr>
        <w:lastRenderedPageBreak/>
        <w:t>noted that many of the previous cost-per-responder analyses had been for time-limited therapies, with response assessed at 26 weeks or one year. For comparisons with previous PBAC decisions, the Committee noted that this was equivalent to approximately $</w:t>
      </w:r>
      <w:r w:rsidR="00A268DC" w:rsidRPr="00C0236C">
        <w:rPr>
          <w:rFonts w:asciiTheme="minorHAnsi" w:hAnsiTheme="minorHAnsi"/>
          <w:snapToGrid w:val="0"/>
          <w:color w:val="000000"/>
          <w:w w:val="15"/>
          <w:shd w:val="solid" w:color="000000" w:fill="000000"/>
          <w:fitText w:val="-20" w:id="-694973433"/>
          <w:lang w:val="en-GB" w:eastAsia="en-US"/>
          <w14:textFill>
            <w14:solidFill>
              <w14:srgbClr w14:val="000000">
                <w14:alpha w14:val="100000"/>
              </w14:srgbClr>
            </w14:solidFill>
          </w14:textFill>
        </w:rPr>
        <w:t>|</w:t>
      </w:r>
      <w:r w:rsidR="00F87B86" w:rsidRPr="00C0236C">
        <w:rPr>
          <w:rFonts w:asciiTheme="minorHAnsi" w:hAnsiTheme="minorHAnsi"/>
          <w:snapToGrid w:val="0"/>
          <w:color w:val="000000"/>
          <w:w w:val="15"/>
          <w:shd w:val="solid" w:color="000000" w:fill="000000"/>
          <w:fitText w:val="-20" w:id="-694973433"/>
          <w:lang w:val="en-GB" w:eastAsia="en-US"/>
          <w14:textFill>
            <w14:solidFill>
              <w14:srgbClr w14:val="000000">
                <w14:alpha w14:val="100000"/>
              </w14:srgbClr>
            </w14:solidFill>
          </w14:textFill>
        </w:rPr>
        <w:t xml:space="preserve"> </w:t>
      </w:r>
      <w:r w:rsidR="00A268DC" w:rsidRPr="00C0236C">
        <w:rPr>
          <w:rFonts w:asciiTheme="minorHAnsi" w:hAnsiTheme="minorHAnsi"/>
          <w:snapToGrid w:val="0"/>
          <w:color w:val="000000"/>
          <w:spacing w:val="-61"/>
          <w:w w:val="15"/>
          <w:shd w:val="solid" w:color="000000" w:fill="000000"/>
          <w:fitText w:val="-20" w:id="-694973433"/>
          <w:lang w:val="en-GB" w:eastAsia="en-US"/>
          <w14:textFill>
            <w14:solidFill>
              <w14:srgbClr w14:val="000000">
                <w14:alpha w14:val="100000"/>
              </w14:srgbClr>
            </w14:solidFill>
          </w14:textFill>
        </w:rPr>
        <w:t>|</w:t>
      </w:r>
      <w:r w:rsidR="0094547C">
        <w:rPr>
          <w:rFonts w:asciiTheme="minorHAnsi" w:hAnsiTheme="minorHAnsi"/>
          <w:snapToGrid w:val="0"/>
          <w:lang w:val="en-GB" w:eastAsia="en-US"/>
        </w:rPr>
        <w:t xml:space="preserve"> per overall response over 26 weeks if it is assumed that the costs are accrued uniformly.</w:t>
      </w:r>
      <w:r w:rsidR="0072219E">
        <w:rPr>
          <w:rFonts w:asciiTheme="minorHAnsi" w:hAnsiTheme="minorHAnsi"/>
          <w:snapToGrid w:val="0"/>
          <w:lang w:val="en-GB" w:eastAsia="en-US"/>
        </w:rPr>
        <w:t xml:space="preserve"> </w:t>
      </w:r>
      <w:r w:rsidR="00333CA9">
        <w:rPr>
          <w:rFonts w:asciiTheme="minorHAnsi" w:hAnsiTheme="minorHAnsi"/>
          <w:snapToGrid w:val="0"/>
          <w:lang w:val="en-GB" w:eastAsia="en-US"/>
        </w:rPr>
        <w:t xml:space="preserve">The PBAC considered that this was within the range of the cost-per-responder analyses previously accepted by the Committee. </w:t>
      </w:r>
      <w:r w:rsidR="0094547C">
        <w:rPr>
          <w:rFonts w:asciiTheme="minorHAnsi" w:hAnsiTheme="minorHAnsi"/>
          <w:snapToGrid w:val="0"/>
          <w:lang w:val="en-GB" w:eastAsia="en-US"/>
        </w:rPr>
        <w:t xml:space="preserve">The PBAC considered that ruxolitinib was cost-effective at the price proposed in the pre-PBAC response based on: (i) the expected benefits associated with treatment as outlined in paragraph </w:t>
      </w:r>
      <w:r w:rsidR="0094547C">
        <w:rPr>
          <w:rFonts w:asciiTheme="minorHAnsi" w:hAnsiTheme="minorHAnsi"/>
          <w:snapToGrid w:val="0"/>
          <w:lang w:val="en-GB" w:eastAsia="en-US"/>
        </w:rPr>
        <w:fldChar w:fldCharType="begin" w:fldLock="1"/>
      </w:r>
      <w:r w:rsidR="0094547C">
        <w:rPr>
          <w:rFonts w:asciiTheme="minorHAnsi" w:hAnsiTheme="minorHAnsi"/>
          <w:snapToGrid w:val="0"/>
          <w:lang w:val="en-GB" w:eastAsia="en-US"/>
        </w:rPr>
        <w:instrText xml:space="preserve"> REF _Ref194430425 \r \h </w:instrText>
      </w:r>
      <w:r w:rsidR="0094547C">
        <w:rPr>
          <w:rFonts w:asciiTheme="minorHAnsi" w:hAnsiTheme="minorHAnsi"/>
          <w:snapToGrid w:val="0"/>
          <w:lang w:val="en-GB" w:eastAsia="en-US"/>
        </w:rPr>
      </w:r>
      <w:r w:rsidR="0094547C">
        <w:rPr>
          <w:rFonts w:asciiTheme="minorHAnsi" w:hAnsiTheme="minorHAnsi"/>
          <w:snapToGrid w:val="0"/>
          <w:lang w:val="en-GB" w:eastAsia="en-US"/>
        </w:rPr>
        <w:fldChar w:fldCharType="separate"/>
      </w:r>
      <w:r w:rsidR="0094547C">
        <w:rPr>
          <w:rFonts w:asciiTheme="minorHAnsi" w:hAnsiTheme="minorHAnsi"/>
          <w:snapToGrid w:val="0"/>
          <w:lang w:val="en-GB" w:eastAsia="en-US"/>
        </w:rPr>
        <w:t>7.7</w:t>
      </w:r>
      <w:r w:rsidR="0094547C">
        <w:rPr>
          <w:rFonts w:asciiTheme="minorHAnsi" w:hAnsiTheme="minorHAnsi"/>
          <w:snapToGrid w:val="0"/>
          <w:lang w:val="en-GB" w:eastAsia="en-US"/>
        </w:rPr>
        <w:fldChar w:fldCharType="end"/>
      </w:r>
      <w:r w:rsidR="0094547C">
        <w:rPr>
          <w:rFonts w:asciiTheme="minorHAnsi" w:hAnsiTheme="minorHAnsi"/>
          <w:snapToGrid w:val="0"/>
          <w:lang w:val="en-GB" w:eastAsia="en-US"/>
        </w:rPr>
        <w:t xml:space="preserve">; (ii) comparison with previously accepted cost-per-responder analyses </w:t>
      </w:r>
      <w:r w:rsidR="00333CA9">
        <w:rPr>
          <w:rFonts w:asciiTheme="minorHAnsi" w:hAnsiTheme="minorHAnsi"/>
          <w:snapToGrid w:val="0"/>
          <w:lang w:val="en-GB" w:eastAsia="en-US"/>
        </w:rPr>
        <w:t>(</w:t>
      </w:r>
      <w:r w:rsidR="00333CA9">
        <w:rPr>
          <w:rFonts w:asciiTheme="minorHAnsi" w:hAnsiTheme="minorHAnsi"/>
          <w:snapToGrid w:val="0"/>
          <w:lang w:val="en-GB" w:eastAsia="en-US"/>
        </w:rPr>
        <w:fldChar w:fldCharType="begin" w:fldLock="1"/>
      </w:r>
      <w:r w:rsidR="00333CA9">
        <w:rPr>
          <w:rFonts w:asciiTheme="minorHAnsi" w:hAnsiTheme="minorHAnsi"/>
          <w:snapToGrid w:val="0"/>
          <w:lang w:val="en-GB" w:eastAsia="en-US"/>
        </w:rPr>
        <w:instrText xml:space="preserve"> REF _Ref194252170 \h </w:instrText>
      </w:r>
      <w:r w:rsidR="00333CA9">
        <w:rPr>
          <w:rFonts w:asciiTheme="minorHAnsi" w:hAnsiTheme="minorHAnsi"/>
          <w:snapToGrid w:val="0"/>
          <w:lang w:val="en-GB" w:eastAsia="en-US"/>
        </w:rPr>
      </w:r>
      <w:r w:rsidR="00333CA9">
        <w:rPr>
          <w:rFonts w:asciiTheme="minorHAnsi" w:hAnsiTheme="minorHAnsi"/>
          <w:snapToGrid w:val="0"/>
          <w:lang w:val="en-GB" w:eastAsia="en-US"/>
        </w:rPr>
        <w:fldChar w:fldCharType="separate"/>
      </w:r>
      <w:r w:rsidR="00CF6E5F">
        <w:t xml:space="preserve">Table </w:t>
      </w:r>
      <w:r w:rsidR="00CF6E5F">
        <w:rPr>
          <w:noProof/>
        </w:rPr>
        <w:t>18</w:t>
      </w:r>
      <w:r w:rsidR="00333CA9">
        <w:rPr>
          <w:rFonts w:asciiTheme="minorHAnsi" w:hAnsiTheme="minorHAnsi"/>
          <w:snapToGrid w:val="0"/>
          <w:lang w:val="en-GB" w:eastAsia="en-US"/>
        </w:rPr>
        <w:fldChar w:fldCharType="end"/>
      </w:r>
      <w:r w:rsidR="00333CA9">
        <w:rPr>
          <w:rFonts w:asciiTheme="minorHAnsi" w:hAnsiTheme="minorHAnsi"/>
          <w:snapToGrid w:val="0"/>
          <w:lang w:val="en-GB" w:eastAsia="en-US"/>
        </w:rPr>
        <w:t xml:space="preserve">); and (iii) the results of the economic model, noting the uncertainties outlined in paragraph </w:t>
      </w:r>
      <w:r w:rsidR="00333CA9">
        <w:rPr>
          <w:rFonts w:asciiTheme="minorHAnsi" w:hAnsiTheme="minorHAnsi"/>
          <w:snapToGrid w:val="0"/>
          <w:lang w:val="en-GB" w:eastAsia="en-US"/>
        </w:rPr>
        <w:fldChar w:fldCharType="begin" w:fldLock="1"/>
      </w:r>
      <w:r w:rsidR="00333CA9">
        <w:rPr>
          <w:rFonts w:asciiTheme="minorHAnsi" w:hAnsiTheme="minorHAnsi"/>
          <w:snapToGrid w:val="0"/>
          <w:lang w:val="en-GB" w:eastAsia="en-US"/>
        </w:rPr>
        <w:instrText xml:space="preserve"> REF _Ref194430783 \r \h </w:instrText>
      </w:r>
      <w:r w:rsidR="00333CA9">
        <w:rPr>
          <w:rFonts w:asciiTheme="minorHAnsi" w:hAnsiTheme="minorHAnsi"/>
          <w:snapToGrid w:val="0"/>
          <w:lang w:val="en-GB" w:eastAsia="en-US"/>
        </w:rPr>
      </w:r>
      <w:r w:rsidR="00333CA9">
        <w:rPr>
          <w:rFonts w:asciiTheme="minorHAnsi" w:hAnsiTheme="minorHAnsi"/>
          <w:snapToGrid w:val="0"/>
          <w:lang w:val="en-GB" w:eastAsia="en-US"/>
        </w:rPr>
        <w:fldChar w:fldCharType="separate"/>
      </w:r>
      <w:r w:rsidR="00333CA9">
        <w:rPr>
          <w:rFonts w:asciiTheme="minorHAnsi" w:hAnsiTheme="minorHAnsi"/>
          <w:snapToGrid w:val="0"/>
          <w:lang w:val="en-GB" w:eastAsia="en-US"/>
        </w:rPr>
        <w:t>7.11</w:t>
      </w:r>
      <w:r w:rsidR="00333CA9">
        <w:rPr>
          <w:rFonts w:asciiTheme="minorHAnsi" w:hAnsiTheme="minorHAnsi"/>
          <w:snapToGrid w:val="0"/>
          <w:lang w:val="en-GB" w:eastAsia="en-US"/>
        </w:rPr>
        <w:fldChar w:fldCharType="end"/>
      </w:r>
      <w:r w:rsidR="00333CA9">
        <w:rPr>
          <w:rFonts w:asciiTheme="minorHAnsi" w:hAnsiTheme="minorHAnsi"/>
          <w:snapToGrid w:val="0"/>
          <w:lang w:val="en-GB" w:eastAsia="en-US"/>
        </w:rPr>
        <w:t>.</w:t>
      </w:r>
    </w:p>
    <w:p w14:paraId="3EE53571" w14:textId="4D65B179" w:rsidR="00A270A5" w:rsidRDefault="002E6C93" w:rsidP="00C32E89">
      <w:pPr>
        <w:widowControl w:val="0"/>
        <w:numPr>
          <w:ilvl w:val="1"/>
          <w:numId w:val="5"/>
        </w:numPr>
        <w:spacing w:after="120"/>
        <w:rPr>
          <w:rFonts w:asciiTheme="minorHAnsi" w:hAnsiTheme="minorHAnsi"/>
          <w:snapToGrid w:val="0"/>
          <w:lang w:val="en-GB" w:eastAsia="en-US"/>
        </w:rPr>
      </w:pPr>
      <w:r>
        <w:rPr>
          <w:rFonts w:asciiTheme="minorHAnsi" w:hAnsiTheme="minorHAnsi"/>
          <w:snapToGrid w:val="0"/>
          <w:lang w:val="en-GB" w:eastAsia="en-US"/>
        </w:rPr>
        <w:t xml:space="preserve">The PBAC noted that the </w:t>
      </w:r>
      <w:r w:rsidR="00823AD4">
        <w:rPr>
          <w:rFonts w:asciiTheme="minorHAnsi" w:hAnsiTheme="minorHAnsi"/>
          <w:snapToGrid w:val="0"/>
          <w:lang w:val="en-GB" w:eastAsia="en-US"/>
        </w:rPr>
        <w:t xml:space="preserve">pre-PBAC response provided revised </w:t>
      </w:r>
      <w:r w:rsidR="007E564B">
        <w:rPr>
          <w:rFonts w:asciiTheme="minorHAnsi" w:hAnsiTheme="minorHAnsi"/>
          <w:snapToGrid w:val="0"/>
          <w:lang w:val="en-GB" w:eastAsia="en-US"/>
        </w:rPr>
        <w:t>f</w:t>
      </w:r>
      <w:r w:rsidR="000971C6">
        <w:rPr>
          <w:rFonts w:asciiTheme="minorHAnsi" w:hAnsiTheme="minorHAnsi"/>
          <w:snapToGrid w:val="0"/>
          <w:lang w:val="en-GB" w:eastAsia="en-US"/>
        </w:rPr>
        <w:t xml:space="preserve">inancial estimates </w:t>
      </w:r>
      <w:r w:rsidR="00823AD4">
        <w:rPr>
          <w:rFonts w:asciiTheme="minorHAnsi" w:hAnsiTheme="minorHAnsi"/>
          <w:snapToGrid w:val="0"/>
          <w:lang w:val="en-GB" w:eastAsia="en-US"/>
        </w:rPr>
        <w:t>which</w:t>
      </w:r>
      <w:r w:rsidR="00381A8F">
        <w:rPr>
          <w:rFonts w:asciiTheme="minorHAnsi" w:hAnsiTheme="minorHAnsi"/>
          <w:snapToGrid w:val="0"/>
          <w:lang w:val="en-GB" w:eastAsia="en-US"/>
        </w:rPr>
        <w:t xml:space="preserve"> </w:t>
      </w:r>
      <w:r w:rsidR="00823AD4">
        <w:rPr>
          <w:rFonts w:asciiTheme="minorHAnsi" w:hAnsiTheme="minorHAnsi"/>
          <w:snapToGrid w:val="0"/>
          <w:lang w:val="en-GB" w:eastAsia="en-US"/>
        </w:rPr>
        <w:t>amended the incident and prevalent rates to be consistent with the evaluator extracted rates</w:t>
      </w:r>
      <w:r w:rsidR="008A1412">
        <w:rPr>
          <w:rFonts w:asciiTheme="minorHAnsi" w:hAnsiTheme="minorHAnsi"/>
          <w:snapToGrid w:val="0"/>
          <w:lang w:val="en-GB" w:eastAsia="en-US"/>
        </w:rPr>
        <w:t>,</w:t>
      </w:r>
      <w:r w:rsidR="00823AD4">
        <w:rPr>
          <w:rFonts w:asciiTheme="minorHAnsi" w:hAnsiTheme="minorHAnsi"/>
          <w:snapToGrid w:val="0"/>
          <w:lang w:val="en-GB" w:eastAsia="en-US"/>
        </w:rPr>
        <w:t xml:space="preserve"> reduced the proportion of patients resistant or intolerant to HC/HU from 22.5% to 20%</w:t>
      </w:r>
      <w:r w:rsidR="008A1412">
        <w:rPr>
          <w:rFonts w:asciiTheme="minorHAnsi" w:hAnsiTheme="minorHAnsi"/>
          <w:snapToGrid w:val="0"/>
          <w:lang w:val="en-GB" w:eastAsia="en-US"/>
        </w:rPr>
        <w:t xml:space="preserve"> and removed the parameter titled ‘the proportion of patients electing treatment.’ The PBAC considered these amendments were appropriate</w:t>
      </w:r>
      <w:r w:rsidR="00823AD4">
        <w:rPr>
          <w:rFonts w:asciiTheme="minorHAnsi" w:hAnsiTheme="minorHAnsi"/>
          <w:snapToGrid w:val="0"/>
          <w:lang w:val="en-GB" w:eastAsia="en-US"/>
        </w:rPr>
        <w:t xml:space="preserve">. </w:t>
      </w:r>
      <w:r w:rsidR="008A1412">
        <w:rPr>
          <w:rFonts w:asciiTheme="minorHAnsi" w:hAnsiTheme="minorHAnsi"/>
          <w:snapToGrid w:val="0"/>
          <w:lang w:val="en-GB" w:eastAsia="en-US"/>
        </w:rPr>
        <w:t>The PBAC noted the revised estimates modelled incident and prevalent patients separately.</w:t>
      </w:r>
      <w:r w:rsidR="008B2BF5">
        <w:rPr>
          <w:rFonts w:asciiTheme="minorHAnsi" w:hAnsiTheme="minorHAnsi"/>
          <w:snapToGrid w:val="0"/>
          <w:lang w:val="en-GB" w:eastAsia="en-US"/>
        </w:rPr>
        <w:t xml:space="preserve"> </w:t>
      </w:r>
      <w:r w:rsidR="001579EC">
        <w:rPr>
          <w:rFonts w:asciiTheme="minorHAnsi" w:hAnsiTheme="minorHAnsi"/>
          <w:snapToGrid w:val="0"/>
          <w:lang w:val="en-GB" w:eastAsia="en-US"/>
        </w:rPr>
        <w:t xml:space="preserve">Uptake in prevalent patients was </w:t>
      </w:r>
      <w:r w:rsidR="00BB7B48">
        <w:rPr>
          <w:rFonts w:asciiTheme="minorHAnsi" w:hAnsiTheme="minorHAnsi"/>
          <w:snapToGrid w:val="0"/>
          <w:lang w:val="en-GB" w:eastAsia="en-US"/>
        </w:rPr>
        <w:t xml:space="preserve">unchanged from the resubmission, and estimated to be 100% in incident patients. </w:t>
      </w:r>
      <w:r w:rsidR="008A1412">
        <w:rPr>
          <w:rFonts w:asciiTheme="minorHAnsi" w:hAnsiTheme="minorHAnsi"/>
          <w:snapToGrid w:val="0"/>
          <w:lang w:val="en-GB" w:eastAsia="en-US"/>
        </w:rPr>
        <w:t>The PBAC advised that uptake was more likely to be 80% in the incident patient population and recommended it be revised accordingly. The PBAC advised that, with the revision of the uptake rate in the incident patient population, the financial estimates provided in the pre-PBAC response were appropriate</w:t>
      </w:r>
      <w:r w:rsidR="008B2BF5">
        <w:rPr>
          <w:rFonts w:asciiTheme="minorHAnsi" w:hAnsiTheme="minorHAnsi"/>
          <w:snapToGrid w:val="0"/>
          <w:lang w:val="en-GB" w:eastAsia="en-US"/>
        </w:rPr>
        <w:t>.</w:t>
      </w:r>
    </w:p>
    <w:p w14:paraId="0B903CCF" w14:textId="20A8C16A" w:rsidR="008A1412" w:rsidRPr="00E86118" w:rsidRDefault="008A1412" w:rsidP="008A1412">
      <w:pPr>
        <w:widowControl w:val="0"/>
        <w:numPr>
          <w:ilvl w:val="1"/>
          <w:numId w:val="5"/>
        </w:numPr>
        <w:spacing w:after="120"/>
        <w:rPr>
          <w:lang w:val="en-GB"/>
        </w:rPr>
      </w:pPr>
      <w:r w:rsidRPr="00E86118">
        <w:rPr>
          <w:rFonts w:asciiTheme="minorHAnsi" w:hAnsiTheme="minorHAnsi" w:cstheme="minorHAnsi"/>
          <w:lang w:val="en-GB"/>
        </w:rPr>
        <w:t xml:space="preserve">The PBAC found that the criteria prescribed by the </w:t>
      </w:r>
      <w:r w:rsidRPr="00E86118">
        <w:rPr>
          <w:rFonts w:asciiTheme="minorHAnsi" w:hAnsiTheme="minorHAnsi" w:cstheme="minorHAnsi"/>
          <w:i/>
          <w:lang w:val="en-GB"/>
        </w:rPr>
        <w:t>National Health (Pharmaceuticals and Vaccines – Cost Recovery) Regulations 2022</w:t>
      </w:r>
      <w:r w:rsidRPr="00E86118">
        <w:rPr>
          <w:rFonts w:asciiTheme="minorHAnsi" w:hAnsiTheme="minorHAnsi" w:cstheme="minorHAnsi"/>
          <w:lang w:val="en-GB"/>
        </w:rPr>
        <w:t xml:space="preserve"> for Pricing Pathway A were not met. Specifically the PBAC found that in the circumstances of its recommendation for </w:t>
      </w:r>
      <w:r>
        <w:rPr>
          <w:rFonts w:asciiTheme="minorHAnsi" w:hAnsiTheme="minorHAnsi" w:cstheme="minorHAnsi"/>
          <w:lang w:val="en-GB"/>
        </w:rPr>
        <w:t>ruxolitinib</w:t>
      </w:r>
      <w:r w:rsidRPr="00E86118">
        <w:rPr>
          <w:rFonts w:asciiTheme="minorHAnsi" w:hAnsiTheme="minorHAnsi" w:cstheme="minorHAnsi"/>
          <w:lang w:val="en-GB"/>
        </w:rPr>
        <w:t>:</w:t>
      </w:r>
    </w:p>
    <w:p w14:paraId="37799130" w14:textId="4279D460" w:rsidR="008A1412" w:rsidRPr="00806218" w:rsidRDefault="008A1412" w:rsidP="008A1412">
      <w:pPr>
        <w:widowControl w:val="0"/>
        <w:numPr>
          <w:ilvl w:val="1"/>
          <w:numId w:val="13"/>
        </w:numPr>
        <w:spacing w:after="120"/>
        <w:rPr>
          <w:rFonts w:asciiTheme="minorHAnsi" w:hAnsiTheme="minorHAnsi" w:cstheme="minorHAnsi"/>
          <w:lang w:val="en-GB"/>
        </w:rPr>
      </w:pPr>
      <w:r w:rsidRPr="00806218">
        <w:rPr>
          <w:rFonts w:asciiTheme="minorHAnsi" w:hAnsiTheme="minorHAnsi" w:cstheme="minorHAnsi"/>
          <w:lang w:val="en-GB"/>
        </w:rPr>
        <w:t xml:space="preserve">The treatment is not expected to provide a substantial and clinically relevant improvement in efficacy over </w:t>
      </w:r>
      <w:r>
        <w:rPr>
          <w:rFonts w:asciiTheme="minorHAnsi" w:hAnsiTheme="minorHAnsi" w:cstheme="minorHAnsi"/>
          <w:lang w:val="en-GB"/>
        </w:rPr>
        <w:t>BAT</w:t>
      </w:r>
      <w:r w:rsidRPr="00806218">
        <w:rPr>
          <w:rFonts w:asciiTheme="minorHAnsi" w:hAnsiTheme="minorHAnsi" w:cstheme="minorHAnsi"/>
          <w:lang w:val="en-GB"/>
        </w:rPr>
        <w:t xml:space="preserve">, as </w:t>
      </w:r>
      <w:r>
        <w:rPr>
          <w:rFonts w:asciiTheme="minorHAnsi" w:hAnsiTheme="minorHAnsi" w:cstheme="minorHAnsi"/>
          <w:lang w:val="en-GB"/>
        </w:rPr>
        <w:t xml:space="preserve">while </w:t>
      </w:r>
      <w:r w:rsidR="000C379B">
        <w:rPr>
          <w:rFonts w:asciiTheme="minorHAnsi" w:hAnsiTheme="minorHAnsi" w:cstheme="minorHAnsi"/>
          <w:lang w:val="en-GB"/>
        </w:rPr>
        <w:t xml:space="preserve">statistically significant </w:t>
      </w:r>
      <w:r w:rsidR="0046244A">
        <w:rPr>
          <w:rFonts w:asciiTheme="minorHAnsi" w:hAnsiTheme="minorHAnsi" w:cstheme="minorHAnsi"/>
          <w:lang w:val="en-GB"/>
        </w:rPr>
        <w:t>benefits were reported for other clinically relevant outcomes</w:t>
      </w:r>
      <w:r w:rsidR="000C379B">
        <w:rPr>
          <w:rFonts w:asciiTheme="minorHAnsi" w:hAnsiTheme="minorHAnsi" w:cstheme="minorHAnsi"/>
          <w:lang w:val="en-GB"/>
        </w:rPr>
        <w:t>,</w:t>
      </w:r>
      <w:r w:rsidR="0046244A">
        <w:rPr>
          <w:rFonts w:asciiTheme="minorHAnsi" w:hAnsiTheme="minorHAnsi" w:cstheme="minorHAnsi"/>
          <w:lang w:val="en-GB"/>
        </w:rPr>
        <w:t xml:space="preserve"> they were not reported for PFS or OS</w:t>
      </w:r>
      <w:r w:rsidRPr="00806218">
        <w:rPr>
          <w:rFonts w:asciiTheme="minorHAnsi" w:hAnsiTheme="minorHAnsi" w:cstheme="minorHAnsi"/>
          <w:lang w:val="en-GB"/>
        </w:rPr>
        <w:t xml:space="preserve">. </w:t>
      </w:r>
    </w:p>
    <w:p w14:paraId="4DC3BCEC" w14:textId="73133583" w:rsidR="008A1412" w:rsidRPr="00E86118" w:rsidRDefault="008A1412" w:rsidP="008A1412">
      <w:pPr>
        <w:widowControl w:val="0"/>
        <w:numPr>
          <w:ilvl w:val="1"/>
          <w:numId w:val="13"/>
        </w:numPr>
        <w:spacing w:after="120"/>
        <w:rPr>
          <w:rFonts w:asciiTheme="minorHAnsi" w:hAnsiTheme="minorHAnsi" w:cstheme="minorHAnsi"/>
          <w:lang w:val="en-GB"/>
        </w:rPr>
      </w:pPr>
      <w:r w:rsidRPr="00E86118">
        <w:rPr>
          <w:rFonts w:asciiTheme="minorHAnsi" w:hAnsiTheme="minorHAnsi" w:cstheme="minorHAnsi"/>
          <w:lang w:val="en-GB"/>
        </w:rPr>
        <w:t>The treatment is</w:t>
      </w:r>
      <w:r w:rsidRPr="009961BC">
        <w:rPr>
          <w:rFonts w:asciiTheme="minorHAnsi" w:hAnsiTheme="minorHAnsi" w:cstheme="minorHAnsi"/>
          <w:lang w:val="en-GB"/>
        </w:rPr>
        <w:t xml:space="preserve"> not</w:t>
      </w:r>
      <w:r w:rsidRPr="00E86118">
        <w:rPr>
          <w:rFonts w:asciiTheme="minorHAnsi" w:hAnsiTheme="minorHAnsi" w:cstheme="minorHAnsi"/>
          <w:lang w:val="en-GB"/>
        </w:rPr>
        <w:t xml:space="preserve"> expected to address a high and urgent unmet clinical need</w:t>
      </w:r>
      <w:r w:rsidR="0046244A">
        <w:rPr>
          <w:rFonts w:asciiTheme="minorHAnsi" w:hAnsiTheme="minorHAnsi" w:cstheme="minorHAnsi"/>
          <w:lang w:val="en-GB"/>
        </w:rPr>
        <w:t>,</w:t>
      </w:r>
      <w:r w:rsidRPr="009961BC">
        <w:rPr>
          <w:rFonts w:asciiTheme="minorHAnsi" w:hAnsiTheme="minorHAnsi" w:cstheme="minorHAnsi"/>
          <w:lang w:val="en-GB"/>
        </w:rPr>
        <w:t xml:space="preserve"> </w:t>
      </w:r>
      <w:r w:rsidR="0046244A">
        <w:rPr>
          <w:rFonts w:asciiTheme="minorHAnsi" w:hAnsiTheme="minorHAnsi" w:cstheme="minorHAnsi"/>
          <w:lang w:val="en-GB"/>
        </w:rPr>
        <w:t xml:space="preserve">as while alternative treatments are required, </w:t>
      </w:r>
      <w:r w:rsidRPr="009961BC">
        <w:rPr>
          <w:rFonts w:asciiTheme="minorHAnsi" w:hAnsiTheme="minorHAnsi" w:cstheme="minorHAnsi"/>
          <w:lang w:val="en-GB"/>
        </w:rPr>
        <w:t>treatment options</w:t>
      </w:r>
      <w:r w:rsidR="0046244A">
        <w:rPr>
          <w:rFonts w:asciiTheme="minorHAnsi" w:hAnsiTheme="minorHAnsi" w:cstheme="minorHAnsi"/>
          <w:lang w:val="en-GB"/>
        </w:rPr>
        <w:t xml:space="preserve"> are currently available</w:t>
      </w:r>
      <w:r w:rsidRPr="009961BC">
        <w:rPr>
          <w:rFonts w:asciiTheme="minorHAnsi" w:hAnsiTheme="minorHAnsi" w:cstheme="minorHAnsi"/>
          <w:lang w:val="en-GB"/>
        </w:rPr>
        <w:t xml:space="preserve"> for </w:t>
      </w:r>
      <w:r w:rsidR="0046244A">
        <w:rPr>
          <w:rFonts w:asciiTheme="minorHAnsi" w:hAnsiTheme="minorHAnsi" w:cstheme="minorHAnsi"/>
          <w:lang w:val="en-GB"/>
        </w:rPr>
        <w:t>PV</w:t>
      </w:r>
      <w:r w:rsidRPr="00E86118">
        <w:rPr>
          <w:rFonts w:asciiTheme="minorHAnsi" w:hAnsiTheme="minorHAnsi" w:cstheme="minorHAnsi"/>
          <w:lang w:val="en-GB"/>
        </w:rPr>
        <w:t>.</w:t>
      </w:r>
    </w:p>
    <w:p w14:paraId="69338572" w14:textId="77777777" w:rsidR="008A1412" w:rsidRPr="00E86118" w:rsidRDefault="008A1412" w:rsidP="008A1412">
      <w:pPr>
        <w:widowControl w:val="0"/>
        <w:numPr>
          <w:ilvl w:val="1"/>
          <w:numId w:val="13"/>
        </w:numPr>
        <w:spacing w:after="120"/>
        <w:rPr>
          <w:rFonts w:asciiTheme="minorHAnsi" w:hAnsiTheme="minorHAnsi" w:cstheme="minorHAnsi"/>
          <w:lang w:val="en-GB"/>
        </w:rPr>
      </w:pPr>
      <w:r w:rsidRPr="00E86118">
        <w:rPr>
          <w:rFonts w:asciiTheme="minorHAnsi" w:hAnsiTheme="minorHAnsi" w:cstheme="minorHAnsi"/>
          <w:lang w:val="en-GB"/>
        </w:rPr>
        <w:t xml:space="preserve">It was not necessary to make a finding in relation to whether it would be in the public interest for the subsequent pricing application to be progressed under Pricing Pathway A because one or more of the preceding tests had failed. </w:t>
      </w:r>
    </w:p>
    <w:p w14:paraId="78934CD7" w14:textId="77777777" w:rsidR="008A1412" w:rsidRPr="00E86118" w:rsidRDefault="008A1412" w:rsidP="008A1412">
      <w:pPr>
        <w:widowControl w:val="0"/>
        <w:numPr>
          <w:ilvl w:val="1"/>
          <w:numId w:val="5"/>
        </w:numPr>
        <w:spacing w:after="120"/>
      </w:pPr>
      <w:r w:rsidRPr="00E86118">
        <w:t>The PBAC advised that this submission would not meet the criteria for an Independent Review as</w:t>
      </w:r>
      <w:r>
        <w:t xml:space="preserve"> it</w:t>
      </w:r>
      <w:r w:rsidRPr="00E86118">
        <w:t xml:space="preserve"> received a positive PBAC recommendation.</w:t>
      </w:r>
    </w:p>
    <w:p w14:paraId="03DB80FC" w14:textId="77777777" w:rsidR="00A270A5" w:rsidRPr="00A270A5" w:rsidRDefault="00A270A5" w:rsidP="00A270A5">
      <w:pPr>
        <w:spacing w:before="240"/>
        <w:rPr>
          <w:rFonts w:asciiTheme="minorHAnsi" w:hAnsiTheme="minorHAnsi"/>
          <w:b/>
          <w:bCs/>
          <w:snapToGrid w:val="0"/>
          <w:lang w:val="en-GB" w:eastAsia="en-US"/>
        </w:rPr>
      </w:pPr>
      <w:r w:rsidRPr="00A270A5">
        <w:rPr>
          <w:rFonts w:asciiTheme="minorHAnsi" w:hAnsiTheme="minorHAnsi"/>
          <w:b/>
          <w:bCs/>
          <w:snapToGrid w:val="0"/>
          <w:lang w:val="en-GB" w:eastAsia="en-US"/>
        </w:rPr>
        <w:t>Outcome:</w:t>
      </w:r>
    </w:p>
    <w:p w14:paraId="0DB6A06F" w14:textId="51DBB1A0" w:rsidR="00A270A5" w:rsidRPr="00B47041" w:rsidRDefault="00A270A5" w:rsidP="00B47041">
      <w:pPr>
        <w:spacing w:after="120"/>
        <w:rPr>
          <w:rFonts w:asciiTheme="minorHAnsi" w:hAnsiTheme="minorHAnsi"/>
          <w:bCs/>
          <w:snapToGrid w:val="0"/>
          <w:lang w:val="en-GB" w:eastAsia="en-US"/>
        </w:rPr>
      </w:pPr>
      <w:r w:rsidRPr="00A270A5">
        <w:rPr>
          <w:rFonts w:asciiTheme="minorHAnsi" w:hAnsiTheme="minorHAnsi"/>
          <w:bCs/>
          <w:snapToGrid w:val="0"/>
          <w:lang w:val="en-GB" w:eastAsia="en-US"/>
        </w:rPr>
        <w:t xml:space="preserve">Recommended </w:t>
      </w:r>
    </w:p>
    <w:bookmarkEnd w:id="103"/>
    <w:p w14:paraId="464B6028" w14:textId="3AD75164" w:rsidR="00A270A5" w:rsidRPr="00A270A5" w:rsidRDefault="00A270A5" w:rsidP="009E06E3">
      <w:pPr>
        <w:keepNext/>
        <w:numPr>
          <w:ilvl w:val="0"/>
          <w:numId w:val="5"/>
        </w:numPr>
        <w:spacing w:before="240" w:after="120"/>
        <w:jc w:val="left"/>
        <w:outlineLvl w:val="0"/>
        <w:rPr>
          <w:rFonts w:asciiTheme="minorHAnsi" w:hAnsiTheme="minorHAnsi"/>
          <w:b/>
          <w:snapToGrid w:val="0"/>
          <w:sz w:val="32"/>
          <w:szCs w:val="32"/>
        </w:rPr>
      </w:pPr>
      <w:r w:rsidRPr="00A270A5">
        <w:rPr>
          <w:rFonts w:asciiTheme="minorHAnsi" w:hAnsiTheme="minorHAnsi"/>
          <w:b/>
          <w:snapToGrid w:val="0"/>
          <w:sz w:val="32"/>
          <w:szCs w:val="32"/>
        </w:rPr>
        <w:lastRenderedPageBreak/>
        <w:t>Recommended listing</w:t>
      </w:r>
    </w:p>
    <w:p w14:paraId="357EF5C3" w14:textId="00A4FAEE" w:rsidR="00A270A5" w:rsidRPr="00012975" w:rsidRDefault="00A270A5" w:rsidP="009E06E3">
      <w:pPr>
        <w:widowControl w:val="0"/>
        <w:numPr>
          <w:ilvl w:val="1"/>
          <w:numId w:val="5"/>
        </w:numPr>
        <w:spacing w:after="120"/>
        <w:contextualSpacing/>
        <w:jc w:val="left"/>
        <w:rPr>
          <w:rFonts w:asciiTheme="minorHAnsi" w:hAnsiTheme="minorHAnsi"/>
          <w:b/>
          <w:bCs/>
          <w:snapToGrid w:val="0"/>
          <w:lang w:eastAsia="en-US"/>
        </w:rPr>
      </w:pPr>
      <w:r w:rsidRPr="00012975">
        <w:rPr>
          <w:rFonts w:asciiTheme="minorHAnsi" w:hAnsiTheme="minorHAnsi"/>
          <w:bCs/>
          <w:snapToGrid w:val="0"/>
          <w:lang w:eastAsia="en-US"/>
        </w:rPr>
        <w:t>Add new item:</w:t>
      </w:r>
    </w:p>
    <w:p w14:paraId="362C22D2" w14:textId="77777777" w:rsidR="000A4AC2" w:rsidRDefault="000A4AC2" w:rsidP="00A270A5">
      <w:pPr>
        <w:widowControl w:val="0"/>
        <w:rPr>
          <w:rFonts w:asciiTheme="minorHAnsi" w:hAnsiTheme="minorHAnsi"/>
          <w:bCs/>
          <w:snapToGrid w:val="0"/>
          <w:lang w:eastAsia="en-US"/>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commended listing"/>
      </w:tblPr>
      <w:tblGrid>
        <w:gridCol w:w="485"/>
        <w:gridCol w:w="792"/>
        <w:gridCol w:w="2659"/>
        <w:gridCol w:w="811"/>
        <w:gridCol w:w="812"/>
        <w:gridCol w:w="811"/>
        <w:gridCol w:w="812"/>
        <w:gridCol w:w="1840"/>
      </w:tblGrid>
      <w:tr w:rsidR="00655E75" w:rsidRPr="00B32B51" w14:paraId="228E79A5" w14:textId="77777777" w:rsidTr="00F25765">
        <w:trPr>
          <w:cantSplit/>
          <w:trHeight w:val="20"/>
        </w:trPr>
        <w:tc>
          <w:tcPr>
            <w:tcW w:w="3936" w:type="dxa"/>
            <w:gridSpan w:val="3"/>
            <w:vAlign w:val="center"/>
          </w:tcPr>
          <w:p w14:paraId="1526515C" w14:textId="77777777" w:rsidR="00655E75" w:rsidRPr="00DA359D" w:rsidRDefault="00655E75" w:rsidP="009E5A28">
            <w:pPr>
              <w:keepLines/>
              <w:rPr>
                <w:rFonts w:ascii="Arial Narrow" w:hAnsi="Arial Narrow"/>
                <w:b/>
                <w:bCs/>
                <w:sz w:val="20"/>
                <w:szCs w:val="20"/>
              </w:rPr>
            </w:pPr>
            <w:r w:rsidRPr="00DA359D">
              <w:rPr>
                <w:rFonts w:ascii="Arial Narrow" w:hAnsi="Arial Narrow"/>
                <w:b/>
                <w:bCs/>
                <w:sz w:val="20"/>
                <w:szCs w:val="20"/>
              </w:rPr>
              <w:t>MEDICINAL PRODUCT</w:t>
            </w:r>
          </w:p>
          <w:p w14:paraId="7A0BF150" w14:textId="77777777" w:rsidR="00655E75" w:rsidRPr="00DA359D" w:rsidRDefault="00655E75" w:rsidP="009E5A28">
            <w:pPr>
              <w:keepLines/>
              <w:rPr>
                <w:rFonts w:ascii="Arial Narrow" w:hAnsi="Arial Narrow"/>
                <w:b/>
                <w:sz w:val="20"/>
                <w:szCs w:val="20"/>
              </w:rPr>
            </w:pPr>
            <w:r w:rsidRPr="00DA359D">
              <w:rPr>
                <w:rFonts w:ascii="Arial Narrow" w:hAnsi="Arial Narrow"/>
                <w:b/>
                <w:bCs/>
                <w:sz w:val="20"/>
                <w:szCs w:val="20"/>
              </w:rPr>
              <w:t>medicinal product pack</w:t>
            </w:r>
          </w:p>
        </w:tc>
        <w:tc>
          <w:tcPr>
            <w:tcW w:w="811" w:type="dxa"/>
            <w:vAlign w:val="center"/>
          </w:tcPr>
          <w:p w14:paraId="3735816D" w14:textId="77777777" w:rsidR="00655E75" w:rsidRPr="00DA359D" w:rsidRDefault="00655E75" w:rsidP="009E5A28">
            <w:pPr>
              <w:keepLines/>
              <w:jc w:val="center"/>
              <w:rPr>
                <w:rFonts w:ascii="Arial Narrow" w:hAnsi="Arial Narrow"/>
                <w:b/>
                <w:sz w:val="20"/>
                <w:szCs w:val="20"/>
              </w:rPr>
            </w:pPr>
            <w:r w:rsidRPr="00DA359D">
              <w:rPr>
                <w:rFonts w:ascii="Arial Narrow" w:hAnsi="Arial Narrow"/>
                <w:b/>
                <w:sz w:val="20"/>
                <w:szCs w:val="20"/>
              </w:rPr>
              <w:t>PBS item code</w:t>
            </w:r>
          </w:p>
        </w:tc>
        <w:tc>
          <w:tcPr>
            <w:tcW w:w="812" w:type="dxa"/>
            <w:vAlign w:val="center"/>
          </w:tcPr>
          <w:p w14:paraId="1AB2F3B7" w14:textId="77777777" w:rsidR="00655E75" w:rsidRPr="00DA359D" w:rsidRDefault="00655E75" w:rsidP="009E5A28">
            <w:pPr>
              <w:keepLines/>
              <w:jc w:val="center"/>
              <w:rPr>
                <w:rFonts w:ascii="Arial Narrow" w:hAnsi="Arial Narrow"/>
                <w:b/>
                <w:sz w:val="20"/>
                <w:szCs w:val="20"/>
              </w:rPr>
            </w:pPr>
            <w:r w:rsidRPr="00DA359D">
              <w:rPr>
                <w:rFonts w:ascii="Arial Narrow" w:hAnsi="Arial Narrow"/>
                <w:b/>
                <w:sz w:val="20"/>
                <w:szCs w:val="20"/>
              </w:rPr>
              <w:t>Max. qty packs</w:t>
            </w:r>
          </w:p>
        </w:tc>
        <w:tc>
          <w:tcPr>
            <w:tcW w:w="811" w:type="dxa"/>
            <w:vAlign w:val="center"/>
          </w:tcPr>
          <w:p w14:paraId="5E3C6109" w14:textId="77777777" w:rsidR="00655E75" w:rsidRPr="00DA359D" w:rsidRDefault="00655E75" w:rsidP="009E5A28">
            <w:pPr>
              <w:keepLines/>
              <w:jc w:val="center"/>
              <w:rPr>
                <w:rFonts w:ascii="Arial Narrow" w:hAnsi="Arial Narrow"/>
                <w:b/>
                <w:sz w:val="20"/>
                <w:szCs w:val="20"/>
              </w:rPr>
            </w:pPr>
            <w:r w:rsidRPr="00DA359D">
              <w:rPr>
                <w:rFonts w:ascii="Arial Narrow" w:hAnsi="Arial Narrow"/>
                <w:b/>
                <w:sz w:val="20"/>
                <w:szCs w:val="20"/>
              </w:rPr>
              <w:t>Max. qty units</w:t>
            </w:r>
          </w:p>
        </w:tc>
        <w:tc>
          <w:tcPr>
            <w:tcW w:w="812" w:type="dxa"/>
            <w:vAlign w:val="center"/>
          </w:tcPr>
          <w:p w14:paraId="4D6380E4" w14:textId="77777777" w:rsidR="00655E75" w:rsidRPr="00DA359D" w:rsidRDefault="00655E75" w:rsidP="009E5A28">
            <w:pPr>
              <w:keepLines/>
              <w:jc w:val="center"/>
              <w:rPr>
                <w:rFonts w:ascii="Arial Narrow" w:hAnsi="Arial Narrow"/>
                <w:b/>
                <w:bCs/>
                <w:sz w:val="20"/>
                <w:szCs w:val="20"/>
              </w:rPr>
            </w:pPr>
            <w:r w:rsidRPr="00DA359D">
              <w:rPr>
                <w:rFonts w:ascii="Arial Narrow" w:hAnsi="Arial Narrow"/>
                <w:b/>
                <w:bCs/>
                <w:sz w:val="20"/>
                <w:szCs w:val="20"/>
              </w:rPr>
              <w:t>№.of</w:t>
            </w:r>
          </w:p>
          <w:p w14:paraId="7D5496DF" w14:textId="77777777" w:rsidR="00655E75" w:rsidRPr="00DA359D" w:rsidRDefault="00655E75" w:rsidP="009E5A28">
            <w:pPr>
              <w:keepLines/>
              <w:jc w:val="center"/>
              <w:rPr>
                <w:rFonts w:ascii="Arial Narrow" w:hAnsi="Arial Narrow"/>
                <w:b/>
                <w:bCs/>
                <w:sz w:val="20"/>
                <w:szCs w:val="20"/>
              </w:rPr>
            </w:pPr>
            <w:r w:rsidRPr="00DA359D">
              <w:rPr>
                <w:rFonts w:ascii="Arial Narrow" w:hAnsi="Arial Narrow"/>
                <w:b/>
                <w:bCs/>
                <w:sz w:val="20"/>
                <w:szCs w:val="20"/>
              </w:rPr>
              <w:t>Rpts</w:t>
            </w:r>
          </w:p>
        </w:tc>
        <w:tc>
          <w:tcPr>
            <w:tcW w:w="1840" w:type="dxa"/>
            <w:vAlign w:val="center"/>
          </w:tcPr>
          <w:p w14:paraId="312CE65E" w14:textId="77777777" w:rsidR="00655E75" w:rsidRPr="00DA359D" w:rsidRDefault="00655E75" w:rsidP="009E5A28">
            <w:pPr>
              <w:keepLines/>
              <w:rPr>
                <w:rFonts w:ascii="Arial Narrow" w:hAnsi="Arial Narrow"/>
                <w:b/>
                <w:sz w:val="20"/>
                <w:szCs w:val="20"/>
                <w:lang w:val="fr-FR"/>
              </w:rPr>
            </w:pPr>
            <w:r w:rsidRPr="00DA359D">
              <w:rPr>
                <w:rFonts w:ascii="Arial Narrow" w:hAnsi="Arial Narrow"/>
                <w:b/>
                <w:sz w:val="20"/>
                <w:szCs w:val="20"/>
              </w:rPr>
              <w:t>Available brands</w:t>
            </w:r>
          </w:p>
        </w:tc>
      </w:tr>
      <w:tr w:rsidR="00655E75" w:rsidRPr="00B32B51" w14:paraId="1F8843DD" w14:textId="77777777" w:rsidTr="00F05E5A">
        <w:trPr>
          <w:cantSplit/>
          <w:trHeight w:val="20"/>
        </w:trPr>
        <w:tc>
          <w:tcPr>
            <w:tcW w:w="9022" w:type="dxa"/>
            <w:gridSpan w:val="8"/>
            <w:vAlign w:val="center"/>
          </w:tcPr>
          <w:p w14:paraId="4EDD6C15" w14:textId="77777777" w:rsidR="00655E75" w:rsidRPr="00DA359D" w:rsidRDefault="00655E75" w:rsidP="009E5A28">
            <w:pPr>
              <w:keepLines/>
              <w:rPr>
                <w:rFonts w:ascii="Arial Narrow" w:hAnsi="Arial Narrow"/>
                <w:sz w:val="20"/>
                <w:szCs w:val="20"/>
              </w:rPr>
            </w:pPr>
            <w:r w:rsidRPr="00DA359D">
              <w:rPr>
                <w:rFonts w:ascii="Arial Narrow" w:hAnsi="Arial Narrow"/>
                <w:sz w:val="20"/>
                <w:szCs w:val="20"/>
              </w:rPr>
              <w:t>RUXOLITINIB</w:t>
            </w:r>
          </w:p>
        </w:tc>
      </w:tr>
      <w:tr w:rsidR="00655E75" w:rsidRPr="00B32B51" w14:paraId="339C0766" w14:textId="77777777" w:rsidTr="00F25765">
        <w:trPr>
          <w:cantSplit/>
          <w:trHeight w:val="20"/>
        </w:trPr>
        <w:tc>
          <w:tcPr>
            <w:tcW w:w="3936" w:type="dxa"/>
            <w:gridSpan w:val="3"/>
            <w:vAlign w:val="center"/>
          </w:tcPr>
          <w:p w14:paraId="49A02DC8" w14:textId="77777777" w:rsidR="00655E75" w:rsidRPr="00DA359D" w:rsidRDefault="00655E75" w:rsidP="009E5A28">
            <w:pPr>
              <w:keepLines/>
              <w:rPr>
                <w:rFonts w:ascii="Arial Narrow" w:hAnsi="Arial Narrow"/>
                <w:sz w:val="20"/>
                <w:szCs w:val="20"/>
              </w:rPr>
            </w:pPr>
            <w:r w:rsidRPr="00DA359D">
              <w:rPr>
                <w:rFonts w:ascii="Arial Narrow" w:hAnsi="Arial Narrow"/>
                <w:sz w:val="20"/>
                <w:szCs w:val="20"/>
              </w:rPr>
              <w:t>ruxolitinib 5mg tablet, 56</w:t>
            </w:r>
          </w:p>
        </w:tc>
        <w:tc>
          <w:tcPr>
            <w:tcW w:w="811" w:type="dxa"/>
            <w:vAlign w:val="center"/>
          </w:tcPr>
          <w:p w14:paraId="210929D9" w14:textId="77777777" w:rsidR="00655E75" w:rsidRPr="00DA359D" w:rsidRDefault="00655E75" w:rsidP="009E5A28">
            <w:pPr>
              <w:keepLines/>
              <w:jc w:val="center"/>
              <w:rPr>
                <w:rFonts w:ascii="Arial Narrow" w:hAnsi="Arial Narrow"/>
                <w:sz w:val="20"/>
                <w:szCs w:val="20"/>
              </w:rPr>
            </w:pPr>
            <w:r w:rsidRPr="00DA359D">
              <w:rPr>
                <w:rFonts w:ascii="Arial Narrow" w:hAnsi="Arial Narrow"/>
                <w:sz w:val="20"/>
                <w:szCs w:val="20"/>
              </w:rPr>
              <w:t>NEW</w:t>
            </w:r>
          </w:p>
        </w:tc>
        <w:tc>
          <w:tcPr>
            <w:tcW w:w="812" w:type="dxa"/>
            <w:vAlign w:val="center"/>
          </w:tcPr>
          <w:p w14:paraId="77973BA7" w14:textId="77777777" w:rsidR="00655E75" w:rsidRPr="00DA359D" w:rsidRDefault="00655E75" w:rsidP="009E5A28">
            <w:pPr>
              <w:keepLines/>
              <w:jc w:val="center"/>
              <w:rPr>
                <w:rFonts w:ascii="Arial Narrow" w:hAnsi="Arial Narrow"/>
                <w:sz w:val="20"/>
                <w:szCs w:val="20"/>
              </w:rPr>
            </w:pPr>
            <w:r w:rsidRPr="00DA359D">
              <w:rPr>
                <w:rFonts w:ascii="Arial Narrow" w:hAnsi="Arial Narrow"/>
                <w:sz w:val="20"/>
                <w:szCs w:val="20"/>
              </w:rPr>
              <w:t>1</w:t>
            </w:r>
          </w:p>
        </w:tc>
        <w:tc>
          <w:tcPr>
            <w:tcW w:w="811" w:type="dxa"/>
            <w:vAlign w:val="center"/>
          </w:tcPr>
          <w:p w14:paraId="7FD85CFE" w14:textId="77777777" w:rsidR="00655E75" w:rsidRPr="00DA359D" w:rsidRDefault="00655E75" w:rsidP="009E5A28">
            <w:pPr>
              <w:keepLines/>
              <w:jc w:val="center"/>
              <w:rPr>
                <w:rFonts w:ascii="Arial Narrow" w:hAnsi="Arial Narrow"/>
                <w:sz w:val="20"/>
                <w:szCs w:val="20"/>
              </w:rPr>
            </w:pPr>
            <w:r w:rsidRPr="00DA359D">
              <w:rPr>
                <w:rFonts w:ascii="Arial Narrow" w:hAnsi="Arial Narrow"/>
                <w:sz w:val="20"/>
                <w:szCs w:val="20"/>
              </w:rPr>
              <w:t>56</w:t>
            </w:r>
          </w:p>
        </w:tc>
        <w:tc>
          <w:tcPr>
            <w:tcW w:w="812" w:type="dxa"/>
            <w:vAlign w:val="center"/>
          </w:tcPr>
          <w:p w14:paraId="2A7468B2" w14:textId="77777777" w:rsidR="00655E75" w:rsidRPr="00DA359D" w:rsidRDefault="00655E75" w:rsidP="009E5A28">
            <w:pPr>
              <w:keepLines/>
              <w:jc w:val="center"/>
              <w:rPr>
                <w:rFonts w:ascii="Arial Narrow" w:hAnsi="Arial Narrow"/>
                <w:sz w:val="20"/>
                <w:szCs w:val="20"/>
              </w:rPr>
            </w:pPr>
            <w:r w:rsidRPr="00DA359D">
              <w:rPr>
                <w:rFonts w:ascii="Arial Narrow" w:hAnsi="Arial Narrow"/>
                <w:sz w:val="20"/>
                <w:szCs w:val="20"/>
              </w:rPr>
              <w:t>5</w:t>
            </w:r>
          </w:p>
        </w:tc>
        <w:tc>
          <w:tcPr>
            <w:tcW w:w="1840" w:type="dxa"/>
            <w:vAlign w:val="center"/>
          </w:tcPr>
          <w:p w14:paraId="4EE14835" w14:textId="77777777" w:rsidR="00655E75" w:rsidRPr="00DA359D" w:rsidRDefault="00655E75" w:rsidP="009E5A28">
            <w:pPr>
              <w:keepLines/>
              <w:rPr>
                <w:rFonts w:ascii="Arial Narrow" w:hAnsi="Arial Narrow"/>
                <w:sz w:val="20"/>
                <w:szCs w:val="20"/>
              </w:rPr>
            </w:pPr>
            <w:r w:rsidRPr="00DA359D">
              <w:rPr>
                <w:rFonts w:ascii="Arial Narrow" w:hAnsi="Arial Narrow"/>
                <w:sz w:val="20"/>
                <w:szCs w:val="20"/>
              </w:rPr>
              <w:t>JAKAVI</w:t>
            </w:r>
          </w:p>
        </w:tc>
      </w:tr>
      <w:tr w:rsidR="00655E75" w:rsidRPr="00B32B51" w14:paraId="0F57948A" w14:textId="77777777" w:rsidTr="00F25765">
        <w:trPr>
          <w:cantSplit/>
          <w:trHeight w:val="20"/>
        </w:trPr>
        <w:tc>
          <w:tcPr>
            <w:tcW w:w="3936" w:type="dxa"/>
            <w:gridSpan w:val="3"/>
            <w:vAlign w:val="center"/>
          </w:tcPr>
          <w:p w14:paraId="03D4AE59" w14:textId="77777777" w:rsidR="00655E75" w:rsidRPr="00DA359D" w:rsidRDefault="00655E75" w:rsidP="009E5A28">
            <w:pPr>
              <w:keepLines/>
              <w:rPr>
                <w:rFonts w:ascii="Arial Narrow" w:hAnsi="Arial Narrow"/>
                <w:sz w:val="20"/>
                <w:szCs w:val="20"/>
              </w:rPr>
            </w:pPr>
            <w:r w:rsidRPr="00DA359D">
              <w:rPr>
                <w:rFonts w:ascii="Arial Narrow" w:hAnsi="Arial Narrow"/>
                <w:sz w:val="20"/>
                <w:szCs w:val="20"/>
              </w:rPr>
              <w:t>ruxolitinib 10 mg tablet, 56</w:t>
            </w:r>
          </w:p>
        </w:tc>
        <w:tc>
          <w:tcPr>
            <w:tcW w:w="811" w:type="dxa"/>
            <w:vAlign w:val="center"/>
          </w:tcPr>
          <w:p w14:paraId="11313B17" w14:textId="77777777" w:rsidR="00655E75" w:rsidRPr="00DA359D" w:rsidRDefault="00655E75" w:rsidP="009E5A28">
            <w:pPr>
              <w:keepLines/>
              <w:jc w:val="center"/>
              <w:rPr>
                <w:rFonts w:ascii="Arial Narrow" w:hAnsi="Arial Narrow"/>
                <w:sz w:val="20"/>
                <w:szCs w:val="20"/>
              </w:rPr>
            </w:pPr>
            <w:r w:rsidRPr="00DA359D">
              <w:rPr>
                <w:rFonts w:ascii="Arial Narrow" w:hAnsi="Arial Narrow"/>
                <w:sz w:val="20"/>
                <w:szCs w:val="20"/>
              </w:rPr>
              <w:t>NEW</w:t>
            </w:r>
          </w:p>
        </w:tc>
        <w:tc>
          <w:tcPr>
            <w:tcW w:w="812" w:type="dxa"/>
            <w:vAlign w:val="center"/>
          </w:tcPr>
          <w:p w14:paraId="28B4A205" w14:textId="77777777" w:rsidR="00655E75" w:rsidRPr="00DA359D" w:rsidRDefault="00655E75" w:rsidP="009E5A28">
            <w:pPr>
              <w:keepLines/>
              <w:jc w:val="center"/>
              <w:rPr>
                <w:rFonts w:ascii="Arial Narrow" w:hAnsi="Arial Narrow"/>
                <w:sz w:val="20"/>
                <w:szCs w:val="20"/>
              </w:rPr>
            </w:pPr>
            <w:r w:rsidRPr="00DA359D">
              <w:rPr>
                <w:rFonts w:ascii="Arial Narrow" w:hAnsi="Arial Narrow"/>
                <w:sz w:val="20"/>
                <w:szCs w:val="20"/>
              </w:rPr>
              <w:t>1</w:t>
            </w:r>
          </w:p>
        </w:tc>
        <w:tc>
          <w:tcPr>
            <w:tcW w:w="811" w:type="dxa"/>
            <w:vAlign w:val="center"/>
          </w:tcPr>
          <w:p w14:paraId="34B86A4A" w14:textId="77777777" w:rsidR="00655E75" w:rsidRPr="00DA359D" w:rsidRDefault="00655E75" w:rsidP="009E5A28">
            <w:pPr>
              <w:keepLines/>
              <w:jc w:val="center"/>
              <w:rPr>
                <w:rFonts w:ascii="Arial Narrow" w:hAnsi="Arial Narrow"/>
                <w:sz w:val="20"/>
                <w:szCs w:val="20"/>
              </w:rPr>
            </w:pPr>
            <w:r w:rsidRPr="00DA359D">
              <w:rPr>
                <w:rFonts w:ascii="Arial Narrow" w:hAnsi="Arial Narrow"/>
                <w:sz w:val="20"/>
                <w:szCs w:val="20"/>
              </w:rPr>
              <w:t>56</w:t>
            </w:r>
          </w:p>
        </w:tc>
        <w:tc>
          <w:tcPr>
            <w:tcW w:w="812" w:type="dxa"/>
            <w:vAlign w:val="center"/>
          </w:tcPr>
          <w:p w14:paraId="21D275DF" w14:textId="77777777" w:rsidR="00655E75" w:rsidRPr="00DA359D" w:rsidRDefault="00655E75" w:rsidP="009E5A28">
            <w:pPr>
              <w:keepLines/>
              <w:jc w:val="center"/>
              <w:rPr>
                <w:rFonts w:ascii="Arial Narrow" w:hAnsi="Arial Narrow"/>
                <w:sz w:val="20"/>
                <w:szCs w:val="20"/>
              </w:rPr>
            </w:pPr>
            <w:r w:rsidRPr="00DA359D">
              <w:rPr>
                <w:rFonts w:ascii="Arial Narrow" w:hAnsi="Arial Narrow"/>
                <w:sz w:val="20"/>
                <w:szCs w:val="20"/>
              </w:rPr>
              <w:t>5</w:t>
            </w:r>
          </w:p>
        </w:tc>
        <w:tc>
          <w:tcPr>
            <w:tcW w:w="1840" w:type="dxa"/>
            <w:vAlign w:val="center"/>
          </w:tcPr>
          <w:p w14:paraId="2200AF73" w14:textId="77777777" w:rsidR="00655E75" w:rsidRPr="00DA359D" w:rsidRDefault="00655E75" w:rsidP="009E5A28">
            <w:pPr>
              <w:keepLines/>
              <w:rPr>
                <w:rFonts w:ascii="Arial Narrow" w:hAnsi="Arial Narrow"/>
                <w:sz w:val="20"/>
                <w:szCs w:val="20"/>
              </w:rPr>
            </w:pPr>
            <w:r w:rsidRPr="00DA359D">
              <w:rPr>
                <w:rFonts w:ascii="Arial Narrow" w:hAnsi="Arial Narrow"/>
                <w:sz w:val="20"/>
                <w:szCs w:val="20"/>
              </w:rPr>
              <w:t>JAKAVI</w:t>
            </w:r>
          </w:p>
        </w:tc>
      </w:tr>
      <w:tr w:rsidR="00655E75" w:rsidRPr="00B32B51" w14:paraId="31C0BCFA" w14:textId="77777777" w:rsidTr="00F25765">
        <w:trPr>
          <w:cantSplit/>
          <w:trHeight w:val="20"/>
        </w:trPr>
        <w:tc>
          <w:tcPr>
            <w:tcW w:w="3936" w:type="dxa"/>
            <w:gridSpan w:val="3"/>
            <w:vAlign w:val="center"/>
          </w:tcPr>
          <w:p w14:paraId="2DEA29BB" w14:textId="77777777" w:rsidR="00655E75" w:rsidRPr="00DA359D" w:rsidRDefault="00655E75" w:rsidP="009E5A28">
            <w:pPr>
              <w:keepLines/>
              <w:rPr>
                <w:rFonts w:ascii="Arial Narrow" w:hAnsi="Arial Narrow"/>
                <w:sz w:val="20"/>
                <w:szCs w:val="20"/>
              </w:rPr>
            </w:pPr>
            <w:r w:rsidRPr="00DA359D">
              <w:rPr>
                <w:rFonts w:ascii="Arial Narrow" w:hAnsi="Arial Narrow"/>
                <w:sz w:val="20"/>
                <w:szCs w:val="20"/>
              </w:rPr>
              <w:t>ruxolitinib 15mg tablet, 56</w:t>
            </w:r>
          </w:p>
        </w:tc>
        <w:tc>
          <w:tcPr>
            <w:tcW w:w="811" w:type="dxa"/>
            <w:vAlign w:val="center"/>
          </w:tcPr>
          <w:p w14:paraId="0B4FBC3C" w14:textId="77777777" w:rsidR="00655E75" w:rsidRPr="00DA359D" w:rsidRDefault="00655E75" w:rsidP="009E5A28">
            <w:pPr>
              <w:keepLines/>
              <w:jc w:val="center"/>
              <w:rPr>
                <w:rFonts w:ascii="Arial Narrow" w:hAnsi="Arial Narrow"/>
                <w:sz w:val="20"/>
                <w:szCs w:val="20"/>
              </w:rPr>
            </w:pPr>
            <w:r w:rsidRPr="00DA359D">
              <w:rPr>
                <w:rFonts w:ascii="Arial Narrow" w:hAnsi="Arial Narrow"/>
                <w:sz w:val="20"/>
                <w:szCs w:val="20"/>
              </w:rPr>
              <w:t>NEW</w:t>
            </w:r>
          </w:p>
        </w:tc>
        <w:tc>
          <w:tcPr>
            <w:tcW w:w="812" w:type="dxa"/>
            <w:vAlign w:val="center"/>
          </w:tcPr>
          <w:p w14:paraId="0CF50059" w14:textId="77777777" w:rsidR="00655E75" w:rsidRPr="00DA359D" w:rsidRDefault="00655E75" w:rsidP="009E5A28">
            <w:pPr>
              <w:keepLines/>
              <w:jc w:val="center"/>
              <w:rPr>
                <w:rFonts w:ascii="Arial Narrow" w:hAnsi="Arial Narrow"/>
                <w:sz w:val="20"/>
                <w:szCs w:val="20"/>
              </w:rPr>
            </w:pPr>
            <w:r w:rsidRPr="00DA359D">
              <w:rPr>
                <w:rFonts w:ascii="Arial Narrow" w:hAnsi="Arial Narrow"/>
                <w:sz w:val="20"/>
                <w:szCs w:val="20"/>
              </w:rPr>
              <w:t>1</w:t>
            </w:r>
          </w:p>
        </w:tc>
        <w:tc>
          <w:tcPr>
            <w:tcW w:w="811" w:type="dxa"/>
            <w:vAlign w:val="center"/>
          </w:tcPr>
          <w:p w14:paraId="2E1B12CD" w14:textId="77777777" w:rsidR="00655E75" w:rsidRPr="00DA359D" w:rsidRDefault="00655E75" w:rsidP="009E5A28">
            <w:pPr>
              <w:keepLines/>
              <w:jc w:val="center"/>
              <w:rPr>
                <w:rFonts w:ascii="Arial Narrow" w:hAnsi="Arial Narrow"/>
                <w:sz w:val="20"/>
                <w:szCs w:val="20"/>
              </w:rPr>
            </w:pPr>
            <w:r w:rsidRPr="00DA359D">
              <w:rPr>
                <w:rFonts w:ascii="Arial Narrow" w:hAnsi="Arial Narrow"/>
                <w:sz w:val="20"/>
                <w:szCs w:val="20"/>
              </w:rPr>
              <w:t>56</w:t>
            </w:r>
          </w:p>
        </w:tc>
        <w:tc>
          <w:tcPr>
            <w:tcW w:w="812" w:type="dxa"/>
            <w:vAlign w:val="center"/>
          </w:tcPr>
          <w:p w14:paraId="5FAD0C5A" w14:textId="77777777" w:rsidR="00655E75" w:rsidRPr="00DA359D" w:rsidRDefault="00655E75" w:rsidP="009E5A28">
            <w:pPr>
              <w:keepLines/>
              <w:jc w:val="center"/>
              <w:rPr>
                <w:rFonts w:ascii="Arial Narrow" w:hAnsi="Arial Narrow"/>
                <w:sz w:val="20"/>
                <w:szCs w:val="20"/>
              </w:rPr>
            </w:pPr>
            <w:r w:rsidRPr="00DA359D">
              <w:rPr>
                <w:rFonts w:ascii="Arial Narrow" w:hAnsi="Arial Narrow"/>
                <w:sz w:val="20"/>
                <w:szCs w:val="20"/>
              </w:rPr>
              <w:t>5</w:t>
            </w:r>
          </w:p>
        </w:tc>
        <w:tc>
          <w:tcPr>
            <w:tcW w:w="1840" w:type="dxa"/>
            <w:vAlign w:val="center"/>
          </w:tcPr>
          <w:p w14:paraId="0CBFB649" w14:textId="77777777" w:rsidR="00655E75" w:rsidRPr="00DA359D" w:rsidRDefault="00655E75" w:rsidP="009E5A28">
            <w:pPr>
              <w:keepLines/>
              <w:rPr>
                <w:rFonts w:ascii="Arial Narrow" w:hAnsi="Arial Narrow"/>
                <w:sz w:val="20"/>
                <w:szCs w:val="20"/>
              </w:rPr>
            </w:pPr>
            <w:r w:rsidRPr="00DA359D">
              <w:rPr>
                <w:rFonts w:ascii="Arial Narrow" w:hAnsi="Arial Narrow"/>
                <w:sz w:val="20"/>
                <w:szCs w:val="20"/>
              </w:rPr>
              <w:t>JAKAVI</w:t>
            </w:r>
          </w:p>
        </w:tc>
      </w:tr>
      <w:tr w:rsidR="00655E75" w:rsidRPr="00B32B51" w14:paraId="1C03867A" w14:textId="77777777" w:rsidTr="00F25765">
        <w:trPr>
          <w:cantSplit/>
          <w:trHeight w:val="20"/>
        </w:trPr>
        <w:tc>
          <w:tcPr>
            <w:tcW w:w="3936" w:type="dxa"/>
            <w:gridSpan w:val="3"/>
            <w:vAlign w:val="center"/>
          </w:tcPr>
          <w:p w14:paraId="4A1E8DF9" w14:textId="77777777" w:rsidR="00655E75" w:rsidRPr="00DA359D" w:rsidRDefault="00655E75" w:rsidP="009E5A28">
            <w:pPr>
              <w:keepLines/>
              <w:rPr>
                <w:rFonts w:ascii="Arial Narrow" w:hAnsi="Arial Narrow"/>
                <w:sz w:val="20"/>
                <w:szCs w:val="20"/>
              </w:rPr>
            </w:pPr>
            <w:r w:rsidRPr="00DA359D">
              <w:rPr>
                <w:rFonts w:ascii="Arial Narrow" w:hAnsi="Arial Narrow"/>
                <w:sz w:val="20"/>
                <w:szCs w:val="20"/>
              </w:rPr>
              <w:t>ruxolitinib 20mg tablet, 56</w:t>
            </w:r>
          </w:p>
        </w:tc>
        <w:tc>
          <w:tcPr>
            <w:tcW w:w="811" w:type="dxa"/>
            <w:vAlign w:val="center"/>
          </w:tcPr>
          <w:p w14:paraId="11396A6B" w14:textId="77777777" w:rsidR="00655E75" w:rsidRPr="00DA359D" w:rsidRDefault="00655E75" w:rsidP="009E5A28">
            <w:pPr>
              <w:keepLines/>
              <w:jc w:val="center"/>
              <w:rPr>
                <w:rFonts w:ascii="Arial Narrow" w:hAnsi="Arial Narrow"/>
                <w:sz w:val="20"/>
                <w:szCs w:val="20"/>
              </w:rPr>
            </w:pPr>
            <w:r w:rsidRPr="00DA359D">
              <w:rPr>
                <w:rFonts w:ascii="Arial Narrow" w:hAnsi="Arial Narrow"/>
                <w:sz w:val="20"/>
                <w:szCs w:val="20"/>
              </w:rPr>
              <w:t>NEW</w:t>
            </w:r>
          </w:p>
        </w:tc>
        <w:tc>
          <w:tcPr>
            <w:tcW w:w="812" w:type="dxa"/>
            <w:vAlign w:val="center"/>
          </w:tcPr>
          <w:p w14:paraId="62B43FFE" w14:textId="77777777" w:rsidR="00655E75" w:rsidRPr="00DA359D" w:rsidRDefault="00655E75" w:rsidP="009E5A28">
            <w:pPr>
              <w:keepLines/>
              <w:jc w:val="center"/>
              <w:rPr>
                <w:rFonts w:ascii="Arial Narrow" w:hAnsi="Arial Narrow"/>
                <w:sz w:val="20"/>
                <w:szCs w:val="20"/>
              </w:rPr>
            </w:pPr>
            <w:r w:rsidRPr="00DA359D">
              <w:rPr>
                <w:rFonts w:ascii="Arial Narrow" w:hAnsi="Arial Narrow"/>
                <w:sz w:val="20"/>
                <w:szCs w:val="20"/>
              </w:rPr>
              <w:t>1</w:t>
            </w:r>
          </w:p>
        </w:tc>
        <w:tc>
          <w:tcPr>
            <w:tcW w:w="811" w:type="dxa"/>
            <w:vAlign w:val="center"/>
          </w:tcPr>
          <w:p w14:paraId="3807EB29" w14:textId="77777777" w:rsidR="00655E75" w:rsidRPr="00DA359D" w:rsidRDefault="00655E75" w:rsidP="009E5A28">
            <w:pPr>
              <w:keepLines/>
              <w:jc w:val="center"/>
              <w:rPr>
                <w:rFonts w:ascii="Arial Narrow" w:hAnsi="Arial Narrow"/>
                <w:sz w:val="20"/>
                <w:szCs w:val="20"/>
              </w:rPr>
            </w:pPr>
            <w:r w:rsidRPr="00DA359D">
              <w:rPr>
                <w:rFonts w:ascii="Arial Narrow" w:hAnsi="Arial Narrow"/>
                <w:sz w:val="20"/>
                <w:szCs w:val="20"/>
              </w:rPr>
              <w:t>56</w:t>
            </w:r>
          </w:p>
        </w:tc>
        <w:tc>
          <w:tcPr>
            <w:tcW w:w="812" w:type="dxa"/>
            <w:vAlign w:val="center"/>
          </w:tcPr>
          <w:p w14:paraId="22D54F59" w14:textId="77777777" w:rsidR="00655E75" w:rsidRPr="00DA359D" w:rsidRDefault="00655E75" w:rsidP="009E5A28">
            <w:pPr>
              <w:keepLines/>
              <w:jc w:val="center"/>
              <w:rPr>
                <w:rFonts w:ascii="Arial Narrow" w:hAnsi="Arial Narrow"/>
                <w:sz w:val="20"/>
                <w:szCs w:val="20"/>
              </w:rPr>
            </w:pPr>
            <w:r w:rsidRPr="00DA359D">
              <w:rPr>
                <w:rFonts w:ascii="Arial Narrow" w:hAnsi="Arial Narrow"/>
                <w:sz w:val="20"/>
                <w:szCs w:val="20"/>
              </w:rPr>
              <w:t>5</w:t>
            </w:r>
          </w:p>
        </w:tc>
        <w:tc>
          <w:tcPr>
            <w:tcW w:w="1840" w:type="dxa"/>
            <w:vAlign w:val="center"/>
          </w:tcPr>
          <w:p w14:paraId="6C51DFCC" w14:textId="77777777" w:rsidR="00655E75" w:rsidRPr="00DA359D" w:rsidRDefault="00655E75" w:rsidP="009E5A28">
            <w:pPr>
              <w:keepLines/>
              <w:rPr>
                <w:rFonts w:ascii="Arial Narrow" w:hAnsi="Arial Narrow"/>
                <w:sz w:val="20"/>
                <w:szCs w:val="20"/>
              </w:rPr>
            </w:pPr>
            <w:r w:rsidRPr="00DA359D">
              <w:rPr>
                <w:rFonts w:ascii="Arial Narrow" w:hAnsi="Arial Narrow"/>
                <w:sz w:val="20"/>
                <w:szCs w:val="20"/>
              </w:rPr>
              <w:t>JAKAVI</w:t>
            </w:r>
          </w:p>
        </w:tc>
      </w:tr>
      <w:tr w:rsidR="00655E75" w:rsidRPr="00B32B51" w14:paraId="261DD235" w14:textId="77777777" w:rsidTr="00F05E5A">
        <w:tblPrEx>
          <w:tblCellMar>
            <w:top w:w="15" w:type="dxa"/>
            <w:bottom w:w="15" w:type="dxa"/>
          </w:tblCellMar>
          <w:tblLook w:val="04A0" w:firstRow="1" w:lastRow="0" w:firstColumn="1" w:lastColumn="0" w:noHBand="0" w:noVBand="1"/>
        </w:tblPrEx>
        <w:trPr>
          <w:trHeight w:val="20"/>
        </w:trPr>
        <w:tc>
          <w:tcPr>
            <w:tcW w:w="9022" w:type="dxa"/>
            <w:gridSpan w:val="8"/>
            <w:tcBorders>
              <w:top w:val="single" w:sz="4" w:space="0" w:color="auto"/>
              <w:left w:val="single" w:sz="4" w:space="0" w:color="auto"/>
              <w:right w:val="single" w:sz="4" w:space="0" w:color="auto"/>
            </w:tcBorders>
            <w:vAlign w:val="center"/>
          </w:tcPr>
          <w:p w14:paraId="4E4AC96A" w14:textId="77777777" w:rsidR="00655E75" w:rsidRPr="00DA359D" w:rsidRDefault="00655E75" w:rsidP="009E5A28">
            <w:pPr>
              <w:rPr>
                <w:rFonts w:ascii="Arial Narrow" w:hAnsi="Arial Narrow"/>
                <w:sz w:val="20"/>
                <w:szCs w:val="20"/>
              </w:rPr>
            </w:pPr>
          </w:p>
        </w:tc>
      </w:tr>
      <w:tr w:rsidR="00655E75" w:rsidRPr="00B32B51" w14:paraId="253A2227" w14:textId="77777777" w:rsidTr="00F05E5A">
        <w:tblPrEx>
          <w:tblCellMar>
            <w:top w:w="15" w:type="dxa"/>
            <w:bottom w:w="15" w:type="dxa"/>
          </w:tblCellMar>
          <w:tblLook w:val="04A0" w:firstRow="1" w:lastRow="0" w:firstColumn="1" w:lastColumn="0" w:noHBand="0" w:noVBand="1"/>
        </w:tblPrEx>
        <w:trPr>
          <w:trHeight w:val="20"/>
        </w:trPr>
        <w:tc>
          <w:tcPr>
            <w:tcW w:w="9022" w:type="dxa"/>
            <w:gridSpan w:val="8"/>
            <w:tcBorders>
              <w:top w:val="single" w:sz="4" w:space="0" w:color="auto"/>
              <w:left w:val="single" w:sz="4" w:space="0" w:color="auto"/>
              <w:right w:val="single" w:sz="4" w:space="0" w:color="auto"/>
            </w:tcBorders>
            <w:vAlign w:val="center"/>
          </w:tcPr>
          <w:p w14:paraId="611607E7" w14:textId="77777777" w:rsidR="00655E75" w:rsidRPr="00DA359D" w:rsidRDefault="00655E75" w:rsidP="009E5A28">
            <w:pPr>
              <w:keepLines/>
              <w:rPr>
                <w:rFonts w:ascii="Arial Narrow" w:hAnsi="Arial Narrow"/>
                <w:b/>
                <w:sz w:val="20"/>
                <w:szCs w:val="20"/>
              </w:rPr>
            </w:pPr>
            <w:r w:rsidRPr="00DA359D">
              <w:rPr>
                <w:rFonts w:ascii="Arial Narrow" w:hAnsi="Arial Narrow"/>
                <w:b/>
                <w:sz w:val="20"/>
                <w:szCs w:val="20"/>
              </w:rPr>
              <w:t>Restriction Summary [new1]</w:t>
            </w:r>
            <w:r w:rsidRPr="00DA359D">
              <w:rPr>
                <w:rFonts w:ascii="Arial Narrow" w:hAnsi="Arial Narrow"/>
                <w:b/>
                <w:color w:val="FF0000"/>
                <w:sz w:val="20"/>
                <w:szCs w:val="20"/>
              </w:rPr>
              <w:t xml:space="preserve"> </w:t>
            </w:r>
            <w:r w:rsidRPr="00DA359D">
              <w:rPr>
                <w:rFonts w:ascii="Arial Narrow" w:hAnsi="Arial Narrow"/>
                <w:b/>
                <w:sz w:val="20"/>
                <w:szCs w:val="20"/>
              </w:rPr>
              <w:t>/ Treatment of Concept: [new1A]</w:t>
            </w:r>
          </w:p>
        </w:tc>
      </w:tr>
      <w:tr w:rsidR="00655E75" w:rsidRPr="00B32B51" w14:paraId="1E4D1CB1" w14:textId="77777777" w:rsidTr="00F05E5A">
        <w:tblPrEx>
          <w:tblCellMar>
            <w:top w:w="15" w:type="dxa"/>
            <w:bottom w:w="15" w:type="dxa"/>
          </w:tblCellMar>
          <w:tblLook w:val="04A0" w:firstRow="1" w:lastRow="0" w:firstColumn="1" w:lastColumn="0" w:noHBand="0" w:noVBand="1"/>
        </w:tblPrEx>
        <w:trPr>
          <w:trHeight w:val="20"/>
        </w:trPr>
        <w:tc>
          <w:tcPr>
            <w:tcW w:w="1277" w:type="dxa"/>
            <w:gridSpan w:val="2"/>
            <w:vMerge w:val="restart"/>
            <w:tcBorders>
              <w:top w:val="single" w:sz="4" w:space="0" w:color="auto"/>
              <w:left w:val="single" w:sz="4" w:space="0" w:color="auto"/>
              <w:right w:val="single" w:sz="4" w:space="0" w:color="auto"/>
            </w:tcBorders>
          </w:tcPr>
          <w:p w14:paraId="423D07F6" w14:textId="77777777" w:rsidR="00655E75" w:rsidRPr="00DA359D" w:rsidRDefault="00655E75" w:rsidP="009E5A28">
            <w:pPr>
              <w:jc w:val="center"/>
              <w:rPr>
                <w:rFonts w:ascii="Arial Narrow" w:hAnsi="Arial Narrow"/>
                <w:b/>
                <w:sz w:val="20"/>
                <w:szCs w:val="20"/>
              </w:rPr>
            </w:pPr>
            <w:r w:rsidRPr="00DA359D">
              <w:rPr>
                <w:rFonts w:ascii="Arial Narrow" w:hAnsi="Arial Narrow"/>
                <w:b/>
                <w:sz w:val="20"/>
                <w:szCs w:val="20"/>
              </w:rPr>
              <w:t xml:space="preserve">Concept ID </w:t>
            </w:r>
            <w:r w:rsidRPr="00DA359D">
              <w:rPr>
                <w:rFonts w:ascii="Arial Narrow" w:hAnsi="Arial Narrow"/>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A674162" w14:textId="77777777" w:rsidR="00655E75" w:rsidRPr="00DA359D" w:rsidRDefault="00655E75" w:rsidP="009E5A28">
            <w:pPr>
              <w:keepLines/>
              <w:rPr>
                <w:rFonts w:ascii="Arial Narrow" w:hAnsi="Arial Narrow"/>
                <w:sz w:val="20"/>
                <w:szCs w:val="20"/>
              </w:rPr>
            </w:pPr>
            <w:r w:rsidRPr="00DA359D">
              <w:rPr>
                <w:rFonts w:ascii="Arial Narrow" w:hAnsi="Arial Narrow"/>
                <w:b/>
                <w:sz w:val="20"/>
                <w:szCs w:val="20"/>
              </w:rPr>
              <w:t>Category / Program:</w:t>
            </w:r>
            <w:r w:rsidRPr="00DA359D">
              <w:rPr>
                <w:rFonts w:ascii="Arial Narrow" w:hAnsi="Arial Narrow"/>
                <w:color w:val="FF0000"/>
                <w:sz w:val="20"/>
                <w:szCs w:val="20"/>
              </w:rPr>
              <w:t xml:space="preserve"> </w:t>
            </w:r>
          </w:p>
          <w:p w14:paraId="26441E5A" w14:textId="77777777" w:rsidR="00655E75" w:rsidRPr="00DA359D" w:rsidRDefault="00655E75" w:rsidP="009E5A28">
            <w:pPr>
              <w:keepLines/>
              <w:rPr>
                <w:rFonts w:ascii="Arial Narrow" w:hAnsi="Arial Narrow"/>
                <w:sz w:val="20"/>
                <w:szCs w:val="20"/>
              </w:rPr>
            </w:pPr>
            <w:r w:rsidRPr="00DA359D">
              <w:rPr>
                <w:rFonts w:ascii="Arial Narrow" w:eastAsia="Calibri" w:hAnsi="Arial Narrow"/>
                <w:sz w:val="20"/>
                <w:szCs w:val="20"/>
              </w:rPr>
              <w:fldChar w:fldCharType="begin" w:fldLock="1">
                <w:ffData>
                  <w:name w:val="Check1"/>
                  <w:enabled/>
                  <w:calcOnExit w:val="0"/>
                  <w:checkBox>
                    <w:sizeAuto/>
                    <w:default w:val="1"/>
                  </w:checkBox>
                </w:ffData>
              </w:fldChar>
            </w:r>
            <w:r w:rsidRPr="00DA359D">
              <w:rPr>
                <w:rFonts w:ascii="Arial Narrow" w:eastAsia="Calibri" w:hAnsi="Arial Narrow"/>
                <w:sz w:val="20"/>
                <w:szCs w:val="20"/>
              </w:rPr>
              <w:instrText xml:space="preserve"> FORMCHECKBOX </w:instrText>
            </w:r>
            <w:r w:rsidRPr="00DA359D">
              <w:rPr>
                <w:rFonts w:ascii="Arial Narrow" w:eastAsia="Calibri" w:hAnsi="Arial Narrow"/>
                <w:sz w:val="20"/>
                <w:szCs w:val="20"/>
              </w:rPr>
            </w:r>
            <w:r w:rsidRPr="00DA359D">
              <w:rPr>
                <w:rFonts w:ascii="Arial Narrow" w:eastAsia="Calibri" w:hAnsi="Arial Narrow"/>
                <w:sz w:val="20"/>
                <w:szCs w:val="20"/>
              </w:rPr>
              <w:fldChar w:fldCharType="separate"/>
            </w:r>
            <w:r w:rsidRPr="00DA359D">
              <w:rPr>
                <w:rFonts w:ascii="Arial Narrow" w:eastAsia="Calibri" w:hAnsi="Arial Narrow"/>
                <w:sz w:val="20"/>
                <w:szCs w:val="20"/>
              </w:rPr>
              <w:fldChar w:fldCharType="end"/>
            </w:r>
            <w:r w:rsidRPr="00DA359D">
              <w:rPr>
                <w:rFonts w:ascii="Arial Narrow" w:eastAsia="Calibri" w:hAnsi="Arial Narrow"/>
                <w:sz w:val="20"/>
                <w:szCs w:val="20"/>
              </w:rPr>
              <w:t xml:space="preserve"> GENERAL - General Schedule (Code GE) </w:t>
            </w:r>
          </w:p>
        </w:tc>
      </w:tr>
      <w:tr w:rsidR="00655E75" w:rsidRPr="00B32B51" w14:paraId="1D584DBA" w14:textId="77777777" w:rsidTr="00F05E5A">
        <w:tblPrEx>
          <w:tblCellMar>
            <w:top w:w="15" w:type="dxa"/>
            <w:bottom w:w="15" w:type="dxa"/>
          </w:tblCellMar>
          <w:tblLook w:val="04A0" w:firstRow="1" w:lastRow="0" w:firstColumn="1" w:lastColumn="0" w:noHBand="0" w:noVBand="1"/>
        </w:tblPrEx>
        <w:trPr>
          <w:trHeight w:val="20"/>
        </w:trPr>
        <w:tc>
          <w:tcPr>
            <w:tcW w:w="1277" w:type="dxa"/>
            <w:gridSpan w:val="2"/>
            <w:vMerge/>
          </w:tcPr>
          <w:p w14:paraId="0F527C68" w14:textId="77777777" w:rsidR="00655E75" w:rsidRPr="00DA359D" w:rsidRDefault="00655E75" w:rsidP="009E5A28">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A7B6DE8" w14:textId="77777777" w:rsidR="00655E75" w:rsidRPr="00DA359D" w:rsidRDefault="00655E75" w:rsidP="009E5A28">
            <w:pPr>
              <w:keepLines/>
              <w:rPr>
                <w:rFonts w:ascii="Arial Narrow" w:hAnsi="Arial Narrow"/>
                <w:b/>
                <w:sz w:val="20"/>
                <w:szCs w:val="20"/>
              </w:rPr>
            </w:pPr>
            <w:r w:rsidRPr="00DA359D">
              <w:rPr>
                <w:rFonts w:ascii="Arial Narrow" w:hAnsi="Arial Narrow"/>
                <w:b/>
                <w:sz w:val="20"/>
                <w:szCs w:val="20"/>
              </w:rPr>
              <w:t xml:space="preserve">Prescriber type: </w:t>
            </w:r>
          </w:p>
          <w:p w14:paraId="1C344C1A" w14:textId="001D96CC" w:rsidR="00655E75" w:rsidRPr="00DA359D" w:rsidRDefault="00655E75" w:rsidP="009E5A28">
            <w:pPr>
              <w:keepLines/>
              <w:rPr>
                <w:rFonts w:ascii="Arial Narrow" w:hAnsi="Arial Narrow"/>
                <w:b/>
                <w:sz w:val="20"/>
                <w:szCs w:val="20"/>
              </w:rPr>
            </w:pPr>
            <w:r w:rsidRPr="00DA359D">
              <w:rPr>
                <w:rFonts w:ascii="Arial Narrow" w:hAnsi="Arial Narrow"/>
                <w:sz w:val="20"/>
                <w:szCs w:val="20"/>
              </w:rPr>
              <w:fldChar w:fldCharType="begin" w:fldLock="1">
                <w:ffData>
                  <w:name w:val=""/>
                  <w:enabled/>
                  <w:calcOnExit w:val="0"/>
                  <w:checkBox>
                    <w:sizeAuto/>
                    <w:default w:val="1"/>
                  </w:checkBox>
                </w:ffData>
              </w:fldChar>
            </w:r>
            <w:r w:rsidRPr="00DA359D">
              <w:rPr>
                <w:rFonts w:ascii="Arial Narrow" w:hAnsi="Arial Narrow"/>
                <w:sz w:val="20"/>
                <w:szCs w:val="20"/>
              </w:rPr>
              <w:instrText xml:space="preserve"> FORMCHECKBOX </w:instrText>
            </w:r>
            <w:r w:rsidRPr="00DA359D">
              <w:rPr>
                <w:rFonts w:ascii="Arial Narrow" w:hAnsi="Arial Narrow"/>
                <w:sz w:val="20"/>
                <w:szCs w:val="20"/>
              </w:rPr>
            </w:r>
            <w:r w:rsidRPr="00DA359D">
              <w:rPr>
                <w:rFonts w:ascii="Arial Narrow" w:hAnsi="Arial Narrow"/>
                <w:sz w:val="20"/>
                <w:szCs w:val="20"/>
              </w:rPr>
              <w:fldChar w:fldCharType="separate"/>
            </w:r>
            <w:r w:rsidRPr="00DA359D">
              <w:rPr>
                <w:rFonts w:ascii="Arial Narrow" w:hAnsi="Arial Narrow"/>
                <w:sz w:val="20"/>
                <w:szCs w:val="20"/>
              </w:rPr>
              <w:fldChar w:fldCharType="end"/>
            </w:r>
            <w:r w:rsidRPr="00DA359D">
              <w:rPr>
                <w:rFonts w:ascii="Arial Narrow" w:hAnsi="Arial Narrow"/>
                <w:sz w:val="20"/>
                <w:szCs w:val="20"/>
              </w:rPr>
              <w:t xml:space="preserve">Medical Practitioners </w:t>
            </w:r>
          </w:p>
        </w:tc>
      </w:tr>
      <w:tr w:rsidR="00655E75" w:rsidRPr="002656FB" w14:paraId="4F82C585" w14:textId="77777777" w:rsidTr="00F05E5A">
        <w:tblPrEx>
          <w:tblCellMar>
            <w:top w:w="15" w:type="dxa"/>
            <w:bottom w:w="15" w:type="dxa"/>
          </w:tblCellMar>
          <w:tblLook w:val="04A0" w:firstRow="1" w:lastRow="0" w:firstColumn="1" w:lastColumn="0" w:noHBand="0" w:noVBand="1"/>
        </w:tblPrEx>
        <w:trPr>
          <w:trHeight w:val="20"/>
        </w:trPr>
        <w:tc>
          <w:tcPr>
            <w:tcW w:w="1277" w:type="dxa"/>
            <w:gridSpan w:val="2"/>
            <w:vMerge/>
          </w:tcPr>
          <w:p w14:paraId="5FAA8899" w14:textId="77777777" w:rsidR="00655E75" w:rsidRPr="00DA359D" w:rsidRDefault="00655E75" w:rsidP="009E5A28">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C473FFB" w14:textId="77777777" w:rsidR="00655E75" w:rsidRPr="00DA359D" w:rsidRDefault="00655E75" w:rsidP="009E5A28">
            <w:pPr>
              <w:keepLines/>
              <w:rPr>
                <w:rFonts w:ascii="Arial Narrow" w:eastAsia="Calibri" w:hAnsi="Arial Narrow"/>
                <w:sz w:val="20"/>
                <w:szCs w:val="20"/>
              </w:rPr>
            </w:pPr>
            <w:r w:rsidRPr="00DA359D">
              <w:rPr>
                <w:rFonts w:ascii="Arial Narrow" w:hAnsi="Arial Narrow"/>
                <w:b/>
                <w:sz w:val="20"/>
                <w:szCs w:val="20"/>
              </w:rPr>
              <w:t xml:space="preserve">Restriction type: </w:t>
            </w:r>
          </w:p>
          <w:p w14:paraId="5818EE82" w14:textId="20CD50F5" w:rsidR="00655E75" w:rsidRPr="00DA359D" w:rsidRDefault="00655E75" w:rsidP="009E5A28">
            <w:pPr>
              <w:keepLines/>
              <w:rPr>
                <w:rFonts w:ascii="Arial Narrow" w:eastAsia="Calibri" w:hAnsi="Arial Narrow"/>
                <w:strike/>
                <w:color w:val="FF0000"/>
                <w:sz w:val="20"/>
                <w:szCs w:val="20"/>
              </w:rPr>
            </w:pPr>
            <w:r w:rsidRPr="00DA359D">
              <w:rPr>
                <w:rFonts w:ascii="Arial Narrow" w:eastAsia="Calibri" w:hAnsi="Arial Narrow"/>
                <w:sz w:val="20"/>
                <w:szCs w:val="20"/>
              </w:rPr>
              <w:fldChar w:fldCharType="begin" w:fldLock="1">
                <w:ffData>
                  <w:name w:val=""/>
                  <w:enabled/>
                  <w:calcOnExit w:val="0"/>
                  <w:checkBox>
                    <w:sizeAuto/>
                    <w:default w:val="1"/>
                  </w:checkBox>
                </w:ffData>
              </w:fldChar>
            </w:r>
            <w:r w:rsidRPr="00DA359D">
              <w:rPr>
                <w:rFonts w:ascii="Arial Narrow" w:eastAsia="Calibri" w:hAnsi="Arial Narrow"/>
                <w:sz w:val="20"/>
                <w:szCs w:val="20"/>
              </w:rPr>
              <w:instrText xml:space="preserve"> FORMCHECKBOX </w:instrText>
            </w:r>
            <w:r w:rsidRPr="00DA359D">
              <w:rPr>
                <w:rFonts w:ascii="Arial Narrow" w:eastAsia="Calibri" w:hAnsi="Arial Narrow"/>
                <w:sz w:val="20"/>
                <w:szCs w:val="20"/>
              </w:rPr>
            </w:r>
            <w:r w:rsidRPr="00DA359D">
              <w:rPr>
                <w:rFonts w:ascii="Arial Narrow" w:eastAsia="Calibri" w:hAnsi="Arial Narrow"/>
                <w:sz w:val="20"/>
                <w:szCs w:val="20"/>
              </w:rPr>
              <w:fldChar w:fldCharType="separate"/>
            </w:r>
            <w:r w:rsidRPr="00DA359D">
              <w:rPr>
                <w:rFonts w:ascii="Arial Narrow" w:eastAsia="Calibri" w:hAnsi="Arial Narrow"/>
                <w:sz w:val="20"/>
                <w:szCs w:val="20"/>
              </w:rPr>
              <w:fldChar w:fldCharType="end"/>
            </w:r>
            <w:r w:rsidRPr="00DA359D">
              <w:rPr>
                <w:rFonts w:ascii="Arial Narrow" w:eastAsia="Calibri" w:hAnsi="Arial Narrow"/>
                <w:sz w:val="20"/>
                <w:szCs w:val="20"/>
              </w:rPr>
              <w:t xml:space="preserve">Authority </w:t>
            </w:r>
            <w:bookmarkStart w:id="108" w:name="_Hlk109832598"/>
            <w:r w:rsidRPr="00DA359D">
              <w:rPr>
                <w:rFonts w:ascii="Arial Narrow" w:eastAsia="Calibri" w:hAnsi="Arial Narrow"/>
                <w:sz w:val="20"/>
                <w:szCs w:val="20"/>
              </w:rPr>
              <w:t>Required (in writing only via post/HPOS upload)</w:t>
            </w:r>
            <w:bookmarkEnd w:id="108"/>
            <w:r w:rsidR="00F87B86">
              <w:rPr>
                <w:rFonts w:ascii="Arial Narrow" w:eastAsia="Calibri" w:hAnsi="Arial Narrow"/>
                <w:sz w:val="20"/>
                <w:szCs w:val="20"/>
              </w:rPr>
              <w:t xml:space="preserve"> </w:t>
            </w:r>
          </w:p>
        </w:tc>
      </w:tr>
      <w:tr w:rsidR="00655E75" w:rsidRPr="00B32B51" w14:paraId="6F9118AA" w14:textId="77777777" w:rsidTr="00F25765">
        <w:tblPrEx>
          <w:tblCellMar>
            <w:top w:w="15" w:type="dxa"/>
            <w:bottom w:w="15" w:type="dxa"/>
          </w:tblCellMar>
          <w:tblLook w:val="04A0" w:firstRow="1" w:lastRow="0" w:firstColumn="1" w:lastColumn="0" w:noHBand="0" w:noVBand="1"/>
        </w:tblPrEx>
        <w:trPr>
          <w:trHeight w:val="20"/>
        </w:trPr>
        <w:tc>
          <w:tcPr>
            <w:tcW w:w="485" w:type="dxa"/>
            <w:vMerge w:val="restart"/>
            <w:tcBorders>
              <w:left w:val="single" w:sz="4" w:space="0" w:color="auto"/>
              <w:right w:val="single" w:sz="4" w:space="0" w:color="auto"/>
            </w:tcBorders>
            <w:textDirection w:val="btLr"/>
            <w:vAlign w:val="center"/>
          </w:tcPr>
          <w:p w14:paraId="66E0666A" w14:textId="77777777" w:rsidR="00655E75" w:rsidRPr="00DA359D" w:rsidRDefault="00655E75" w:rsidP="009E5A28">
            <w:pPr>
              <w:jc w:val="center"/>
              <w:rPr>
                <w:rFonts w:ascii="Arial Narrow" w:hAnsi="Arial Narrow"/>
                <w:sz w:val="20"/>
                <w:szCs w:val="20"/>
              </w:rPr>
            </w:pPr>
            <w:r w:rsidRPr="00DA359D">
              <w:rPr>
                <w:rFonts w:ascii="Arial Narrow" w:hAnsi="Arial Narrow"/>
                <w:sz w:val="20"/>
                <w:szCs w:val="20"/>
              </w:rPr>
              <w:t>Prescribing rule level</w:t>
            </w:r>
          </w:p>
        </w:tc>
        <w:tc>
          <w:tcPr>
            <w:tcW w:w="792" w:type="dxa"/>
            <w:vAlign w:val="center"/>
          </w:tcPr>
          <w:p w14:paraId="49C5EE50" w14:textId="27115BCC" w:rsidR="00655E75" w:rsidRPr="00DA359D" w:rsidRDefault="00655E75" w:rsidP="009E5A28">
            <w:pPr>
              <w:jc w:val="center"/>
              <w:rPr>
                <w:rFonts w:ascii="Arial Narrow" w:hAnsi="Arial Narrow"/>
                <w:color w:val="333333"/>
                <w:sz w:val="20"/>
                <w:szCs w:val="20"/>
              </w:rPr>
            </w:pPr>
          </w:p>
        </w:tc>
        <w:tc>
          <w:tcPr>
            <w:tcW w:w="7745" w:type="dxa"/>
            <w:gridSpan w:val="6"/>
            <w:vAlign w:val="center"/>
          </w:tcPr>
          <w:p w14:paraId="49544BED" w14:textId="77777777" w:rsidR="00655E75" w:rsidRPr="00DA359D" w:rsidRDefault="00655E75" w:rsidP="009E5A28">
            <w:pPr>
              <w:rPr>
                <w:rFonts w:ascii="Arial Narrow" w:hAnsi="Arial Narrow"/>
                <w:sz w:val="20"/>
                <w:szCs w:val="20"/>
              </w:rPr>
            </w:pPr>
            <w:r w:rsidRPr="00DA359D">
              <w:rPr>
                <w:rFonts w:ascii="Arial Narrow" w:hAnsi="Arial Narrow"/>
                <w:b/>
                <w:bCs/>
                <w:sz w:val="20"/>
                <w:szCs w:val="20"/>
              </w:rPr>
              <w:t>Administrative Advice:</w:t>
            </w:r>
          </w:p>
          <w:p w14:paraId="41F1AD45" w14:textId="77777777" w:rsidR="00655E75" w:rsidRPr="00DA359D" w:rsidRDefault="00655E75" w:rsidP="009E5A28">
            <w:pPr>
              <w:rPr>
                <w:rFonts w:ascii="Arial Narrow" w:hAnsi="Arial Narrow"/>
                <w:color w:val="333333"/>
                <w:sz w:val="20"/>
                <w:szCs w:val="20"/>
              </w:rPr>
            </w:pPr>
            <w:r w:rsidRPr="00DA359D">
              <w:rPr>
                <w:rFonts w:ascii="Arial Narrow" w:hAnsi="Arial Narrow"/>
                <w:sz w:val="20"/>
                <w:szCs w:val="20"/>
              </w:rPr>
              <w:t>No increase in the maximum quantity or number of units may be authorised.</w:t>
            </w:r>
          </w:p>
        </w:tc>
      </w:tr>
      <w:tr w:rsidR="00655E75" w:rsidRPr="00B32B51" w14:paraId="07964D90" w14:textId="77777777" w:rsidTr="00F25765">
        <w:tblPrEx>
          <w:tblCellMar>
            <w:top w:w="15" w:type="dxa"/>
            <w:bottom w:w="15" w:type="dxa"/>
          </w:tblCellMar>
          <w:tblLook w:val="04A0" w:firstRow="1" w:lastRow="0" w:firstColumn="1" w:lastColumn="0" w:noHBand="0" w:noVBand="1"/>
        </w:tblPrEx>
        <w:trPr>
          <w:trHeight w:val="20"/>
        </w:trPr>
        <w:tc>
          <w:tcPr>
            <w:tcW w:w="485" w:type="dxa"/>
            <w:vMerge/>
          </w:tcPr>
          <w:p w14:paraId="2C6C217A" w14:textId="77777777" w:rsidR="00655E75" w:rsidRPr="00DA359D" w:rsidRDefault="00655E75" w:rsidP="009E5A28">
            <w:pPr>
              <w:rPr>
                <w:rFonts w:ascii="Arial Narrow" w:hAnsi="Arial Narrow"/>
                <w:sz w:val="20"/>
                <w:szCs w:val="20"/>
              </w:rPr>
            </w:pPr>
          </w:p>
        </w:tc>
        <w:tc>
          <w:tcPr>
            <w:tcW w:w="792" w:type="dxa"/>
            <w:vAlign w:val="center"/>
          </w:tcPr>
          <w:p w14:paraId="4B4D1891" w14:textId="5FFB62F8" w:rsidR="00655E75" w:rsidRPr="00DA359D" w:rsidRDefault="00655E75" w:rsidP="009E5A28">
            <w:pPr>
              <w:jc w:val="center"/>
              <w:rPr>
                <w:rFonts w:ascii="Arial Narrow" w:hAnsi="Arial Narrow"/>
                <w:color w:val="333333"/>
                <w:sz w:val="20"/>
                <w:szCs w:val="20"/>
              </w:rPr>
            </w:pPr>
          </w:p>
        </w:tc>
        <w:tc>
          <w:tcPr>
            <w:tcW w:w="7745" w:type="dxa"/>
            <w:gridSpan w:val="6"/>
            <w:vAlign w:val="center"/>
          </w:tcPr>
          <w:p w14:paraId="67B444F2" w14:textId="77777777" w:rsidR="00655E75" w:rsidRPr="00DA359D" w:rsidRDefault="00655E75" w:rsidP="009E5A28">
            <w:pPr>
              <w:rPr>
                <w:rFonts w:ascii="Arial Narrow" w:hAnsi="Arial Narrow"/>
                <w:sz w:val="20"/>
                <w:szCs w:val="20"/>
              </w:rPr>
            </w:pPr>
            <w:r w:rsidRPr="00DA359D">
              <w:rPr>
                <w:rFonts w:ascii="Arial Narrow" w:hAnsi="Arial Narrow"/>
                <w:b/>
                <w:bCs/>
                <w:sz w:val="20"/>
                <w:szCs w:val="20"/>
              </w:rPr>
              <w:t>Administrative Advice:</w:t>
            </w:r>
          </w:p>
          <w:p w14:paraId="09C5E2B1" w14:textId="77777777" w:rsidR="00655E75" w:rsidRPr="00DA359D" w:rsidRDefault="00655E75" w:rsidP="009E5A28">
            <w:pPr>
              <w:rPr>
                <w:rFonts w:ascii="Arial Narrow" w:hAnsi="Arial Narrow"/>
                <w:b/>
                <w:bCs/>
                <w:color w:val="333333"/>
                <w:sz w:val="20"/>
                <w:szCs w:val="20"/>
              </w:rPr>
            </w:pPr>
            <w:r w:rsidRPr="00DA359D">
              <w:rPr>
                <w:rFonts w:ascii="Arial Narrow" w:hAnsi="Arial Narrow"/>
                <w:sz w:val="20"/>
                <w:szCs w:val="20"/>
              </w:rPr>
              <w:t>No increase in the maximum number of repeats may be authorised.</w:t>
            </w:r>
          </w:p>
        </w:tc>
      </w:tr>
      <w:tr w:rsidR="00655E75" w:rsidRPr="00B32B51" w14:paraId="4827F700" w14:textId="77777777" w:rsidTr="00F25765">
        <w:tblPrEx>
          <w:tblCellMar>
            <w:top w:w="15" w:type="dxa"/>
            <w:bottom w:w="15" w:type="dxa"/>
          </w:tblCellMar>
          <w:tblLook w:val="04A0" w:firstRow="1" w:lastRow="0" w:firstColumn="1" w:lastColumn="0" w:noHBand="0" w:noVBand="1"/>
        </w:tblPrEx>
        <w:trPr>
          <w:trHeight w:val="20"/>
        </w:trPr>
        <w:tc>
          <w:tcPr>
            <w:tcW w:w="485" w:type="dxa"/>
            <w:vMerge/>
          </w:tcPr>
          <w:p w14:paraId="2C2A35B3" w14:textId="77777777" w:rsidR="00655E75" w:rsidRPr="00DA359D" w:rsidRDefault="00655E75" w:rsidP="009E5A28">
            <w:pPr>
              <w:rPr>
                <w:rFonts w:ascii="Arial Narrow" w:hAnsi="Arial Narrow"/>
                <w:sz w:val="20"/>
                <w:szCs w:val="20"/>
              </w:rPr>
            </w:pPr>
          </w:p>
        </w:tc>
        <w:tc>
          <w:tcPr>
            <w:tcW w:w="792" w:type="dxa"/>
            <w:vAlign w:val="center"/>
          </w:tcPr>
          <w:p w14:paraId="6A5AEA31" w14:textId="4A10B755" w:rsidR="00655E75" w:rsidRPr="00DA359D" w:rsidRDefault="00655E75" w:rsidP="009E5A28">
            <w:pPr>
              <w:jc w:val="center"/>
              <w:rPr>
                <w:rFonts w:ascii="Arial Narrow" w:hAnsi="Arial Narrow"/>
                <w:color w:val="333333"/>
                <w:sz w:val="20"/>
                <w:szCs w:val="20"/>
              </w:rPr>
            </w:pPr>
          </w:p>
        </w:tc>
        <w:tc>
          <w:tcPr>
            <w:tcW w:w="7745" w:type="dxa"/>
            <w:gridSpan w:val="6"/>
            <w:vAlign w:val="center"/>
          </w:tcPr>
          <w:p w14:paraId="3CD755A8" w14:textId="77777777" w:rsidR="00655E75" w:rsidRPr="00DA359D" w:rsidRDefault="00655E75" w:rsidP="009E5A28">
            <w:pPr>
              <w:rPr>
                <w:rFonts w:ascii="Arial Narrow" w:hAnsi="Arial Narrow"/>
                <w:sz w:val="20"/>
                <w:szCs w:val="20"/>
              </w:rPr>
            </w:pPr>
            <w:r w:rsidRPr="00DA359D">
              <w:rPr>
                <w:rFonts w:ascii="Arial Narrow" w:hAnsi="Arial Narrow"/>
                <w:b/>
                <w:bCs/>
                <w:sz w:val="20"/>
                <w:szCs w:val="20"/>
              </w:rPr>
              <w:t>Administrative Advice:</w:t>
            </w:r>
          </w:p>
          <w:p w14:paraId="2BFDF18A" w14:textId="77777777" w:rsidR="00655E75" w:rsidRPr="00DA359D" w:rsidRDefault="00655E75" w:rsidP="009E5A28">
            <w:pPr>
              <w:rPr>
                <w:rFonts w:ascii="Arial Narrow" w:hAnsi="Arial Narrow"/>
                <w:b/>
                <w:bCs/>
                <w:color w:val="333333"/>
                <w:sz w:val="20"/>
                <w:szCs w:val="20"/>
              </w:rPr>
            </w:pPr>
            <w:r w:rsidRPr="00DA359D">
              <w:rPr>
                <w:rFonts w:ascii="Arial Narrow" w:hAnsi="Arial Narrow"/>
                <w:sz w:val="20"/>
                <w:szCs w:val="20"/>
              </w:rPr>
              <w:t>Special Pricing Arrangements apply.</w:t>
            </w:r>
          </w:p>
        </w:tc>
      </w:tr>
      <w:tr w:rsidR="00655E75" w:rsidRPr="00B32B51" w14:paraId="5D55DB5B"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403B99DC" w14:textId="77777777" w:rsidR="00655E75" w:rsidRPr="00DA359D" w:rsidRDefault="00655E75" w:rsidP="009E5A28">
            <w:pPr>
              <w:keepLines/>
              <w:jc w:val="center"/>
              <w:rPr>
                <w:rFonts w:ascii="Arial Narrow" w:hAnsi="Arial Narrow"/>
                <w:color w:val="333333"/>
                <w:sz w:val="20"/>
                <w:szCs w:val="20"/>
              </w:rPr>
            </w:pPr>
          </w:p>
        </w:tc>
        <w:tc>
          <w:tcPr>
            <w:tcW w:w="7745" w:type="dxa"/>
            <w:gridSpan w:val="6"/>
            <w:vAlign w:val="center"/>
          </w:tcPr>
          <w:p w14:paraId="498A651D" w14:textId="77777777" w:rsidR="00655E75" w:rsidRPr="00DA359D" w:rsidRDefault="00655E75" w:rsidP="009E5A28">
            <w:pPr>
              <w:keepLines/>
              <w:rPr>
                <w:rFonts w:ascii="Arial Narrow" w:hAnsi="Arial Narrow"/>
                <w:b/>
                <w:bCs/>
                <w:sz w:val="20"/>
                <w:szCs w:val="20"/>
              </w:rPr>
            </w:pPr>
            <w:r w:rsidRPr="00DA359D">
              <w:rPr>
                <w:rFonts w:ascii="Arial Narrow" w:hAnsi="Arial Narrow"/>
                <w:b/>
                <w:bCs/>
                <w:sz w:val="20"/>
                <w:szCs w:val="20"/>
              </w:rPr>
              <w:t xml:space="preserve">Condition: </w:t>
            </w:r>
            <w:r w:rsidRPr="00DA359D">
              <w:rPr>
                <w:rFonts w:ascii="Arial Narrow" w:hAnsi="Arial Narrow"/>
                <w:sz w:val="20"/>
                <w:szCs w:val="20"/>
              </w:rPr>
              <w:t>Polycythemia vera</w:t>
            </w:r>
          </w:p>
        </w:tc>
      </w:tr>
      <w:tr w:rsidR="00655E75" w:rsidRPr="00B32B51" w14:paraId="49B826C7" w14:textId="77777777" w:rsidTr="0078177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41CD1963" w14:textId="7E561FA7" w:rsidR="00655E75" w:rsidRPr="00DA359D" w:rsidRDefault="00655E75" w:rsidP="009E5A28">
            <w:pPr>
              <w:keepLines/>
              <w:jc w:val="center"/>
              <w:rPr>
                <w:rFonts w:ascii="Arial Narrow" w:hAnsi="Arial Narrow"/>
                <w:color w:val="333333"/>
                <w:sz w:val="20"/>
                <w:szCs w:val="20"/>
              </w:rPr>
            </w:pPr>
          </w:p>
        </w:tc>
        <w:tc>
          <w:tcPr>
            <w:tcW w:w="7745" w:type="dxa"/>
            <w:gridSpan w:val="6"/>
            <w:vAlign w:val="center"/>
            <w:hideMark/>
          </w:tcPr>
          <w:p w14:paraId="7453B0F2" w14:textId="77777777" w:rsidR="00655E75" w:rsidRPr="00DA359D" w:rsidRDefault="00655E75" w:rsidP="009E5A28">
            <w:pPr>
              <w:keepLines/>
              <w:rPr>
                <w:rFonts w:ascii="Arial Narrow" w:hAnsi="Arial Narrow"/>
                <w:sz w:val="20"/>
                <w:szCs w:val="20"/>
              </w:rPr>
            </w:pPr>
            <w:r w:rsidRPr="00DA359D">
              <w:rPr>
                <w:rFonts w:ascii="Arial Narrow" w:hAnsi="Arial Narrow"/>
                <w:b/>
                <w:bCs/>
                <w:sz w:val="20"/>
                <w:szCs w:val="20"/>
              </w:rPr>
              <w:t>Indication:</w:t>
            </w:r>
            <w:r w:rsidRPr="00DA359D">
              <w:rPr>
                <w:rFonts w:ascii="Arial Narrow" w:hAnsi="Arial Narrow"/>
                <w:sz w:val="20"/>
                <w:szCs w:val="20"/>
              </w:rPr>
              <w:t xml:space="preserve"> Polycythemia vera</w:t>
            </w:r>
          </w:p>
        </w:tc>
      </w:tr>
      <w:tr w:rsidR="00655E75" w:rsidRPr="00B32B51" w14:paraId="2F6E55FC" w14:textId="77777777" w:rsidTr="0078177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8B48BAA" w14:textId="77777777" w:rsidR="00655E75" w:rsidRPr="00DA359D" w:rsidRDefault="00655E75" w:rsidP="009E5A28">
            <w:pPr>
              <w:jc w:val="center"/>
              <w:rPr>
                <w:rFonts w:ascii="Arial Narrow" w:hAnsi="Arial Narrow"/>
                <w:color w:val="333333"/>
                <w:sz w:val="20"/>
                <w:szCs w:val="20"/>
              </w:rPr>
            </w:pPr>
          </w:p>
        </w:tc>
        <w:tc>
          <w:tcPr>
            <w:tcW w:w="7745" w:type="dxa"/>
            <w:gridSpan w:val="6"/>
            <w:vAlign w:val="center"/>
            <w:hideMark/>
          </w:tcPr>
          <w:p w14:paraId="015EDDC4" w14:textId="77777777" w:rsidR="00655E75" w:rsidRPr="00DA359D" w:rsidRDefault="00655E75" w:rsidP="009E5A28">
            <w:pPr>
              <w:rPr>
                <w:rFonts w:ascii="Arial Narrow" w:hAnsi="Arial Narrow"/>
                <w:sz w:val="20"/>
                <w:szCs w:val="20"/>
              </w:rPr>
            </w:pPr>
            <w:r w:rsidRPr="00DA359D">
              <w:rPr>
                <w:rFonts w:ascii="Arial Narrow" w:hAnsi="Arial Narrow"/>
                <w:b/>
                <w:bCs/>
                <w:sz w:val="20"/>
                <w:szCs w:val="20"/>
              </w:rPr>
              <w:t>Treatment Phase:</w:t>
            </w:r>
            <w:r w:rsidRPr="00DA359D">
              <w:rPr>
                <w:rFonts w:ascii="Arial Narrow" w:hAnsi="Arial Narrow"/>
                <w:sz w:val="20"/>
                <w:szCs w:val="20"/>
              </w:rPr>
              <w:t xml:space="preserve"> Initial treatment</w:t>
            </w:r>
          </w:p>
        </w:tc>
      </w:tr>
      <w:tr w:rsidR="00655E75" w:rsidRPr="00B32B51" w14:paraId="3A7062C6" w14:textId="77777777" w:rsidTr="0078177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6E57DB7" w14:textId="49093976" w:rsidR="00655E75" w:rsidRPr="00DA359D" w:rsidRDefault="00655E75" w:rsidP="009E5A28">
            <w:pPr>
              <w:jc w:val="center"/>
              <w:rPr>
                <w:rFonts w:ascii="Arial Narrow" w:hAnsi="Arial Narrow"/>
                <w:color w:val="333333"/>
                <w:sz w:val="20"/>
                <w:szCs w:val="20"/>
              </w:rPr>
            </w:pPr>
          </w:p>
        </w:tc>
        <w:tc>
          <w:tcPr>
            <w:tcW w:w="7745" w:type="dxa"/>
            <w:gridSpan w:val="6"/>
            <w:vAlign w:val="center"/>
            <w:hideMark/>
          </w:tcPr>
          <w:p w14:paraId="1D149A4E" w14:textId="77777777" w:rsidR="00655E75" w:rsidRPr="00DA359D" w:rsidRDefault="00655E75" w:rsidP="009E5A28">
            <w:pPr>
              <w:rPr>
                <w:rFonts w:ascii="Arial Narrow" w:hAnsi="Arial Narrow"/>
                <w:sz w:val="20"/>
                <w:szCs w:val="20"/>
              </w:rPr>
            </w:pPr>
            <w:r w:rsidRPr="00DA359D">
              <w:rPr>
                <w:rFonts w:ascii="Arial Narrow" w:hAnsi="Arial Narrow"/>
                <w:b/>
                <w:bCs/>
                <w:color w:val="333333"/>
                <w:sz w:val="20"/>
                <w:szCs w:val="20"/>
              </w:rPr>
              <w:t xml:space="preserve">Clinical criteria: </w:t>
            </w:r>
          </w:p>
        </w:tc>
      </w:tr>
      <w:tr w:rsidR="00655E75" w:rsidRPr="00B32B51" w14:paraId="726B9BBD" w14:textId="77777777" w:rsidTr="0078177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48A27DD" w14:textId="01EE3E03" w:rsidR="00655E75" w:rsidRPr="00DA359D" w:rsidRDefault="00655E75" w:rsidP="009E5A28">
            <w:pPr>
              <w:jc w:val="center"/>
              <w:rPr>
                <w:rFonts w:ascii="Arial Narrow" w:hAnsi="Arial Narrow"/>
                <w:color w:val="333333"/>
                <w:sz w:val="20"/>
                <w:szCs w:val="20"/>
              </w:rPr>
            </w:pPr>
          </w:p>
        </w:tc>
        <w:tc>
          <w:tcPr>
            <w:tcW w:w="7745" w:type="dxa"/>
            <w:gridSpan w:val="6"/>
            <w:vAlign w:val="center"/>
            <w:hideMark/>
          </w:tcPr>
          <w:p w14:paraId="43280C45" w14:textId="77777777" w:rsidR="00655E75" w:rsidRPr="00DA359D" w:rsidRDefault="00655E75" w:rsidP="009E5A28">
            <w:pPr>
              <w:rPr>
                <w:rFonts w:ascii="Arial Narrow" w:hAnsi="Arial Narrow"/>
                <w:color w:val="333333"/>
                <w:sz w:val="20"/>
                <w:szCs w:val="20"/>
              </w:rPr>
            </w:pPr>
            <w:r w:rsidRPr="00DA359D">
              <w:rPr>
                <w:rFonts w:ascii="Arial Narrow" w:hAnsi="Arial Narrow" w:cs="Calibri"/>
                <w:sz w:val="20"/>
                <w:szCs w:val="20"/>
              </w:rPr>
              <w:t>Patient must be resistant to hydroxycarbamide (hydroxyurea);</w:t>
            </w:r>
          </w:p>
        </w:tc>
      </w:tr>
      <w:tr w:rsidR="00655E75" w:rsidRPr="00B32B51" w14:paraId="289A4448" w14:textId="77777777" w:rsidTr="0078177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25429859" w14:textId="77777777" w:rsidR="00655E75" w:rsidRPr="00DA359D" w:rsidRDefault="00655E75" w:rsidP="009E5A28">
            <w:pPr>
              <w:jc w:val="center"/>
              <w:rPr>
                <w:rFonts w:ascii="Arial Narrow" w:hAnsi="Arial Narrow"/>
                <w:color w:val="333333"/>
                <w:sz w:val="20"/>
                <w:szCs w:val="20"/>
              </w:rPr>
            </w:pPr>
          </w:p>
        </w:tc>
        <w:tc>
          <w:tcPr>
            <w:tcW w:w="7745" w:type="dxa"/>
            <w:gridSpan w:val="6"/>
            <w:vAlign w:val="center"/>
            <w:hideMark/>
          </w:tcPr>
          <w:p w14:paraId="06DB5D63" w14:textId="77777777" w:rsidR="00655E75" w:rsidRPr="00DA359D" w:rsidRDefault="00655E75" w:rsidP="009E5A28">
            <w:pPr>
              <w:rPr>
                <w:rFonts w:ascii="Arial Narrow" w:hAnsi="Arial Narrow"/>
                <w:color w:val="333333"/>
                <w:sz w:val="20"/>
                <w:szCs w:val="20"/>
              </w:rPr>
            </w:pPr>
            <w:r w:rsidRPr="00DA359D">
              <w:rPr>
                <w:rFonts w:ascii="Arial Narrow" w:hAnsi="Arial Narrow"/>
                <w:b/>
                <w:bCs/>
                <w:color w:val="333333"/>
                <w:sz w:val="20"/>
                <w:szCs w:val="20"/>
              </w:rPr>
              <w:t>OR</w:t>
            </w:r>
          </w:p>
        </w:tc>
      </w:tr>
      <w:tr w:rsidR="00655E75" w:rsidRPr="00B32B51" w14:paraId="0164E97D"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413A432A" w14:textId="2BCD99E9" w:rsidR="00655E75" w:rsidRPr="00DA359D" w:rsidRDefault="00655E75" w:rsidP="009E5A28">
            <w:pPr>
              <w:jc w:val="center"/>
              <w:rPr>
                <w:rFonts w:ascii="Arial Narrow" w:hAnsi="Arial Narrow"/>
                <w:color w:val="333333"/>
                <w:sz w:val="20"/>
                <w:szCs w:val="20"/>
              </w:rPr>
            </w:pPr>
          </w:p>
        </w:tc>
        <w:tc>
          <w:tcPr>
            <w:tcW w:w="7745" w:type="dxa"/>
            <w:gridSpan w:val="6"/>
            <w:vAlign w:val="center"/>
          </w:tcPr>
          <w:p w14:paraId="732F8742" w14:textId="77777777" w:rsidR="00655E75" w:rsidRPr="00DA359D" w:rsidRDefault="00655E75" w:rsidP="009E5A28">
            <w:pPr>
              <w:rPr>
                <w:rFonts w:ascii="Arial Narrow" w:hAnsi="Arial Narrow"/>
                <w:b/>
                <w:bCs/>
                <w:color w:val="333333"/>
                <w:sz w:val="20"/>
                <w:szCs w:val="20"/>
              </w:rPr>
            </w:pPr>
            <w:r w:rsidRPr="00DA359D">
              <w:rPr>
                <w:rFonts w:ascii="Arial Narrow" w:hAnsi="Arial Narrow"/>
                <w:sz w:val="20"/>
                <w:szCs w:val="20"/>
              </w:rPr>
              <w:t>Patient must have an intolerance to hydroxycarbamide (hydroxyurea) of a severity necessitating permanent treatment withdrawal;</w:t>
            </w:r>
          </w:p>
        </w:tc>
      </w:tr>
      <w:tr w:rsidR="00655E75" w:rsidRPr="00B32B51" w14:paraId="768A7D7A"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175E134A" w14:textId="77777777" w:rsidR="00655E75" w:rsidRPr="00DA359D" w:rsidRDefault="00655E75" w:rsidP="009E5A28">
            <w:pPr>
              <w:jc w:val="center"/>
              <w:rPr>
                <w:rFonts w:ascii="Arial Narrow" w:hAnsi="Arial Narrow"/>
                <w:color w:val="333333"/>
                <w:sz w:val="20"/>
                <w:szCs w:val="20"/>
              </w:rPr>
            </w:pPr>
          </w:p>
        </w:tc>
        <w:tc>
          <w:tcPr>
            <w:tcW w:w="7745" w:type="dxa"/>
            <w:gridSpan w:val="6"/>
            <w:vAlign w:val="center"/>
          </w:tcPr>
          <w:p w14:paraId="0F16BE2D" w14:textId="77777777" w:rsidR="00655E75" w:rsidRPr="00DA359D" w:rsidRDefault="00655E75" w:rsidP="009E5A28">
            <w:pPr>
              <w:rPr>
                <w:rFonts w:ascii="Arial Narrow" w:hAnsi="Arial Narrow" w:cs="Calibri"/>
                <w:sz w:val="20"/>
                <w:szCs w:val="20"/>
              </w:rPr>
            </w:pPr>
            <w:r w:rsidRPr="00DA359D">
              <w:rPr>
                <w:rFonts w:ascii="Arial Narrow" w:hAnsi="Arial Narrow"/>
                <w:b/>
                <w:bCs/>
                <w:color w:val="333333"/>
                <w:sz w:val="20"/>
                <w:szCs w:val="20"/>
              </w:rPr>
              <w:t>OR</w:t>
            </w:r>
          </w:p>
        </w:tc>
      </w:tr>
      <w:tr w:rsidR="00655E75" w:rsidRPr="00B32B51" w14:paraId="346A81F7"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9FCB190" w14:textId="0996488E" w:rsidR="00655E75" w:rsidRPr="00DA359D" w:rsidRDefault="00655E75" w:rsidP="009E5A28">
            <w:pPr>
              <w:jc w:val="center"/>
              <w:rPr>
                <w:rFonts w:ascii="Arial Narrow" w:hAnsi="Arial Narrow"/>
                <w:color w:val="333333"/>
                <w:sz w:val="20"/>
                <w:szCs w:val="20"/>
              </w:rPr>
            </w:pPr>
          </w:p>
        </w:tc>
        <w:tc>
          <w:tcPr>
            <w:tcW w:w="7745" w:type="dxa"/>
            <w:gridSpan w:val="6"/>
            <w:vAlign w:val="center"/>
          </w:tcPr>
          <w:p w14:paraId="2E34A353" w14:textId="6D464367" w:rsidR="00655E75" w:rsidRPr="00DA359D" w:rsidRDefault="00655E75" w:rsidP="009E5A28">
            <w:pPr>
              <w:rPr>
                <w:rFonts w:ascii="Arial Narrow" w:hAnsi="Arial Narrow"/>
                <w:b/>
                <w:bCs/>
                <w:color w:val="333333"/>
                <w:sz w:val="20"/>
                <w:szCs w:val="20"/>
              </w:rPr>
            </w:pPr>
            <w:r w:rsidRPr="00DA359D">
              <w:rPr>
                <w:rFonts w:ascii="Arial Narrow" w:hAnsi="Arial Narrow"/>
                <w:sz w:val="20"/>
                <w:szCs w:val="20"/>
              </w:rPr>
              <w:t>Patient must have developed a clinically important adverse event/contraindication to hydroxycarbamide (hydroxyurea) as defined in the TGA-approved Product Information necessitating permanent treatment withdrawal;</w:t>
            </w:r>
          </w:p>
        </w:tc>
      </w:tr>
      <w:tr w:rsidR="00655E75" w:rsidRPr="00B32B51" w14:paraId="75424358"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7508C043" w14:textId="77777777" w:rsidR="00655E75" w:rsidRPr="00DA359D" w:rsidRDefault="00655E75" w:rsidP="009E5A28">
            <w:pPr>
              <w:jc w:val="center"/>
              <w:rPr>
                <w:rFonts w:ascii="Arial Narrow" w:hAnsi="Arial Narrow"/>
                <w:color w:val="333333"/>
                <w:sz w:val="20"/>
                <w:szCs w:val="20"/>
              </w:rPr>
            </w:pPr>
          </w:p>
        </w:tc>
        <w:tc>
          <w:tcPr>
            <w:tcW w:w="7745" w:type="dxa"/>
            <w:gridSpan w:val="6"/>
            <w:vAlign w:val="center"/>
          </w:tcPr>
          <w:p w14:paraId="6BC4BAE1" w14:textId="77777777" w:rsidR="00655E75" w:rsidRPr="00DA359D" w:rsidRDefault="00655E75" w:rsidP="009E5A28">
            <w:pPr>
              <w:rPr>
                <w:rFonts w:ascii="Arial Narrow" w:hAnsi="Arial Narrow" w:cs="Calibri"/>
                <w:b/>
                <w:bCs/>
                <w:sz w:val="20"/>
                <w:szCs w:val="20"/>
              </w:rPr>
            </w:pPr>
            <w:r w:rsidRPr="00DA359D">
              <w:rPr>
                <w:rFonts w:ascii="Arial Narrow" w:hAnsi="Arial Narrow" w:cs="Calibri"/>
                <w:b/>
                <w:bCs/>
                <w:sz w:val="20"/>
                <w:szCs w:val="20"/>
              </w:rPr>
              <w:t>AND</w:t>
            </w:r>
          </w:p>
        </w:tc>
      </w:tr>
      <w:tr w:rsidR="00655E75" w:rsidRPr="00B32B51" w14:paraId="73EDAD39"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A1E7FAF" w14:textId="656A2FF3" w:rsidR="00655E75" w:rsidRPr="00DA359D" w:rsidRDefault="00655E75" w:rsidP="009E5A28">
            <w:pPr>
              <w:jc w:val="center"/>
              <w:rPr>
                <w:rFonts w:ascii="Arial Narrow" w:hAnsi="Arial Narrow"/>
                <w:color w:val="333333"/>
                <w:sz w:val="20"/>
                <w:szCs w:val="20"/>
              </w:rPr>
            </w:pPr>
          </w:p>
        </w:tc>
        <w:tc>
          <w:tcPr>
            <w:tcW w:w="7745" w:type="dxa"/>
            <w:gridSpan w:val="6"/>
            <w:vAlign w:val="center"/>
            <w:hideMark/>
          </w:tcPr>
          <w:p w14:paraId="4F1501AA" w14:textId="77777777" w:rsidR="00655E75" w:rsidRPr="00DA359D" w:rsidRDefault="00655E75" w:rsidP="009E5A28">
            <w:pPr>
              <w:rPr>
                <w:rFonts w:ascii="Arial Narrow" w:hAnsi="Arial Narrow"/>
                <w:color w:val="333333"/>
                <w:sz w:val="20"/>
                <w:szCs w:val="20"/>
              </w:rPr>
            </w:pPr>
            <w:r w:rsidRPr="00DA359D">
              <w:rPr>
                <w:rFonts w:ascii="Arial Narrow" w:hAnsi="Arial Narrow"/>
                <w:b/>
                <w:bCs/>
                <w:color w:val="333333"/>
                <w:sz w:val="20"/>
                <w:szCs w:val="20"/>
              </w:rPr>
              <w:t>Clinical criteria:</w:t>
            </w:r>
          </w:p>
        </w:tc>
      </w:tr>
      <w:tr w:rsidR="00655E75" w:rsidRPr="00B32B51" w14:paraId="717CFD55"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01B5514" w14:textId="35BE583E" w:rsidR="00655E75" w:rsidRPr="00DA359D" w:rsidRDefault="00655E75" w:rsidP="009E5A28">
            <w:pPr>
              <w:jc w:val="center"/>
              <w:rPr>
                <w:rFonts w:ascii="Arial Narrow" w:hAnsi="Arial Narrow"/>
                <w:color w:val="333333"/>
                <w:sz w:val="20"/>
                <w:szCs w:val="20"/>
              </w:rPr>
            </w:pPr>
          </w:p>
        </w:tc>
        <w:tc>
          <w:tcPr>
            <w:tcW w:w="7745" w:type="dxa"/>
            <w:gridSpan w:val="6"/>
            <w:vAlign w:val="center"/>
            <w:hideMark/>
          </w:tcPr>
          <w:p w14:paraId="339B8D00" w14:textId="77777777" w:rsidR="00655E75" w:rsidRPr="00DA359D" w:rsidRDefault="00655E75" w:rsidP="009E5A28">
            <w:pPr>
              <w:rPr>
                <w:rFonts w:ascii="Arial Narrow" w:hAnsi="Arial Narrow"/>
                <w:color w:val="FF0000"/>
                <w:sz w:val="20"/>
                <w:szCs w:val="20"/>
              </w:rPr>
            </w:pPr>
            <w:r w:rsidRPr="00DA359D">
              <w:rPr>
                <w:rFonts w:ascii="Arial Narrow" w:hAnsi="Arial Narrow" w:cs="Calibri"/>
                <w:sz w:val="20"/>
                <w:szCs w:val="20"/>
              </w:rPr>
              <w:t>Patient must not have previously received PBS-subsidised treatment with this drug for this condition.</w:t>
            </w:r>
          </w:p>
        </w:tc>
      </w:tr>
      <w:tr w:rsidR="00655E75" w:rsidRPr="00B32B51" w14:paraId="61CFF27B"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30FA747" w14:textId="77777777" w:rsidR="00655E75" w:rsidRPr="00DA359D" w:rsidRDefault="00655E75" w:rsidP="009E5A28">
            <w:pPr>
              <w:jc w:val="center"/>
              <w:rPr>
                <w:rFonts w:ascii="Arial Narrow" w:hAnsi="Arial Narrow"/>
                <w:color w:val="333333"/>
                <w:sz w:val="20"/>
                <w:szCs w:val="20"/>
              </w:rPr>
            </w:pPr>
          </w:p>
        </w:tc>
        <w:tc>
          <w:tcPr>
            <w:tcW w:w="7745" w:type="dxa"/>
            <w:gridSpan w:val="6"/>
            <w:vAlign w:val="center"/>
            <w:hideMark/>
          </w:tcPr>
          <w:p w14:paraId="6A91434E" w14:textId="77777777" w:rsidR="00655E75" w:rsidRPr="00DA359D" w:rsidRDefault="00655E75" w:rsidP="009E5A28">
            <w:pPr>
              <w:rPr>
                <w:rFonts w:ascii="Arial Narrow" w:hAnsi="Arial Narrow"/>
                <w:color w:val="333333"/>
                <w:sz w:val="20"/>
                <w:szCs w:val="20"/>
              </w:rPr>
            </w:pPr>
            <w:r w:rsidRPr="00DA359D">
              <w:rPr>
                <w:rFonts w:ascii="Arial Narrow" w:hAnsi="Arial Narrow"/>
                <w:b/>
                <w:bCs/>
                <w:color w:val="333333"/>
                <w:sz w:val="20"/>
                <w:szCs w:val="20"/>
              </w:rPr>
              <w:t>AND</w:t>
            </w:r>
          </w:p>
        </w:tc>
      </w:tr>
      <w:tr w:rsidR="00655E75" w:rsidRPr="00B32B51" w14:paraId="551B2851"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1964F26" w14:textId="624C09A1" w:rsidR="00655E75" w:rsidRPr="00DA359D" w:rsidRDefault="00655E75" w:rsidP="009E5A28">
            <w:pPr>
              <w:jc w:val="center"/>
              <w:rPr>
                <w:rFonts w:ascii="Arial Narrow" w:hAnsi="Arial Narrow"/>
                <w:color w:val="333333"/>
                <w:sz w:val="20"/>
                <w:szCs w:val="20"/>
              </w:rPr>
            </w:pPr>
          </w:p>
        </w:tc>
        <w:tc>
          <w:tcPr>
            <w:tcW w:w="7745" w:type="dxa"/>
            <w:gridSpan w:val="6"/>
            <w:vAlign w:val="center"/>
            <w:hideMark/>
          </w:tcPr>
          <w:p w14:paraId="7E671EF2" w14:textId="77777777" w:rsidR="00655E75" w:rsidRPr="00DA359D" w:rsidRDefault="00655E75" w:rsidP="009E5A28">
            <w:pPr>
              <w:rPr>
                <w:rFonts w:ascii="Arial Narrow" w:hAnsi="Arial Narrow"/>
                <w:color w:val="333333"/>
                <w:sz w:val="20"/>
                <w:szCs w:val="20"/>
              </w:rPr>
            </w:pPr>
            <w:r w:rsidRPr="00DA359D">
              <w:rPr>
                <w:rFonts w:ascii="Arial Narrow" w:hAnsi="Arial Narrow"/>
                <w:b/>
                <w:bCs/>
                <w:color w:val="333333"/>
                <w:sz w:val="20"/>
                <w:szCs w:val="20"/>
              </w:rPr>
              <w:t>Population criteria:</w:t>
            </w:r>
          </w:p>
        </w:tc>
      </w:tr>
      <w:tr w:rsidR="00655E75" w:rsidRPr="00B32B51" w14:paraId="4CD1165F" w14:textId="77777777" w:rsidTr="0078177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DE6A14B" w14:textId="1A1A4DCB" w:rsidR="00655E75" w:rsidRPr="00DA359D" w:rsidRDefault="00655E75" w:rsidP="009E5A28">
            <w:pPr>
              <w:jc w:val="center"/>
              <w:rPr>
                <w:rFonts w:ascii="Arial Narrow" w:hAnsi="Arial Narrow"/>
                <w:color w:val="333333"/>
                <w:sz w:val="20"/>
                <w:szCs w:val="20"/>
              </w:rPr>
            </w:pPr>
          </w:p>
        </w:tc>
        <w:tc>
          <w:tcPr>
            <w:tcW w:w="7745" w:type="dxa"/>
            <w:gridSpan w:val="6"/>
            <w:vAlign w:val="center"/>
            <w:hideMark/>
          </w:tcPr>
          <w:p w14:paraId="63C66301" w14:textId="77777777" w:rsidR="00655E75" w:rsidRPr="00DA359D" w:rsidRDefault="00655E75" w:rsidP="009E5A28">
            <w:pPr>
              <w:rPr>
                <w:rFonts w:ascii="Arial Narrow" w:hAnsi="Arial Narrow"/>
                <w:strike/>
                <w:color w:val="333333"/>
                <w:sz w:val="20"/>
                <w:szCs w:val="20"/>
              </w:rPr>
            </w:pPr>
            <w:r w:rsidRPr="00DA359D">
              <w:rPr>
                <w:rFonts w:ascii="Arial Narrow" w:hAnsi="Arial Narrow" w:cs="Calibri"/>
                <w:sz w:val="20"/>
                <w:szCs w:val="20"/>
              </w:rPr>
              <w:t>Patient must be at least 18 years of age.</w:t>
            </w:r>
          </w:p>
        </w:tc>
      </w:tr>
      <w:tr w:rsidR="00655E75" w:rsidRPr="00B32B51" w14:paraId="54D1AC94" w14:textId="77777777" w:rsidTr="0078177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C5421C4" w14:textId="7E271239" w:rsidR="00655E75" w:rsidRPr="00DA359D" w:rsidRDefault="00655E75" w:rsidP="009E5A28">
            <w:pPr>
              <w:jc w:val="center"/>
              <w:rPr>
                <w:rFonts w:ascii="Arial Narrow" w:hAnsi="Arial Narrow"/>
                <w:color w:val="333333"/>
                <w:sz w:val="20"/>
                <w:szCs w:val="20"/>
              </w:rPr>
            </w:pPr>
          </w:p>
        </w:tc>
        <w:tc>
          <w:tcPr>
            <w:tcW w:w="7745" w:type="dxa"/>
            <w:gridSpan w:val="6"/>
            <w:vAlign w:val="center"/>
            <w:hideMark/>
          </w:tcPr>
          <w:p w14:paraId="12A01B39" w14:textId="77777777" w:rsidR="00655E75" w:rsidRPr="00DA359D" w:rsidRDefault="00655E75" w:rsidP="009E5A28">
            <w:pPr>
              <w:rPr>
                <w:rFonts w:ascii="Arial Narrow" w:hAnsi="Arial Narrow"/>
                <w:bCs/>
                <w:color w:val="FF0000"/>
                <w:sz w:val="20"/>
                <w:szCs w:val="20"/>
              </w:rPr>
            </w:pPr>
            <w:r w:rsidRPr="00DA359D">
              <w:rPr>
                <w:rFonts w:ascii="Arial Narrow" w:hAnsi="Arial Narrow"/>
                <w:b/>
                <w:bCs/>
                <w:color w:val="333333"/>
                <w:sz w:val="20"/>
                <w:szCs w:val="20"/>
              </w:rPr>
              <w:t xml:space="preserve">Prescribing Instructions: </w:t>
            </w:r>
          </w:p>
          <w:p w14:paraId="234103F8" w14:textId="77777777" w:rsidR="00655E75" w:rsidRPr="00DA359D" w:rsidRDefault="00655E75" w:rsidP="009E5A28">
            <w:pPr>
              <w:rPr>
                <w:rFonts w:ascii="Arial Narrow" w:hAnsi="Arial Narrow"/>
                <w:sz w:val="20"/>
                <w:szCs w:val="20"/>
              </w:rPr>
            </w:pPr>
            <w:r w:rsidRPr="00DA359D">
              <w:rPr>
                <w:rFonts w:ascii="Arial Narrow" w:hAnsi="Arial Narrow"/>
                <w:sz w:val="20"/>
                <w:szCs w:val="20"/>
              </w:rPr>
              <w:t xml:space="preserve">Hydroxycarbamide (hydroxyurea) resistance is defined as a minimum of 12 consecutive weeks treatment at a dose of at least 1.5 grams/day or at the maximum tolerated that still results in one of the following: </w:t>
            </w:r>
          </w:p>
          <w:p w14:paraId="104205A8" w14:textId="77777777" w:rsidR="00655E75" w:rsidRPr="00DA359D" w:rsidRDefault="00655E75" w:rsidP="009E5A28">
            <w:pPr>
              <w:rPr>
                <w:rFonts w:ascii="Arial Narrow" w:hAnsi="Arial Narrow"/>
                <w:sz w:val="20"/>
                <w:szCs w:val="20"/>
              </w:rPr>
            </w:pPr>
            <w:r w:rsidRPr="00DA359D">
              <w:rPr>
                <w:rFonts w:ascii="Arial Narrow" w:hAnsi="Arial Narrow"/>
                <w:sz w:val="20"/>
                <w:szCs w:val="20"/>
              </w:rPr>
              <w:t>(i) the need to reduce haematocrit levels to below 45% through phlebotomy; or</w:t>
            </w:r>
          </w:p>
          <w:p w14:paraId="4FDFB939" w14:textId="77777777" w:rsidR="00655E75" w:rsidRPr="00DA359D" w:rsidRDefault="00655E75" w:rsidP="009E5A28">
            <w:pPr>
              <w:rPr>
                <w:rFonts w:ascii="Arial Narrow" w:hAnsi="Arial Narrow"/>
                <w:sz w:val="20"/>
                <w:szCs w:val="20"/>
              </w:rPr>
            </w:pPr>
            <w:r w:rsidRPr="00DA359D">
              <w:rPr>
                <w:rFonts w:ascii="Arial Narrow" w:hAnsi="Arial Narrow"/>
                <w:sz w:val="20"/>
                <w:szCs w:val="20"/>
              </w:rPr>
              <w:t xml:space="preserve">(ii) a platelet count greater than 400 x 10^9/L and a white blood cell count greater than 10 x 10^9/L </w:t>
            </w:r>
          </w:p>
        </w:tc>
      </w:tr>
      <w:tr w:rsidR="00655E75" w:rsidRPr="00337DF9" w14:paraId="29118C5C"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AD680B0" w14:textId="3BF31EBA" w:rsidR="00655E75" w:rsidRPr="00DA359D" w:rsidRDefault="00655E75" w:rsidP="009E5A28">
            <w:pPr>
              <w:jc w:val="center"/>
              <w:rPr>
                <w:rFonts w:ascii="Arial Narrow" w:hAnsi="Arial Narrow"/>
                <w:sz w:val="20"/>
                <w:szCs w:val="20"/>
              </w:rPr>
            </w:pPr>
          </w:p>
        </w:tc>
        <w:tc>
          <w:tcPr>
            <w:tcW w:w="7745" w:type="dxa"/>
            <w:gridSpan w:val="6"/>
            <w:vAlign w:val="center"/>
          </w:tcPr>
          <w:p w14:paraId="62138806" w14:textId="77777777" w:rsidR="00655E75" w:rsidRPr="00DA359D" w:rsidRDefault="00655E75" w:rsidP="009E5A28">
            <w:pPr>
              <w:rPr>
                <w:rFonts w:ascii="Arial Narrow" w:hAnsi="Arial Narrow"/>
                <w:bCs/>
                <w:sz w:val="20"/>
                <w:szCs w:val="20"/>
              </w:rPr>
            </w:pPr>
            <w:r w:rsidRPr="00DA359D">
              <w:rPr>
                <w:rFonts w:ascii="Arial Narrow" w:hAnsi="Arial Narrow"/>
                <w:b/>
                <w:bCs/>
                <w:sz w:val="20"/>
                <w:szCs w:val="20"/>
              </w:rPr>
              <w:t xml:space="preserve">Prescribing Instructions: </w:t>
            </w:r>
          </w:p>
          <w:p w14:paraId="355F6E27" w14:textId="1A959900" w:rsidR="001A6C29" w:rsidRPr="00DA359D" w:rsidRDefault="001A6C29" w:rsidP="001A6C29">
            <w:pPr>
              <w:rPr>
                <w:rFonts w:ascii="Arial Narrow" w:hAnsi="Arial Narrow"/>
                <w:sz w:val="20"/>
                <w:szCs w:val="20"/>
              </w:rPr>
            </w:pPr>
            <w:r w:rsidRPr="00DA359D">
              <w:rPr>
                <w:rFonts w:ascii="Arial Narrow" w:hAnsi="Arial Narrow"/>
                <w:sz w:val="20"/>
                <w:szCs w:val="20"/>
              </w:rPr>
              <w:t>If applicable, details of prior systemic treatment with hydroxycarbamide (hydroxyurea) that caused either (i) an intolerance (ii) an adverse event as listed in the TGA approved Product Information or (iii) a contraindication as listed in the TGA approved Product Information necessitating permanent treatment withdrawal should be documented in the patient’s medical records.</w:t>
            </w:r>
          </w:p>
        </w:tc>
      </w:tr>
      <w:tr w:rsidR="00655E75" w:rsidRPr="00337DF9" w14:paraId="7F2F1771"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2142761F" w14:textId="78EE8F85" w:rsidR="00655E75" w:rsidRPr="00DA359D" w:rsidRDefault="00655E75" w:rsidP="009E5A28">
            <w:pPr>
              <w:jc w:val="center"/>
              <w:rPr>
                <w:rFonts w:ascii="Arial Narrow" w:hAnsi="Arial Narrow"/>
                <w:color w:val="333333"/>
                <w:sz w:val="20"/>
                <w:szCs w:val="20"/>
              </w:rPr>
            </w:pPr>
          </w:p>
        </w:tc>
        <w:tc>
          <w:tcPr>
            <w:tcW w:w="7745" w:type="dxa"/>
            <w:gridSpan w:val="6"/>
            <w:vAlign w:val="center"/>
          </w:tcPr>
          <w:p w14:paraId="0DBA4ECB" w14:textId="77777777" w:rsidR="00655E75" w:rsidRPr="00DA359D" w:rsidRDefault="00655E75" w:rsidP="009E5A28">
            <w:pPr>
              <w:rPr>
                <w:rFonts w:ascii="Arial Narrow" w:hAnsi="Arial Narrow"/>
                <w:bCs/>
                <w:color w:val="FF0000"/>
                <w:sz w:val="20"/>
                <w:szCs w:val="20"/>
              </w:rPr>
            </w:pPr>
            <w:r w:rsidRPr="00DA359D">
              <w:rPr>
                <w:rFonts w:ascii="Arial Narrow" w:hAnsi="Arial Narrow"/>
                <w:b/>
                <w:bCs/>
                <w:color w:val="333333"/>
                <w:sz w:val="20"/>
                <w:szCs w:val="20"/>
              </w:rPr>
              <w:t xml:space="preserve">Prescribing Instructions: </w:t>
            </w:r>
          </w:p>
          <w:p w14:paraId="3F6D78D2" w14:textId="77777777" w:rsidR="00655E75" w:rsidRPr="00DA359D" w:rsidRDefault="00655E75" w:rsidP="009E5A28">
            <w:pPr>
              <w:rPr>
                <w:rFonts w:ascii="Arial Narrow" w:hAnsi="Arial Narrow"/>
                <w:sz w:val="20"/>
                <w:szCs w:val="20"/>
              </w:rPr>
            </w:pPr>
            <w:r w:rsidRPr="00DA359D">
              <w:rPr>
                <w:rFonts w:ascii="Arial Narrow" w:hAnsi="Arial Narrow"/>
                <w:sz w:val="20"/>
                <w:szCs w:val="20"/>
              </w:rPr>
              <w:t>If the application is submitted through HPOS form upload or mail, it must include:</w:t>
            </w:r>
          </w:p>
          <w:p w14:paraId="65C0D72B" w14:textId="77777777" w:rsidR="00655E75" w:rsidRPr="00DA359D" w:rsidRDefault="00655E75" w:rsidP="009E5A28">
            <w:pPr>
              <w:rPr>
                <w:rFonts w:ascii="Arial Narrow" w:hAnsi="Arial Narrow"/>
                <w:sz w:val="20"/>
                <w:szCs w:val="20"/>
              </w:rPr>
            </w:pPr>
            <w:r w:rsidRPr="00DA359D">
              <w:rPr>
                <w:rFonts w:ascii="Arial Narrow" w:hAnsi="Arial Narrow"/>
                <w:sz w:val="20"/>
                <w:szCs w:val="20"/>
              </w:rPr>
              <w:t>(i) details of the proposed prescription; and</w:t>
            </w:r>
          </w:p>
          <w:p w14:paraId="320B8661" w14:textId="77777777" w:rsidR="00655E75" w:rsidRPr="00DA359D" w:rsidRDefault="00655E75" w:rsidP="009E5A28">
            <w:pPr>
              <w:rPr>
                <w:rFonts w:ascii="Arial Narrow" w:hAnsi="Arial Narrow"/>
                <w:color w:val="333333"/>
                <w:sz w:val="20"/>
                <w:szCs w:val="20"/>
              </w:rPr>
            </w:pPr>
            <w:r w:rsidRPr="00DA359D">
              <w:rPr>
                <w:rFonts w:ascii="Arial Narrow" w:hAnsi="Arial Narrow"/>
                <w:sz w:val="20"/>
                <w:szCs w:val="20"/>
              </w:rPr>
              <w:t>(ii) a completed authority application form relevant to the indication and treatment phase (the latest version is located on the website specified in the Administrative Advice).</w:t>
            </w:r>
          </w:p>
        </w:tc>
      </w:tr>
      <w:tr w:rsidR="00655E75" w:rsidRPr="00D61882" w14:paraId="7910204A"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0B1E25C" w14:textId="36450BD9" w:rsidR="00655E75" w:rsidRPr="00DA359D" w:rsidRDefault="00655E75" w:rsidP="009E5A28">
            <w:pPr>
              <w:jc w:val="center"/>
              <w:rPr>
                <w:rFonts w:ascii="Arial Narrow" w:hAnsi="Arial Narrow"/>
                <w:b/>
                <w:bCs/>
                <w:i/>
                <w:iCs/>
                <w:color w:val="333333"/>
                <w:sz w:val="20"/>
                <w:szCs w:val="20"/>
              </w:rPr>
            </w:pPr>
          </w:p>
        </w:tc>
        <w:tc>
          <w:tcPr>
            <w:tcW w:w="7745" w:type="dxa"/>
            <w:gridSpan w:val="6"/>
            <w:vAlign w:val="center"/>
          </w:tcPr>
          <w:p w14:paraId="3345B219" w14:textId="77777777" w:rsidR="00655E75" w:rsidRPr="00DA359D" w:rsidRDefault="00655E75" w:rsidP="009E5A28">
            <w:pPr>
              <w:rPr>
                <w:rFonts w:ascii="Arial Narrow" w:hAnsi="Arial Narrow"/>
                <w:b/>
                <w:bCs/>
                <w:sz w:val="20"/>
                <w:szCs w:val="20"/>
              </w:rPr>
            </w:pPr>
            <w:r w:rsidRPr="00DA359D">
              <w:rPr>
                <w:rFonts w:ascii="Arial Narrow" w:hAnsi="Arial Narrow"/>
                <w:b/>
                <w:bCs/>
                <w:sz w:val="20"/>
                <w:szCs w:val="20"/>
              </w:rPr>
              <w:t>Administrative advice:</w:t>
            </w:r>
          </w:p>
          <w:p w14:paraId="13CE3849" w14:textId="77777777" w:rsidR="00655E75" w:rsidRPr="00DA359D" w:rsidRDefault="00655E75" w:rsidP="009E5A28">
            <w:pPr>
              <w:rPr>
                <w:rFonts w:ascii="Arial Narrow" w:hAnsi="Arial Narrow"/>
                <w:sz w:val="20"/>
                <w:szCs w:val="20"/>
              </w:rPr>
            </w:pPr>
            <w:r w:rsidRPr="00DA359D">
              <w:rPr>
                <w:rFonts w:ascii="Arial Narrow" w:hAnsi="Arial Narrow"/>
                <w:sz w:val="20"/>
                <w:szCs w:val="20"/>
              </w:rPr>
              <w:t>Any queries concerning the arrangements to prescribe may be directed to Services Australia on 1800 700 270 (hours of operation 8 a.m. to 5 p.m. Monday to Friday).</w:t>
            </w:r>
          </w:p>
          <w:p w14:paraId="6951FBC5" w14:textId="77777777" w:rsidR="00655E75" w:rsidRPr="00DA359D" w:rsidRDefault="00655E75" w:rsidP="009E5A28">
            <w:pPr>
              <w:rPr>
                <w:rFonts w:ascii="Arial Narrow" w:hAnsi="Arial Narrow"/>
                <w:sz w:val="20"/>
                <w:szCs w:val="20"/>
              </w:rPr>
            </w:pPr>
            <w:r w:rsidRPr="00DA359D">
              <w:rPr>
                <w:rFonts w:ascii="Arial Narrow" w:hAnsi="Arial Narrow"/>
                <w:sz w:val="20"/>
                <w:szCs w:val="20"/>
              </w:rPr>
              <w:t>Prescribing information (including Authority Application forms and other relevant documentation as applicable) is available on the Services Australia website at www.servicesaustralia.gov.au</w:t>
            </w:r>
          </w:p>
          <w:p w14:paraId="093497B3" w14:textId="77777777" w:rsidR="00655E75" w:rsidRPr="00DA359D" w:rsidRDefault="00655E75" w:rsidP="009E5A28">
            <w:pPr>
              <w:rPr>
                <w:rFonts w:ascii="Arial Narrow" w:hAnsi="Arial Narrow"/>
                <w:sz w:val="20"/>
                <w:szCs w:val="20"/>
              </w:rPr>
            </w:pPr>
            <w:r w:rsidRPr="00DA359D">
              <w:rPr>
                <w:rFonts w:ascii="Arial Narrow" w:hAnsi="Arial Narrow"/>
                <w:sz w:val="20"/>
                <w:szCs w:val="20"/>
              </w:rPr>
              <w:t>Applications for authorisation under this restriction should be made in real time using the Online PBS Authorities system (see www.servicesaustralia.gov.au/hpos)</w:t>
            </w:r>
          </w:p>
          <w:p w14:paraId="41AC6D6B" w14:textId="77777777" w:rsidR="00655E75" w:rsidRPr="00DA359D" w:rsidRDefault="00655E75" w:rsidP="009E5A28">
            <w:pPr>
              <w:rPr>
                <w:rFonts w:ascii="Arial Narrow" w:hAnsi="Arial Narrow"/>
                <w:sz w:val="20"/>
                <w:szCs w:val="20"/>
              </w:rPr>
            </w:pPr>
            <w:r w:rsidRPr="00DA359D">
              <w:rPr>
                <w:rFonts w:ascii="Arial Narrow" w:hAnsi="Arial Narrow"/>
                <w:sz w:val="20"/>
                <w:szCs w:val="20"/>
              </w:rPr>
              <w:t>Alternatively, applications for authority to prescribe can be submitted online using the form upload facility in Health Professional Online Services (HPOS) at www.servicesaustralia.gov.au/hpos</w:t>
            </w:r>
          </w:p>
          <w:p w14:paraId="0EEE6EFA" w14:textId="77777777" w:rsidR="00655E75" w:rsidRPr="00DA359D" w:rsidRDefault="00655E75" w:rsidP="009E5A28">
            <w:pPr>
              <w:rPr>
                <w:rFonts w:ascii="Arial Narrow" w:hAnsi="Arial Narrow"/>
                <w:sz w:val="20"/>
                <w:szCs w:val="20"/>
              </w:rPr>
            </w:pPr>
            <w:r w:rsidRPr="00DA359D">
              <w:rPr>
                <w:rFonts w:ascii="Arial Narrow" w:hAnsi="Arial Narrow"/>
                <w:sz w:val="20"/>
                <w:szCs w:val="20"/>
              </w:rPr>
              <w:t>Or mailed to:</w:t>
            </w:r>
          </w:p>
          <w:p w14:paraId="6C241CC6" w14:textId="77777777" w:rsidR="00655E75" w:rsidRPr="00DA359D" w:rsidRDefault="00655E75" w:rsidP="009E5A28">
            <w:pPr>
              <w:rPr>
                <w:rFonts w:ascii="Arial Narrow" w:hAnsi="Arial Narrow"/>
                <w:sz w:val="20"/>
                <w:szCs w:val="20"/>
              </w:rPr>
            </w:pPr>
            <w:r w:rsidRPr="00DA359D">
              <w:rPr>
                <w:rFonts w:ascii="Arial Narrow" w:hAnsi="Arial Narrow"/>
                <w:sz w:val="20"/>
                <w:szCs w:val="20"/>
              </w:rPr>
              <w:t>Services Australia</w:t>
            </w:r>
          </w:p>
          <w:p w14:paraId="4070BB5C" w14:textId="77777777" w:rsidR="00655E75" w:rsidRPr="00DA359D" w:rsidRDefault="00655E75" w:rsidP="009E5A28">
            <w:pPr>
              <w:rPr>
                <w:rFonts w:ascii="Arial Narrow" w:hAnsi="Arial Narrow"/>
                <w:sz w:val="20"/>
                <w:szCs w:val="20"/>
              </w:rPr>
            </w:pPr>
            <w:r w:rsidRPr="00DA359D">
              <w:rPr>
                <w:rFonts w:ascii="Arial Narrow" w:hAnsi="Arial Narrow"/>
                <w:sz w:val="20"/>
                <w:szCs w:val="20"/>
              </w:rPr>
              <w:t>Complex Drugs</w:t>
            </w:r>
          </w:p>
          <w:p w14:paraId="3FD093C3" w14:textId="77777777" w:rsidR="00655E75" w:rsidRPr="00DA359D" w:rsidRDefault="00655E75" w:rsidP="009E5A28">
            <w:pPr>
              <w:rPr>
                <w:rFonts w:ascii="Arial Narrow" w:hAnsi="Arial Narrow"/>
                <w:sz w:val="20"/>
                <w:szCs w:val="20"/>
              </w:rPr>
            </w:pPr>
            <w:r w:rsidRPr="00DA359D">
              <w:rPr>
                <w:rFonts w:ascii="Arial Narrow" w:hAnsi="Arial Narrow"/>
                <w:sz w:val="20"/>
                <w:szCs w:val="20"/>
              </w:rPr>
              <w:t>Reply Paid 9826</w:t>
            </w:r>
          </w:p>
          <w:p w14:paraId="3FC1636D" w14:textId="77777777" w:rsidR="00655E75" w:rsidRPr="00DA359D" w:rsidRDefault="00655E75" w:rsidP="009E5A28">
            <w:pPr>
              <w:rPr>
                <w:rFonts w:ascii="Arial Narrow" w:hAnsi="Arial Narrow"/>
                <w:color w:val="333333"/>
                <w:sz w:val="20"/>
                <w:szCs w:val="20"/>
              </w:rPr>
            </w:pPr>
            <w:r w:rsidRPr="00DA359D">
              <w:rPr>
                <w:rFonts w:ascii="Arial Narrow" w:hAnsi="Arial Narrow"/>
                <w:sz w:val="20"/>
                <w:szCs w:val="20"/>
              </w:rPr>
              <w:t>HOBART TAS 7001</w:t>
            </w:r>
          </w:p>
        </w:tc>
      </w:tr>
      <w:tr w:rsidR="00655E75" w:rsidRPr="00B32B51" w14:paraId="3163CB3D" w14:textId="77777777" w:rsidTr="00F05E5A">
        <w:tblPrEx>
          <w:tblCellMar>
            <w:top w:w="15" w:type="dxa"/>
            <w:bottom w:w="15" w:type="dxa"/>
          </w:tblCellMar>
          <w:tblLook w:val="04A0" w:firstRow="1" w:lastRow="0" w:firstColumn="1" w:lastColumn="0" w:noHBand="0" w:noVBand="1"/>
        </w:tblPrEx>
        <w:trPr>
          <w:cantSplit/>
          <w:trHeight w:val="20"/>
        </w:trPr>
        <w:tc>
          <w:tcPr>
            <w:tcW w:w="9022" w:type="dxa"/>
            <w:gridSpan w:val="8"/>
            <w:vAlign w:val="center"/>
          </w:tcPr>
          <w:p w14:paraId="7AB3B2F6" w14:textId="77777777" w:rsidR="00655E75" w:rsidRPr="00DA359D" w:rsidRDefault="00655E75" w:rsidP="009E5A28">
            <w:pPr>
              <w:rPr>
                <w:rFonts w:ascii="Arial Narrow" w:hAnsi="Arial Narrow"/>
                <w:b/>
                <w:bCs/>
                <w:color w:val="333333"/>
                <w:sz w:val="20"/>
                <w:szCs w:val="20"/>
              </w:rPr>
            </w:pPr>
          </w:p>
          <w:p w14:paraId="5AE57FC7" w14:textId="77777777" w:rsidR="00655E75" w:rsidRPr="00DA359D" w:rsidRDefault="00655E75" w:rsidP="009E5A28">
            <w:pPr>
              <w:rPr>
                <w:rFonts w:ascii="Arial Narrow" w:hAnsi="Arial Narrow"/>
                <w:b/>
                <w:bCs/>
                <w:color w:val="333333"/>
                <w:sz w:val="20"/>
                <w:szCs w:val="20"/>
              </w:rPr>
            </w:pPr>
          </w:p>
        </w:tc>
      </w:tr>
      <w:tr w:rsidR="00655E75" w:rsidRPr="00B32B51" w14:paraId="1B2EC642" w14:textId="77777777" w:rsidTr="00F05E5A">
        <w:tblPrEx>
          <w:tblCellMar>
            <w:top w:w="15" w:type="dxa"/>
            <w:bottom w:w="15" w:type="dxa"/>
          </w:tblCellMar>
          <w:tblLook w:val="04A0" w:firstRow="1" w:lastRow="0" w:firstColumn="1" w:lastColumn="0" w:noHBand="0" w:noVBand="1"/>
        </w:tblPrEx>
        <w:trPr>
          <w:trHeight w:val="20"/>
        </w:trPr>
        <w:tc>
          <w:tcPr>
            <w:tcW w:w="9022" w:type="dxa"/>
            <w:gridSpan w:val="8"/>
            <w:tcBorders>
              <w:top w:val="single" w:sz="4" w:space="0" w:color="auto"/>
              <w:left w:val="single" w:sz="4" w:space="0" w:color="auto"/>
              <w:right w:val="single" w:sz="4" w:space="0" w:color="auto"/>
            </w:tcBorders>
            <w:vAlign w:val="center"/>
          </w:tcPr>
          <w:p w14:paraId="5C78A3BF" w14:textId="77777777" w:rsidR="00655E75" w:rsidRPr="00DA359D" w:rsidRDefault="00655E75" w:rsidP="009E5A28">
            <w:pPr>
              <w:keepLines/>
              <w:rPr>
                <w:rFonts w:ascii="Arial Narrow" w:hAnsi="Arial Narrow"/>
                <w:b/>
                <w:sz w:val="20"/>
                <w:szCs w:val="20"/>
              </w:rPr>
            </w:pPr>
            <w:r w:rsidRPr="00DA359D">
              <w:rPr>
                <w:rFonts w:ascii="Arial Narrow" w:hAnsi="Arial Narrow"/>
                <w:b/>
                <w:sz w:val="20"/>
                <w:szCs w:val="20"/>
              </w:rPr>
              <w:t>Restriction Summary [new2]</w:t>
            </w:r>
            <w:r w:rsidRPr="00DA359D">
              <w:rPr>
                <w:rFonts w:ascii="Arial Narrow" w:hAnsi="Arial Narrow"/>
                <w:b/>
                <w:color w:val="FF0000"/>
                <w:sz w:val="20"/>
                <w:szCs w:val="20"/>
              </w:rPr>
              <w:t xml:space="preserve"> </w:t>
            </w:r>
            <w:r w:rsidRPr="00DA359D">
              <w:rPr>
                <w:rFonts w:ascii="Arial Narrow" w:hAnsi="Arial Narrow"/>
                <w:b/>
                <w:sz w:val="20"/>
                <w:szCs w:val="20"/>
              </w:rPr>
              <w:t>/ Treatment of Concept: [new2A]</w:t>
            </w:r>
          </w:p>
        </w:tc>
      </w:tr>
      <w:tr w:rsidR="00655E75" w:rsidRPr="00B32B51" w14:paraId="4B53BA68" w14:textId="77777777" w:rsidTr="00F05E5A">
        <w:tblPrEx>
          <w:tblCellMar>
            <w:top w:w="15" w:type="dxa"/>
            <w:bottom w:w="15" w:type="dxa"/>
          </w:tblCellMar>
          <w:tblLook w:val="04A0" w:firstRow="1" w:lastRow="0" w:firstColumn="1" w:lastColumn="0" w:noHBand="0" w:noVBand="1"/>
        </w:tblPrEx>
        <w:trPr>
          <w:trHeight w:val="20"/>
        </w:trPr>
        <w:tc>
          <w:tcPr>
            <w:tcW w:w="1277" w:type="dxa"/>
            <w:gridSpan w:val="2"/>
            <w:vMerge w:val="restart"/>
            <w:tcBorders>
              <w:top w:val="single" w:sz="4" w:space="0" w:color="auto"/>
              <w:left w:val="single" w:sz="4" w:space="0" w:color="auto"/>
              <w:right w:val="single" w:sz="4" w:space="0" w:color="auto"/>
            </w:tcBorders>
          </w:tcPr>
          <w:p w14:paraId="6C788CB8" w14:textId="77777777" w:rsidR="00655E75" w:rsidRPr="00DA359D" w:rsidRDefault="00655E75" w:rsidP="009E5A28">
            <w:pPr>
              <w:jc w:val="center"/>
              <w:rPr>
                <w:rFonts w:ascii="Arial Narrow" w:hAnsi="Arial Narrow"/>
                <w:b/>
                <w:sz w:val="20"/>
                <w:szCs w:val="20"/>
              </w:rPr>
            </w:pPr>
            <w:r w:rsidRPr="00DA359D">
              <w:rPr>
                <w:rFonts w:ascii="Arial Narrow" w:hAnsi="Arial Narrow"/>
                <w:b/>
                <w:sz w:val="20"/>
                <w:szCs w:val="20"/>
              </w:rPr>
              <w:t xml:space="preserve">Concept ID </w:t>
            </w:r>
            <w:r w:rsidRPr="00DA359D">
              <w:rPr>
                <w:rFonts w:ascii="Arial Narrow" w:hAnsi="Arial Narrow"/>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7BB5844" w14:textId="77777777" w:rsidR="00655E75" w:rsidRPr="00DA359D" w:rsidRDefault="00655E75" w:rsidP="009E5A28">
            <w:pPr>
              <w:keepLines/>
              <w:rPr>
                <w:rFonts w:ascii="Arial Narrow" w:hAnsi="Arial Narrow"/>
                <w:sz w:val="20"/>
                <w:szCs w:val="20"/>
              </w:rPr>
            </w:pPr>
            <w:r w:rsidRPr="00DA359D">
              <w:rPr>
                <w:rFonts w:ascii="Arial Narrow" w:hAnsi="Arial Narrow"/>
                <w:b/>
                <w:sz w:val="20"/>
                <w:szCs w:val="20"/>
              </w:rPr>
              <w:t>Category / Program:</w:t>
            </w:r>
            <w:r w:rsidRPr="00DA359D">
              <w:rPr>
                <w:rFonts w:ascii="Arial Narrow" w:hAnsi="Arial Narrow"/>
                <w:color w:val="FF0000"/>
                <w:sz w:val="20"/>
                <w:szCs w:val="20"/>
              </w:rPr>
              <w:t xml:space="preserve"> </w:t>
            </w:r>
          </w:p>
          <w:p w14:paraId="1936186D" w14:textId="77777777" w:rsidR="00655E75" w:rsidRPr="00DA359D" w:rsidRDefault="00655E75" w:rsidP="009E5A28">
            <w:pPr>
              <w:keepLines/>
              <w:rPr>
                <w:rFonts w:ascii="Arial Narrow" w:hAnsi="Arial Narrow"/>
                <w:sz w:val="20"/>
                <w:szCs w:val="20"/>
              </w:rPr>
            </w:pPr>
            <w:r w:rsidRPr="00DA359D">
              <w:rPr>
                <w:rFonts w:ascii="Arial Narrow" w:eastAsia="Calibri" w:hAnsi="Arial Narrow"/>
                <w:sz w:val="20"/>
                <w:szCs w:val="20"/>
              </w:rPr>
              <w:fldChar w:fldCharType="begin" w:fldLock="1">
                <w:ffData>
                  <w:name w:val="Check1"/>
                  <w:enabled/>
                  <w:calcOnExit w:val="0"/>
                  <w:checkBox>
                    <w:sizeAuto/>
                    <w:default w:val="1"/>
                  </w:checkBox>
                </w:ffData>
              </w:fldChar>
            </w:r>
            <w:r w:rsidRPr="00DA359D">
              <w:rPr>
                <w:rFonts w:ascii="Arial Narrow" w:eastAsia="Calibri" w:hAnsi="Arial Narrow"/>
                <w:sz w:val="20"/>
                <w:szCs w:val="20"/>
              </w:rPr>
              <w:instrText xml:space="preserve"> FORMCHECKBOX </w:instrText>
            </w:r>
            <w:r w:rsidRPr="00DA359D">
              <w:rPr>
                <w:rFonts w:ascii="Arial Narrow" w:eastAsia="Calibri" w:hAnsi="Arial Narrow"/>
                <w:sz w:val="20"/>
                <w:szCs w:val="20"/>
              </w:rPr>
            </w:r>
            <w:r w:rsidRPr="00DA359D">
              <w:rPr>
                <w:rFonts w:ascii="Arial Narrow" w:eastAsia="Calibri" w:hAnsi="Arial Narrow"/>
                <w:sz w:val="20"/>
                <w:szCs w:val="20"/>
              </w:rPr>
              <w:fldChar w:fldCharType="separate"/>
            </w:r>
            <w:r w:rsidRPr="00DA359D">
              <w:rPr>
                <w:rFonts w:ascii="Arial Narrow" w:eastAsia="Calibri" w:hAnsi="Arial Narrow"/>
                <w:sz w:val="20"/>
                <w:szCs w:val="20"/>
              </w:rPr>
              <w:fldChar w:fldCharType="end"/>
            </w:r>
            <w:r w:rsidRPr="00DA359D">
              <w:rPr>
                <w:rFonts w:ascii="Arial Narrow" w:eastAsia="Calibri" w:hAnsi="Arial Narrow"/>
                <w:sz w:val="20"/>
                <w:szCs w:val="20"/>
              </w:rPr>
              <w:t xml:space="preserve"> GENERAL - General Schedule (Code GE) </w:t>
            </w:r>
          </w:p>
        </w:tc>
      </w:tr>
      <w:tr w:rsidR="00655E75" w:rsidRPr="00B32B51" w14:paraId="7858B45E" w14:textId="77777777" w:rsidTr="00F05E5A">
        <w:tblPrEx>
          <w:tblCellMar>
            <w:top w:w="15" w:type="dxa"/>
            <w:bottom w:w="15" w:type="dxa"/>
          </w:tblCellMar>
          <w:tblLook w:val="04A0" w:firstRow="1" w:lastRow="0" w:firstColumn="1" w:lastColumn="0" w:noHBand="0" w:noVBand="1"/>
        </w:tblPrEx>
        <w:trPr>
          <w:trHeight w:val="20"/>
        </w:trPr>
        <w:tc>
          <w:tcPr>
            <w:tcW w:w="1277" w:type="dxa"/>
            <w:gridSpan w:val="2"/>
            <w:vMerge/>
          </w:tcPr>
          <w:p w14:paraId="6622F315" w14:textId="77777777" w:rsidR="00655E75" w:rsidRPr="00DA359D" w:rsidRDefault="00655E75" w:rsidP="009E5A28">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5D45B85" w14:textId="77777777" w:rsidR="00655E75" w:rsidRPr="00DA359D" w:rsidRDefault="00655E75" w:rsidP="009E5A28">
            <w:pPr>
              <w:keepLines/>
              <w:rPr>
                <w:rFonts w:ascii="Arial Narrow" w:hAnsi="Arial Narrow"/>
                <w:b/>
                <w:sz w:val="20"/>
                <w:szCs w:val="20"/>
              </w:rPr>
            </w:pPr>
            <w:r w:rsidRPr="00DA359D">
              <w:rPr>
                <w:rFonts w:ascii="Arial Narrow" w:hAnsi="Arial Narrow"/>
                <w:b/>
                <w:sz w:val="20"/>
                <w:szCs w:val="20"/>
              </w:rPr>
              <w:t xml:space="preserve">Prescriber type: </w:t>
            </w:r>
          </w:p>
          <w:p w14:paraId="1EC7F6ED" w14:textId="77777777" w:rsidR="00655E75" w:rsidRPr="00DA359D" w:rsidRDefault="00655E75" w:rsidP="009E5A28">
            <w:pPr>
              <w:keepLines/>
              <w:rPr>
                <w:rFonts w:ascii="Arial Narrow" w:hAnsi="Arial Narrow"/>
                <w:b/>
                <w:sz w:val="20"/>
                <w:szCs w:val="20"/>
              </w:rPr>
            </w:pPr>
            <w:r w:rsidRPr="00DA359D">
              <w:rPr>
                <w:rFonts w:ascii="Arial Narrow" w:hAnsi="Arial Narrow"/>
                <w:sz w:val="20"/>
                <w:szCs w:val="20"/>
              </w:rPr>
              <w:fldChar w:fldCharType="begin" w:fldLock="1">
                <w:ffData>
                  <w:name w:val=""/>
                  <w:enabled/>
                  <w:calcOnExit w:val="0"/>
                  <w:checkBox>
                    <w:sizeAuto/>
                    <w:default w:val="1"/>
                  </w:checkBox>
                </w:ffData>
              </w:fldChar>
            </w:r>
            <w:r w:rsidRPr="00DA359D">
              <w:rPr>
                <w:rFonts w:ascii="Arial Narrow" w:hAnsi="Arial Narrow"/>
                <w:sz w:val="20"/>
                <w:szCs w:val="20"/>
              </w:rPr>
              <w:instrText xml:space="preserve"> FORMCHECKBOX </w:instrText>
            </w:r>
            <w:r w:rsidRPr="00DA359D">
              <w:rPr>
                <w:rFonts w:ascii="Arial Narrow" w:hAnsi="Arial Narrow"/>
                <w:sz w:val="20"/>
                <w:szCs w:val="20"/>
              </w:rPr>
            </w:r>
            <w:r w:rsidRPr="00DA359D">
              <w:rPr>
                <w:rFonts w:ascii="Arial Narrow" w:hAnsi="Arial Narrow"/>
                <w:sz w:val="20"/>
                <w:szCs w:val="20"/>
              </w:rPr>
              <w:fldChar w:fldCharType="separate"/>
            </w:r>
            <w:r w:rsidRPr="00DA359D">
              <w:rPr>
                <w:rFonts w:ascii="Arial Narrow" w:hAnsi="Arial Narrow"/>
                <w:sz w:val="20"/>
                <w:szCs w:val="20"/>
              </w:rPr>
              <w:fldChar w:fldCharType="end"/>
            </w:r>
            <w:r w:rsidRPr="00DA359D">
              <w:rPr>
                <w:rFonts w:ascii="Arial Narrow" w:hAnsi="Arial Narrow"/>
                <w:sz w:val="20"/>
                <w:szCs w:val="20"/>
              </w:rPr>
              <w:t xml:space="preserve">Medical Practitioners </w:t>
            </w:r>
          </w:p>
        </w:tc>
      </w:tr>
      <w:tr w:rsidR="00655E75" w:rsidRPr="00B32B51" w14:paraId="7FE086BB" w14:textId="77777777" w:rsidTr="00F05E5A">
        <w:tblPrEx>
          <w:tblCellMar>
            <w:top w:w="15" w:type="dxa"/>
            <w:bottom w:w="15" w:type="dxa"/>
          </w:tblCellMar>
          <w:tblLook w:val="04A0" w:firstRow="1" w:lastRow="0" w:firstColumn="1" w:lastColumn="0" w:noHBand="0" w:noVBand="1"/>
        </w:tblPrEx>
        <w:trPr>
          <w:trHeight w:val="20"/>
        </w:trPr>
        <w:tc>
          <w:tcPr>
            <w:tcW w:w="1277" w:type="dxa"/>
            <w:gridSpan w:val="2"/>
            <w:vMerge/>
          </w:tcPr>
          <w:p w14:paraId="7E0C64EB" w14:textId="77777777" w:rsidR="00655E75" w:rsidRPr="00DA359D" w:rsidRDefault="00655E75" w:rsidP="009E5A28">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C88856E" w14:textId="77777777" w:rsidR="00655E75" w:rsidRPr="00DA359D" w:rsidRDefault="00655E75" w:rsidP="009E5A28">
            <w:pPr>
              <w:keepLines/>
              <w:rPr>
                <w:rFonts w:ascii="Arial Narrow" w:hAnsi="Arial Narrow"/>
                <w:b/>
                <w:sz w:val="20"/>
                <w:szCs w:val="20"/>
              </w:rPr>
            </w:pPr>
            <w:r w:rsidRPr="00DA359D">
              <w:rPr>
                <w:rFonts w:ascii="Arial Narrow" w:hAnsi="Arial Narrow"/>
                <w:b/>
                <w:sz w:val="20"/>
                <w:szCs w:val="20"/>
              </w:rPr>
              <w:t xml:space="preserve">Restriction type: </w:t>
            </w:r>
          </w:p>
          <w:p w14:paraId="5B379F20" w14:textId="57BC2AB9" w:rsidR="00655E75" w:rsidRPr="00DA359D" w:rsidRDefault="00655E75" w:rsidP="009E5A28">
            <w:pPr>
              <w:keepLines/>
              <w:rPr>
                <w:rFonts w:ascii="Arial Narrow" w:eastAsia="Calibri" w:hAnsi="Arial Narrow"/>
                <w:color w:val="FF0000"/>
                <w:sz w:val="20"/>
                <w:szCs w:val="20"/>
              </w:rPr>
            </w:pPr>
            <w:r w:rsidRPr="00DA359D">
              <w:rPr>
                <w:rFonts w:ascii="Arial Narrow" w:hAnsi="Arial Narrow"/>
                <w:bCs/>
                <w:sz w:val="20"/>
                <w:szCs w:val="20"/>
              </w:rPr>
              <w:fldChar w:fldCharType="begin" w:fldLock="1">
                <w:ffData>
                  <w:name w:val=""/>
                  <w:enabled/>
                  <w:calcOnExit w:val="0"/>
                  <w:checkBox>
                    <w:sizeAuto/>
                    <w:default w:val="1"/>
                  </w:checkBox>
                </w:ffData>
              </w:fldChar>
            </w:r>
            <w:r w:rsidRPr="00DA359D">
              <w:rPr>
                <w:rFonts w:ascii="Arial Narrow" w:hAnsi="Arial Narrow"/>
                <w:bCs/>
                <w:sz w:val="20"/>
                <w:szCs w:val="20"/>
              </w:rPr>
              <w:instrText xml:space="preserve"> FORMCHECKBOX </w:instrText>
            </w:r>
            <w:r w:rsidRPr="00DA359D">
              <w:rPr>
                <w:rFonts w:ascii="Arial Narrow" w:hAnsi="Arial Narrow"/>
                <w:bCs/>
                <w:sz w:val="20"/>
                <w:szCs w:val="20"/>
              </w:rPr>
            </w:r>
            <w:r w:rsidRPr="00DA359D">
              <w:rPr>
                <w:rFonts w:ascii="Arial Narrow" w:hAnsi="Arial Narrow"/>
                <w:bCs/>
                <w:sz w:val="20"/>
                <w:szCs w:val="20"/>
              </w:rPr>
              <w:fldChar w:fldCharType="separate"/>
            </w:r>
            <w:r w:rsidRPr="00DA359D">
              <w:rPr>
                <w:rFonts w:ascii="Arial Narrow" w:hAnsi="Arial Narrow"/>
                <w:bCs/>
                <w:sz w:val="20"/>
                <w:szCs w:val="20"/>
              </w:rPr>
              <w:fldChar w:fldCharType="end"/>
            </w:r>
            <w:r w:rsidR="00B24DBC" w:rsidRPr="00DA359D">
              <w:rPr>
                <w:rFonts w:ascii="Arial Narrow" w:hAnsi="Arial Narrow"/>
                <w:bCs/>
                <w:sz w:val="20"/>
                <w:szCs w:val="20"/>
              </w:rPr>
              <w:t xml:space="preserve"> </w:t>
            </w:r>
            <w:r w:rsidR="00351704" w:rsidRPr="00DA359D">
              <w:rPr>
                <w:rFonts w:ascii="Arial Narrow" w:hAnsi="Arial Narrow"/>
                <w:bCs/>
                <w:sz w:val="20"/>
                <w:szCs w:val="20"/>
              </w:rPr>
              <w:t>Authority Required (telephone/</w:t>
            </w:r>
            <w:r w:rsidR="00351704" w:rsidRPr="00DA359D">
              <w:rPr>
                <w:rFonts w:ascii="Arial Narrow" w:eastAsia="Calibri" w:hAnsi="Arial Narrow"/>
                <w:sz w:val="20"/>
                <w:szCs w:val="20"/>
              </w:rPr>
              <w:t>online PBS Authorities system</w:t>
            </w:r>
            <w:r w:rsidR="00351704" w:rsidRPr="00DA359D">
              <w:rPr>
                <w:rFonts w:ascii="Arial Narrow" w:hAnsi="Arial Narrow"/>
                <w:bCs/>
                <w:sz w:val="20"/>
                <w:szCs w:val="20"/>
              </w:rPr>
              <w:t>)</w:t>
            </w:r>
            <w:r w:rsidR="00F87B86">
              <w:rPr>
                <w:rFonts w:ascii="Arial Narrow" w:hAnsi="Arial Narrow"/>
                <w:b/>
                <w:sz w:val="20"/>
                <w:szCs w:val="20"/>
              </w:rPr>
              <w:t xml:space="preserve"> </w:t>
            </w:r>
          </w:p>
        </w:tc>
      </w:tr>
      <w:tr w:rsidR="00655E75" w:rsidRPr="00B32B51" w14:paraId="09B58F96"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Merge/>
            <w:vAlign w:val="center"/>
          </w:tcPr>
          <w:p w14:paraId="639DBAA7" w14:textId="77777777" w:rsidR="00655E75" w:rsidRPr="00DA359D" w:rsidRDefault="00655E75" w:rsidP="009E5A28">
            <w:pPr>
              <w:keepLines/>
              <w:jc w:val="center"/>
              <w:rPr>
                <w:rFonts w:ascii="Arial Narrow" w:hAnsi="Arial Narrow"/>
                <w:color w:val="333333"/>
                <w:sz w:val="20"/>
                <w:szCs w:val="20"/>
              </w:rPr>
            </w:pPr>
          </w:p>
        </w:tc>
        <w:tc>
          <w:tcPr>
            <w:tcW w:w="7745" w:type="dxa"/>
            <w:gridSpan w:val="6"/>
            <w:vAlign w:val="center"/>
          </w:tcPr>
          <w:p w14:paraId="350E8949" w14:textId="77777777" w:rsidR="00655E75" w:rsidRPr="00DA359D" w:rsidRDefault="00655E75" w:rsidP="009E5A28">
            <w:pPr>
              <w:keepLines/>
              <w:rPr>
                <w:rFonts w:ascii="Arial Narrow" w:hAnsi="Arial Narrow"/>
                <w:b/>
                <w:bCs/>
                <w:sz w:val="20"/>
                <w:szCs w:val="20"/>
              </w:rPr>
            </w:pPr>
            <w:r w:rsidRPr="00DA359D">
              <w:rPr>
                <w:rFonts w:ascii="Arial Narrow" w:hAnsi="Arial Narrow"/>
                <w:b/>
                <w:bCs/>
                <w:sz w:val="20"/>
                <w:szCs w:val="20"/>
              </w:rPr>
              <w:t xml:space="preserve">Condition: </w:t>
            </w:r>
            <w:r w:rsidRPr="00DA359D">
              <w:rPr>
                <w:rFonts w:ascii="Arial Narrow" w:hAnsi="Arial Narrow"/>
                <w:sz w:val="20"/>
                <w:szCs w:val="20"/>
              </w:rPr>
              <w:t>Polycythemia vera</w:t>
            </w:r>
          </w:p>
        </w:tc>
      </w:tr>
      <w:tr w:rsidR="00655E75" w:rsidRPr="00B32B51" w14:paraId="6171D901"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Align w:val="center"/>
            <w:hideMark/>
          </w:tcPr>
          <w:p w14:paraId="15522DB5" w14:textId="11E44758" w:rsidR="00655E75" w:rsidRPr="00DA359D" w:rsidRDefault="00655E75" w:rsidP="009E5A28">
            <w:pPr>
              <w:keepLines/>
              <w:jc w:val="center"/>
              <w:rPr>
                <w:rFonts w:ascii="Arial Narrow" w:hAnsi="Arial Narrow"/>
                <w:color w:val="333333"/>
                <w:sz w:val="20"/>
                <w:szCs w:val="20"/>
              </w:rPr>
            </w:pPr>
          </w:p>
        </w:tc>
        <w:tc>
          <w:tcPr>
            <w:tcW w:w="7745" w:type="dxa"/>
            <w:gridSpan w:val="6"/>
            <w:vAlign w:val="center"/>
            <w:hideMark/>
          </w:tcPr>
          <w:p w14:paraId="0CB045C9" w14:textId="77777777" w:rsidR="00655E75" w:rsidRPr="00DA359D" w:rsidRDefault="00655E75" w:rsidP="009E5A28">
            <w:pPr>
              <w:keepLines/>
              <w:rPr>
                <w:rFonts w:ascii="Arial Narrow" w:hAnsi="Arial Narrow"/>
                <w:sz w:val="20"/>
                <w:szCs w:val="20"/>
              </w:rPr>
            </w:pPr>
            <w:r w:rsidRPr="00DA359D">
              <w:rPr>
                <w:rFonts w:ascii="Arial Narrow" w:hAnsi="Arial Narrow"/>
                <w:b/>
                <w:bCs/>
                <w:sz w:val="20"/>
                <w:szCs w:val="20"/>
              </w:rPr>
              <w:t>Indication:</w:t>
            </w:r>
            <w:r w:rsidRPr="00DA359D">
              <w:rPr>
                <w:rFonts w:ascii="Arial Narrow" w:hAnsi="Arial Narrow"/>
                <w:sz w:val="20"/>
                <w:szCs w:val="20"/>
              </w:rPr>
              <w:t xml:space="preserve"> Polycythemia vera</w:t>
            </w:r>
          </w:p>
        </w:tc>
      </w:tr>
      <w:tr w:rsidR="00655E75" w:rsidRPr="00B2231B" w14:paraId="5F1308B1"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Align w:val="center"/>
            <w:hideMark/>
          </w:tcPr>
          <w:p w14:paraId="679EE2E9" w14:textId="77777777" w:rsidR="00655E75" w:rsidRPr="00DA359D" w:rsidRDefault="00655E75" w:rsidP="009E5A28">
            <w:pPr>
              <w:jc w:val="center"/>
              <w:rPr>
                <w:rFonts w:ascii="Arial Narrow" w:hAnsi="Arial Narrow"/>
                <w:color w:val="333333"/>
                <w:sz w:val="20"/>
                <w:szCs w:val="20"/>
              </w:rPr>
            </w:pPr>
          </w:p>
        </w:tc>
        <w:tc>
          <w:tcPr>
            <w:tcW w:w="7745" w:type="dxa"/>
            <w:gridSpan w:val="6"/>
            <w:vAlign w:val="center"/>
            <w:hideMark/>
          </w:tcPr>
          <w:p w14:paraId="557405E5" w14:textId="261D13D7" w:rsidR="00655E75" w:rsidRPr="00DA359D" w:rsidRDefault="00655E75" w:rsidP="009E5A28">
            <w:pPr>
              <w:rPr>
                <w:rFonts w:ascii="Arial Narrow" w:hAnsi="Arial Narrow"/>
                <w:i/>
                <w:iCs/>
                <w:sz w:val="20"/>
                <w:szCs w:val="20"/>
              </w:rPr>
            </w:pPr>
            <w:r w:rsidRPr="00DA359D">
              <w:rPr>
                <w:rFonts w:ascii="Arial Narrow" w:hAnsi="Arial Narrow"/>
                <w:b/>
                <w:bCs/>
                <w:sz w:val="20"/>
                <w:szCs w:val="20"/>
              </w:rPr>
              <w:t>Treatment Phase:</w:t>
            </w:r>
            <w:r w:rsidR="00F87B86">
              <w:rPr>
                <w:rFonts w:ascii="Arial Narrow" w:hAnsi="Arial Narrow"/>
                <w:sz w:val="20"/>
                <w:szCs w:val="20"/>
              </w:rPr>
              <w:t xml:space="preserve"> </w:t>
            </w:r>
            <w:r w:rsidR="00351704" w:rsidRPr="00DA359D">
              <w:rPr>
                <w:rFonts w:ascii="Arial Narrow" w:hAnsi="Arial Narrow"/>
                <w:sz w:val="20"/>
                <w:szCs w:val="20"/>
              </w:rPr>
              <w:t>Balance of Initial treatment – up to 48 weeks</w:t>
            </w:r>
          </w:p>
        </w:tc>
      </w:tr>
      <w:tr w:rsidR="00655E75" w:rsidRPr="00B32B51" w14:paraId="4E6B5A2C"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78415AB8" w14:textId="7D91C7B1" w:rsidR="00655E75" w:rsidRPr="00DA359D" w:rsidRDefault="00655E75" w:rsidP="009E5A28">
            <w:pPr>
              <w:jc w:val="center"/>
              <w:rPr>
                <w:rFonts w:ascii="Arial Narrow" w:hAnsi="Arial Narrow"/>
                <w:i/>
                <w:iCs/>
                <w:strike/>
                <w:color w:val="333333"/>
                <w:sz w:val="20"/>
                <w:szCs w:val="20"/>
              </w:rPr>
            </w:pPr>
          </w:p>
        </w:tc>
        <w:tc>
          <w:tcPr>
            <w:tcW w:w="7745" w:type="dxa"/>
            <w:gridSpan w:val="6"/>
            <w:vAlign w:val="center"/>
            <w:hideMark/>
          </w:tcPr>
          <w:p w14:paraId="7E423EAC" w14:textId="77777777" w:rsidR="00655E75" w:rsidRPr="00DA359D" w:rsidRDefault="00655E75" w:rsidP="009E5A28">
            <w:pPr>
              <w:rPr>
                <w:rFonts w:ascii="Arial Narrow" w:hAnsi="Arial Narrow"/>
                <w:sz w:val="20"/>
                <w:szCs w:val="20"/>
              </w:rPr>
            </w:pPr>
            <w:r w:rsidRPr="00DA359D">
              <w:rPr>
                <w:rFonts w:ascii="Arial Narrow" w:hAnsi="Arial Narrow"/>
                <w:b/>
                <w:bCs/>
                <w:color w:val="333333"/>
                <w:sz w:val="20"/>
                <w:szCs w:val="20"/>
              </w:rPr>
              <w:t xml:space="preserve">Clinical criteria: </w:t>
            </w:r>
          </w:p>
        </w:tc>
      </w:tr>
      <w:tr w:rsidR="00655E75" w:rsidRPr="003555D0" w14:paraId="672E096D"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76F3669" w14:textId="5CA6D180" w:rsidR="00655E75" w:rsidRPr="00DA359D" w:rsidRDefault="00655E75" w:rsidP="009E5A28">
            <w:pPr>
              <w:jc w:val="center"/>
              <w:rPr>
                <w:rFonts w:ascii="Arial Narrow" w:hAnsi="Arial Narrow"/>
                <w:i/>
                <w:iCs/>
                <w:color w:val="333333"/>
                <w:sz w:val="20"/>
                <w:szCs w:val="20"/>
              </w:rPr>
            </w:pPr>
          </w:p>
        </w:tc>
        <w:tc>
          <w:tcPr>
            <w:tcW w:w="7745" w:type="dxa"/>
            <w:gridSpan w:val="6"/>
            <w:vAlign w:val="center"/>
            <w:hideMark/>
          </w:tcPr>
          <w:p w14:paraId="50870740" w14:textId="555F4769" w:rsidR="00655E75" w:rsidRPr="00DA359D" w:rsidRDefault="00655E75" w:rsidP="009E5A28">
            <w:pPr>
              <w:rPr>
                <w:rFonts w:ascii="Arial Narrow" w:hAnsi="Arial Narrow"/>
                <w:color w:val="333333"/>
                <w:sz w:val="20"/>
                <w:szCs w:val="20"/>
              </w:rPr>
            </w:pPr>
            <w:r w:rsidRPr="00DA359D">
              <w:rPr>
                <w:rFonts w:ascii="Arial Narrow" w:hAnsi="Arial Narrow" w:cs="Calibri"/>
                <w:sz w:val="20"/>
                <w:szCs w:val="20"/>
              </w:rPr>
              <w:t>Patient must have received this drug as their most recent course of PBS-subsidised treatment for this condition</w:t>
            </w:r>
            <w:r w:rsidR="00B24DBC" w:rsidRPr="00DA359D">
              <w:rPr>
                <w:rFonts w:ascii="Arial Narrow" w:hAnsi="Arial Narrow" w:cs="Calibri"/>
                <w:sz w:val="20"/>
                <w:szCs w:val="20"/>
              </w:rPr>
              <w:t>.</w:t>
            </w:r>
          </w:p>
        </w:tc>
      </w:tr>
      <w:tr w:rsidR="00655E75" w:rsidRPr="00B32B51" w14:paraId="6D09E437"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C2C7901" w14:textId="77777777" w:rsidR="00655E75" w:rsidRPr="00DA359D" w:rsidRDefault="00655E75" w:rsidP="009E5A28">
            <w:pPr>
              <w:jc w:val="center"/>
              <w:rPr>
                <w:rFonts w:ascii="Arial Narrow" w:hAnsi="Arial Narrow"/>
                <w:color w:val="333333"/>
                <w:sz w:val="20"/>
                <w:szCs w:val="20"/>
              </w:rPr>
            </w:pPr>
          </w:p>
        </w:tc>
        <w:tc>
          <w:tcPr>
            <w:tcW w:w="7745" w:type="dxa"/>
            <w:gridSpan w:val="6"/>
            <w:vAlign w:val="center"/>
          </w:tcPr>
          <w:p w14:paraId="012B167A" w14:textId="77777777" w:rsidR="00655E75" w:rsidRPr="00DA359D" w:rsidRDefault="00655E75" w:rsidP="009E5A28">
            <w:pPr>
              <w:rPr>
                <w:rFonts w:ascii="Arial Narrow" w:hAnsi="Arial Narrow" w:cs="Calibri"/>
                <w:b/>
                <w:bCs/>
                <w:sz w:val="20"/>
                <w:szCs w:val="20"/>
              </w:rPr>
            </w:pPr>
            <w:r w:rsidRPr="00DA359D">
              <w:rPr>
                <w:rFonts w:ascii="Arial Narrow" w:hAnsi="Arial Narrow" w:cs="Calibri"/>
                <w:b/>
                <w:bCs/>
                <w:sz w:val="20"/>
                <w:szCs w:val="20"/>
              </w:rPr>
              <w:t>AND</w:t>
            </w:r>
          </w:p>
        </w:tc>
      </w:tr>
      <w:tr w:rsidR="00655E75" w:rsidRPr="00B32B51" w14:paraId="018AEE47"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2F84FE08" w14:textId="06C0139D" w:rsidR="00655E75" w:rsidRPr="00DA359D" w:rsidRDefault="00655E75" w:rsidP="009E5A28">
            <w:pPr>
              <w:jc w:val="center"/>
              <w:rPr>
                <w:rFonts w:ascii="Arial Narrow" w:hAnsi="Arial Narrow"/>
                <w:color w:val="333333"/>
                <w:sz w:val="20"/>
                <w:szCs w:val="20"/>
              </w:rPr>
            </w:pPr>
          </w:p>
        </w:tc>
        <w:tc>
          <w:tcPr>
            <w:tcW w:w="7745" w:type="dxa"/>
            <w:gridSpan w:val="6"/>
            <w:vAlign w:val="center"/>
            <w:hideMark/>
          </w:tcPr>
          <w:p w14:paraId="1C123514" w14:textId="77777777" w:rsidR="00655E75" w:rsidRPr="00DA359D" w:rsidRDefault="00655E75" w:rsidP="009E5A28">
            <w:pPr>
              <w:rPr>
                <w:rFonts w:ascii="Arial Narrow" w:hAnsi="Arial Narrow"/>
                <w:color w:val="333333"/>
                <w:sz w:val="20"/>
                <w:szCs w:val="20"/>
              </w:rPr>
            </w:pPr>
            <w:r w:rsidRPr="00DA359D">
              <w:rPr>
                <w:rFonts w:ascii="Arial Narrow" w:hAnsi="Arial Narrow"/>
                <w:b/>
                <w:bCs/>
                <w:color w:val="333333"/>
                <w:sz w:val="20"/>
                <w:szCs w:val="20"/>
              </w:rPr>
              <w:t>Clinical criteria:</w:t>
            </w:r>
          </w:p>
        </w:tc>
      </w:tr>
      <w:tr w:rsidR="00655E75" w:rsidRPr="00B32B51" w14:paraId="49279AF9"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49E3BB23" w14:textId="11BD2808" w:rsidR="00655E75" w:rsidRPr="00DA359D" w:rsidRDefault="00655E75" w:rsidP="009E5A28">
            <w:pPr>
              <w:jc w:val="center"/>
              <w:rPr>
                <w:rFonts w:ascii="Arial Narrow" w:hAnsi="Arial Narrow"/>
                <w:color w:val="333333"/>
                <w:sz w:val="20"/>
                <w:szCs w:val="20"/>
              </w:rPr>
            </w:pPr>
          </w:p>
        </w:tc>
        <w:tc>
          <w:tcPr>
            <w:tcW w:w="7745" w:type="dxa"/>
            <w:gridSpan w:val="6"/>
            <w:vAlign w:val="center"/>
          </w:tcPr>
          <w:p w14:paraId="408F0109" w14:textId="77777777" w:rsidR="00655E75" w:rsidRPr="00DA359D" w:rsidRDefault="00655E75" w:rsidP="009E5A28">
            <w:pPr>
              <w:rPr>
                <w:rFonts w:ascii="Arial Narrow" w:hAnsi="Arial Narrow"/>
                <w:color w:val="FF0000"/>
                <w:sz w:val="20"/>
                <w:szCs w:val="20"/>
              </w:rPr>
            </w:pPr>
            <w:r w:rsidRPr="00DA359D">
              <w:rPr>
                <w:rFonts w:ascii="Arial Narrow" w:hAnsi="Arial Narrow"/>
                <w:color w:val="212121"/>
                <w:sz w:val="20"/>
                <w:szCs w:val="20"/>
              </w:rPr>
              <w:t>Patient must not receive more than 24 weeks of treatment under this restriction</w:t>
            </w:r>
          </w:p>
        </w:tc>
      </w:tr>
      <w:tr w:rsidR="00655E75" w:rsidRPr="00B32B51" w14:paraId="21D6598D"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F712118" w14:textId="77777777" w:rsidR="00655E75" w:rsidRPr="00DA359D" w:rsidRDefault="00655E75" w:rsidP="009E5A28">
            <w:pPr>
              <w:jc w:val="center"/>
              <w:rPr>
                <w:rFonts w:ascii="Arial Narrow" w:hAnsi="Arial Narrow"/>
                <w:color w:val="333333"/>
                <w:sz w:val="20"/>
                <w:szCs w:val="20"/>
              </w:rPr>
            </w:pPr>
          </w:p>
        </w:tc>
        <w:tc>
          <w:tcPr>
            <w:tcW w:w="7745" w:type="dxa"/>
            <w:gridSpan w:val="6"/>
            <w:vAlign w:val="center"/>
            <w:hideMark/>
          </w:tcPr>
          <w:p w14:paraId="020F5902" w14:textId="77777777" w:rsidR="00655E75" w:rsidRPr="00DA359D" w:rsidRDefault="00655E75" w:rsidP="009E5A28">
            <w:pPr>
              <w:rPr>
                <w:rFonts w:ascii="Arial Narrow" w:hAnsi="Arial Narrow"/>
                <w:color w:val="333333"/>
                <w:sz w:val="20"/>
                <w:szCs w:val="20"/>
              </w:rPr>
            </w:pPr>
            <w:r w:rsidRPr="00DA359D">
              <w:rPr>
                <w:rFonts w:ascii="Arial Narrow" w:hAnsi="Arial Narrow"/>
                <w:b/>
                <w:bCs/>
                <w:color w:val="333333"/>
                <w:sz w:val="20"/>
                <w:szCs w:val="20"/>
              </w:rPr>
              <w:t>AND</w:t>
            </w:r>
          </w:p>
        </w:tc>
      </w:tr>
      <w:tr w:rsidR="00655E75" w:rsidRPr="00B32B51" w14:paraId="5E8629AC"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7363611" w14:textId="20B58503" w:rsidR="00655E75" w:rsidRPr="00DA359D" w:rsidRDefault="00655E75" w:rsidP="009E5A28">
            <w:pPr>
              <w:jc w:val="center"/>
              <w:rPr>
                <w:rFonts w:ascii="Arial Narrow" w:hAnsi="Arial Narrow"/>
                <w:color w:val="333333"/>
                <w:sz w:val="20"/>
                <w:szCs w:val="20"/>
              </w:rPr>
            </w:pPr>
          </w:p>
        </w:tc>
        <w:tc>
          <w:tcPr>
            <w:tcW w:w="7745" w:type="dxa"/>
            <w:gridSpan w:val="6"/>
            <w:vAlign w:val="center"/>
            <w:hideMark/>
          </w:tcPr>
          <w:p w14:paraId="35C4EB5D" w14:textId="77777777" w:rsidR="00655E75" w:rsidRPr="00DA359D" w:rsidRDefault="00655E75" w:rsidP="009E5A28">
            <w:pPr>
              <w:rPr>
                <w:rFonts w:ascii="Arial Narrow" w:hAnsi="Arial Narrow"/>
                <w:color w:val="333333"/>
                <w:sz w:val="20"/>
                <w:szCs w:val="20"/>
              </w:rPr>
            </w:pPr>
            <w:r w:rsidRPr="00DA359D">
              <w:rPr>
                <w:rFonts w:ascii="Arial Narrow" w:hAnsi="Arial Narrow"/>
                <w:b/>
                <w:bCs/>
                <w:color w:val="333333"/>
                <w:sz w:val="20"/>
                <w:szCs w:val="20"/>
              </w:rPr>
              <w:t>Population criteria:</w:t>
            </w:r>
          </w:p>
        </w:tc>
      </w:tr>
      <w:tr w:rsidR="00655E75" w:rsidRPr="00B32B51" w14:paraId="28956991" w14:textId="77777777" w:rsidTr="0078177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5BF991FC" w14:textId="6EBC9037" w:rsidR="00655E75" w:rsidRPr="00DA359D" w:rsidRDefault="00655E75" w:rsidP="009E5A28">
            <w:pPr>
              <w:jc w:val="center"/>
              <w:rPr>
                <w:rFonts w:ascii="Arial Narrow" w:hAnsi="Arial Narrow"/>
                <w:color w:val="333333"/>
                <w:sz w:val="20"/>
                <w:szCs w:val="20"/>
              </w:rPr>
            </w:pPr>
          </w:p>
        </w:tc>
        <w:tc>
          <w:tcPr>
            <w:tcW w:w="7745" w:type="dxa"/>
            <w:gridSpan w:val="6"/>
            <w:vAlign w:val="center"/>
            <w:hideMark/>
          </w:tcPr>
          <w:p w14:paraId="10625CF9" w14:textId="77777777" w:rsidR="00655E75" w:rsidRPr="00DA359D" w:rsidRDefault="00655E75" w:rsidP="009E5A28">
            <w:pPr>
              <w:rPr>
                <w:rFonts w:ascii="Arial Narrow" w:hAnsi="Arial Narrow"/>
                <w:strike/>
                <w:color w:val="333333"/>
                <w:sz w:val="20"/>
                <w:szCs w:val="20"/>
              </w:rPr>
            </w:pPr>
            <w:r w:rsidRPr="00DA359D">
              <w:rPr>
                <w:rFonts w:ascii="Arial Narrow" w:hAnsi="Arial Narrow" w:cs="Calibri"/>
                <w:sz w:val="20"/>
                <w:szCs w:val="20"/>
              </w:rPr>
              <w:t>Patient must be at least 18 years of age.</w:t>
            </w:r>
          </w:p>
        </w:tc>
      </w:tr>
      <w:tr w:rsidR="00655E75" w:rsidRPr="008E2E56" w14:paraId="0C565775"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6FFA07E" w14:textId="52F57CCC" w:rsidR="00655E75" w:rsidRPr="00DA359D" w:rsidRDefault="00655E75" w:rsidP="009E5A28">
            <w:pPr>
              <w:jc w:val="center"/>
              <w:rPr>
                <w:rFonts w:ascii="Arial Narrow" w:hAnsi="Arial Narrow"/>
                <w:i/>
                <w:iCs/>
                <w:color w:val="333333"/>
                <w:sz w:val="20"/>
                <w:szCs w:val="20"/>
              </w:rPr>
            </w:pPr>
          </w:p>
        </w:tc>
        <w:tc>
          <w:tcPr>
            <w:tcW w:w="7745" w:type="dxa"/>
            <w:gridSpan w:val="6"/>
            <w:vAlign w:val="center"/>
          </w:tcPr>
          <w:p w14:paraId="17BCB9D3" w14:textId="77777777" w:rsidR="00655E75" w:rsidRPr="00DA359D" w:rsidRDefault="00655E75" w:rsidP="009E5A28">
            <w:pPr>
              <w:rPr>
                <w:rFonts w:ascii="Arial Narrow" w:hAnsi="Arial Narrow" w:cs="Calibri"/>
                <w:b/>
                <w:bCs/>
                <w:sz w:val="20"/>
                <w:szCs w:val="20"/>
              </w:rPr>
            </w:pPr>
            <w:r w:rsidRPr="00DA359D">
              <w:rPr>
                <w:rFonts w:ascii="Arial Narrow" w:hAnsi="Arial Narrow" w:cs="Calibri"/>
                <w:b/>
                <w:bCs/>
                <w:sz w:val="20"/>
                <w:szCs w:val="20"/>
              </w:rPr>
              <w:t>Prescribing Instruction:</w:t>
            </w:r>
          </w:p>
          <w:p w14:paraId="3E318209" w14:textId="77777777" w:rsidR="00655E75" w:rsidRPr="00DA359D" w:rsidRDefault="00655E75" w:rsidP="009E5A28">
            <w:pPr>
              <w:rPr>
                <w:rFonts w:ascii="Arial Narrow" w:hAnsi="Arial Narrow" w:cs="Calibri"/>
                <w:b/>
                <w:bCs/>
                <w:sz w:val="20"/>
                <w:szCs w:val="20"/>
              </w:rPr>
            </w:pPr>
            <w:r w:rsidRPr="00DA359D">
              <w:rPr>
                <w:rFonts w:ascii="Arial Narrow" w:hAnsi="Arial Narrow" w:cs="Calibri"/>
                <w:sz w:val="20"/>
                <w:szCs w:val="20"/>
              </w:rPr>
              <w:t>If a patient fails to demonstrate a response to treatment with this drug under this restriction they will not be eligible to receive further PBS-subsidised treatment with this drug for this condition.</w:t>
            </w:r>
          </w:p>
        </w:tc>
      </w:tr>
      <w:tr w:rsidR="007450D4" w:rsidRPr="004545E1" w14:paraId="6F3629D4"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168137D6" w14:textId="6DEB6EAA" w:rsidR="00351704" w:rsidRPr="00DA359D" w:rsidDel="00351704" w:rsidRDefault="00351704" w:rsidP="00351704">
            <w:pPr>
              <w:jc w:val="center"/>
              <w:rPr>
                <w:rFonts w:ascii="Arial Narrow" w:hAnsi="Arial Narrow"/>
                <w:color w:val="333333"/>
                <w:sz w:val="20"/>
                <w:szCs w:val="20"/>
              </w:rPr>
            </w:pPr>
          </w:p>
        </w:tc>
        <w:tc>
          <w:tcPr>
            <w:tcW w:w="7745" w:type="dxa"/>
            <w:gridSpan w:val="6"/>
            <w:vAlign w:val="center"/>
          </w:tcPr>
          <w:p w14:paraId="7647DABD" w14:textId="5F43ECE3" w:rsidR="00351704" w:rsidRPr="00DA359D" w:rsidDel="00351704" w:rsidRDefault="00351704" w:rsidP="009E5A28">
            <w:pPr>
              <w:rPr>
                <w:rFonts w:ascii="Arial Narrow" w:hAnsi="Arial Narrow" w:cs="Calibri"/>
                <w:b/>
                <w:bCs/>
                <w:sz w:val="20"/>
                <w:szCs w:val="20"/>
              </w:rPr>
            </w:pPr>
            <w:r w:rsidRPr="00DA359D">
              <w:rPr>
                <w:rFonts w:ascii="Arial Narrow" w:hAnsi="Arial Narrow"/>
                <w:b/>
                <w:bCs/>
                <w:sz w:val="20"/>
                <w:szCs w:val="20"/>
              </w:rPr>
              <w:t xml:space="preserve">Administrative Advice: </w:t>
            </w:r>
            <w:r w:rsidRPr="00DA359D">
              <w:rPr>
                <w:rFonts w:ascii="Arial Narrow" w:hAnsi="Arial Narrow"/>
                <w:bCs/>
                <w:sz w:val="20"/>
                <w:szCs w:val="20"/>
              </w:rPr>
              <w:t xml:space="preserve">Applications for authorisation under this restriction may be made in real time using the Online PBS Authorities system (see </w:t>
            </w:r>
            <w:hyperlink r:id="rId22" w:history="1">
              <w:r w:rsidRPr="00DA359D">
                <w:rPr>
                  <w:rStyle w:val="Hyperlink"/>
                  <w:rFonts w:ascii="Arial Narrow" w:hAnsi="Arial Narrow"/>
                  <w:bCs/>
                  <w:sz w:val="20"/>
                  <w:szCs w:val="20"/>
                </w:rPr>
                <w:t>www.servicesaustralia.gov.au/HPOS</w:t>
              </w:r>
            </w:hyperlink>
            <w:r w:rsidRPr="00DA359D">
              <w:rPr>
                <w:rFonts w:ascii="Arial Narrow" w:hAnsi="Arial Narrow"/>
                <w:bCs/>
                <w:sz w:val="20"/>
                <w:szCs w:val="20"/>
              </w:rPr>
              <w:t>) or by telephone by contacting Services Australia on 1800 700 270 (hours of operation 8 a.m. to 5 p.m. Monday to Friday). </w:t>
            </w:r>
          </w:p>
        </w:tc>
      </w:tr>
      <w:tr w:rsidR="00655E75" w:rsidRPr="00B32B51" w14:paraId="05E20D94" w14:textId="77777777" w:rsidTr="00F05E5A">
        <w:tblPrEx>
          <w:tblCellMar>
            <w:top w:w="15" w:type="dxa"/>
            <w:bottom w:w="15" w:type="dxa"/>
          </w:tblCellMar>
          <w:tblLook w:val="04A0" w:firstRow="1" w:lastRow="0" w:firstColumn="1" w:lastColumn="0" w:noHBand="0" w:noVBand="1"/>
        </w:tblPrEx>
        <w:trPr>
          <w:cantSplit/>
          <w:trHeight w:val="20"/>
        </w:trPr>
        <w:tc>
          <w:tcPr>
            <w:tcW w:w="9022" w:type="dxa"/>
            <w:gridSpan w:val="8"/>
            <w:vAlign w:val="center"/>
          </w:tcPr>
          <w:p w14:paraId="7B6CABF3" w14:textId="77777777" w:rsidR="00655E75" w:rsidRPr="00DA359D" w:rsidRDefault="00655E75" w:rsidP="009E5A28">
            <w:pPr>
              <w:rPr>
                <w:rFonts w:ascii="Arial Narrow" w:hAnsi="Arial Narrow" w:cs="Calibri"/>
                <w:sz w:val="20"/>
                <w:szCs w:val="20"/>
              </w:rPr>
            </w:pPr>
          </w:p>
          <w:p w14:paraId="130D722E" w14:textId="77777777" w:rsidR="00655E75" w:rsidRPr="00DA359D" w:rsidRDefault="00655E75" w:rsidP="009E5A28">
            <w:pPr>
              <w:rPr>
                <w:rFonts w:ascii="Arial Narrow" w:hAnsi="Arial Narrow" w:cs="Calibri"/>
                <w:sz w:val="20"/>
                <w:szCs w:val="20"/>
              </w:rPr>
            </w:pPr>
          </w:p>
        </w:tc>
      </w:tr>
      <w:tr w:rsidR="00655E75" w:rsidRPr="00B32B51" w14:paraId="5B8493F1" w14:textId="77777777" w:rsidTr="00F05E5A">
        <w:tblPrEx>
          <w:tblCellMar>
            <w:top w:w="15" w:type="dxa"/>
            <w:bottom w:w="15" w:type="dxa"/>
          </w:tblCellMar>
          <w:tblLook w:val="04A0" w:firstRow="1" w:lastRow="0" w:firstColumn="1" w:lastColumn="0" w:noHBand="0" w:noVBand="1"/>
        </w:tblPrEx>
        <w:trPr>
          <w:trHeight w:val="20"/>
        </w:trPr>
        <w:tc>
          <w:tcPr>
            <w:tcW w:w="9022" w:type="dxa"/>
            <w:gridSpan w:val="8"/>
            <w:tcBorders>
              <w:top w:val="single" w:sz="4" w:space="0" w:color="auto"/>
              <w:left w:val="single" w:sz="4" w:space="0" w:color="auto"/>
              <w:right w:val="single" w:sz="4" w:space="0" w:color="auto"/>
            </w:tcBorders>
            <w:vAlign w:val="center"/>
          </w:tcPr>
          <w:p w14:paraId="4C2FA974" w14:textId="77777777" w:rsidR="00655E75" w:rsidRPr="00DA359D" w:rsidRDefault="00655E75" w:rsidP="009E5A28">
            <w:pPr>
              <w:keepLines/>
              <w:rPr>
                <w:rFonts w:ascii="Arial Narrow" w:hAnsi="Arial Narrow"/>
                <w:b/>
                <w:sz w:val="20"/>
                <w:szCs w:val="20"/>
              </w:rPr>
            </w:pPr>
            <w:r w:rsidRPr="00DA359D">
              <w:rPr>
                <w:rFonts w:ascii="Arial Narrow" w:hAnsi="Arial Narrow"/>
                <w:b/>
                <w:sz w:val="20"/>
                <w:szCs w:val="20"/>
              </w:rPr>
              <w:t>Restriction Summary [new3]</w:t>
            </w:r>
            <w:r w:rsidRPr="00DA359D">
              <w:rPr>
                <w:rFonts w:ascii="Arial Narrow" w:hAnsi="Arial Narrow"/>
                <w:b/>
                <w:color w:val="FF0000"/>
                <w:sz w:val="20"/>
                <w:szCs w:val="20"/>
              </w:rPr>
              <w:t xml:space="preserve"> </w:t>
            </w:r>
            <w:r w:rsidRPr="00DA359D">
              <w:rPr>
                <w:rFonts w:ascii="Arial Narrow" w:hAnsi="Arial Narrow"/>
                <w:b/>
                <w:sz w:val="20"/>
                <w:szCs w:val="20"/>
              </w:rPr>
              <w:t>/ Treatment of Concept: [new3A]</w:t>
            </w:r>
          </w:p>
        </w:tc>
      </w:tr>
      <w:tr w:rsidR="00655E75" w:rsidRPr="00B32B51" w14:paraId="57EE5669" w14:textId="77777777" w:rsidTr="00F05E5A">
        <w:tblPrEx>
          <w:tblCellMar>
            <w:top w:w="15" w:type="dxa"/>
            <w:bottom w:w="15" w:type="dxa"/>
          </w:tblCellMar>
          <w:tblLook w:val="04A0" w:firstRow="1" w:lastRow="0" w:firstColumn="1" w:lastColumn="0" w:noHBand="0" w:noVBand="1"/>
        </w:tblPrEx>
        <w:trPr>
          <w:trHeight w:val="20"/>
        </w:trPr>
        <w:tc>
          <w:tcPr>
            <w:tcW w:w="1277" w:type="dxa"/>
            <w:gridSpan w:val="2"/>
            <w:vMerge w:val="restart"/>
            <w:tcBorders>
              <w:top w:val="single" w:sz="4" w:space="0" w:color="auto"/>
              <w:left w:val="single" w:sz="4" w:space="0" w:color="auto"/>
              <w:right w:val="single" w:sz="4" w:space="0" w:color="auto"/>
            </w:tcBorders>
          </w:tcPr>
          <w:p w14:paraId="082C655D" w14:textId="77777777" w:rsidR="00655E75" w:rsidRPr="00DA359D" w:rsidRDefault="00655E75" w:rsidP="009E5A28">
            <w:pPr>
              <w:jc w:val="center"/>
              <w:rPr>
                <w:rFonts w:ascii="Arial Narrow" w:hAnsi="Arial Narrow"/>
                <w:b/>
                <w:sz w:val="20"/>
                <w:szCs w:val="20"/>
              </w:rPr>
            </w:pPr>
            <w:r w:rsidRPr="00DA359D">
              <w:rPr>
                <w:rFonts w:ascii="Arial Narrow" w:hAnsi="Arial Narrow"/>
                <w:b/>
                <w:sz w:val="20"/>
                <w:szCs w:val="20"/>
              </w:rPr>
              <w:t xml:space="preserve">Concept ID </w:t>
            </w:r>
            <w:r w:rsidRPr="00DA359D">
              <w:rPr>
                <w:rFonts w:ascii="Arial Narrow" w:hAnsi="Arial Narrow"/>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A3947F9" w14:textId="77777777" w:rsidR="00655E75" w:rsidRPr="00DA359D" w:rsidRDefault="00655E75" w:rsidP="009E5A28">
            <w:pPr>
              <w:keepLines/>
              <w:rPr>
                <w:rFonts w:ascii="Arial Narrow" w:hAnsi="Arial Narrow"/>
                <w:sz w:val="20"/>
                <w:szCs w:val="20"/>
              </w:rPr>
            </w:pPr>
            <w:r w:rsidRPr="00DA359D">
              <w:rPr>
                <w:rFonts w:ascii="Arial Narrow" w:hAnsi="Arial Narrow"/>
                <w:b/>
                <w:sz w:val="20"/>
                <w:szCs w:val="20"/>
              </w:rPr>
              <w:t>Category / Program:</w:t>
            </w:r>
            <w:r w:rsidRPr="00DA359D">
              <w:rPr>
                <w:rFonts w:ascii="Arial Narrow" w:hAnsi="Arial Narrow"/>
                <w:color w:val="FF0000"/>
                <w:sz w:val="20"/>
                <w:szCs w:val="20"/>
              </w:rPr>
              <w:t xml:space="preserve"> </w:t>
            </w:r>
          </w:p>
          <w:p w14:paraId="728AF538" w14:textId="77777777" w:rsidR="00655E75" w:rsidRPr="00DA359D" w:rsidRDefault="00655E75" w:rsidP="009E5A28">
            <w:pPr>
              <w:keepLines/>
              <w:rPr>
                <w:rFonts w:ascii="Arial Narrow" w:hAnsi="Arial Narrow"/>
                <w:sz w:val="20"/>
                <w:szCs w:val="20"/>
              </w:rPr>
            </w:pPr>
            <w:r w:rsidRPr="00DA359D">
              <w:rPr>
                <w:rFonts w:ascii="Arial Narrow" w:eastAsia="Calibri" w:hAnsi="Arial Narrow"/>
                <w:sz w:val="20"/>
                <w:szCs w:val="20"/>
              </w:rPr>
              <w:fldChar w:fldCharType="begin" w:fldLock="1">
                <w:ffData>
                  <w:name w:val="Check1"/>
                  <w:enabled/>
                  <w:calcOnExit w:val="0"/>
                  <w:checkBox>
                    <w:sizeAuto/>
                    <w:default w:val="1"/>
                  </w:checkBox>
                </w:ffData>
              </w:fldChar>
            </w:r>
            <w:r w:rsidRPr="00DA359D">
              <w:rPr>
                <w:rFonts w:ascii="Arial Narrow" w:eastAsia="Calibri" w:hAnsi="Arial Narrow"/>
                <w:sz w:val="20"/>
                <w:szCs w:val="20"/>
              </w:rPr>
              <w:instrText xml:space="preserve"> FORMCHECKBOX </w:instrText>
            </w:r>
            <w:r w:rsidRPr="00DA359D">
              <w:rPr>
                <w:rFonts w:ascii="Arial Narrow" w:eastAsia="Calibri" w:hAnsi="Arial Narrow"/>
                <w:sz w:val="20"/>
                <w:szCs w:val="20"/>
              </w:rPr>
            </w:r>
            <w:r w:rsidRPr="00DA359D">
              <w:rPr>
                <w:rFonts w:ascii="Arial Narrow" w:eastAsia="Calibri" w:hAnsi="Arial Narrow"/>
                <w:sz w:val="20"/>
                <w:szCs w:val="20"/>
              </w:rPr>
              <w:fldChar w:fldCharType="separate"/>
            </w:r>
            <w:r w:rsidRPr="00DA359D">
              <w:rPr>
                <w:rFonts w:ascii="Arial Narrow" w:eastAsia="Calibri" w:hAnsi="Arial Narrow"/>
                <w:sz w:val="20"/>
                <w:szCs w:val="20"/>
              </w:rPr>
              <w:fldChar w:fldCharType="end"/>
            </w:r>
            <w:r w:rsidRPr="00DA359D">
              <w:rPr>
                <w:rFonts w:ascii="Arial Narrow" w:eastAsia="Calibri" w:hAnsi="Arial Narrow"/>
                <w:sz w:val="20"/>
                <w:szCs w:val="20"/>
              </w:rPr>
              <w:t xml:space="preserve"> GENERAL - General Schedule (Code GE) </w:t>
            </w:r>
          </w:p>
        </w:tc>
      </w:tr>
      <w:tr w:rsidR="00655E75" w:rsidRPr="00B32B51" w14:paraId="34B2E9A9" w14:textId="77777777" w:rsidTr="00F05E5A">
        <w:tblPrEx>
          <w:tblCellMar>
            <w:top w:w="15" w:type="dxa"/>
            <w:bottom w:w="15" w:type="dxa"/>
          </w:tblCellMar>
          <w:tblLook w:val="04A0" w:firstRow="1" w:lastRow="0" w:firstColumn="1" w:lastColumn="0" w:noHBand="0" w:noVBand="1"/>
        </w:tblPrEx>
        <w:trPr>
          <w:trHeight w:val="20"/>
        </w:trPr>
        <w:tc>
          <w:tcPr>
            <w:tcW w:w="1277" w:type="dxa"/>
            <w:gridSpan w:val="2"/>
            <w:vMerge/>
          </w:tcPr>
          <w:p w14:paraId="6D75D7BA" w14:textId="77777777" w:rsidR="00655E75" w:rsidRPr="00DA359D" w:rsidRDefault="00655E75" w:rsidP="009E5A28">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CE1F5C0" w14:textId="77777777" w:rsidR="00655E75" w:rsidRPr="00DA359D" w:rsidRDefault="00655E75" w:rsidP="009E5A28">
            <w:pPr>
              <w:keepLines/>
              <w:rPr>
                <w:rFonts w:ascii="Arial Narrow" w:hAnsi="Arial Narrow"/>
                <w:b/>
                <w:sz w:val="20"/>
                <w:szCs w:val="20"/>
              </w:rPr>
            </w:pPr>
            <w:r w:rsidRPr="00DA359D">
              <w:rPr>
                <w:rFonts w:ascii="Arial Narrow" w:hAnsi="Arial Narrow"/>
                <w:b/>
                <w:sz w:val="20"/>
                <w:szCs w:val="20"/>
              </w:rPr>
              <w:t xml:space="preserve">Prescriber type: </w:t>
            </w:r>
          </w:p>
          <w:p w14:paraId="639DB844" w14:textId="77777777" w:rsidR="00655E75" w:rsidRPr="00DA359D" w:rsidRDefault="00655E75" w:rsidP="009E5A28">
            <w:pPr>
              <w:keepLines/>
              <w:rPr>
                <w:rFonts w:ascii="Arial Narrow" w:hAnsi="Arial Narrow"/>
                <w:b/>
                <w:sz w:val="20"/>
                <w:szCs w:val="20"/>
              </w:rPr>
            </w:pPr>
            <w:r w:rsidRPr="00DA359D">
              <w:rPr>
                <w:rFonts w:ascii="Arial Narrow" w:hAnsi="Arial Narrow"/>
                <w:sz w:val="20"/>
                <w:szCs w:val="20"/>
              </w:rPr>
              <w:fldChar w:fldCharType="begin" w:fldLock="1">
                <w:ffData>
                  <w:name w:val=""/>
                  <w:enabled/>
                  <w:calcOnExit w:val="0"/>
                  <w:checkBox>
                    <w:sizeAuto/>
                    <w:default w:val="1"/>
                  </w:checkBox>
                </w:ffData>
              </w:fldChar>
            </w:r>
            <w:r w:rsidRPr="00DA359D">
              <w:rPr>
                <w:rFonts w:ascii="Arial Narrow" w:hAnsi="Arial Narrow"/>
                <w:sz w:val="20"/>
                <w:szCs w:val="20"/>
              </w:rPr>
              <w:instrText xml:space="preserve"> FORMCHECKBOX </w:instrText>
            </w:r>
            <w:r w:rsidRPr="00DA359D">
              <w:rPr>
                <w:rFonts w:ascii="Arial Narrow" w:hAnsi="Arial Narrow"/>
                <w:sz w:val="20"/>
                <w:szCs w:val="20"/>
              </w:rPr>
            </w:r>
            <w:r w:rsidRPr="00DA359D">
              <w:rPr>
                <w:rFonts w:ascii="Arial Narrow" w:hAnsi="Arial Narrow"/>
                <w:sz w:val="20"/>
                <w:szCs w:val="20"/>
              </w:rPr>
              <w:fldChar w:fldCharType="separate"/>
            </w:r>
            <w:r w:rsidRPr="00DA359D">
              <w:rPr>
                <w:rFonts w:ascii="Arial Narrow" w:hAnsi="Arial Narrow"/>
                <w:sz w:val="20"/>
                <w:szCs w:val="20"/>
              </w:rPr>
              <w:fldChar w:fldCharType="end"/>
            </w:r>
            <w:r w:rsidRPr="00DA359D">
              <w:rPr>
                <w:rFonts w:ascii="Arial Narrow" w:hAnsi="Arial Narrow"/>
                <w:sz w:val="20"/>
                <w:szCs w:val="20"/>
              </w:rPr>
              <w:t xml:space="preserve">Medical Practitioners </w:t>
            </w:r>
          </w:p>
        </w:tc>
      </w:tr>
      <w:tr w:rsidR="00655E75" w:rsidRPr="00F30A0B" w14:paraId="28C577AC" w14:textId="77777777" w:rsidTr="00F05E5A">
        <w:tblPrEx>
          <w:tblCellMar>
            <w:top w:w="15" w:type="dxa"/>
            <w:bottom w:w="15" w:type="dxa"/>
          </w:tblCellMar>
          <w:tblLook w:val="04A0" w:firstRow="1" w:lastRow="0" w:firstColumn="1" w:lastColumn="0" w:noHBand="0" w:noVBand="1"/>
        </w:tblPrEx>
        <w:trPr>
          <w:trHeight w:val="20"/>
        </w:trPr>
        <w:tc>
          <w:tcPr>
            <w:tcW w:w="1277" w:type="dxa"/>
            <w:gridSpan w:val="2"/>
            <w:vMerge/>
          </w:tcPr>
          <w:p w14:paraId="4EBAD3E2" w14:textId="77777777" w:rsidR="00655E75" w:rsidRPr="00DA359D" w:rsidRDefault="00655E75" w:rsidP="009E5A28">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48B0395" w14:textId="1A1108A6" w:rsidR="00655E75" w:rsidRPr="00DA359D" w:rsidRDefault="00655E75" w:rsidP="009E5A28">
            <w:pPr>
              <w:keepLines/>
              <w:rPr>
                <w:rFonts w:ascii="Arial Narrow" w:eastAsia="Calibri" w:hAnsi="Arial Narrow"/>
                <w:sz w:val="20"/>
                <w:szCs w:val="20"/>
              </w:rPr>
            </w:pPr>
            <w:r w:rsidRPr="00DA359D">
              <w:rPr>
                <w:rFonts w:ascii="Arial Narrow" w:hAnsi="Arial Narrow"/>
                <w:b/>
                <w:sz w:val="20"/>
                <w:szCs w:val="20"/>
              </w:rPr>
              <w:t xml:space="preserve">Restriction type: </w:t>
            </w:r>
          </w:p>
          <w:p w14:paraId="34151B4F" w14:textId="36D2688F" w:rsidR="00655E75" w:rsidRPr="00DA359D" w:rsidRDefault="00655E75" w:rsidP="009E5A28">
            <w:pPr>
              <w:keepLines/>
              <w:rPr>
                <w:rFonts w:ascii="Arial Narrow" w:eastAsia="Calibri" w:hAnsi="Arial Narrow"/>
                <w:sz w:val="20"/>
                <w:szCs w:val="20"/>
              </w:rPr>
            </w:pPr>
            <w:r w:rsidRPr="00DA359D">
              <w:rPr>
                <w:rFonts w:ascii="Arial Narrow" w:eastAsia="Calibri" w:hAnsi="Arial Narrow"/>
                <w:sz w:val="20"/>
                <w:szCs w:val="20"/>
              </w:rPr>
              <w:fldChar w:fldCharType="begin" w:fldLock="1">
                <w:ffData>
                  <w:name w:val=""/>
                  <w:enabled/>
                  <w:calcOnExit w:val="0"/>
                  <w:checkBox>
                    <w:sizeAuto/>
                    <w:default w:val="1"/>
                  </w:checkBox>
                </w:ffData>
              </w:fldChar>
            </w:r>
            <w:r w:rsidRPr="00DA359D">
              <w:rPr>
                <w:rFonts w:ascii="Arial Narrow" w:eastAsia="Calibri" w:hAnsi="Arial Narrow"/>
                <w:sz w:val="20"/>
                <w:szCs w:val="20"/>
              </w:rPr>
              <w:instrText xml:space="preserve"> FORMCHECKBOX </w:instrText>
            </w:r>
            <w:r w:rsidRPr="00DA359D">
              <w:rPr>
                <w:rFonts w:ascii="Arial Narrow" w:eastAsia="Calibri" w:hAnsi="Arial Narrow"/>
                <w:sz w:val="20"/>
                <w:szCs w:val="20"/>
              </w:rPr>
            </w:r>
            <w:r w:rsidRPr="00DA359D">
              <w:rPr>
                <w:rFonts w:ascii="Arial Narrow" w:eastAsia="Calibri" w:hAnsi="Arial Narrow"/>
                <w:sz w:val="20"/>
                <w:szCs w:val="20"/>
              </w:rPr>
              <w:fldChar w:fldCharType="separate"/>
            </w:r>
            <w:r w:rsidRPr="00DA359D">
              <w:rPr>
                <w:rFonts w:ascii="Arial Narrow" w:eastAsia="Calibri" w:hAnsi="Arial Narrow"/>
                <w:sz w:val="20"/>
                <w:szCs w:val="20"/>
              </w:rPr>
              <w:fldChar w:fldCharType="end"/>
            </w:r>
            <w:r w:rsidR="00B24DBC" w:rsidRPr="00DA359D">
              <w:rPr>
                <w:rFonts w:ascii="Arial Narrow" w:eastAsia="Calibri" w:hAnsi="Arial Narrow"/>
                <w:sz w:val="20"/>
                <w:szCs w:val="20"/>
              </w:rPr>
              <w:t xml:space="preserve"> </w:t>
            </w:r>
            <w:r w:rsidR="00F05E5A" w:rsidRPr="00DA359D">
              <w:rPr>
                <w:rFonts w:ascii="Arial Narrow" w:hAnsi="Arial Narrow"/>
                <w:bCs/>
                <w:sz w:val="20"/>
                <w:szCs w:val="20"/>
              </w:rPr>
              <w:t>Authority Required (telephone/</w:t>
            </w:r>
            <w:r w:rsidR="00F05E5A" w:rsidRPr="00DA359D">
              <w:rPr>
                <w:rFonts w:ascii="Arial Narrow" w:eastAsia="Calibri" w:hAnsi="Arial Narrow"/>
                <w:sz w:val="20"/>
                <w:szCs w:val="20"/>
              </w:rPr>
              <w:t>online PBS Authorities system</w:t>
            </w:r>
            <w:r w:rsidR="00F05E5A" w:rsidRPr="00DA359D">
              <w:rPr>
                <w:rFonts w:ascii="Arial Narrow" w:hAnsi="Arial Narrow"/>
                <w:bCs/>
                <w:sz w:val="20"/>
                <w:szCs w:val="20"/>
              </w:rPr>
              <w:t>)</w:t>
            </w:r>
            <w:r w:rsidR="00F87B86">
              <w:rPr>
                <w:rFonts w:ascii="Arial Narrow" w:hAnsi="Arial Narrow"/>
                <w:b/>
                <w:sz w:val="20"/>
                <w:szCs w:val="20"/>
              </w:rPr>
              <w:t xml:space="preserve"> </w:t>
            </w:r>
          </w:p>
        </w:tc>
      </w:tr>
      <w:tr w:rsidR="00655E75" w:rsidRPr="00B32B51" w14:paraId="2A1DA402"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Merge/>
            <w:vAlign w:val="center"/>
          </w:tcPr>
          <w:p w14:paraId="3A8CD062" w14:textId="77777777" w:rsidR="00655E75" w:rsidRPr="00DA359D" w:rsidRDefault="00655E75" w:rsidP="009E5A28">
            <w:pPr>
              <w:keepLines/>
              <w:jc w:val="center"/>
              <w:rPr>
                <w:rFonts w:ascii="Arial Narrow" w:hAnsi="Arial Narrow"/>
                <w:color w:val="333333"/>
                <w:sz w:val="20"/>
                <w:szCs w:val="20"/>
              </w:rPr>
            </w:pPr>
          </w:p>
        </w:tc>
        <w:tc>
          <w:tcPr>
            <w:tcW w:w="7745" w:type="dxa"/>
            <w:gridSpan w:val="6"/>
            <w:vAlign w:val="center"/>
          </w:tcPr>
          <w:p w14:paraId="472323B5" w14:textId="77777777" w:rsidR="00655E75" w:rsidRPr="00DA359D" w:rsidRDefault="00655E75" w:rsidP="009E5A28">
            <w:pPr>
              <w:keepLines/>
              <w:rPr>
                <w:rFonts w:ascii="Arial Narrow" w:hAnsi="Arial Narrow"/>
                <w:b/>
                <w:bCs/>
                <w:sz w:val="20"/>
                <w:szCs w:val="20"/>
              </w:rPr>
            </w:pPr>
            <w:r w:rsidRPr="00DA359D">
              <w:rPr>
                <w:rFonts w:ascii="Arial Narrow" w:hAnsi="Arial Narrow"/>
                <w:b/>
                <w:bCs/>
                <w:sz w:val="20"/>
                <w:szCs w:val="20"/>
              </w:rPr>
              <w:t xml:space="preserve">Condition: </w:t>
            </w:r>
            <w:r w:rsidRPr="00DA359D">
              <w:rPr>
                <w:rFonts w:ascii="Arial Narrow" w:hAnsi="Arial Narrow"/>
                <w:sz w:val="20"/>
                <w:szCs w:val="20"/>
              </w:rPr>
              <w:t>Polycythemia vera</w:t>
            </w:r>
          </w:p>
        </w:tc>
      </w:tr>
      <w:tr w:rsidR="00655E75" w:rsidRPr="00B32B51" w14:paraId="5DEBCC81" w14:textId="77777777" w:rsidTr="0078177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4E299E9E" w14:textId="7C014F96" w:rsidR="00655E75" w:rsidRPr="00DA359D" w:rsidRDefault="00655E75" w:rsidP="009E5A28">
            <w:pPr>
              <w:keepLines/>
              <w:jc w:val="center"/>
              <w:rPr>
                <w:rFonts w:ascii="Arial Narrow" w:hAnsi="Arial Narrow"/>
                <w:color w:val="333333"/>
                <w:sz w:val="20"/>
                <w:szCs w:val="20"/>
              </w:rPr>
            </w:pPr>
          </w:p>
        </w:tc>
        <w:tc>
          <w:tcPr>
            <w:tcW w:w="7745" w:type="dxa"/>
            <w:gridSpan w:val="6"/>
            <w:vAlign w:val="center"/>
            <w:hideMark/>
          </w:tcPr>
          <w:p w14:paraId="2DB6EE96" w14:textId="77777777" w:rsidR="00655E75" w:rsidRPr="00DA359D" w:rsidRDefault="00655E75" w:rsidP="009E5A28">
            <w:pPr>
              <w:keepLines/>
              <w:rPr>
                <w:rFonts w:ascii="Arial Narrow" w:hAnsi="Arial Narrow"/>
                <w:sz w:val="20"/>
                <w:szCs w:val="20"/>
              </w:rPr>
            </w:pPr>
            <w:r w:rsidRPr="00DA359D">
              <w:rPr>
                <w:rFonts w:ascii="Arial Narrow" w:hAnsi="Arial Narrow"/>
                <w:b/>
                <w:bCs/>
                <w:sz w:val="20"/>
                <w:szCs w:val="20"/>
              </w:rPr>
              <w:t xml:space="preserve">Indication: </w:t>
            </w:r>
            <w:r w:rsidRPr="00DA359D">
              <w:rPr>
                <w:rFonts w:ascii="Arial Narrow" w:hAnsi="Arial Narrow"/>
                <w:sz w:val="20"/>
                <w:szCs w:val="20"/>
              </w:rPr>
              <w:t>Polycythemia vera</w:t>
            </w:r>
          </w:p>
        </w:tc>
      </w:tr>
      <w:tr w:rsidR="00655E75" w:rsidRPr="00B32B51" w14:paraId="018EAD25" w14:textId="77777777" w:rsidTr="0078177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A114CCD" w14:textId="77777777" w:rsidR="00655E75" w:rsidRPr="00DA359D" w:rsidRDefault="00655E75" w:rsidP="009E5A28">
            <w:pPr>
              <w:jc w:val="center"/>
              <w:rPr>
                <w:rFonts w:ascii="Arial Narrow" w:hAnsi="Arial Narrow"/>
                <w:color w:val="333333"/>
                <w:sz w:val="20"/>
                <w:szCs w:val="20"/>
              </w:rPr>
            </w:pPr>
          </w:p>
        </w:tc>
        <w:tc>
          <w:tcPr>
            <w:tcW w:w="7745" w:type="dxa"/>
            <w:gridSpan w:val="6"/>
            <w:vAlign w:val="center"/>
            <w:hideMark/>
          </w:tcPr>
          <w:p w14:paraId="44BC2971" w14:textId="560D6283" w:rsidR="00655E75" w:rsidRPr="00DA359D" w:rsidRDefault="00655E75" w:rsidP="009E5A28">
            <w:pPr>
              <w:rPr>
                <w:rFonts w:ascii="Arial Narrow" w:hAnsi="Arial Narrow"/>
                <w:sz w:val="20"/>
                <w:szCs w:val="20"/>
              </w:rPr>
            </w:pPr>
            <w:r w:rsidRPr="00DA359D">
              <w:rPr>
                <w:rFonts w:ascii="Arial Narrow" w:hAnsi="Arial Narrow"/>
                <w:b/>
                <w:bCs/>
                <w:sz w:val="20"/>
                <w:szCs w:val="20"/>
              </w:rPr>
              <w:t>Treatment Phase:</w:t>
            </w:r>
            <w:r w:rsidRPr="00DA359D">
              <w:rPr>
                <w:rFonts w:ascii="Arial Narrow" w:hAnsi="Arial Narrow"/>
                <w:sz w:val="20"/>
                <w:szCs w:val="20"/>
              </w:rPr>
              <w:t xml:space="preserve"> </w:t>
            </w:r>
            <w:r w:rsidR="00F05E5A" w:rsidRPr="00DA359D">
              <w:rPr>
                <w:rFonts w:ascii="Arial Narrow" w:hAnsi="Arial Narrow"/>
                <w:sz w:val="20"/>
                <w:szCs w:val="20"/>
              </w:rPr>
              <w:t xml:space="preserve">First </w:t>
            </w:r>
            <w:r w:rsidRPr="00DA359D">
              <w:rPr>
                <w:rFonts w:ascii="Arial Narrow" w:hAnsi="Arial Narrow"/>
                <w:sz w:val="20"/>
                <w:szCs w:val="20"/>
              </w:rPr>
              <w:t>continuing treatment</w:t>
            </w:r>
          </w:p>
        </w:tc>
      </w:tr>
      <w:tr w:rsidR="00655E75" w:rsidRPr="00B32B51" w14:paraId="37C1AA7E"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599516CB" w14:textId="595739FB" w:rsidR="00655E75" w:rsidRPr="00DA359D" w:rsidRDefault="00655E75" w:rsidP="009E5A28">
            <w:pPr>
              <w:jc w:val="center"/>
              <w:rPr>
                <w:rFonts w:ascii="Arial Narrow" w:hAnsi="Arial Narrow"/>
                <w:color w:val="333333"/>
                <w:sz w:val="20"/>
                <w:szCs w:val="20"/>
              </w:rPr>
            </w:pPr>
          </w:p>
        </w:tc>
        <w:tc>
          <w:tcPr>
            <w:tcW w:w="7745" w:type="dxa"/>
            <w:gridSpan w:val="6"/>
            <w:vAlign w:val="center"/>
            <w:hideMark/>
          </w:tcPr>
          <w:p w14:paraId="479845FC" w14:textId="77777777" w:rsidR="00655E75" w:rsidRPr="00DA359D" w:rsidRDefault="00655E75" w:rsidP="009E5A28">
            <w:pPr>
              <w:rPr>
                <w:rFonts w:ascii="Arial Narrow" w:hAnsi="Arial Narrow"/>
                <w:sz w:val="20"/>
                <w:szCs w:val="20"/>
              </w:rPr>
            </w:pPr>
            <w:r w:rsidRPr="00DA359D">
              <w:rPr>
                <w:rFonts w:ascii="Arial Narrow" w:hAnsi="Arial Narrow"/>
                <w:b/>
                <w:bCs/>
                <w:color w:val="333333"/>
                <w:sz w:val="20"/>
                <w:szCs w:val="20"/>
              </w:rPr>
              <w:t xml:space="preserve">Clinical criteria: </w:t>
            </w:r>
          </w:p>
        </w:tc>
      </w:tr>
      <w:tr w:rsidR="00655E75" w:rsidRPr="00701F63" w14:paraId="714BB0FD"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1BB6645D" w14:textId="26022875" w:rsidR="00655E75" w:rsidRPr="00DA359D" w:rsidRDefault="00655E75" w:rsidP="009E5A28">
            <w:pPr>
              <w:jc w:val="center"/>
              <w:rPr>
                <w:rFonts w:ascii="Arial Narrow" w:hAnsi="Arial Narrow"/>
                <w:sz w:val="20"/>
                <w:szCs w:val="20"/>
              </w:rPr>
            </w:pPr>
          </w:p>
        </w:tc>
        <w:tc>
          <w:tcPr>
            <w:tcW w:w="7745" w:type="dxa"/>
            <w:gridSpan w:val="6"/>
            <w:vAlign w:val="center"/>
            <w:hideMark/>
          </w:tcPr>
          <w:p w14:paraId="3F350D4A" w14:textId="121F9EE3" w:rsidR="00655E75" w:rsidRPr="00DA359D" w:rsidRDefault="00F05E5A" w:rsidP="009E5A28">
            <w:pPr>
              <w:rPr>
                <w:rFonts w:ascii="Arial Narrow" w:hAnsi="Arial Narrow"/>
                <w:sz w:val="20"/>
                <w:szCs w:val="20"/>
              </w:rPr>
            </w:pPr>
            <w:r w:rsidRPr="00DA359D">
              <w:rPr>
                <w:rFonts w:ascii="Arial Narrow" w:hAnsi="Arial Narrow" w:cs="Calibri"/>
                <w:sz w:val="20"/>
                <w:szCs w:val="20"/>
              </w:rPr>
              <w:t>Patient must have received this drug as their most recent course of PBS-subsidised treatment for this condition.</w:t>
            </w:r>
          </w:p>
        </w:tc>
      </w:tr>
      <w:tr w:rsidR="00655E75" w:rsidRPr="00B32B51" w14:paraId="78A857D3"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7FD1C355" w14:textId="77777777" w:rsidR="00655E75" w:rsidRPr="00DA359D" w:rsidRDefault="00655E75" w:rsidP="009E5A28">
            <w:pPr>
              <w:jc w:val="center"/>
              <w:rPr>
                <w:rFonts w:ascii="Arial Narrow" w:hAnsi="Arial Narrow"/>
                <w:color w:val="333333"/>
                <w:sz w:val="20"/>
                <w:szCs w:val="20"/>
              </w:rPr>
            </w:pPr>
          </w:p>
        </w:tc>
        <w:tc>
          <w:tcPr>
            <w:tcW w:w="7745" w:type="dxa"/>
            <w:gridSpan w:val="6"/>
            <w:vAlign w:val="center"/>
          </w:tcPr>
          <w:p w14:paraId="2D3F8399" w14:textId="77777777" w:rsidR="00655E75" w:rsidRPr="00DA359D" w:rsidRDefault="00655E75" w:rsidP="009E5A28">
            <w:pPr>
              <w:rPr>
                <w:rFonts w:ascii="Arial Narrow" w:hAnsi="Arial Narrow" w:cs="Calibri"/>
                <w:b/>
                <w:bCs/>
                <w:sz w:val="20"/>
                <w:szCs w:val="20"/>
              </w:rPr>
            </w:pPr>
            <w:r w:rsidRPr="00DA359D">
              <w:rPr>
                <w:rFonts w:ascii="Arial Narrow" w:hAnsi="Arial Narrow" w:cs="Calibri"/>
                <w:b/>
                <w:bCs/>
                <w:sz w:val="20"/>
                <w:szCs w:val="20"/>
              </w:rPr>
              <w:t>AND</w:t>
            </w:r>
          </w:p>
        </w:tc>
      </w:tr>
      <w:tr w:rsidR="00655E75" w:rsidRPr="00B32B51" w14:paraId="7C09A1AE"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D3E3249" w14:textId="02584235" w:rsidR="00655E75" w:rsidRPr="00DA359D" w:rsidRDefault="00655E75" w:rsidP="009E5A28">
            <w:pPr>
              <w:jc w:val="center"/>
              <w:rPr>
                <w:rFonts w:ascii="Arial Narrow" w:hAnsi="Arial Narrow"/>
                <w:color w:val="333333"/>
                <w:sz w:val="20"/>
                <w:szCs w:val="20"/>
              </w:rPr>
            </w:pPr>
          </w:p>
        </w:tc>
        <w:tc>
          <w:tcPr>
            <w:tcW w:w="7745" w:type="dxa"/>
            <w:gridSpan w:val="6"/>
            <w:vAlign w:val="center"/>
          </w:tcPr>
          <w:p w14:paraId="061C0572" w14:textId="77777777" w:rsidR="00655E75" w:rsidRPr="00DA359D" w:rsidRDefault="00655E75" w:rsidP="009E5A28">
            <w:pPr>
              <w:rPr>
                <w:rFonts w:ascii="Arial Narrow" w:hAnsi="Arial Narrow" w:cs="Calibri"/>
                <w:b/>
                <w:bCs/>
                <w:sz w:val="20"/>
                <w:szCs w:val="20"/>
              </w:rPr>
            </w:pPr>
            <w:r w:rsidRPr="00DA359D">
              <w:rPr>
                <w:rFonts w:ascii="Arial Narrow" w:hAnsi="Arial Narrow" w:cs="Calibri"/>
                <w:b/>
                <w:bCs/>
                <w:sz w:val="20"/>
                <w:szCs w:val="20"/>
              </w:rPr>
              <w:t>Clinical criteria:</w:t>
            </w:r>
          </w:p>
        </w:tc>
      </w:tr>
      <w:tr w:rsidR="00655E75" w:rsidRPr="00B32B51" w14:paraId="2089B1E2"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188C840E" w14:textId="0EF08D93" w:rsidR="00655E75" w:rsidRPr="00DA359D" w:rsidRDefault="00655E75" w:rsidP="009E5A28">
            <w:pPr>
              <w:jc w:val="center"/>
              <w:rPr>
                <w:rFonts w:ascii="Arial Narrow" w:hAnsi="Arial Narrow"/>
                <w:color w:val="333333"/>
                <w:sz w:val="20"/>
                <w:szCs w:val="20"/>
              </w:rPr>
            </w:pPr>
          </w:p>
        </w:tc>
        <w:tc>
          <w:tcPr>
            <w:tcW w:w="7745" w:type="dxa"/>
            <w:gridSpan w:val="6"/>
            <w:vAlign w:val="center"/>
          </w:tcPr>
          <w:p w14:paraId="61B2B9AB" w14:textId="77777777" w:rsidR="00655E75" w:rsidRPr="00DA359D" w:rsidRDefault="00655E75" w:rsidP="009E5A28">
            <w:pPr>
              <w:rPr>
                <w:rFonts w:ascii="Arial Narrow" w:hAnsi="Arial Narrow"/>
                <w:strike/>
                <w:sz w:val="20"/>
                <w:szCs w:val="20"/>
              </w:rPr>
            </w:pPr>
            <w:r w:rsidRPr="00DA359D">
              <w:rPr>
                <w:rFonts w:ascii="Arial Narrow" w:hAnsi="Arial Narrow"/>
                <w:sz w:val="20"/>
                <w:szCs w:val="20"/>
              </w:rPr>
              <w:t xml:space="preserve">Patient must have achieved and maintained a response to treatment with this drug for this condition </w:t>
            </w:r>
          </w:p>
        </w:tc>
      </w:tr>
      <w:tr w:rsidR="00655E75" w:rsidRPr="00B32B51" w14:paraId="529CE096"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5D79FFFE" w14:textId="3D73FB39" w:rsidR="00655E75" w:rsidRPr="00DA359D" w:rsidRDefault="00655E75" w:rsidP="009E5A28">
            <w:pPr>
              <w:jc w:val="center"/>
              <w:rPr>
                <w:rFonts w:ascii="Arial Narrow" w:hAnsi="Arial Narrow"/>
                <w:color w:val="333333"/>
                <w:sz w:val="20"/>
                <w:szCs w:val="20"/>
              </w:rPr>
            </w:pPr>
          </w:p>
        </w:tc>
        <w:tc>
          <w:tcPr>
            <w:tcW w:w="7745" w:type="dxa"/>
            <w:gridSpan w:val="6"/>
            <w:vAlign w:val="center"/>
          </w:tcPr>
          <w:p w14:paraId="2C5EABC2" w14:textId="77777777" w:rsidR="00655E75" w:rsidRPr="00DA359D" w:rsidRDefault="00655E75" w:rsidP="009E5A28">
            <w:pPr>
              <w:rPr>
                <w:rFonts w:ascii="Arial Narrow" w:hAnsi="Arial Narrow" w:cs="Calibri"/>
                <w:b/>
                <w:bCs/>
                <w:sz w:val="20"/>
                <w:szCs w:val="20"/>
              </w:rPr>
            </w:pPr>
            <w:r w:rsidRPr="00DA359D">
              <w:rPr>
                <w:rFonts w:ascii="Arial Narrow" w:hAnsi="Arial Narrow" w:cs="Calibri"/>
                <w:b/>
                <w:bCs/>
                <w:sz w:val="20"/>
                <w:szCs w:val="20"/>
              </w:rPr>
              <w:t xml:space="preserve">Prescribing Instructions: </w:t>
            </w:r>
          </w:p>
          <w:p w14:paraId="46F00E50" w14:textId="77777777" w:rsidR="00655E75" w:rsidRPr="00DA359D" w:rsidRDefault="00655E75" w:rsidP="009E5A28">
            <w:pPr>
              <w:rPr>
                <w:rFonts w:ascii="Arial Narrow" w:hAnsi="Arial Narrow" w:cs="Calibri"/>
                <w:sz w:val="20"/>
                <w:szCs w:val="20"/>
              </w:rPr>
            </w:pPr>
            <w:r w:rsidRPr="00DA359D">
              <w:rPr>
                <w:rFonts w:ascii="Arial Narrow" w:hAnsi="Arial Narrow" w:cs="Calibri"/>
                <w:sz w:val="20"/>
                <w:szCs w:val="20"/>
              </w:rPr>
              <w:t>A response to treatment is defined as:</w:t>
            </w:r>
          </w:p>
          <w:p w14:paraId="0261EEEE" w14:textId="50FFB5CD" w:rsidR="00655E75" w:rsidRPr="00DA359D" w:rsidRDefault="00655E75" w:rsidP="009E06E3">
            <w:pPr>
              <w:numPr>
                <w:ilvl w:val="0"/>
                <w:numId w:val="11"/>
              </w:numPr>
              <w:contextualSpacing/>
              <w:rPr>
                <w:rFonts w:ascii="Arial Narrow" w:hAnsi="Arial Narrow" w:cs="Calibri"/>
                <w:snapToGrid w:val="0"/>
                <w:sz w:val="20"/>
                <w:szCs w:val="20"/>
              </w:rPr>
            </w:pPr>
            <w:r w:rsidRPr="00DA359D">
              <w:rPr>
                <w:rFonts w:ascii="Arial Narrow" w:hAnsi="Arial Narrow" w:cs="Calibri"/>
                <w:snapToGrid w:val="0"/>
                <w:sz w:val="20"/>
                <w:szCs w:val="20"/>
              </w:rPr>
              <w:t>Maintaining a haematocrit level of less than 45% without relying on phlebotomy and which was measured at least 12 weeks after the most recent phlebotomy procedure (if performed to reduce red blood cell levels); or</w:t>
            </w:r>
          </w:p>
          <w:p w14:paraId="0217C81A" w14:textId="7CEE4F0A" w:rsidR="00655E75" w:rsidRPr="00DA359D" w:rsidRDefault="00655E75" w:rsidP="009E06E3">
            <w:pPr>
              <w:pStyle w:val="ListParagraph"/>
              <w:numPr>
                <w:ilvl w:val="0"/>
                <w:numId w:val="11"/>
              </w:numPr>
              <w:spacing w:after="0"/>
              <w:contextualSpacing/>
              <w:rPr>
                <w:rFonts w:ascii="Arial Narrow" w:hAnsi="Arial Narrow"/>
                <w:sz w:val="20"/>
                <w:szCs w:val="20"/>
              </w:rPr>
            </w:pPr>
            <w:r w:rsidRPr="00DA359D">
              <w:rPr>
                <w:rFonts w:ascii="Arial Narrow" w:hAnsi="Arial Narrow"/>
                <w:sz w:val="20"/>
                <w:szCs w:val="20"/>
              </w:rPr>
              <w:t>Ability to demonstrate or maintain a normal platelet count of less than or equal to 400 x 10^9/L; or</w:t>
            </w:r>
          </w:p>
          <w:p w14:paraId="6564444B" w14:textId="082743A0" w:rsidR="00655E75" w:rsidRPr="00DA359D" w:rsidRDefault="00655E75" w:rsidP="009E06E3">
            <w:pPr>
              <w:numPr>
                <w:ilvl w:val="0"/>
                <w:numId w:val="11"/>
              </w:numPr>
              <w:contextualSpacing/>
              <w:rPr>
                <w:rFonts w:ascii="Arial Narrow" w:hAnsi="Arial Narrow" w:cs="Calibri"/>
                <w:snapToGrid w:val="0"/>
                <w:sz w:val="20"/>
                <w:szCs w:val="20"/>
              </w:rPr>
            </w:pPr>
            <w:r w:rsidRPr="00DA359D">
              <w:rPr>
                <w:rFonts w:ascii="Arial Narrow" w:hAnsi="Arial Narrow" w:cs="Calibri"/>
                <w:snapToGrid w:val="0"/>
                <w:sz w:val="20"/>
                <w:szCs w:val="20"/>
              </w:rPr>
              <w:t>The absence of palpable splenomegaly</w:t>
            </w:r>
          </w:p>
        </w:tc>
      </w:tr>
      <w:tr w:rsidR="00655E75" w:rsidRPr="00B32B51" w14:paraId="12B4545C"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6760A98A" w14:textId="25799ABE" w:rsidR="00655E75" w:rsidRPr="00DA359D" w:rsidRDefault="00655E75" w:rsidP="009E5A28">
            <w:pPr>
              <w:jc w:val="center"/>
              <w:rPr>
                <w:rFonts w:ascii="Arial Narrow" w:hAnsi="Arial Narrow"/>
                <w:color w:val="333333"/>
                <w:sz w:val="20"/>
                <w:szCs w:val="20"/>
              </w:rPr>
            </w:pPr>
          </w:p>
        </w:tc>
        <w:tc>
          <w:tcPr>
            <w:tcW w:w="7745" w:type="dxa"/>
            <w:gridSpan w:val="6"/>
            <w:vAlign w:val="center"/>
            <w:hideMark/>
          </w:tcPr>
          <w:p w14:paraId="0255052E" w14:textId="77777777" w:rsidR="00655E75" w:rsidRPr="00DA359D" w:rsidRDefault="00655E75" w:rsidP="009E5A28">
            <w:pPr>
              <w:rPr>
                <w:rFonts w:ascii="Arial Narrow" w:hAnsi="Arial Narrow"/>
                <w:color w:val="333333"/>
                <w:sz w:val="20"/>
                <w:szCs w:val="20"/>
              </w:rPr>
            </w:pPr>
            <w:r w:rsidRPr="00DA359D">
              <w:rPr>
                <w:rFonts w:ascii="Arial Narrow" w:hAnsi="Arial Narrow"/>
                <w:b/>
                <w:bCs/>
                <w:color w:val="333333"/>
                <w:sz w:val="20"/>
                <w:szCs w:val="20"/>
              </w:rPr>
              <w:t>Population criteria:</w:t>
            </w:r>
          </w:p>
        </w:tc>
      </w:tr>
      <w:tr w:rsidR="00655E75" w:rsidRPr="00B32B51" w14:paraId="07042978" w14:textId="77777777" w:rsidTr="0078177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2B150C11" w14:textId="4532271E" w:rsidR="00655E75" w:rsidRPr="00DA359D" w:rsidRDefault="00655E75" w:rsidP="009E5A28">
            <w:pPr>
              <w:jc w:val="center"/>
              <w:rPr>
                <w:rFonts w:ascii="Arial Narrow" w:hAnsi="Arial Narrow"/>
                <w:color w:val="333333"/>
                <w:sz w:val="20"/>
                <w:szCs w:val="20"/>
              </w:rPr>
            </w:pPr>
          </w:p>
        </w:tc>
        <w:tc>
          <w:tcPr>
            <w:tcW w:w="7745" w:type="dxa"/>
            <w:gridSpan w:val="6"/>
            <w:vAlign w:val="center"/>
            <w:hideMark/>
          </w:tcPr>
          <w:p w14:paraId="617CACF5" w14:textId="77777777" w:rsidR="00655E75" w:rsidRPr="00DA359D" w:rsidRDefault="00655E75" w:rsidP="009E5A28">
            <w:pPr>
              <w:rPr>
                <w:rFonts w:ascii="Arial Narrow" w:hAnsi="Arial Narrow"/>
                <w:strike/>
                <w:color w:val="333333"/>
                <w:sz w:val="20"/>
                <w:szCs w:val="20"/>
              </w:rPr>
            </w:pPr>
            <w:r w:rsidRPr="00DA359D">
              <w:rPr>
                <w:rFonts w:ascii="Arial Narrow" w:hAnsi="Arial Narrow" w:cs="Calibri"/>
                <w:sz w:val="20"/>
                <w:szCs w:val="20"/>
              </w:rPr>
              <w:t>Patient must be at least 18 years of age.</w:t>
            </w:r>
          </w:p>
        </w:tc>
      </w:tr>
      <w:tr w:rsidR="00655E75" w:rsidRPr="00C1598E" w14:paraId="329FEBD3"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45B79ABD" w14:textId="3013774D" w:rsidR="00655E75" w:rsidRPr="00DA359D" w:rsidRDefault="00655E75" w:rsidP="009E5A28">
            <w:pPr>
              <w:jc w:val="center"/>
              <w:rPr>
                <w:rFonts w:ascii="Arial Narrow" w:hAnsi="Arial Narrow"/>
                <w:color w:val="333333"/>
                <w:sz w:val="20"/>
                <w:szCs w:val="20"/>
              </w:rPr>
            </w:pPr>
          </w:p>
        </w:tc>
        <w:tc>
          <w:tcPr>
            <w:tcW w:w="7745" w:type="dxa"/>
            <w:gridSpan w:val="6"/>
            <w:vAlign w:val="center"/>
          </w:tcPr>
          <w:p w14:paraId="2FB81CB4" w14:textId="77777777" w:rsidR="00655E75" w:rsidRPr="00DA359D" w:rsidRDefault="00655E75" w:rsidP="009E5A28">
            <w:pPr>
              <w:rPr>
                <w:rFonts w:ascii="Arial Narrow" w:hAnsi="Arial Narrow" w:cs="Calibri"/>
                <w:b/>
                <w:bCs/>
                <w:sz w:val="20"/>
                <w:szCs w:val="20"/>
              </w:rPr>
            </w:pPr>
            <w:r w:rsidRPr="00DA359D">
              <w:rPr>
                <w:rFonts w:ascii="Arial Narrow" w:hAnsi="Arial Narrow" w:cs="Calibri"/>
                <w:b/>
                <w:bCs/>
                <w:sz w:val="20"/>
                <w:szCs w:val="20"/>
              </w:rPr>
              <w:t xml:space="preserve">Prescribing Instructions: </w:t>
            </w:r>
          </w:p>
          <w:p w14:paraId="3315E405" w14:textId="77777777" w:rsidR="00F25765" w:rsidRPr="00DA359D" w:rsidRDefault="00F25765" w:rsidP="00F25765">
            <w:pPr>
              <w:rPr>
                <w:rFonts w:ascii="Arial Narrow" w:hAnsi="Arial Narrow" w:cs="Calibri"/>
                <w:sz w:val="20"/>
                <w:szCs w:val="20"/>
              </w:rPr>
            </w:pPr>
            <w:r w:rsidRPr="00DA359D">
              <w:rPr>
                <w:rFonts w:ascii="Arial Narrow" w:hAnsi="Arial Narrow" w:cs="Calibri"/>
                <w:sz w:val="20"/>
                <w:szCs w:val="20"/>
              </w:rPr>
              <w:t>Details (dates, unique identifying number/code, or provider number) of the pathology report confirming the patient has achieved and maintained a response within 48 weeks of treatment initiation; or</w:t>
            </w:r>
          </w:p>
          <w:p w14:paraId="1AD68458" w14:textId="1CBF688A" w:rsidR="00655E75" w:rsidRPr="00DA359D" w:rsidRDefault="00F25765" w:rsidP="009E5A28">
            <w:pPr>
              <w:rPr>
                <w:rFonts w:ascii="Arial Narrow" w:hAnsi="Arial Narrow" w:cs="Calibri"/>
                <w:i/>
                <w:iCs/>
                <w:sz w:val="20"/>
                <w:szCs w:val="20"/>
              </w:rPr>
            </w:pPr>
            <w:r w:rsidRPr="00DA359D">
              <w:rPr>
                <w:rFonts w:ascii="Arial Narrow" w:hAnsi="Arial Narrow" w:cs="Calibri"/>
                <w:sz w:val="20"/>
                <w:szCs w:val="20"/>
              </w:rPr>
              <w:t>(b) confirmation that the patient does not have palpable splenomegaly must be documented in the patient’s medical records.</w:t>
            </w:r>
          </w:p>
        </w:tc>
      </w:tr>
      <w:tr w:rsidR="007450D4" w:rsidRPr="00B32B51" w14:paraId="765F6648"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0FBF1B7" w14:textId="7C1B1FB0" w:rsidR="00F25765" w:rsidRPr="00DA359D" w:rsidDel="00F25765" w:rsidRDefault="00F25765" w:rsidP="00F25765">
            <w:pPr>
              <w:jc w:val="center"/>
              <w:rPr>
                <w:rFonts w:ascii="Arial Narrow" w:hAnsi="Arial Narrow"/>
                <w:color w:val="333333"/>
                <w:sz w:val="20"/>
                <w:szCs w:val="20"/>
              </w:rPr>
            </w:pPr>
          </w:p>
        </w:tc>
        <w:tc>
          <w:tcPr>
            <w:tcW w:w="7745" w:type="dxa"/>
            <w:gridSpan w:val="6"/>
            <w:vAlign w:val="center"/>
          </w:tcPr>
          <w:p w14:paraId="4C74BD5D" w14:textId="53DE7628" w:rsidR="00F25765" w:rsidRPr="00DA359D" w:rsidDel="00F25765" w:rsidRDefault="00F25765" w:rsidP="009E5A28">
            <w:pPr>
              <w:rPr>
                <w:rFonts w:ascii="Arial Narrow" w:hAnsi="Arial Narrow" w:cs="Calibri"/>
                <w:b/>
                <w:bCs/>
                <w:sz w:val="20"/>
                <w:szCs w:val="20"/>
              </w:rPr>
            </w:pPr>
            <w:r w:rsidRPr="00DA359D">
              <w:rPr>
                <w:rFonts w:ascii="Arial Narrow" w:hAnsi="Arial Narrow"/>
                <w:b/>
                <w:bCs/>
                <w:sz w:val="20"/>
                <w:szCs w:val="20"/>
              </w:rPr>
              <w:t xml:space="preserve">Administrative Advice: </w:t>
            </w:r>
            <w:r w:rsidRPr="00DA359D">
              <w:rPr>
                <w:rFonts w:ascii="Arial Narrow" w:hAnsi="Arial Narrow"/>
                <w:bCs/>
                <w:sz w:val="20"/>
                <w:szCs w:val="20"/>
              </w:rPr>
              <w:t xml:space="preserve">Applications for authorisation under this restriction may be made in real time using the Online PBS Authorities system (see </w:t>
            </w:r>
            <w:hyperlink r:id="rId23" w:history="1">
              <w:r w:rsidRPr="00DA359D">
                <w:rPr>
                  <w:rStyle w:val="Hyperlink"/>
                  <w:rFonts w:ascii="Arial Narrow" w:hAnsi="Arial Narrow"/>
                  <w:bCs/>
                  <w:sz w:val="20"/>
                  <w:szCs w:val="20"/>
                </w:rPr>
                <w:t>www.servicesaustralia.gov.au/HPOS</w:t>
              </w:r>
            </w:hyperlink>
            <w:r w:rsidRPr="00DA359D">
              <w:rPr>
                <w:rFonts w:ascii="Arial Narrow" w:hAnsi="Arial Narrow"/>
                <w:bCs/>
                <w:sz w:val="20"/>
                <w:szCs w:val="20"/>
              </w:rPr>
              <w:t>) or by telephone by contacting Services Australia on 1800 700 270 (hours of operation 8 a.m. to 5 p.m. Monday to Friday). </w:t>
            </w:r>
          </w:p>
        </w:tc>
      </w:tr>
      <w:tr w:rsidR="007450D4" w:rsidRPr="00B32B51" w14:paraId="73A99862" w14:textId="77777777" w:rsidTr="00F05E5A">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79A929E8" w14:textId="77777777" w:rsidR="00F05E5A" w:rsidRPr="00DA359D" w:rsidRDefault="00F05E5A" w:rsidP="009E5A28">
            <w:pPr>
              <w:jc w:val="center"/>
              <w:rPr>
                <w:rFonts w:ascii="Arial Narrow" w:hAnsi="Arial Narrow"/>
                <w:color w:val="333333"/>
                <w:sz w:val="20"/>
                <w:szCs w:val="20"/>
              </w:rPr>
            </w:pPr>
          </w:p>
        </w:tc>
        <w:tc>
          <w:tcPr>
            <w:tcW w:w="7745" w:type="dxa"/>
            <w:gridSpan w:val="6"/>
            <w:vAlign w:val="center"/>
          </w:tcPr>
          <w:p w14:paraId="69B990C1" w14:textId="77777777" w:rsidR="00F05E5A" w:rsidRPr="00DA359D" w:rsidRDefault="00F05E5A" w:rsidP="009E5A28">
            <w:pPr>
              <w:rPr>
                <w:rFonts w:ascii="Arial Narrow" w:hAnsi="Arial Narrow" w:cs="Calibri"/>
                <w:b/>
                <w:bCs/>
                <w:sz w:val="20"/>
                <w:szCs w:val="20"/>
              </w:rPr>
            </w:pPr>
          </w:p>
        </w:tc>
      </w:tr>
      <w:tr w:rsidR="007450D4" w:rsidRPr="00201A55" w14:paraId="1A86867E" w14:textId="77777777" w:rsidTr="00F25765">
        <w:tblPrEx>
          <w:tblCellMar>
            <w:top w:w="15" w:type="dxa"/>
            <w:bottom w:w="15" w:type="dxa"/>
          </w:tblCellMar>
          <w:tblLook w:val="04A0" w:firstRow="1" w:lastRow="0" w:firstColumn="1" w:lastColumn="0" w:noHBand="0" w:noVBand="1"/>
        </w:tblPrEx>
        <w:trPr>
          <w:trHeight w:val="20"/>
        </w:trPr>
        <w:tc>
          <w:tcPr>
            <w:tcW w:w="9022" w:type="dxa"/>
            <w:gridSpan w:val="8"/>
            <w:tcBorders>
              <w:top w:val="single" w:sz="4" w:space="0" w:color="auto"/>
              <w:left w:val="single" w:sz="4" w:space="0" w:color="auto"/>
              <w:right w:val="single" w:sz="4" w:space="0" w:color="auto"/>
            </w:tcBorders>
            <w:vAlign w:val="center"/>
          </w:tcPr>
          <w:p w14:paraId="0E16C4BF" w14:textId="77777777" w:rsidR="00F05E5A" w:rsidRPr="00DA359D" w:rsidRDefault="00F05E5A" w:rsidP="0008506F">
            <w:pPr>
              <w:keepLines/>
              <w:rPr>
                <w:rFonts w:ascii="Arial Narrow" w:hAnsi="Arial Narrow"/>
                <w:b/>
                <w:sz w:val="20"/>
                <w:szCs w:val="20"/>
              </w:rPr>
            </w:pPr>
            <w:r w:rsidRPr="00DA359D">
              <w:rPr>
                <w:rFonts w:ascii="Arial Narrow" w:hAnsi="Arial Narrow"/>
                <w:b/>
                <w:sz w:val="20"/>
                <w:szCs w:val="20"/>
              </w:rPr>
              <w:t>Restriction Summary [new4]</w:t>
            </w:r>
            <w:r w:rsidRPr="00DA359D">
              <w:rPr>
                <w:rFonts w:ascii="Arial Narrow" w:hAnsi="Arial Narrow"/>
                <w:b/>
                <w:color w:val="FF0000"/>
                <w:sz w:val="20"/>
                <w:szCs w:val="20"/>
              </w:rPr>
              <w:t xml:space="preserve"> </w:t>
            </w:r>
            <w:r w:rsidRPr="00DA359D">
              <w:rPr>
                <w:rFonts w:ascii="Arial Narrow" w:hAnsi="Arial Narrow"/>
                <w:b/>
                <w:sz w:val="20"/>
                <w:szCs w:val="20"/>
              </w:rPr>
              <w:t>/ Treatment of Concept: [new4A]</w:t>
            </w:r>
          </w:p>
        </w:tc>
      </w:tr>
      <w:tr w:rsidR="007450D4" w:rsidRPr="00201A55" w14:paraId="095A81DF" w14:textId="77777777" w:rsidTr="00F25765">
        <w:tblPrEx>
          <w:tblCellMar>
            <w:top w:w="15" w:type="dxa"/>
            <w:bottom w:w="15" w:type="dxa"/>
          </w:tblCellMar>
          <w:tblLook w:val="04A0" w:firstRow="1" w:lastRow="0" w:firstColumn="1" w:lastColumn="0" w:noHBand="0" w:noVBand="1"/>
        </w:tblPrEx>
        <w:trPr>
          <w:trHeight w:val="20"/>
        </w:trPr>
        <w:tc>
          <w:tcPr>
            <w:tcW w:w="1277" w:type="dxa"/>
            <w:gridSpan w:val="2"/>
            <w:vMerge w:val="restart"/>
            <w:tcBorders>
              <w:top w:val="single" w:sz="4" w:space="0" w:color="auto"/>
              <w:left w:val="single" w:sz="4" w:space="0" w:color="auto"/>
              <w:right w:val="single" w:sz="4" w:space="0" w:color="auto"/>
            </w:tcBorders>
          </w:tcPr>
          <w:p w14:paraId="35E23E9B" w14:textId="77777777" w:rsidR="00F05E5A" w:rsidRPr="00DA359D" w:rsidRDefault="00F05E5A" w:rsidP="0008506F">
            <w:pPr>
              <w:jc w:val="center"/>
              <w:rPr>
                <w:rFonts w:ascii="Arial Narrow" w:hAnsi="Arial Narrow"/>
                <w:b/>
                <w:sz w:val="20"/>
                <w:szCs w:val="20"/>
              </w:rPr>
            </w:pPr>
            <w:r w:rsidRPr="00DA359D">
              <w:rPr>
                <w:rFonts w:ascii="Arial Narrow" w:hAnsi="Arial Narrow"/>
                <w:b/>
                <w:sz w:val="20"/>
                <w:szCs w:val="20"/>
              </w:rPr>
              <w:t xml:space="preserve">Concept ID </w:t>
            </w:r>
            <w:r w:rsidRPr="00DA359D">
              <w:rPr>
                <w:rFonts w:ascii="Arial Narrow" w:hAnsi="Arial Narrow"/>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38887F1" w14:textId="77777777" w:rsidR="00F05E5A" w:rsidRPr="00DA359D" w:rsidRDefault="00F05E5A" w:rsidP="0008506F">
            <w:pPr>
              <w:keepLines/>
              <w:rPr>
                <w:rFonts w:ascii="Arial Narrow" w:hAnsi="Arial Narrow"/>
                <w:sz w:val="20"/>
                <w:szCs w:val="20"/>
              </w:rPr>
            </w:pPr>
            <w:r w:rsidRPr="00DA359D">
              <w:rPr>
                <w:rFonts w:ascii="Arial Narrow" w:hAnsi="Arial Narrow"/>
                <w:b/>
                <w:sz w:val="20"/>
                <w:szCs w:val="20"/>
              </w:rPr>
              <w:t>Category / Program:</w:t>
            </w:r>
            <w:r w:rsidRPr="00DA359D">
              <w:rPr>
                <w:rFonts w:ascii="Arial Narrow" w:hAnsi="Arial Narrow"/>
                <w:color w:val="FF0000"/>
                <w:sz w:val="20"/>
                <w:szCs w:val="20"/>
              </w:rPr>
              <w:t xml:space="preserve"> </w:t>
            </w:r>
          </w:p>
          <w:p w14:paraId="67D3F4E7" w14:textId="77777777" w:rsidR="00F05E5A" w:rsidRPr="00DA359D" w:rsidRDefault="00F05E5A" w:rsidP="0008506F">
            <w:pPr>
              <w:keepLines/>
              <w:rPr>
                <w:rFonts w:ascii="Arial Narrow" w:hAnsi="Arial Narrow"/>
                <w:sz w:val="20"/>
                <w:szCs w:val="20"/>
              </w:rPr>
            </w:pPr>
            <w:r w:rsidRPr="00DA359D">
              <w:rPr>
                <w:rFonts w:ascii="Arial Narrow" w:eastAsia="Calibri" w:hAnsi="Arial Narrow"/>
                <w:sz w:val="20"/>
                <w:szCs w:val="20"/>
              </w:rPr>
              <w:fldChar w:fldCharType="begin" w:fldLock="1">
                <w:ffData>
                  <w:name w:val="Check1"/>
                  <w:enabled/>
                  <w:calcOnExit w:val="0"/>
                  <w:checkBox>
                    <w:sizeAuto/>
                    <w:default w:val="1"/>
                  </w:checkBox>
                </w:ffData>
              </w:fldChar>
            </w:r>
            <w:r w:rsidRPr="00DA359D">
              <w:rPr>
                <w:rFonts w:ascii="Arial Narrow" w:eastAsia="Calibri" w:hAnsi="Arial Narrow"/>
                <w:sz w:val="20"/>
                <w:szCs w:val="20"/>
              </w:rPr>
              <w:instrText xml:space="preserve"> FORMCHECKBOX </w:instrText>
            </w:r>
            <w:r w:rsidRPr="00DA359D">
              <w:rPr>
                <w:rFonts w:ascii="Arial Narrow" w:eastAsia="Calibri" w:hAnsi="Arial Narrow"/>
                <w:sz w:val="20"/>
                <w:szCs w:val="20"/>
              </w:rPr>
            </w:r>
            <w:r w:rsidRPr="00DA359D">
              <w:rPr>
                <w:rFonts w:ascii="Arial Narrow" w:eastAsia="Calibri" w:hAnsi="Arial Narrow"/>
                <w:sz w:val="20"/>
                <w:szCs w:val="20"/>
              </w:rPr>
              <w:fldChar w:fldCharType="separate"/>
            </w:r>
            <w:r w:rsidRPr="00DA359D">
              <w:rPr>
                <w:rFonts w:ascii="Arial Narrow" w:eastAsia="Calibri" w:hAnsi="Arial Narrow"/>
                <w:sz w:val="20"/>
                <w:szCs w:val="20"/>
              </w:rPr>
              <w:fldChar w:fldCharType="end"/>
            </w:r>
            <w:r w:rsidRPr="00DA359D">
              <w:rPr>
                <w:rFonts w:ascii="Arial Narrow" w:eastAsia="Calibri" w:hAnsi="Arial Narrow"/>
                <w:sz w:val="20"/>
                <w:szCs w:val="20"/>
              </w:rPr>
              <w:t xml:space="preserve"> GENERAL - General Schedule (Code GE) </w:t>
            </w:r>
          </w:p>
        </w:tc>
      </w:tr>
      <w:tr w:rsidR="007450D4" w:rsidRPr="00201A55" w14:paraId="5BC01A3D" w14:textId="77777777" w:rsidTr="00F25765">
        <w:tblPrEx>
          <w:tblCellMar>
            <w:top w:w="15" w:type="dxa"/>
            <w:bottom w:w="15" w:type="dxa"/>
          </w:tblCellMar>
          <w:tblLook w:val="04A0" w:firstRow="1" w:lastRow="0" w:firstColumn="1" w:lastColumn="0" w:noHBand="0" w:noVBand="1"/>
        </w:tblPrEx>
        <w:trPr>
          <w:trHeight w:val="20"/>
        </w:trPr>
        <w:tc>
          <w:tcPr>
            <w:tcW w:w="1277" w:type="dxa"/>
            <w:gridSpan w:val="2"/>
            <w:vMerge/>
          </w:tcPr>
          <w:p w14:paraId="1427CD13" w14:textId="77777777" w:rsidR="00F05E5A" w:rsidRPr="00DA359D" w:rsidRDefault="00F05E5A" w:rsidP="0008506F">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5F3030E" w14:textId="77777777" w:rsidR="00F05E5A" w:rsidRPr="00DA359D" w:rsidRDefault="00F05E5A" w:rsidP="0008506F">
            <w:pPr>
              <w:keepLines/>
              <w:rPr>
                <w:rFonts w:ascii="Arial Narrow" w:hAnsi="Arial Narrow"/>
                <w:b/>
                <w:sz w:val="20"/>
                <w:szCs w:val="20"/>
              </w:rPr>
            </w:pPr>
            <w:r w:rsidRPr="00DA359D">
              <w:rPr>
                <w:rFonts w:ascii="Arial Narrow" w:hAnsi="Arial Narrow"/>
                <w:b/>
                <w:sz w:val="20"/>
                <w:szCs w:val="20"/>
              </w:rPr>
              <w:t xml:space="preserve">Prescriber type: </w:t>
            </w:r>
          </w:p>
          <w:p w14:paraId="66C90FEB" w14:textId="77777777" w:rsidR="00F05E5A" w:rsidRPr="00DA359D" w:rsidRDefault="00F05E5A" w:rsidP="0008506F">
            <w:pPr>
              <w:keepLines/>
              <w:rPr>
                <w:rFonts w:ascii="Arial Narrow" w:hAnsi="Arial Narrow"/>
                <w:b/>
                <w:sz w:val="20"/>
                <w:szCs w:val="20"/>
              </w:rPr>
            </w:pPr>
            <w:r w:rsidRPr="00DA359D">
              <w:rPr>
                <w:rFonts w:ascii="Arial Narrow" w:hAnsi="Arial Narrow"/>
                <w:sz w:val="20"/>
                <w:szCs w:val="20"/>
              </w:rPr>
              <w:fldChar w:fldCharType="begin" w:fldLock="1">
                <w:ffData>
                  <w:name w:val=""/>
                  <w:enabled/>
                  <w:calcOnExit w:val="0"/>
                  <w:checkBox>
                    <w:sizeAuto/>
                    <w:default w:val="1"/>
                  </w:checkBox>
                </w:ffData>
              </w:fldChar>
            </w:r>
            <w:r w:rsidRPr="00DA359D">
              <w:rPr>
                <w:rFonts w:ascii="Arial Narrow" w:hAnsi="Arial Narrow"/>
                <w:sz w:val="20"/>
                <w:szCs w:val="20"/>
              </w:rPr>
              <w:instrText xml:space="preserve"> FORMCHECKBOX </w:instrText>
            </w:r>
            <w:r w:rsidRPr="00DA359D">
              <w:rPr>
                <w:rFonts w:ascii="Arial Narrow" w:hAnsi="Arial Narrow"/>
                <w:sz w:val="20"/>
                <w:szCs w:val="20"/>
              </w:rPr>
            </w:r>
            <w:r w:rsidRPr="00DA359D">
              <w:rPr>
                <w:rFonts w:ascii="Arial Narrow" w:hAnsi="Arial Narrow"/>
                <w:sz w:val="20"/>
                <w:szCs w:val="20"/>
              </w:rPr>
              <w:fldChar w:fldCharType="separate"/>
            </w:r>
            <w:r w:rsidRPr="00DA359D">
              <w:rPr>
                <w:rFonts w:ascii="Arial Narrow" w:hAnsi="Arial Narrow"/>
                <w:sz w:val="20"/>
                <w:szCs w:val="20"/>
              </w:rPr>
              <w:fldChar w:fldCharType="end"/>
            </w:r>
            <w:r w:rsidRPr="00DA359D">
              <w:rPr>
                <w:rFonts w:ascii="Arial Narrow" w:hAnsi="Arial Narrow"/>
                <w:sz w:val="20"/>
                <w:szCs w:val="20"/>
              </w:rPr>
              <w:t xml:space="preserve">Medical Practitioners </w:t>
            </w:r>
          </w:p>
        </w:tc>
      </w:tr>
      <w:tr w:rsidR="007450D4" w:rsidRPr="00201A55" w14:paraId="56F082F0" w14:textId="77777777" w:rsidTr="00F25765">
        <w:tblPrEx>
          <w:tblCellMar>
            <w:top w:w="15" w:type="dxa"/>
            <w:bottom w:w="15" w:type="dxa"/>
          </w:tblCellMar>
          <w:tblLook w:val="04A0" w:firstRow="1" w:lastRow="0" w:firstColumn="1" w:lastColumn="0" w:noHBand="0" w:noVBand="1"/>
        </w:tblPrEx>
        <w:trPr>
          <w:trHeight w:val="20"/>
        </w:trPr>
        <w:tc>
          <w:tcPr>
            <w:tcW w:w="1277" w:type="dxa"/>
            <w:gridSpan w:val="2"/>
            <w:vMerge/>
          </w:tcPr>
          <w:p w14:paraId="74D56835" w14:textId="77777777" w:rsidR="00F05E5A" w:rsidRPr="00DA359D" w:rsidRDefault="00F05E5A" w:rsidP="0008506F">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A0BA573" w14:textId="77777777" w:rsidR="00F05E5A" w:rsidRPr="00DA359D" w:rsidRDefault="00F05E5A" w:rsidP="0008506F">
            <w:pPr>
              <w:keepLines/>
              <w:rPr>
                <w:rFonts w:ascii="Arial Narrow" w:eastAsia="Calibri" w:hAnsi="Arial Narrow"/>
                <w:sz w:val="20"/>
                <w:szCs w:val="20"/>
              </w:rPr>
            </w:pPr>
            <w:r w:rsidRPr="00DA359D">
              <w:rPr>
                <w:rFonts w:ascii="Arial Narrow" w:hAnsi="Arial Narrow"/>
                <w:b/>
                <w:sz w:val="20"/>
                <w:szCs w:val="20"/>
              </w:rPr>
              <w:t xml:space="preserve">Restriction type: </w:t>
            </w:r>
          </w:p>
          <w:p w14:paraId="34CF19EE" w14:textId="06FC4BDE" w:rsidR="00F05E5A" w:rsidRPr="00DA359D" w:rsidRDefault="00F05E5A" w:rsidP="0008506F">
            <w:pPr>
              <w:keepLines/>
              <w:rPr>
                <w:rFonts w:ascii="Arial Narrow" w:eastAsia="Calibri" w:hAnsi="Arial Narrow"/>
                <w:sz w:val="20"/>
                <w:szCs w:val="20"/>
              </w:rPr>
            </w:pPr>
            <w:r w:rsidRPr="00DA359D">
              <w:rPr>
                <w:rFonts w:ascii="Arial Narrow" w:eastAsia="Calibri" w:hAnsi="Arial Narrow"/>
                <w:sz w:val="20"/>
                <w:szCs w:val="20"/>
              </w:rPr>
              <w:fldChar w:fldCharType="begin" w:fldLock="1">
                <w:ffData>
                  <w:name w:val=""/>
                  <w:enabled/>
                  <w:calcOnExit w:val="0"/>
                  <w:checkBox>
                    <w:sizeAuto/>
                    <w:default w:val="1"/>
                  </w:checkBox>
                </w:ffData>
              </w:fldChar>
            </w:r>
            <w:r w:rsidRPr="00DA359D">
              <w:rPr>
                <w:rFonts w:ascii="Arial Narrow" w:eastAsia="Calibri" w:hAnsi="Arial Narrow"/>
                <w:sz w:val="20"/>
                <w:szCs w:val="20"/>
              </w:rPr>
              <w:instrText xml:space="preserve"> FORMCHECKBOX </w:instrText>
            </w:r>
            <w:r w:rsidRPr="00DA359D">
              <w:rPr>
                <w:rFonts w:ascii="Arial Narrow" w:eastAsia="Calibri" w:hAnsi="Arial Narrow"/>
                <w:sz w:val="20"/>
                <w:szCs w:val="20"/>
              </w:rPr>
            </w:r>
            <w:r w:rsidRPr="00DA359D">
              <w:rPr>
                <w:rFonts w:ascii="Arial Narrow" w:eastAsia="Calibri" w:hAnsi="Arial Narrow"/>
                <w:sz w:val="20"/>
                <w:szCs w:val="20"/>
              </w:rPr>
              <w:fldChar w:fldCharType="separate"/>
            </w:r>
            <w:r w:rsidRPr="00DA359D">
              <w:rPr>
                <w:rFonts w:ascii="Arial Narrow" w:eastAsia="Calibri" w:hAnsi="Arial Narrow"/>
                <w:sz w:val="20"/>
                <w:szCs w:val="20"/>
              </w:rPr>
              <w:fldChar w:fldCharType="end"/>
            </w:r>
            <w:r w:rsidRPr="00DA359D">
              <w:rPr>
                <w:rFonts w:ascii="Arial Narrow" w:hAnsi="Arial Narrow"/>
                <w:bCs/>
                <w:sz w:val="20"/>
                <w:szCs w:val="20"/>
              </w:rPr>
              <w:t xml:space="preserve"> Authority Required (telephone/</w:t>
            </w:r>
            <w:r w:rsidRPr="00DA359D">
              <w:rPr>
                <w:rFonts w:ascii="Arial Narrow" w:eastAsia="Calibri" w:hAnsi="Arial Narrow"/>
                <w:sz w:val="20"/>
                <w:szCs w:val="20"/>
              </w:rPr>
              <w:t>online PBS Authorities system</w:t>
            </w:r>
            <w:r w:rsidRPr="00DA359D">
              <w:rPr>
                <w:rFonts w:ascii="Arial Narrow" w:hAnsi="Arial Narrow"/>
                <w:bCs/>
                <w:sz w:val="20"/>
                <w:szCs w:val="20"/>
              </w:rPr>
              <w:t>)</w:t>
            </w:r>
            <w:r w:rsidR="00F87B86">
              <w:rPr>
                <w:rFonts w:ascii="Arial Narrow" w:hAnsi="Arial Narrow"/>
                <w:b/>
                <w:sz w:val="20"/>
                <w:szCs w:val="20"/>
              </w:rPr>
              <w:t xml:space="preserve"> </w:t>
            </w:r>
          </w:p>
        </w:tc>
      </w:tr>
      <w:tr w:rsidR="007450D4" w:rsidRPr="00201A55" w14:paraId="4A16091A" w14:textId="77777777" w:rsidTr="00F25765">
        <w:tblPrEx>
          <w:tblCellMar>
            <w:top w:w="15" w:type="dxa"/>
            <w:bottom w:w="15" w:type="dxa"/>
          </w:tblCellMar>
          <w:tblLook w:val="04A0" w:firstRow="1" w:lastRow="0" w:firstColumn="1" w:lastColumn="0" w:noHBand="0" w:noVBand="1"/>
        </w:tblPrEx>
        <w:trPr>
          <w:cantSplit/>
          <w:trHeight w:val="20"/>
        </w:trPr>
        <w:tc>
          <w:tcPr>
            <w:tcW w:w="1277" w:type="dxa"/>
            <w:gridSpan w:val="2"/>
            <w:vMerge/>
            <w:vAlign w:val="center"/>
          </w:tcPr>
          <w:p w14:paraId="32E9EA70" w14:textId="77777777" w:rsidR="00F05E5A" w:rsidRPr="00DA359D" w:rsidRDefault="00F05E5A" w:rsidP="0008506F">
            <w:pPr>
              <w:keepLines/>
              <w:jc w:val="center"/>
              <w:rPr>
                <w:rFonts w:ascii="Arial Narrow" w:hAnsi="Arial Narrow"/>
                <w:color w:val="333333"/>
                <w:sz w:val="20"/>
                <w:szCs w:val="20"/>
              </w:rPr>
            </w:pPr>
          </w:p>
        </w:tc>
        <w:tc>
          <w:tcPr>
            <w:tcW w:w="7745" w:type="dxa"/>
            <w:gridSpan w:val="6"/>
            <w:vAlign w:val="center"/>
          </w:tcPr>
          <w:p w14:paraId="52D39E15" w14:textId="77777777" w:rsidR="00F05E5A" w:rsidRPr="00DA359D" w:rsidRDefault="00F05E5A" w:rsidP="0008506F">
            <w:pPr>
              <w:keepLines/>
              <w:rPr>
                <w:rFonts w:ascii="Arial Narrow" w:hAnsi="Arial Narrow"/>
                <w:b/>
                <w:bCs/>
                <w:sz w:val="20"/>
                <w:szCs w:val="20"/>
              </w:rPr>
            </w:pPr>
            <w:r w:rsidRPr="00DA359D">
              <w:rPr>
                <w:rFonts w:ascii="Arial Narrow" w:hAnsi="Arial Narrow"/>
                <w:b/>
                <w:bCs/>
                <w:sz w:val="20"/>
                <w:szCs w:val="20"/>
              </w:rPr>
              <w:t xml:space="preserve">Condition: </w:t>
            </w:r>
            <w:r w:rsidRPr="00DA359D">
              <w:rPr>
                <w:rFonts w:ascii="Arial Narrow" w:hAnsi="Arial Narrow"/>
                <w:sz w:val="20"/>
                <w:szCs w:val="20"/>
              </w:rPr>
              <w:t>Polycythemia vera</w:t>
            </w:r>
          </w:p>
        </w:tc>
      </w:tr>
      <w:tr w:rsidR="007450D4" w:rsidRPr="00201A55" w14:paraId="1BF0C5D4" w14:textId="77777777" w:rsidTr="0078177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7689D345" w14:textId="379B9E45" w:rsidR="00F05E5A" w:rsidRPr="00DA359D" w:rsidRDefault="00F05E5A" w:rsidP="0008506F">
            <w:pPr>
              <w:keepLines/>
              <w:jc w:val="center"/>
              <w:rPr>
                <w:rFonts w:ascii="Arial Narrow" w:hAnsi="Arial Narrow"/>
                <w:color w:val="333333"/>
                <w:sz w:val="20"/>
                <w:szCs w:val="20"/>
              </w:rPr>
            </w:pPr>
          </w:p>
        </w:tc>
        <w:tc>
          <w:tcPr>
            <w:tcW w:w="7745" w:type="dxa"/>
            <w:gridSpan w:val="6"/>
            <w:vAlign w:val="center"/>
            <w:hideMark/>
          </w:tcPr>
          <w:p w14:paraId="207AF8CD" w14:textId="77777777" w:rsidR="00F05E5A" w:rsidRPr="00DA359D" w:rsidRDefault="00F05E5A" w:rsidP="0008506F">
            <w:pPr>
              <w:keepLines/>
              <w:rPr>
                <w:rFonts w:ascii="Arial Narrow" w:hAnsi="Arial Narrow"/>
                <w:sz w:val="20"/>
                <w:szCs w:val="20"/>
              </w:rPr>
            </w:pPr>
            <w:r w:rsidRPr="00DA359D">
              <w:rPr>
                <w:rFonts w:ascii="Arial Narrow" w:hAnsi="Arial Narrow"/>
                <w:b/>
                <w:bCs/>
                <w:sz w:val="20"/>
                <w:szCs w:val="20"/>
              </w:rPr>
              <w:t xml:space="preserve">Indication: </w:t>
            </w:r>
            <w:r w:rsidRPr="00DA359D">
              <w:rPr>
                <w:rFonts w:ascii="Arial Narrow" w:hAnsi="Arial Narrow"/>
                <w:sz w:val="20"/>
                <w:szCs w:val="20"/>
              </w:rPr>
              <w:t>Polycythemia vera</w:t>
            </w:r>
          </w:p>
        </w:tc>
      </w:tr>
      <w:tr w:rsidR="007450D4" w:rsidRPr="00201A55" w14:paraId="32182AF5" w14:textId="77777777" w:rsidTr="0078177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408BAFC6" w14:textId="77777777" w:rsidR="00F05E5A" w:rsidRPr="00DA359D" w:rsidRDefault="00F05E5A" w:rsidP="0008506F">
            <w:pPr>
              <w:jc w:val="center"/>
              <w:rPr>
                <w:rFonts w:ascii="Arial Narrow" w:hAnsi="Arial Narrow"/>
                <w:color w:val="333333"/>
                <w:sz w:val="20"/>
                <w:szCs w:val="20"/>
              </w:rPr>
            </w:pPr>
          </w:p>
        </w:tc>
        <w:tc>
          <w:tcPr>
            <w:tcW w:w="7745" w:type="dxa"/>
            <w:gridSpan w:val="6"/>
            <w:vAlign w:val="center"/>
            <w:hideMark/>
          </w:tcPr>
          <w:p w14:paraId="49E30FED" w14:textId="77777777" w:rsidR="00F05E5A" w:rsidRPr="00DA359D" w:rsidRDefault="00F05E5A" w:rsidP="0008506F">
            <w:pPr>
              <w:rPr>
                <w:rFonts w:ascii="Arial Narrow" w:hAnsi="Arial Narrow"/>
                <w:sz w:val="20"/>
                <w:szCs w:val="20"/>
              </w:rPr>
            </w:pPr>
            <w:r w:rsidRPr="00DA359D">
              <w:rPr>
                <w:rFonts w:ascii="Arial Narrow" w:hAnsi="Arial Narrow"/>
                <w:b/>
                <w:bCs/>
                <w:sz w:val="20"/>
                <w:szCs w:val="20"/>
              </w:rPr>
              <w:t>Treatment Phase:</w:t>
            </w:r>
            <w:r w:rsidRPr="00DA359D">
              <w:rPr>
                <w:rFonts w:ascii="Arial Narrow" w:hAnsi="Arial Narrow"/>
                <w:sz w:val="20"/>
                <w:szCs w:val="20"/>
              </w:rPr>
              <w:t xml:space="preserve"> Subsequent continuing treatment</w:t>
            </w:r>
          </w:p>
        </w:tc>
      </w:tr>
      <w:tr w:rsidR="007450D4" w:rsidRPr="00201A55" w14:paraId="68F09FA2" w14:textId="77777777" w:rsidTr="00F25765">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1F2A175" w14:textId="6813964E" w:rsidR="00F05E5A" w:rsidRPr="00DA359D" w:rsidRDefault="00F05E5A" w:rsidP="0008506F">
            <w:pPr>
              <w:jc w:val="center"/>
              <w:rPr>
                <w:rFonts w:ascii="Arial Narrow" w:hAnsi="Arial Narrow"/>
                <w:color w:val="333333"/>
                <w:sz w:val="20"/>
                <w:szCs w:val="20"/>
              </w:rPr>
            </w:pPr>
          </w:p>
        </w:tc>
        <w:tc>
          <w:tcPr>
            <w:tcW w:w="7745" w:type="dxa"/>
            <w:gridSpan w:val="6"/>
            <w:vAlign w:val="center"/>
            <w:hideMark/>
          </w:tcPr>
          <w:p w14:paraId="5428A785" w14:textId="77777777" w:rsidR="00F05E5A" w:rsidRPr="00DA359D" w:rsidRDefault="00F05E5A" w:rsidP="0008506F">
            <w:pPr>
              <w:rPr>
                <w:rFonts w:ascii="Arial Narrow" w:hAnsi="Arial Narrow"/>
                <w:sz w:val="20"/>
                <w:szCs w:val="20"/>
              </w:rPr>
            </w:pPr>
            <w:r w:rsidRPr="00DA359D">
              <w:rPr>
                <w:rFonts w:ascii="Arial Narrow" w:hAnsi="Arial Narrow"/>
                <w:b/>
                <w:bCs/>
                <w:color w:val="333333"/>
                <w:sz w:val="20"/>
                <w:szCs w:val="20"/>
              </w:rPr>
              <w:t xml:space="preserve">Clinical criteria: </w:t>
            </w:r>
          </w:p>
        </w:tc>
      </w:tr>
      <w:tr w:rsidR="007450D4" w:rsidRPr="00201A55" w14:paraId="2D32BED0" w14:textId="77777777" w:rsidTr="00F25765">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068DCF6E" w14:textId="527A14FD" w:rsidR="00F05E5A" w:rsidRPr="00DA359D" w:rsidRDefault="00F05E5A" w:rsidP="0008506F">
            <w:pPr>
              <w:jc w:val="center"/>
              <w:rPr>
                <w:rFonts w:ascii="Arial Narrow" w:hAnsi="Arial Narrow"/>
                <w:sz w:val="20"/>
                <w:szCs w:val="20"/>
              </w:rPr>
            </w:pPr>
          </w:p>
        </w:tc>
        <w:tc>
          <w:tcPr>
            <w:tcW w:w="7745" w:type="dxa"/>
            <w:gridSpan w:val="6"/>
            <w:vAlign w:val="center"/>
            <w:hideMark/>
          </w:tcPr>
          <w:p w14:paraId="095B698F" w14:textId="77777777" w:rsidR="00F05E5A" w:rsidRPr="00DA359D" w:rsidRDefault="00F05E5A" w:rsidP="0008506F">
            <w:pPr>
              <w:rPr>
                <w:rFonts w:ascii="Arial Narrow" w:hAnsi="Arial Narrow"/>
                <w:sz w:val="20"/>
                <w:szCs w:val="20"/>
              </w:rPr>
            </w:pPr>
            <w:r w:rsidRPr="00DA359D">
              <w:rPr>
                <w:rFonts w:ascii="Arial Narrow" w:hAnsi="Arial Narrow"/>
                <w:sz w:val="20"/>
                <w:szCs w:val="20"/>
              </w:rPr>
              <w:t>Patient must have previously received PBS-subsidised treatment with this drug for this condition under the First continuing treatment restriction</w:t>
            </w:r>
          </w:p>
        </w:tc>
      </w:tr>
      <w:tr w:rsidR="007450D4" w:rsidRPr="00201A55" w14:paraId="0FE1506B" w14:textId="77777777" w:rsidTr="00F25765">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3F2D26D" w14:textId="77777777" w:rsidR="00F05E5A" w:rsidRPr="00DA359D" w:rsidRDefault="00F05E5A" w:rsidP="0008506F">
            <w:pPr>
              <w:jc w:val="center"/>
              <w:rPr>
                <w:rFonts w:ascii="Arial Narrow" w:hAnsi="Arial Narrow"/>
                <w:color w:val="333333"/>
                <w:sz w:val="20"/>
                <w:szCs w:val="20"/>
              </w:rPr>
            </w:pPr>
          </w:p>
        </w:tc>
        <w:tc>
          <w:tcPr>
            <w:tcW w:w="7745" w:type="dxa"/>
            <w:gridSpan w:val="6"/>
            <w:vAlign w:val="center"/>
          </w:tcPr>
          <w:p w14:paraId="057F6B0E" w14:textId="77777777" w:rsidR="00F05E5A" w:rsidRPr="00DA359D" w:rsidRDefault="00F05E5A" w:rsidP="0008506F">
            <w:pPr>
              <w:rPr>
                <w:rFonts w:ascii="Arial Narrow" w:hAnsi="Arial Narrow" w:cs="Calibri"/>
                <w:b/>
                <w:bCs/>
                <w:sz w:val="20"/>
                <w:szCs w:val="20"/>
              </w:rPr>
            </w:pPr>
            <w:r w:rsidRPr="00DA359D">
              <w:rPr>
                <w:rFonts w:ascii="Arial Narrow" w:hAnsi="Arial Narrow" w:cs="Calibri"/>
                <w:b/>
                <w:bCs/>
                <w:sz w:val="20"/>
                <w:szCs w:val="20"/>
              </w:rPr>
              <w:t>AND</w:t>
            </w:r>
          </w:p>
        </w:tc>
      </w:tr>
      <w:tr w:rsidR="007450D4" w:rsidRPr="00201A55" w14:paraId="460D3611" w14:textId="77777777" w:rsidTr="00F25765">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59532ACE" w14:textId="308401E8" w:rsidR="00F05E5A" w:rsidRPr="00DA359D" w:rsidRDefault="00F05E5A" w:rsidP="0008506F">
            <w:pPr>
              <w:jc w:val="center"/>
              <w:rPr>
                <w:rFonts w:ascii="Arial Narrow" w:hAnsi="Arial Narrow"/>
                <w:color w:val="333333"/>
                <w:sz w:val="20"/>
                <w:szCs w:val="20"/>
              </w:rPr>
            </w:pPr>
          </w:p>
        </w:tc>
        <w:tc>
          <w:tcPr>
            <w:tcW w:w="7745" w:type="dxa"/>
            <w:gridSpan w:val="6"/>
            <w:vAlign w:val="center"/>
          </w:tcPr>
          <w:p w14:paraId="669DF3DB" w14:textId="77777777" w:rsidR="00F05E5A" w:rsidRPr="00DA359D" w:rsidRDefault="00F05E5A" w:rsidP="0008506F">
            <w:pPr>
              <w:rPr>
                <w:rFonts w:ascii="Arial Narrow" w:hAnsi="Arial Narrow" w:cs="Calibri"/>
                <w:b/>
                <w:bCs/>
                <w:sz w:val="20"/>
                <w:szCs w:val="20"/>
              </w:rPr>
            </w:pPr>
            <w:r w:rsidRPr="00DA359D">
              <w:rPr>
                <w:rFonts w:ascii="Arial Narrow" w:hAnsi="Arial Narrow" w:cs="Calibri"/>
                <w:b/>
                <w:bCs/>
                <w:sz w:val="20"/>
                <w:szCs w:val="20"/>
              </w:rPr>
              <w:t>Clinical criteria:</w:t>
            </w:r>
          </w:p>
        </w:tc>
      </w:tr>
      <w:tr w:rsidR="007450D4" w:rsidRPr="00201A55" w14:paraId="118C168A" w14:textId="77777777" w:rsidTr="00F25765">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EFB73A8" w14:textId="5349EC82" w:rsidR="00F05E5A" w:rsidRPr="00DA359D" w:rsidRDefault="00F05E5A" w:rsidP="0008506F">
            <w:pPr>
              <w:jc w:val="center"/>
              <w:rPr>
                <w:rFonts w:ascii="Arial Narrow" w:hAnsi="Arial Narrow"/>
                <w:color w:val="333333"/>
                <w:sz w:val="20"/>
                <w:szCs w:val="20"/>
              </w:rPr>
            </w:pPr>
          </w:p>
        </w:tc>
        <w:tc>
          <w:tcPr>
            <w:tcW w:w="7745" w:type="dxa"/>
            <w:gridSpan w:val="6"/>
            <w:vAlign w:val="center"/>
          </w:tcPr>
          <w:p w14:paraId="4F90C687" w14:textId="77777777" w:rsidR="00F05E5A" w:rsidRPr="00DA359D" w:rsidRDefault="00F05E5A" w:rsidP="0008506F">
            <w:pPr>
              <w:rPr>
                <w:rFonts w:ascii="Arial Narrow" w:hAnsi="Arial Narrow"/>
                <w:strike/>
                <w:sz w:val="20"/>
                <w:szCs w:val="20"/>
              </w:rPr>
            </w:pPr>
            <w:r w:rsidRPr="00DA359D">
              <w:rPr>
                <w:rFonts w:ascii="Arial Narrow" w:hAnsi="Arial Narrow"/>
                <w:sz w:val="20"/>
                <w:szCs w:val="20"/>
              </w:rPr>
              <w:t xml:space="preserve">Patient must have achieved and maintained a response to treatment with this drug for this condition </w:t>
            </w:r>
          </w:p>
        </w:tc>
      </w:tr>
      <w:tr w:rsidR="007450D4" w:rsidRPr="00201A55" w14:paraId="675C0DE2" w14:textId="77777777" w:rsidTr="00F25765">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73F04AAD" w14:textId="56031F27" w:rsidR="00F05E5A" w:rsidRPr="00DA359D" w:rsidRDefault="00F05E5A" w:rsidP="0008506F">
            <w:pPr>
              <w:jc w:val="center"/>
              <w:rPr>
                <w:rFonts w:ascii="Arial Narrow" w:hAnsi="Arial Narrow"/>
                <w:color w:val="333333"/>
                <w:sz w:val="20"/>
                <w:szCs w:val="20"/>
              </w:rPr>
            </w:pPr>
          </w:p>
        </w:tc>
        <w:tc>
          <w:tcPr>
            <w:tcW w:w="7745" w:type="dxa"/>
            <w:gridSpan w:val="6"/>
            <w:vAlign w:val="center"/>
            <w:hideMark/>
          </w:tcPr>
          <w:p w14:paraId="646DC516" w14:textId="77777777" w:rsidR="00F05E5A" w:rsidRPr="00DA359D" w:rsidRDefault="00F05E5A" w:rsidP="0008506F">
            <w:pPr>
              <w:rPr>
                <w:rFonts w:ascii="Arial Narrow" w:hAnsi="Arial Narrow"/>
                <w:color w:val="333333"/>
                <w:sz w:val="20"/>
                <w:szCs w:val="20"/>
              </w:rPr>
            </w:pPr>
            <w:r w:rsidRPr="00DA359D">
              <w:rPr>
                <w:rFonts w:ascii="Arial Narrow" w:hAnsi="Arial Narrow"/>
                <w:b/>
                <w:bCs/>
                <w:color w:val="333333"/>
                <w:sz w:val="20"/>
                <w:szCs w:val="20"/>
              </w:rPr>
              <w:t>Population criteria:</w:t>
            </w:r>
          </w:p>
        </w:tc>
      </w:tr>
      <w:tr w:rsidR="007450D4" w:rsidRPr="00201A55" w14:paraId="40CEEBB6" w14:textId="77777777" w:rsidTr="00781777">
        <w:tblPrEx>
          <w:tblCellMar>
            <w:top w:w="15" w:type="dxa"/>
            <w:bottom w:w="15" w:type="dxa"/>
          </w:tblCellMar>
          <w:tblLook w:val="04A0" w:firstRow="1" w:lastRow="0" w:firstColumn="1" w:lastColumn="0" w:noHBand="0" w:noVBand="1"/>
        </w:tblPrEx>
        <w:trPr>
          <w:cantSplit/>
          <w:trHeight w:val="20"/>
        </w:trPr>
        <w:tc>
          <w:tcPr>
            <w:tcW w:w="1277" w:type="dxa"/>
            <w:gridSpan w:val="2"/>
            <w:vAlign w:val="center"/>
          </w:tcPr>
          <w:p w14:paraId="352E9ACB" w14:textId="50CEF289" w:rsidR="00F05E5A" w:rsidRPr="00DA359D" w:rsidRDefault="00F05E5A" w:rsidP="0008506F">
            <w:pPr>
              <w:jc w:val="center"/>
              <w:rPr>
                <w:rFonts w:ascii="Arial Narrow" w:hAnsi="Arial Narrow"/>
                <w:color w:val="333333"/>
                <w:sz w:val="20"/>
                <w:szCs w:val="20"/>
              </w:rPr>
            </w:pPr>
          </w:p>
        </w:tc>
        <w:tc>
          <w:tcPr>
            <w:tcW w:w="7745" w:type="dxa"/>
            <w:gridSpan w:val="6"/>
            <w:vAlign w:val="center"/>
            <w:hideMark/>
          </w:tcPr>
          <w:p w14:paraId="57F52EE4" w14:textId="77777777" w:rsidR="00F05E5A" w:rsidRPr="00DA359D" w:rsidRDefault="00F05E5A" w:rsidP="0008506F">
            <w:pPr>
              <w:rPr>
                <w:rFonts w:ascii="Arial Narrow" w:hAnsi="Arial Narrow"/>
                <w:strike/>
                <w:color w:val="333333"/>
                <w:sz w:val="20"/>
                <w:szCs w:val="20"/>
              </w:rPr>
            </w:pPr>
            <w:r w:rsidRPr="00DA359D">
              <w:rPr>
                <w:rFonts w:ascii="Arial Narrow" w:hAnsi="Arial Narrow" w:cs="Calibri"/>
                <w:sz w:val="20"/>
                <w:szCs w:val="20"/>
              </w:rPr>
              <w:t>Patient must be at least 18 years of age.</w:t>
            </w:r>
          </w:p>
        </w:tc>
      </w:tr>
      <w:tr w:rsidR="007450D4" w:rsidRPr="00201A55" w14:paraId="397F3857" w14:textId="77777777" w:rsidTr="00F25765">
        <w:tblPrEx>
          <w:tblCellMar>
            <w:top w:w="15" w:type="dxa"/>
            <w:bottom w:w="15" w:type="dxa"/>
          </w:tblCellMar>
          <w:tblLook w:val="04A0" w:firstRow="1" w:lastRow="0" w:firstColumn="1" w:lastColumn="0" w:noHBand="0" w:noVBand="1"/>
        </w:tblPrEx>
        <w:trPr>
          <w:cantSplit/>
          <w:trHeight w:val="20"/>
        </w:trPr>
        <w:tc>
          <w:tcPr>
            <w:tcW w:w="1277" w:type="dxa"/>
            <w:gridSpan w:val="2"/>
            <w:shd w:val="clear" w:color="auto" w:fill="auto"/>
            <w:vAlign w:val="center"/>
          </w:tcPr>
          <w:p w14:paraId="38F7BBC0" w14:textId="54626027" w:rsidR="00F25765" w:rsidRPr="00DA359D" w:rsidRDefault="00F25765" w:rsidP="00F25765">
            <w:pPr>
              <w:jc w:val="center"/>
              <w:rPr>
                <w:rFonts w:ascii="Arial Narrow" w:hAnsi="Arial Narrow"/>
                <w:color w:val="333333"/>
                <w:sz w:val="20"/>
                <w:szCs w:val="20"/>
              </w:rPr>
            </w:pPr>
          </w:p>
        </w:tc>
        <w:tc>
          <w:tcPr>
            <w:tcW w:w="7745" w:type="dxa"/>
            <w:gridSpan w:val="6"/>
            <w:shd w:val="clear" w:color="auto" w:fill="auto"/>
            <w:vAlign w:val="center"/>
          </w:tcPr>
          <w:p w14:paraId="12EA90D7" w14:textId="7FFD37E4" w:rsidR="00F25765" w:rsidRPr="00DA359D" w:rsidRDefault="00F25765" w:rsidP="0008506F">
            <w:pPr>
              <w:rPr>
                <w:rFonts w:ascii="Arial Narrow" w:hAnsi="Arial Narrow" w:cs="Calibri"/>
                <w:sz w:val="20"/>
                <w:szCs w:val="20"/>
              </w:rPr>
            </w:pPr>
            <w:r w:rsidRPr="00DA359D">
              <w:rPr>
                <w:rFonts w:ascii="Arial Narrow" w:hAnsi="Arial Narrow"/>
                <w:b/>
                <w:bCs/>
                <w:sz w:val="20"/>
                <w:szCs w:val="20"/>
              </w:rPr>
              <w:t xml:space="preserve">Administrative Advice: </w:t>
            </w:r>
            <w:r w:rsidRPr="00DA359D">
              <w:rPr>
                <w:rFonts w:ascii="Arial Narrow" w:hAnsi="Arial Narrow"/>
                <w:bCs/>
                <w:sz w:val="20"/>
                <w:szCs w:val="20"/>
              </w:rPr>
              <w:t xml:space="preserve">Applications for authorisation under this restriction may be made in real time using the Online PBS Authorities system (see </w:t>
            </w:r>
            <w:hyperlink r:id="rId24" w:history="1">
              <w:r w:rsidRPr="00DA359D">
                <w:rPr>
                  <w:rStyle w:val="Hyperlink"/>
                  <w:rFonts w:ascii="Arial Narrow" w:hAnsi="Arial Narrow"/>
                  <w:bCs/>
                  <w:sz w:val="20"/>
                  <w:szCs w:val="20"/>
                </w:rPr>
                <w:t>www.servicesaustralia.gov.au/HPOS</w:t>
              </w:r>
            </w:hyperlink>
            <w:r w:rsidRPr="00DA359D">
              <w:rPr>
                <w:rFonts w:ascii="Arial Narrow" w:hAnsi="Arial Narrow"/>
                <w:bCs/>
                <w:sz w:val="20"/>
                <w:szCs w:val="20"/>
              </w:rPr>
              <w:t>) or by telephone by contacting Services Australia on 1800 700 270 (hours of operation 8 a.m. to 5 p.m. Monday to Friday). </w:t>
            </w:r>
          </w:p>
        </w:tc>
      </w:tr>
    </w:tbl>
    <w:p w14:paraId="015DB343" w14:textId="77777777" w:rsidR="00A270A5" w:rsidRDefault="00A270A5" w:rsidP="00A270A5">
      <w:pPr>
        <w:spacing w:before="120" w:after="120"/>
        <w:rPr>
          <w:rFonts w:asciiTheme="minorHAnsi" w:hAnsiTheme="minorHAnsi"/>
          <w:b/>
          <w:i/>
          <w:iCs/>
          <w:snapToGrid w:val="0"/>
          <w:lang w:val="en-GB" w:eastAsia="en-US"/>
        </w:rPr>
      </w:pPr>
      <w:r w:rsidRPr="00A270A5">
        <w:rPr>
          <w:rFonts w:asciiTheme="minorHAnsi" w:hAnsiTheme="minorHAnsi"/>
          <w:b/>
          <w:i/>
          <w:iCs/>
          <w:snapToGrid w:val="0"/>
          <w:lang w:val="en-GB" w:eastAsia="en-US"/>
        </w:rPr>
        <w:t>These restrictions may be subject to further review. Should there be any changes made to the restriction the sponsor will be informed.</w:t>
      </w:r>
      <w:bookmarkEnd w:id="104"/>
      <w:bookmarkEnd w:id="105"/>
    </w:p>
    <w:p w14:paraId="468BDF05" w14:textId="77777777" w:rsidR="00781777" w:rsidRPr="00C843A0" w:rsidRDefault="00781777" w:rsidP="00781777">
      <w:pPr>
        <w:keepNext/>
        <w:numPr>
          <w:ilvl w:val="0"/>
          <w:numId w:val="5"/>
        </w:numPr>
        <w:spacing w:before="240" w:after="120"/>
        <w:jc w:val="left"/>
        <w:outlineLvl w:val="0"/>
        <w:rPr>
          <w:rFonts w:asciiTheme="minorHAnsi" w:hAnsiTheme="minorHAnsi"/>
          <w:b/>
          <w:snapToGrid w:val="0"/>
          <w:sz w:val="32"/>
          <w:szCs w:val="32"/>
        </w:rPr>
      </w:pPr>
      <w:r w:rsidRPr="00C843A0">
        <w:rPr>
          <w:rFonts w:asciiTheme="minorHAnsi" w:hAnsiTheme="minorHAnsi"/>
          <w:b/>
          <w:snapToGrid w:val="0"/>
          <w:sz w:val="32"/>
          <w:szCs w:val="32"/>
        </w:rPr>
        <w:t>Context for Decision</w:t>
      </w:r>
    </w:p>
    <w:p w14:paraId="7EF78CC4" w14:textId="77777777" w:rsidR="00781777" w:rsidRPr="00C843A0" w:rsidRDefault="00781777" w:rsidP="00781777">
      <w:pPr>
        <w:spacing w:after="120"/>
        <w:ind w:left="720"/>
        <w:rPr>
          <w:rFonts w:asciiTheme="minorHAnsi" w:hAnsiTheme="minorHAnsi"/>
          <w:bCs/>
          <w:lang w:val="en-GB"/>
        </w:rPr>
      </w:pPr>
      <w:r w:rsidRPr="00C843A0">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9E0461E" w14:textId="77777777" w:rsidR="00781777" w:rsidRPr="00C843A0" w:rsidRDefault="00781777" w:rsidP="00781777">
      <w:pPr>
        <w:keepNext/>
        <w:numPr>
          <w:ilvl w:val="0"/>
          <w:numId w:val="5"/>
        </w:numPr>
        <w:spacing w:before="240" w:after="120"/>
        <w:jc w:val="left"/>
        <w:outlineLvl w:val="0"/>
        <w:rPr>
          <w:rFonts w:asciiTheme="minorHAnsi" w:hAnsiTheme="minorHAnsi"/>
          <w:b/>
          <w:snapToGrid w:val="0"/>
          <w:sz w:val="32"/>
          <w:szCs w:val="32"/>
        </w:rPr>
      </w:pPr>
      <w:r w:rsidRPr="00C843A0">
        <w:rPr>
          <w:rFonts w:asciiTheme="minorHAnsi" w:hAnsiTheme="minorHAnsi"/>
          <w:b/>
          <w:snapToGrid w:val="0"/>
          <w:sz w:val="32"/>
          <w:szCs w:val="32"/>
        </w:rPr>
        <w:t>Sponsor’s Comment</w:t>
      </w:r>
    </w:p>
    <w:p w14:paraId="17D5DFED" w14:textId="1F02BC7C" w:rsidR="00781777" w:rsidRPr="000F782A" w:rsidRDefault="002D2740" w:rsidP="000F782A">
      <w:pPr>
        <w:spacing w:after="120" w:line="276" w:lineRule="auto"/>
        <w:ind w:left="720"/>
      </w:pPr>
      <w:r>
        <w:t xml:space="preserve">Novartis welcomes the PBAC’s decision to recommend </w:t>
      </w:r>
      <w:r w:rsidR="00BB4865">
        <w:t>ruxolitinib</w:t>
      </w:r>
      <w:r>
        <w:t xml:space="preserve"> for adults </w:t>
      </w:r>
      <w:r w:rsidR="007420C9" w:rsidRPr="007420C9">
        <w:t>with PV who are resistant to or intolerant of HC/HU</w:t>
      </w:r>
      <w:r w:rsidR="009F7A9A">
        <w:t xml:space="preserve">. Novartis </w:t>
      </w:r>
      <w:r>
        <w:t xml:space="preserve">would like to take this opportunity to thank the </w:t>
      </w:r>
      <w:r w:rsidR="00E73811">
        <w:t>PV</w:t>
      </w:r>
      <w:r>
        <w:t xml:space="preserve"> community and healthcare professionals who supported the </w:t>
      </w:r>
      <w:r w:rsidR="000F782A">
        <w:t>re</w:t>
      </w:r>
      <w:r>
        <w:t xml:space="preserve">submission. </w:t>
      </w:r>
      <w:r w:rsidR="00E73811">
        <w:t>Novartis</w:t>
      </w:r>
      <w:r>
        <w:t xml:space="preserve"> looks forward to working with the Department of Health to secure a PBS listing for</w:t>
      </w:r>
      <w:r w:rsidR="00E73811">
        <w:t xml:space="preserve"> ruxolitinib </w:t>
      </w:r>
      <w:r>
        <w:t xml:space="preserve">in adults with </w:t>
      </w:r>
      <w:r w:rsidR="00E73811">
        <w:t xml:space="preserve">PV </w:t>
      </w:r>
      <w:r w:rsidR="00754789">
        <w:t>who are resistant to or</w:t>
      </w:r>
      <w:r w:rsidR="00D27973">
        <w:t xml:space="preserve"> </w:t>
      </w:r>
      <w:r w:rsidR="00754789">
        <w:t xml:space="preserve">intolerant of HC/HU </w:t>
      </w:r>
      <w:r>
        <w:t>at the earliest opportunity</w:t>
      </w:r>
      <w:r w:rsidR="000F782A">
        <w:t>.</w:t>
      </w:r>
    </w:p>
    <w:sectPr w:rsidR="00781777" w:rsidRPr="000F782A" w:rsidSect="006E55A9">
      <w:headerReference w:type="even" r:id="rId25"/>
      <w:headerReference w:type="default" r:id="rId26"/>
      <w:footerReference w:type="even" r:id="rId27"/>
      <w:footerReference w:type="default" r:id="rId28"/>
      <w:headerReference w:type="first" r:id="rId29"/>
      <w:footerReference w:type="first" r:id="rId30"/>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AB720" w14:textId="77777777" w:rsidR="004728D8" w:rsidRDefault="004728D8" w:rsidP="00124A51">
      <w:r>
        <w:separator/>
      </w:r>
    </w:p>
    <w:p w14:paraId="28502111" w14:textId="77777777" w:rsidR="004728D8" w:rsidRDefault="004728D8"/>
  </w:endnote>
  <w:endnote w:type="continuationSeparator" w:id="0">
    <w:p w14:paraId="22B2346F" w14:textId="77777777" w:rsidR="004728D8" w:rsidRDefault="004728D8" w:rsidP="00124A51">
      <w:r>
        <w:continuationSeparator/>
      </w:r>
    </w:p>
    <w:p w14:paraId="2992578C" w14:textId="77777777" w:rsidR="004728D8" w:rsidRDefault="004728D8"/>
  </w:endnote>
  <w:endnote w:type="continuationNotice" w:id="1">
    <w:p w14:paraId="12757E6D" w14:textId="77777777" w:rsidR="004728D8" w:rsidRDefault="00472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Constantia"/>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75EC2" w14:textId="5A105932" w:rsidR="009309CC" w:rsidRDefault="009209B6">
    <w:pPr>
      <w:pStyle w:val="Footer"/>
    </w:pPr>
    <w:r>
      <w:rPr>
        <w:noProof/>
      </w:rPr>
      <mc:AlternateContent>
        <mc:Choice Requires="wps">
          <w:drawing>
            <wp:anchor distT="0" distB="0" distL="0" distR="0" simplePos="0" relativeHeight="251662336" behindDoc="0" locked="0" layoutInCell="1" allowOverlap="1" wp14:anchorId="403AB2FF" wp14:editId="23D1B27A">
              <wp:simplePos x="635" y="635"/>
              <wp:positionH relativeFrom="page">
                <wp:align>center</wp:align>
              </wp:positionH>
              <wp:positionV relativeFrom="page">
                <wp:align>bottom</wp:align>
              </wp:positionV>
              <wp:extent cx="551815" cy="376555"/>
              <wp:effectExtent l="0" t="0" r="635" b="0"/>
              <wp:wrapNone/>
              <wp:docPr id="13287709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A2774D8" w14:textId="76BA4108" w:rsidR="009209B6" w:rsidRPr="009209B6" w:rsidRDefault="009209B6" w:rsidP="009209B6">
                          <w:pPr>
                            <w:rPr>
                              <w:rFonts w:eastAsia="Calibri" w:cs="Calibri"/>
                              <w:noProof/>
                              <w:color w:val="FF0000"/>
                            </w:rPr>
                          </w:pPr>
                          <w:r w:rsidRPr="009209B6">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3AB2FF"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1A2774D8" w14:textId="76BA4108" w:rsidR="009209B6" w:rsidRPr="009209B6" w:rsidRDefault="009209B6" w:rsidP="009209B6">
                    <w:pPr>
                      <w:rPr>
                        <w:rFonts w:eastAsia="Calibri" w:cs="Calibri"/>
                        <w:noProof/>
                        <w:color w:val="FF0000"/>
                      </w:rPr>
                    </w:pPr>
                    <w:r w:rsidRPr="009209B6">
                      <w:rPr>
                        <w:rFonts w:eastAsia="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51AB3C02" w:rsidR="00D843F2" w:rsidRDefault="009209B6" w:rsidP="00753B29">
    <w:pPr>
      <w:pStyle w:val="Footer"/>
      <w:jc w:val="center"/>
    </w:pPr>
    <w:r>
      <w:rPr>
        <w:noProof/>
      </w:rPr>
      <mc:AlternateContent>
        <mc:Choice Requires="wps">
          <w:drawing>
            <wp:anchor distT="0" distB="0" distL="0" distR="0" simplePos="0" relativeHeight="251663360" behindDoc="0" locked="0" layoutInCell="1" allowOverlap="1" wp14:anchorId="3129EC0C" wp14:editId="32BC2BC7">
              <wp:simplePos x="914400" y="9410700"/>
              <wp:positionH relativeFrom="page">
                <wp:align>center</wp:align>
              </wp:positionH>
              <wp:positionV relativeFrom="page">
                <wp:align>bottom</wp:align>
              </wp:positionV>
              <wp:extent cx="551815" cy="376555"/>
              <wp:effectExtent l="0" t="0" r="635" b="0"/>
              <wp:wrapNone/>
              <wp:docPr id="184754888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C13FECB" w14:textId="16227CFA" w:rsidR="009209B6" w:rsidRPr="009209B6" w:rsidRDefault="009209B6" w:rsidP="009209B6">
                          <w:pPr>
                            <w:rPr>
                              <w:rFonts w:eastAsia="Calibri" w:cs="Calibri"/>
                              <w:noProof/>
                              <w:color w:val="FF0000"/>
                            </w:rPr>
                          </w:pPr>
                          <w:r w:rsidRPr="009209B6">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29EC0C"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2C13FECB" w14:textId="16227CFA" w:rsidR="009209B6" w:rsidRPr="009209B6" w:rsidRDefault="009209B6" w:rsidP="009209B6">
                    <w:pPr>
                      <w:rPr>
                        <w:rFonts w:eastAsia="Calibri" w:cs="Calibri"/>
                        <w:noProof/>
                        <w:color w:val="FF0000"/>
                      </w:rPr>
                    </w:pPr>
                    <w:r w:rsidRPr="009209B6">
                      <w:rPr>
                        <w:rFonts w:eastAsia="Calibri" w:cs="Calibri"/>
                        <w:noProof/>
                        <w:color w:val="FF0000"/>
                      </w:rPr>
                      <w:t>OFFICIAL</w:t>
                    </w:r>
                  </w:p>
                </w:txbxContent>
              </v:textbox>
              <w10:wrap anchorx="page" anchory="page"/>
            </v:shape>
          </w:pict>
        </mc:Fallback>
      </mc:AlternateContent>
    </w:r>
  </w:p>
  <w:p w14:paraId="37484CD3" w14:textId="55FC5B7E" w:rsidR="00D843F2" w:rsidRPr="007C1CD9" w:rsidRDefault="00C0236C" w:rsidP="006028D3">
    <w:pPr>
      <w:pStyle w:val="PageFooter"/>
    </w:pPr>
    <w:sdt>
      <w:sdtPr>
        <w:id w:val="1036156457"/>
        <w:docPartObj>
          <w:docPartGallery w:val="Page Numbers (Bottom of Page)"/>
          <w:docPartUnique/>
        </w:docPartObj>
      </w:sdtPr>
      <w:sdtEndPr>
        <w:rPr>
          <w:noProof/>
        </w:rPr>
      </w:sdtEndPr>
      <w:sdtContent>
        <w:r w:rsidR="00D843F2">
          <w:fldChar w:fldCharType="begin"/>
        </w:r>
        <w:r w:rsidR="00D843F2">
          <w:instrText xml:space="preserve"> PAGE   \* MERGEFORMAT </w:instrText>
        </w:r>
        <w:r w:rsidR="00D843F2">
          <w:fldChar w:fldCharType="separate"/>
        </w:r>
        <w:r w:rsidR="00D843F2">
          <w:rPr>
            <w:noProof/>
          </w:rPr>
          <w:t>2</w:t>
        </w:r>
        <w:r w:rsidR="00D843F2">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72317" w14:textId="1CCF3AEF" w:rsidR="009309CC" w:rsidRDefault="009209B6">
    <w:pPr>
      <w:pStyle w:val="Footer"/>
    </w:pPr>
    <w:r>
      <w:rPr>
        <w:noProof/>
      </w:rPr>
      <mc:AlternateContent>
        <mc:Choice Requires="wps">
          <w:drawing>
            <wp:anchor distT="0" distB="0" distL="0" distR="0" simplePos="0" relativeHeight="251661312" behindDoc="0" locked="0" layoutInCell="1" allowOverlap="1" wp14:anchorId="5514A1EA" wp14:editId="518EEB5F">
              <wp:simplePos x="635" y="635"/>
              <wp:positionH relativeFrom="page">
                <wp:align>center</wp:align>
              </wp:positionH>
              <wp:positionV relativeFrom="page">
                <wp:align>bottom</wp:align>
              </wp:positionV>
              <wp:extent cx="551815" cy="376555"/>
              <wp:effectExtent l="0" t="0" r="635" b="0"/>
              <wp:wrapNone/>
              <wp:docPr id="114423407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1ABE289" w14:textId="0A1E64C2" w:rsidR="009209B6" w:rsidRPr="009209B6" w:rsidRDefault="009209B6" w:rsidP="009209B6">
                          <w:pPr>
                            <w:rPr>
                              <w:rFonts w:eastAsia="Calibri" w:cs="Calibri"/>
                              <w:noProof/>
                              <w:color w:val="FF0000"/>
                            </w:rPr>
                          </w:pPr>
                          <w:r w:rsidRPr="009209B6">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14A1EA"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11ABE289" w14:textId="0A1E64C2" w:rsidR="009209B6" w:rsidRPr="009209B6" w:rsidRDefault="009209B6" w:rsidP="009209B6">
                    <w:pPr>
                      <w:rPr>
                        <w:rFonts w:eastAsia="Calibri" w:cs="Calibri"/>
                        <w:noProof/>
                        <w:color w:val="FF0000"/>
                      </w:rPr>
                    </w:pPr>
                    <w:r w:rsidRPr="009209B6">
                      <w:rPr>
                        <w:rFonts w:eastAsia="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2BF10" w14:textId="77777777" w:rsidR="004728D8" w:rsidRDefault="004728D8" w:rsidP="00124A51">
      <w:r>
        <w:separator/>
      </w:r>
    </w:p>
    <w:p w14:paraId="51A8A01A" w14:textId="77777777" w:rsidR="004728D8" w:rsidRDefault="004728D8"/>
  </w:footnote>
  <w:footnote w:type="continuationSeparator" w:id="0">
    <w:p w14:paraId="6B907CB6" w14:textId="77777777" w:rsidR="004728D8" w:rsidRDefault="004728D8" w:rsidP="00124A51">
      <w:r>
        <w:continuationSeparator/>
      </w:r>
    </w:p>
    <w:p w14:paraId="210D39F8" w14:textId="77777777" w:rsidR="004728D8" w:rsidRDefault="004728D8"/>
  </w:footnote>
  <w:footnote w:type="continuationNotice" w:id="1">
    <w:p w14:paraId="24E00A89" w14:textId="77777777" w:rsidR="004728D8" w:rsidRDefault="004728D8"/>
  </w:footnote>
  <w:footnote w:id="2">
    <w:p w14:paraId="3D917D8B" w14:textId="66BD7C74" w:rsidR="00F92E7E" w:rsidRDefault="00F92E7E" w:rsidP="00F92E7E">
      <w:pPr>
        <w:pStyle w:val="FootnoteText"/>
      </w:pPr>
      <w:r>
        <w:rPr>
          <w:rStyle w:val="FootnoteReference"/>
        </w:rPr>
        <w:footnoteRef/>
      </w:r>
      <w:r>
        <w:t xml:space="preserve"> C</w:t>
      </w:r>
      <w:r w:rsidRPr="00305B14">
        <w:t xml:space="preserve">omplete response defined as meeting all i) HCT &lt;45% without </w:t>
      </w:r>
      <w:r w:rsidR="00CA2F3A">
        <w:t>venesection</w:t>
      </w:r>
      <w:r w:rsidRPr="00305B14">
        <w:t xml:space="preserve"> for 3 months, ii) platelet count ≤400 x 10</w:t>
      </w:r>
      <w:r w:rsidRPr="00305B14">
        <w:rPr>
          <w:vertAlign w:val="superscript"/>
        </w:rPr>
        <w:t>9</w:t>
      </w:r>
      <w:r w:rsidRPr="00305B14">
        <w:t>/L, iii)</w:t>
      </w:r>
      <w:r>
        <w:t xml:space="preserve"> </w:t>
      </w:r>
      <w:r w:rsidRPr="00305B14">
        <w:t>white blood cell</w:t>
      </w:r>
      <w:r>
        <w:t xml:space="preserve"> (WBC)</w:t>
      </w:r>
      <w:r w:rsidRPr="00305B14">
        <w:t xml:space="preserve"> count ≤10 × 10</w:t>
      </w:r>
      <w:r w:rsidRPr="00305B14">
        <w:rPr>
          <w:vertAlign w:val="superscript"/>
        </w:rPr>
        <w:t>9</w:t>
      </w:r>
      <w:r w:rsidRPr="00305B14">
        <w:t>/L and iv) normal spleen size on imaging</w:t>
      </w:r>
    </w:p>
  </w:footnote>
  <w:footnote w:id="3">
    <w:p w14:paraId="08DC9F8D" w14:textId="77777777" w:rsidR="00767E8A" w:rsidRDefault="00767E8A" w:rsidP="00767E8A">
      <w:pPr>
        <w:pStyle w:val="FootnoteText"/>
      </w:pPr>
      <w:r>
        <w:rPr>
          <w:rStyle w:val="FootnoteReference"/>
        </w:rPr>
        <w:footnoteRef/>
      </w:r>
      <w:r>
        <w:t xml:space="preserve"> </w:t>
      </w:r>
      <w:r w:rsidRPr="00226A5C">
        <w:t>High risk patients</w:t>
      </w:r>
      <w:r>
        <w:t>:</w:t>
      </w:r>
      <w:r w:rsidRPr="00226A5C">
        <w:t xml:space="preserve"> those who have experienced thromboses or who are aged over 60 years</w:t>
      </w:r>
      <w:r>
        <w:t xml:space="preserve">. </w:t>
      </w:r>
    </w:p>
  </w:footnote>
  <w:footnote w:id="4">
    <w:p w14:paraId="2C4A3EF4" w14:textId="77777777" w:rsidR="00F56132" w:rsidRDefault="00F56132" w:rsidP="00F56132">
      <w:pPr>
        <w:pStyle w:val="FootnoteText"/>
      </w:pPr>
      <w:r>
        <w:rPr>
          <w:rStyle w:val="FootnoteReference"/>
        </w:rPr>
        <w:footnoteRef/>
      </w:r>
      <w:r>
        <w:t xml:space="preserve"> </w:t>
      </w:r>
      <w:r w:rsidRPr="00215C9F">
        <w:t xml:space="preserve">Abu-Zeinah G, Krichevsky S, Cruz T, Hoberman G, Jaber D, Savage N, Sosner C, Ritchie EK, Scandura JM and Silver RT, 2021. Interferon-alpha for treating polycythemia vera yields improved myelofibrosis-free and overall survival. </w:t>
      </w:r>
      <w:r w:rsidRPr="00215C9F">
        <w:rPr>
          <w:i/>
          <w:iCs/>
        </w:rPr>
        <w:t>Leukemia</w:t>
      </w:r>
      <w:r w:rsidRPr="00215C9F">
        <w:t xml:space="preserve">, </w:t>
      </w:r>
      <w:r w:rsidRPr="00215C9F">
        <w:rPr>
          <w:i/>
          <w:iCs/>
        </w:rPr>
        <w:t>35</w:t>
      </w:r>
      <w:r w:rsidRPr="00215C9F">
        <w:t>(9), pp.2592-2601.</w:t>
      </w:r>
    </w:p>
    <w:p w14:paraId="375DE35E" w14:textId="77777777" w:rsidR="00F56132" w:rsidRDefault="00F56132" w:rsidP="00F56132">
      <w:pPr>
        <w:pStyle w:val="FootnoteText"/>
      </w:pPr>
      <w:r w:rsidRPr="0099298C">
        <w:t>Kiladjian JJ, Klade</w:t>
      </w:r>
      <w:r>
        <w:t xml:space="preserve"> </w:t>
      </w:r>
      <w:r w:rsidRPr="0099298C">
        <w:t xml:space="preserve">C, Georgiev P, Krochmalczyk D, Gercheva-Kyuchukova L, Egyed M, Dulicek P, Illes A, Pylypenko H, Sivcheva L and Mayer J, 2022. Long-term outcomes of polycythemia vera patients treated with ropeginterferon Alfa-2b. </w:t>
      </w:r>
      <w:r w:rsidRPr="008B4DB3">
        <w:rPr>
          <w:i/>
          <w:iCs/>
        </w:rPr>
        <w:t>Leukemia</w:t>
      </w:r>
      <w:r w:rsidRPr="0099298C">
        <w:t>, 36(5), pp.1408-1411.</w:t>
      </w:r>
    </w:p>
    <w:p w14:paraId="27E866FD" w14:textId="77777777" w:rsidR="00F56132" w:rsidRDefault="00F56132" w:rsidP="00F56132">
      <w:pPr>
        <w:pStyle w:val="FootnoteText"/>
      </w:pPr>
      <w:r w:rsidRPr="00AD2F02">
        <w:t xml:space="preserve">Gisslinger H, Klade C, Georgiev P, Krochmalczyk D, Gercheva-Kyuchukova L, Egyed M, Dulicek P, Illes A, Pylypenko H, Sivcheva L and Mayer J, 2023. Event-free survival in patients with polycythemia vera treated with ropeginterferon alfa-2b versus best available treatment. </w:t>
      </w:r>
      <w:r w:rsidRPr="00AD2F02">
        <w:rPr>
          <w:i/>
          <w:iCs/>
        </w:rPr>
        <w:t>Leukemia</w:t>
      </w:r>
      <w:r w:rsidRPr="00AD2F02">
        <w:t xml:space="preserve">, </w:t>
      </w:r>
      <w:r w:rsidRPr="00AD2F02">
        <w:rPr>
          <w:i/>
          <w:iCs/>
        </w:rPr>
        <w:t>37</w:t>
      </w:r>
      <w:r w:rsidRPr="00AD2F02">
        <w:t>(10), pp.2129-2132.</w:t>
      </w:r>
    </w:p>
  </w:footnote>
  <w:footnote w:id="5">
    <w:p w14:paraId="4EC1829C" w14:textId="38A01462" w:rsidR="00C975D1" w:rsidRDefault="00C975D1">
      <w:pPr>
        <w:pStyle w:val="FootnoteText"/>
      </w:pPr>
      <w:r>
        <w:rPr>
          <w:rStyle w:val="FootnoteReference"/>
        </w:rPr>
        <w:footnoteRef/>
      </w:r>
      <w:r>
        <w:t xml:space="preserve"> </w:t>
      </w:r>
      <w:r w:rsidR="00343601" w:rsidRPr="00343601">
        <w:t>Harrison CN, Nangalia J, Boucher R, Jackson A, Yap C, O'Sullivan J, Fox S, Ailts I, Dueck AC, Geyer HL, Mesa RA, Dunn WG, Nadezhdin E, Curto-Garcia N, Green A, Wilkins B, Coppell J, Laurie J, Garg M, Ewing J, Knapper S, Crowe J, Chen F, Koutsavlis I, Godfrey A, Arami S, Drummond M, Byrne J, Clark F, Mead-Harvey C, Baxter EJ, McMullin MF</w:t>
      </w:r>
      <w:r w:rsidR="00343601">
        <w:t xml:space="preserve"> and </w:t>
      </w:r>
      <w:r w:rsidR="00343601" w:rsidRPr="00343601">
        <w:t>Mead AJ</w:t>
      </w:r>
      <w:r w:rsidR="009B226F">
        <w:t>, 2023.</w:t>
      </w:r>
      <w:r w:rsidR="00343601" w:rsidRPr="00343601">
        <w:t xml:space="preserve"> Ruxolitinib Versus Best Available Therapy for Polycythemia Vera Intolerant or Resistant to Hydroxycarbamide in a Randomized Trial. J Clin Oncol</w:t>
      </w:r>
      <w:r w:rsidR="00873EF6">
        <w:t xml:space="preserve">, </w:t>
      </w:r>
      <w:r w:rsidR="00343601" w:rsidRPr="00873EF6">
        <w:rPr>
          <w:i/>
          <w:iCs/>
        </w:rPr>
        <w:t>41</w:t>
      </w:r>
      <w:r w:rsidR="00343601" w:rsidRPr="00343601">
        <w:t>(19)</w:t>
      </w:r>
      <w:r w:rsidR="00873EF6">
        <w:t>, pp.</w:t>
      </w:r>
      <w:r w:rsidR="00343601" w:rsidRPr="00343601">
        <w:t>3534-3544.</w:t>
      </w:r>
    </w:p>
  </w:footnote>
  <w:footnote w:id="6">
    <w:p w14:paraId="167BBEC0" w14:textId="5EC77C7B" w:rsidR="000749DA" w:rsidRPr="00DF7921" w:rsidRDefault="000749DA" w:rsidP="00DF7921">
      <w:pPr>
        <w:autoSpaceDE w:val="0"/>
        <w:autoSpaceDN w:val="0"/>
        <w:adjustRightInd w:val="0"/>
        <w:jc w:val="left"/>
        <w:rPr>
          <w:sz w:val="20"/>
          <w:szCs w:val="20"/>
        </w:rPr>
      </w:pPr>
      <w:r>
        <w:rPr>
          <w:rStyle w:val="FootnoteReference"/>
        </w:rPr>
        <w:footnoteRef/>
      </w:r>
      <w:r>
        <w:t xml:space="preserve"> </w:t>
      </w:r>
      <w:r w:rsidR="00DF7921" w:rsidRPr="00DF7921">
        <w:rPr>
          <w:sz w:val="20"/>
          <w:szCs w:val="20"/>
        </w:rPr>
        <w:t>HCT &lt;45% without phlebotomy (at least 3 months since last phlebotomy); OR platelet count ≤400 x 109/L OR absence of palpable</w:t>
      </w:r>
      <w:r w:rsidR="00DF7921">
        <w:rPr>
          <w:sz w:val="20"/>
          <w:szCs w:val="20"/>
        </w:rPr>
        <w:t xml:space="preserve"> </w:t>
      </w:r>
      <w:r w:rsidR="00DF7921" w:rsidRPr="00DF7921">
        <w:rPr>
          <w:sz w:val="20"/>
          <w:szCs w:val="20"/>
        </w:rPr>
        <w:t>splenomegaly</w:t>
      </w:r>
      <w:r w:rsidR="00DF7921">
        <w:rPr>
          <w:sz w:val="20"/>
          <w:szCs w:val="20"/>
        </w:rPr>
        <w:t>.</w:t>
      </w:r>
    </w:p>
  </w:footnote>
  <w:footnote w:id="7">
    <w:p w14:paraId="21240305" w14:textId="77777777" w:rsidR="001F5AFC" w:rsidRDefault="001F5AFC" w:rsidP="001F5AFC">
      <w:pPr>
        <w:pStyle w:val="FootnoteText"/>
      </w:pPr>
      <w:r>
        <w:rPr>
          <w:rStyle w:val="FootnoteReference"/>
        </w:rPr>
        <w:footnoteRef/>
      </w:r>
      <w:r>
        <w:t xml:space="preserve"> Rocca Mora et al. (2024) ‘</w:t>
      </w:r>
      <w:r w:rsidRPr="007B7090">
        <w:t>Efficacy and safety of ruxolitinib vs best available therapy for polycythemia vera: An updated systematic review and meta-analysis</w:t>
      </w:r>
      <w:r>
        <w:t xml:space="preserve">’. APMIS. </w:t>
      </w:r>
      <w:r w:rsidRPr="00A508B4">
        <w:t>132: 775-786. </w:t>
      </w:r>
      <w:hyperlink r:id="rId1" w:history="1">
        <w:r w:rsidRPr="00A508B4">
          <w:rPr>
            <w:rStyle w:val="Hyperlink"/>
          </w:rPr>
          <w:t>https://doi.org/10.1111/apm.13472</w:t>
        </w:r>
      </w:hyperlink>
    </w:p>
  </w:footnote>
  <w:footnote w:id="8">
    <w:p w14:paraId="406F241C" w14:textId="77777777" w:rsidR="003E4026" w:rsidRDefault="003E4026" w:rsidP="003E4026">
      <w:pPr>
        <w:pStyle w:val="FootnoteText"/>
      </w:pPr>
      <w:r>
        <w:rPr>
          <w:rStyle w:val="FootnoteReference"/>
        </w:rPr>
        <w:footnoteRef/>
      </w:r>
      <w:r>
        <w:t xml:space="preserve"> Rocca Mora et al. (2024) ‘</w:t>
      </w:r>
      <w:r w:rsidRPr="007B7090">
        <w:t>Efficacy and safety of ruxolitinib vs best available therapy for polycythemia vera: An updated systematic review and meta-analysis</w:t>
      </w:r>
      <w:r>
        <w:t xml:space="preserve">’. APMIS. </w:t>
      </w:r>
      <w:r w:rsidRPr="00A508B4">
        <w:t>132: 775-786. </w:t>
      </w:r>
      <w:hyperlink r:id="rId2" w:history="1">
        <w:r w:rsidRPr="00A508B4">
          <w:rPr>
            <w:rStyle w:val="Hyperlink"/>
          </w:rPr>
          <w:t>https://doi.org/10.1111/apm.13472</w:t>
        </w:r>
      </w:hyperlink>
    </w:p>
  </w:footnote>
  <w:footnote w:id="9">
    <w:p w14:paraId="210F536B" w14:textId="3C165340" w:rsidR="008975CB" w:rsidRDefault="008975CB" w:rsidP="008975CB">
      <w:pPr>
        <w:pStyle w:val="FootnoteText"/>
      </w:pPr>
      <w:r>
        <w:rPr>
          <w:rStyle w:val="FootnoteReference"/>
        </w:rPr>
        <w:footnoteRef/>
      </w:r>
      <w:r>
        <w:t xml:space="preserve"> Rocca Mora et al.</w:t>
      </w:r>
      <w:r w:rsidR="000D2D7F">
        <w:t>,</w:t>
      </w:r>
      <w:r>
        <w:t xml:space="preserve"> (2024) ‘</w:t>
      </w:r>
      <w:r w:rsidRPr="007B7090">
        <w:t>Efficacy and safety of ruxolitinib vs best available therapy for polycythemia vera: An updated systematic review and meta-analysis</w:t>
      </w:r>
      <w:r>
        <w:t xml:space="preserve">’. APMIS. </w:t>
      </w:r>
      <w:r w:rsidRPr="00A508B4">
        <w:t>132: 775-786. </w:t>
      </w:r>
      <w:hyperlink r:id="rId3" w:history="1">
        <w:r w:rsidRPr="00A508B4">
          <w:rPr>
            <w:rStyle w:val="Hyperlink"/>
          </w:rPr>
          <w:t>https://doi.org/10.1111/apm.13472</w:t>
        </w:r>
      </w:hyperlink>
    </w:p>
  </w:footnote>
  <w:footnote w:id="10">
    <w:p w14:paraId="63FFE79E" w14:textId="1567D0D4" w:rsidR="008975CB" w:rsidRPr="002B564A" w:rsidRDefault="008975CB" w:rsidP="008975CB">
      <w:pPr>
        <w:pStyle w:val="FootnoteText"/>
        <w:rPr>
          <w:b/>
          <w:bCs/>
        </w:rPr>
      </w:pPr>
      <w:r>
        <w:rPr>
          <w:rStyle w:val="FootnoteReference"/>
        </w:rPr>
        <w:footnoteRef/>
      </w:r>
      <w:r>
        <w:t xml:space="preserve"> Wang et al.</w:t>
      </w:r>
      <w:r w:rsidR="000D2D7F">
        <w:t>,</w:t>
      </w:r>
      <w:r>
        <w:t xml:space="preserve"> (2023), </w:t>
      </w:r>
      <w:r>
        <w:rPr>
          <w:i/>
          <w:iCs/>
        </w:rPr>
        <w:t xml:space="preserve">Differences in post-polycythaemia vera and post-essential thrombocythemia myelofibrosis vs primary myelofibrosis in the fibrotic stage: a retrospective, real-world study conducted in China. </w:t>
      </w:r>
      <w:hyperlink r:id="rId4" w:tgtFrame="_blank" w:history="1">
        <w:r w:rsidRPr="00886FCB">
          <w:rPr>
            <w:rStyle w:val="Hyperlink"/>
            <w:i/>
            <w:iCs/>
          </w:rPr>
          <w:t>10.1097/01.HS9.0000975592.83600.cf</w:t>
        </w:r>
      </w:hyperlink>
    </w:p>
    <w:p w14:paraId="6B6577A1" w14:textId="77777777" w:rsidR="008975CB" w:rsidRDefault="008975CB" w:rsidP="008975CB">
      <w:pPr>
        <w:pStyle w:val="FootnoteText"/>
      </w:pPr>
    </w:p>
  </w:footnote>
  <w:footnote w:id="11">
    <w:p w14:paraId="2EAB5686" w14:textId="77777777" w:rsidR="008975CB" w:rsidRDefault="008975CB" w:rsidP="008975CB">
      <w:pPr>
        <w:pStyle w:val="FootnoteText"/>
      </w:pPr>
      <w:r>
        <w:rPr>
          <w:rStyle w:val="FootnoteReference"/>
        </w:rPr>
        <w:footnoteRef/>
      </w:r>
      <w:r>
        <w:t xml:space="preserve"> </w:t>
      </w:r>
      <w:r w:rsidRPr="005A0ADB">
        <w:t>Baade et al., (2019), 'Changing incidence of myeloproliferative neoplasms in Australia, 2003-2014', Am J Hematol, 94, 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E03C0" w14:textId="3ABF3AB2" w:rsidR="009309CC" w:rsidRDefault="009209B6">
    <w:pPr>
      <w:pStyle w:val="Header"/>
    </w:pPr>
    <w:r>
      <w:rPr>
        <w:noProof/>
      </w:rPr>
      <mc:AlternateContent>
        <mc:Choice Requires="wps">
          <w:drawing>
            <wp:anchor distT="0" distB="0" distL="0" distR="0" simplePos="0" relativeHeight="251659264" behindDoc="0" locked="0" layoutInCell="1" allowOverlap="1" wp14:anchorId="553B98BA" wp14:editId="1D0955C4">
              <wp:simplePos x="635" y="635"/>
              <wp:positionH relativeFrom="page">
                <wp:align>center</wp:align>
              </wp:positionH>
              <wp:positionV relativeFrom="page">
                <wp:align>top</wp:align>
              </wp:positionV>
              <wp:extent cx="551815" cy="376555"/>
              <wp:effectExtent l="0" t="0" r="635" b="4445"/>
              <wp:wrapNone/>
              <wp:docPr id="52476035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7B3EEBA" w14:textId="2CDA3D1F" w:rsidR="009209B6" w:rsidRPr="009209B6" w:rsidRDefault="009209B6" w:rsidP="009209B6">
                          <w:pPr>
                            <w:rPr>
                              <w:rFonts w:eastAsia="Calibri" w:cs="Calibri"/>
                              <w:noProof/>
                              <w:color w:val="FF0000"/>
                            </w:rPr>
                          </w:pPr>
                          <w:r w:rsidRPr="009209B6">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3B98BA"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57B3EEBA" w14:textId="2CDA3D1F" w:rsidR="009209B6" w:rsidRPr="009209B6" w:rsidRDefault="009209B6" w:rsidP="009209B6">
                    <w:pPr>
                      <w:rPr>
                        <w:rFonts w:eastAsia="Calibri" w:cs="Calibri"/>
                        <w:noProof/>
                        <w:color w:val="FF0000"/>
                      </w:rPr>
                    </w:pPr>
                    <w:r w:rsidRPr="009209B6">
                      <w:rPr>
                        <w:rFonts w:eastAsia="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582C7276" w:rsidR="00D843F2" w:rsidRPr="007A637E" w:rsidRDefault="009209B6" w:rsidP="00D822E2">
    <w:pPr>
      <w:pStyle w:val="Header"/>
      <w:rPr>
        <w:rFonts w:asciiTheme="minorHAnsi" w:hAnsiTheme="minorHAnsi" w:cstheme="minorHAnsi"/>
        <w:color w:val="808080"/>
      </w:rPr>
    </w:pPr>
    <w:r>
      <w:rPr>
        <w:rFonts w:asciiTheme="minorHAnsi" w:hAnsiTheme="minorHAnsi" w:cstheme="minorHAnsi"/>
        <w:noProof/>
        <w:color w:val="808080"/>
      </w:rPr>
      <mc:AlternateContent>
        <mc:Choice Requires="wps">
          <w:drawing>
            <wp:anchor distT="0" distB="0" distL="0" distR="0" simplePos="0" relativeHeight="251660288" behindDoc="0" locked="0" layoutInCell="1" allowOverlap="1" wp14:anchorId="3C2FFDF2" wp14:editId="3CEA79CB">
              <wp:simplePos x="914400" y="914400"/>
              <wp:positionH relativeFrom="page">
                <wp:align>center</wp:align>
              </wp:positionH>
              <wp:positionV relativeFrom="page">
                <wp:align>top</wp:align>
              </wp:positionV>
              <wp:extent cx="551815" cy="376555"/>
              <wp:effectExtent l="0" t="0" r="635" b="4445"/>
              <wp:wrapNone/>
              <wp:docPr id="199594856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EA05F8C" w14:textId="197E78D2" w:rsidR="009209B6" w:rsidRPr="009209B6" w:rsidRDefault="009209B6" w:rsidP="009209B6">
                          <w:pPr>
                            <w:rPr>
                              <w:rFonts w:eastAsia="Calibri" w:cs="Calibri"/>
                              <w:noProof/>
                              <w:color w:val="FF0000"/>
                            </w:rPr>
                          </w:pPr>
                          <w:r w:rsidRPr="009209B6">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2FFDF2"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6EA05F8C" w14:textId="197E78D2" w:rsidR="009209B6" w:rsidRPr="009209B6" w:rsidRDefault="009209B6" w:rsidP="009209B6">
                    <w:pPr>
                      <w:rPr>
                        <w:rFonts w:eastAsia="Calibri" w:cs="Calibri"/>
                        <w:noProof/>
                        <w:color w:val="FF0000"/>
                      </w:rPr>
                    </w:pPr>
                    <w:r w:rsidRPr="009209B6">
                      <w:rPr>
                        <w:rFonts w:eastAsia="Calibri" w:cs="Calibri"/>
                        <w:noProof/>
                        <w:color w:val="FF0000"/>
                      </w:rPr>
                      <w:t>OFFICIAL</w:t>
                    </w:r>
                  </w:p>
                </w:txbxContent>
              </v:textbox>
              <w10:wrap anchorx="page" anchory="page"/>
            </v:shape>
          </w:pict>
        </mc:Fallback>
      </mc:AlternateContent>
    </w:r>
    <w:r w:rsidR="00B43C0C" w:rsidRPr="00B43C0C">
      <w:rPr>
        <w:rFonts w:asciiTheme="minorHAnsi" w:hAnsiTheme="minorHAnsi" w:cstheme="minorHAnsi"/>
        <w:color w:val="808080"/>
      </w:rPr>
      <w:t xml:space="preserve">Public Summary Document </w:t>
    </w:r>
    <w:r w:rsidR="00946411" w:rsidRPr="007A637E">
      <w:rPr>
        <w:rFonts w:asciiTheme="minorHAnsi" w:hAnsiTheme="minorHAnsi" w:cstheme="minorHAnsi"/>
        <w:color w:val="808080"/>
      </w:rPr>
      <w:t xml:space="preserve">- </w:t>
    </w:r>
    <w:r w:rsidR="00261059" w:rsidRPr="007A637E">
      <w:rPr>
        <w:rFonts w:asciiTheme="minorHAnsi" w:hAnsiTheme="minorHAnsi" w:cstheme="minorHAnsi"/>
        <w:color w:val="808080"/>
      </w:rPr>
      <w:t>March</w:t>
    </w:r>
    <w:r w:rsidR="00D843F2" w:rsidRPr="007A637E">
      <w:rPr>
        <w:rFonts w:asciiTheme="minorHAnsi" w:hAnsiTheme="minorHAnsi" w:cstheme="minorHAnsi"/>
        <w:color w:val="808080"/>
      </w:rPr>
      <w:t xml:space="preserve"> 202</w:t>
    </w:r>
    <w:r w:rsidR="00261059" w:rsidRPr="007A637E">
      <w:rPr>
        <w:rFonts w:asciiTheme="minorHAnsi" w:hAnsiTheme="minorHAnsi" w:cstheme="minorHAnsi"/>
        <w:color w:val="808080"/>
      </w:rPr>
      <w:t>5</w:t>
    </w:r>
    <w:r w:rsidR="00D843F2" w:rsidRPr="007A637E">
      <w:rPr>
        <w:rFonts w:asciiTheme="minorHAnsi" w:hAnsiTheme="minorHAnsi" w:cstheme="minorHAnsi"/>
        <w:color w:val="808080"/>
      </w:rPr>
      <w:t xml:space="preserve"> PBAC Meeting</w:t>
    </w:r>
  </w:p>
  <w:p w14:paraId="03AF943B" w14:textId="23565200" w:rsidR="00D843F2" w:rsidRPr="008C7EC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B4E3F" w14:textId="2C1E2C3A" w:rsidR="009309CC" w:rsidRDefault="009209B6">
    <w:pPr>
      <w:pStyle w:val="Header"/>
    </w:pPr>
    <w:r>
      <w:rPr>
        <w:noProof/>
      </w:rPr>
      <mc:AlternateContent>
        <mc:Choice Requires="wps">
          <w:drawing>
            <wp:anchor distT="0" distB="0" distL="0" distR="0" simplePos="0" relativeHeight="251658240" behindDoc="0" locked="0" layoutInCell="1" allowOverlap="1" wp14:anchorId="1C9384D0" wp14:editId="7DEF0F3A">
              <wp:simplePos x="635" y="635"/>
              <wp:positionH relativeFrom="page">
                <wp:align>center</wp:align>
              </wp:positionH>
              <wp:positionV relativeFrom="page">
                <wp:align>top</wp:align>
              </wp:positionV>
              <wp:extent cx="551815" cy="376555"/>
              <wp:effectExtent l="0" t="0" r="635" b="4445"/>
              <wp:wrapNone/>
              <wp:docPr id="5482321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8272079" w14:textId="4015A397" w:rsidR="009209B6" w:rsidRPr="009209B6" w:rsidRDefault="009209B6" w:rsidP="009209B6">
                          <w:pPr>
                            <w:rPr>
                              <w:rFonts w:eastAsia="Calibri" w:cs="Calibri"/>
                              <w:noProof/>
                              <w:color w:val="FF0000"/>
                            </w:rPr>
                          </w:pPr>
                          <w:r w:rsidRPr="009209B6">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9384D0"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68272079" w14:textId="4015A397" w:rsidR="009209B6" w:rsidRPr="009209B6" w:rsidRDefault="009209B6" w:rsidP="009209B6">
                    <w:pPr>
                      <w:rPr>
                        <w:rFonts w:eastAsia="Calibri" w:cs="Calibri"/>
                        <w:noProof/>
                        <w:color w:val="FF0000"/>
                      </w:rPr>
                    </w:pPr>
                    <w:r w:rsidRPr="009209B6">
                      <w:rPr>
                        <w:rFonts w:eastAsia="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A56F84"/>
    <w:multiLevelType w:val="hybridMultilevel"/>
    <w:tmpl w:val="C020368E"/>
    <w:lvl w:ilvl="0" w:tplc="867CE952">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6A71DE6"/>
    <w:multiLevelType w:val="hybridMultilevel"/>
    <w:tmpl w:val="333E4152"/>
    <w:lvl w:ilvl="0" w:tplc="7C8EB71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0346AD7"/>
    <w:multiLevelType w:val="hybridMultilevel"/>
    <w:tmpl w:val="0608D890"/>
    <w:lvl w:ilvl="0" w:tplc="ADC047A8">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3F742E"/>
    <w:multiLevelType w:val="hybridMultilevel"/>
    <w:tmpl w:val="AE265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742C1F"/>
    <w:multiLevelType w:val="hybridMultilevel"/>
    <w:tmpl w:val="09849046"/>
    <w:lvl w:ilvl="0" w:tplc="7ACA15C6">
      <w:start w:val="1"/>
      <w:numFmt w:val="bullet"/>
      <w:pStyle w:val="Tablebullet"/>
      <w:lvlText w:val=""/>
      <w:lvlJc w:val="left"/>
      <w:pPr>
        <w:ind w:left="360" w:hanging="360"/>
      </w:pPr>
      <w:rPr>
        <w:rFonts w:ascii="Symbol" w:hAnsi="Symbol" w:hint="default"/>
      </w:rPr>
    </w:lvl>
    <w:lvl w:ilvl="1" w:tplc="785C05E4">
      <w:start w:val="1"/>
      <w:numFmt w:val="bullet"/>
      <w:lvlText w:val="-"/>
      <w:lvlJc w:val="left"/>
      <w:pPr>
        <w:ind w:left="-828" w:hanging="360"/>
      </w:pPr>
      <w:rPr>
        <w:rFonts w:ascii="Courier New" w:hAnsi="Courier New" w:hint="default"/>
      </w:rPr>
    </w:lvl>
    <w:lvl w:ilvl="2" w:tplc="0C090005">
      <w:start w:val="1"/>
      <w:numFmt w:val="bullet"/>
      <w:lvlText w:val=""/>
      <w:lvlJc w:val="left"/>
      <w:pPr>
        <w:ind w:left="-108" w:hanging="360"/>
      </w:pPr>
      <w:rPr>
        <w:rFonts w:ascii="Wingdings" w:hAnsi="Wingdings" w:hint="default"/>
      </w:rPr>
    </w:lvl>
    <w:lvl w:ilvl="3" w:tplc="0C090001">
      <w:start w:val="1"/>
      <w:numFmt w:val="bullet"/>
      <w:lvlText w:val=""/>
      <w:lvlJc w:val="left"/>
      <w:pPr>
        <w:ind w:left="612" w:hanging="360"/>
      </w:pPr>
      <w:rPr>
        <w:rFonts w:ascii="Symbol" w:hAnsi="Symbol" w:hint="default"/>
      </w:rPr>
    </w:lvl>
    <w:lvl w:ilvl="4" w:tplc="0C090003">
      <w:start w:val="1"/>
      <w:numFmt w:val="bullet"/>
      <w:lvlText w:val="o"/>
      <w:lvlJc w:val="left"/>
      <w:pPr>
        <w:ind w:left="1332" w:hanging="360"/>
      </w:pPr>
      <w:rPr>
        <w:rFonts w:ascii="Courier New" w:hAnsi="Courier New" w:cs="Courier New" w:hint="default"/>
      </w:rPr>
    </w:lvl>
    <w:lvl w:ilvl="5" w:tplc="0C090005" w:tentative="1">
      <w:start w:val="1"/>
      <w:numFmt w:val="bullet"/>
      <w:lvlText w:val=""/>
      <w:lvlJc w:val="left"/>
      <w:pPr>
        <w:ind w:left="2052" w:hanging="360"/>
      </w:pPr>
      <w:rPr>
        <w:rFonts w:ascii="Wingdings" w:hAnsi="Wingdings" w:hint="default"/>
      </w:rPr>
    </w:lvl>
    <w:lvl w:ilvl="6" w:tplc="0C090001" w:tentative="1">
      <w:start w:val="1"/>
      <w:numFmt w:val="bullet"/>
      <w:lvlText w:val=""/>
      <w:lvlJc w:val="left"/>
      <w:pPr>
        <w:ind w:left="2772" w:hanging="360"/>
      </w:pPr>
      <w:rPr>
        <w:rFonts w:ascii="Symbol" w:hAnsi="Symbol" w:hint="default"/>
      </w:rPr>
    </w:lvl>
    <w:lvl w:ilvl="7" w:tplc="0C090003" w:tentative="1">
      <w:start w:val="1"/>
      <w:numFmt w:val="bullet"/>
      <w:lvlText w:val="o"/>
      <w:lvlJc w:val="left"/>
      <w:pPr>
        <w:ind w:left="3492" w:hanging="360"/>
      </w:pPr>
      <w:rPr>
        <w:rFonts w:ascii="Courier New" w:hAnsi="Courier New" w:cs="Courier New" w:hint="default"/>
      </w:rPr>
    </w:lvl>
    <w:lvl w:ilvl="8" w:tplc="0C090005" w:tentative="1">
      <w:start w:val="1"/>
      <w:numFmt w:val="bullet"/>
      <w:lvlText w:val=""/>
      <w:lvlJc w:val="left"/>
      <w:pPr>
        <w:ind w:left="4212" w:hanging="360"/>
      </w:pPr>
      <w:rPr>
        <w:rFonts w:ascii="Wingdings" w:hAnsi="Wingdings" w:hint="default"/>
      </w:rPr>
    </w:lvl>
  </w:abstractNum>
  <w:abstractNum w:abstractNumId="9" w15:restartNumberingAfterBreak="0">
    <w:nsid w:val="59834A54"/>
    <w:multiLevelType w:val="hybridMultilevel"/>
    <w:tmpl w:val="21A05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3EB7957"/>
    <w:multiLevelType w:val="hybridMultilevel"/>
    <w:tmpl w:val="96828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84D033C"/>
    <w:multiLevelType w:val="multilevel"/>
    <w:tmpl w:val="A7C476B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942881">
    <w:abstractNumId w:val="7"/>
  </w:num>
  <w:num w:numId="2" w16cid:durableId="289477226">
    <w:abstractNumId w:val="0"/>
  </w:num>
  <w:num w:numId="3" w16cid:durableId="2000764990">
    <w:abstractNumId w:val="11"/>
  </w:num>
  <w:num w:numId="4" w16cid:durableId="881357159">
    <w:abstractNumId w:val="4"/>
  </w:num>
  <w:num w:numId="5" w16cid:durableId="1505435302">
    <w:abstractNumId w:val="13"/>
  </w:num>
  <w:num w:numId="6" w16cid:durableId="1548105159">
    <w:abstractNumId w:val="5"/>
  </w:num>
  <w:num w:numId="7" w16cid:durableId="676886565">
    <w:abstractNumId w:val="10"/>
  </w:num>
  <w:num w:numId="8" w16cid:durableId="598563131">
    <w:abstractNumId w:val="8"/>
  </w:num>
  <w:num w:numId="9" w16cid:durableId="978847544">
    <w:abstractNumId w:val="14"/>
  </w:num>
  <w:num w:numId="10" w16cid:durableId="1830049388">
    <w:abstractNumId w:val="6"/>
  </w:num>
  <w:num w:numId="11" w16cid:durableId="1503357020">
    <w:abstractNumId w:val="9"/>
  </w:num>
  <w:num w:numId="12" w16cid:durableId="71975188">
    <w:abstractNumId w:val="2"/>
  </w:num>
  <w:num w:numId="13" w16cid:durableId="67726162">
    <w:abstractNumId w:val="12"/>
  </w:num>
  <w:num w:numId="14" w16cid:durableId="594244329">
    <w:abstractNumId w:val="1"/>
  </w:num>
  <w:num w:numId="15" w16cid:durableId="186898166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41D"/>
    <w:rsid w:val="00000444"/>
    <w:rsid w:val="00000666"/>
    <w:rsid w:val="00000790"/>
    <w:rsid w:val="00000ADA"/>
    <w:rsid w:val="00000D93"/>
    <w:rsid w:val="0000110B"/>
    <w:rsid w:val="00001947"/>
    <w:rsid w:val="00001A92"/>
    <w:rsid w:val="0000210C"/>
    <w:rsid w:val="0000238A"/>
    <w:rsid w:val="000024EA"/>
    <w:rsid w:val="00003499"/>
    <w:rsid w:val="00003643"/>
    <w:rsid w:val="0000394E"/>
    <w:rsid w:val="000039B7"/>
    <w:rsid w:val="00003CB0"/>
    <w:rsid w:val="00003E2A"/>
    <w:rsid w:val="00004374"/>
    <w:rsid w:val="000043E7"/>
    <w:rsid w:val="00004A0A"/>
    <w:rsid w:val="00004E74"/>
    <w:rsid w:val="00004E98"/>
    <w:rsid w:val="00004F25"/>
    <w:rsid w:val="000056B9"/>
    <w:rsid w:val="00005AFF"/>
    <w:rsid w:val="0000639A"/>
    <w:rsid w:val="0000651A"/>
    <w:rsid w:val="00006567"/>
    <w:rsid w:val="00007559"/>
    <w:rsid w:val="000078D8"/>
    <w:rsid w:val="000079F5"/>
    <w:rsid w:val="00007AA9"/>
    <w:rsid w:val="00007B8F"/>
    <w:rsid w:val="00007D10"/>
    <w:rsid w:val="00007F30"/>
    <w:rsid w:val="000102AA"/>
    <w:rsid w:val="000102F6"/>
    <w:rsid w:val="00010648"/>
    <w:rsid w:val="0001072D"/>
    <w:rsid w:val="00010901"/>
    <w:rsid w:val="00010DEE"/>
    <w:rsid w:val="00010E1D"/>
    <w:rsid w:val="00011413"/>
    <w:rsid w:val="000115DC"/>
    <w:rsid w:val="0001162F"/>
    <w:rsid w:val="00011712"/>
    <w:rsid w:val="00011B5C"/>
    <w:rsid w:val="00011E94"/>
    <w:rsid w:val="00011F01"/>
    <w:rsid w:val="000121B0"/>
    <w:rsid w:val="00012294"/>
    <w:rsid w:val="0001231F"/>
    <w:rsid w:val="000125AA"/>
    <w:rsid w:val="000128BF"/>
    <w:rsid w:val="00012975"/>
    <w:rsid w:val="000129CB"/>
    <w:rsid w:val="00012B7C"/>
    <w:rsid w:val="00012B8D"/>
    <w:rsid w:val="00013247"/>
    <w:rsid w:val="000132EA"/>
    <w:rsid w:val="000135E2"/>
    <w:rsid w:val="0001362E"/>
    <w:rsid w:val="000138E9"/>
    <w:rsid w:val="00013984"/>
    <w:rsid w:val="00013CD7"/>
    <w:rsid w:val="00013DC7"/>
    <w:rsid w:val="00013E7B"/>
    <w:rsid w:val="0001408D"/>
    <w:rsid w:val="000141C7"/>
    <w:rsid w:val="000144FD"/>
    <w:rsid w:val="00015005"/>
    <w:rsid w:val="00015598"/>
    <w:rsid w:val="00015886"/>
    <w:rsid w:val="00015C48"/>
    <w:rsid w:val="00016001"/>
    <w:rsid w:val="000162EF"/>
    <w:rsid w:val="00016550"/>
    <w:rsid w:val="0001660C"/>
    <w:rsid w:val="000166F9"/>
    <w:rsid w:val="0001718E"/>
    <w:rsid w:val="00017E1C"/>
    <w:rsid w:val="00017FF7"/>
    <w:rsid w:val="00020065"/>
    <w:rsid w:val="000200CE"/>
    <w:rsid w:val="000203BD"/>
    <w:rsid w:val="000207C9"/>
    <w:rsid w:val="00020888"/>
    <w:rsid w:val="000208A3"/>
    <w:rsid w:val="0002105C"/>
    <w:rsid w:val="00021B8C"/>
    <w:rsid w:val="00021C3A"/>
    <w:rsid w:val="00021D33"/>
    <w:rsid w:val="00021DDD"/>
    <w:rsid w:val="0002225F"/>
    <w:rsid w:val="00022284"/>
    <w:rsid w:val="000223A8"/>
    <w:rsid w:val="00022450"/>
    <w:rsid w:val="000225D6"/>
    <w:rsid w:val="000227E1"/>
    <w:rsid w:val="000228C8"/>
    <w:rsid w:val="00022F5D"/>
    <w:rsid w:val="00023503"/>
    <w:rsid w:val="000235CA"/>
    <w:rsid w:val="00023763"/>
    <w:rsid w:val="00023794"/>
    <w:rsid w:val="00023A64"/>
    <w:rsid w:val="00023C12"/>
    <w:rsid w:val="0002455B"/>
    <w:rsid w:val="000245AA"/>
    <w:rsid w:val="00024729"/>
    <w:rsid w:val="00024895"/>
    <w:rsid w:val="00024B12"/>
    <w:rsid w:val="00024EB5"/>
    <w:rsid w:val="000254E7"/>
    <w:rsid w:val="0002566D"/>
    <w:rsid w:val="000258F2"/>
    <w:rsid w:val="00025E04"/>
    <w:rsid w:val="0002631A"/>
    <w:rsid w:val="000266D3"/>
    <w:rsid w:val="000268B7"/>
    <w:rsid w:val="00026DEA"/>
    <w:rsid w:val="00027177"/>
    <w:rsid w:val="000273A6"/>
    <w:rsid w:val="000274B8"/>
    <w:rsid w:val="00027788"/>
    <w:rsid w:val="000300DC"/>
    <w:rsid w:val="000300DF"/>
    <w:rsid w:val="000302E6"/>
    <w:rsid w:val="000302F9"/>
    <w:rsid w:val="0003065B"/>
    <w:rsid w:val="000306AD"/>
    <w:rsid w:val="000307CF"/>
    <w:rsid w:val="00030CBB"/>
    <w:rsid w:val="00030F86"/>
    <w:rsid w:val="0003115F"/>
    <w:rsid w:val="000311DC"/>
    <w:rsid w:val="000313CD"/>
    <w:rsid w:val="000314BC"/>
    <w:rsid w:val="000319EE"/>
    <w:rsid w:val="00031A2F"/>
    <w:rsid w:val="00031E2E"/>
    <w:rsid w:val="00031F50"/>
    <w:rsid w:val="000321AA"/>
    <w:rsid w:val="000321CC"/>
    <w:rsid w:val="00032A66"/>
    <w:rsid w:val="00032ABB"/>
    <w:rsid w:val="00032E26"/>
    <w:rsid w:val="00033419"/>
    <w:rsid w:val="00033654"/>
    <w:rsid w:val="000337E2"/>
    <w:rsid w:val="00033813"/>
    <w:rsid w:val="00033863"/>
    <w:rsid w:val="000339F6"/>
    <w:rsid w:val="00034283"/>
    <w:rsid w:val="00034574"/>
    <w:rsid w:val="00034F9A"/>
    <w:rsid w:val="000350F0"/>
    <w:rsid w:val="000352F0"/>
    <w:rsid w:val="00035344"/>
    <w:rsid w:val="00035448"/>
    <w:rsid w:val="000355D9"/>
    <w:rsid w:val="0003582F"/>
    <w:rsid w:val="00035DC0"/>
    <w:rsid w:val="000360B3"/>
    <w:rsid w:val="0003636E"/>
    <w:rsid w:val="00036829"/>
    <w:rsid w:val="00037145"/>
    <w:rsid w:val="000372B9"/>
    <w:rsid w:val="00037703"/>
    <w:rsid w:val="0003773A"/>
    <w:rsid w:val="00037D3E"/>
    <w:rsid w:val="000401C8"/>
    <w:rsid w:val="00040204"/>
    <w:rsid w:val="000403B7"/>
    <w:rsid w:val="00040517"/>
    <w:rsid w:val="00040759"/>
    <w:rsid w:val="000407CA"/>
    <w:rsid w:val="00040842"/>
    <w:rsid w:val="00040895"/>
    <w:rsid w:val="00040A0E"/>
    <w:rsid w:val="00040BD1"/>
    <w:rsid w:val="00040E26"/>
    <w:rsid w:val="00040EC4"/>
    <w:rsid w:val="000410A0"/>
    <w:rsid w:val="00041840"/>
    <w:rsid w:val="00041954"/>
    <w:rsid w:val="00041AEC"/>
    <w:rsid w:val="00041CAB"/>
    <w:rsid w:val="00041CD0"/>
    <w:rsid w:val="00042099"/>
    <w:rsid w:val="00042194"/>
    <w:rsid w:val="00042281"/>
    <w:rsid w:val="00042A06"/>
    <w:rsid w:val="00042F7B"/>
    <w:rsid w:val="00042FBD"/>
    <w:rsid w:val="000432C8"/>
    <w:rsid w:val="000435EE"/>
    <w:rsid w:val="00043719"/>
    <w:rsid w:val="0004372E"/>
    <w:rsid w:val="00043C37"/>
    <w:rsid w:val="00043CB6"/>
    <w:rsid w:val="00043D09"/>
    <w:rsid w:val="0004423E"/>
    <w:rsid w:val="000444C0"/>
    <w:rsid w:val="000448AC"/>
    <w:rsid w:val="000448FF"/>
    <w:rsid w:val="00044C28"/>
    <w:rsid w:val="00044CC2"/>
    <w:rsid w:val="00044E5E"/>
    <w:rsid w:val="00045017"/>
    <w:rsid w:val="000451D4"/>
    <w:rsid w:val="00045421"/>
    <w:rsid w:val="00045A2B"/>
    <w:rsid w:val="00045AB8"/>
    <w:rsid w:val="00045CE0"/>
    <w:rsid w:val="00046064"/>
    <w:rsid w:val="0004652E"/>
    <w:rsid w:val="00046846"/>
    <w:rsid w:val="0004698F"/>
    <w:rsid w:val="00046AAC"/>
    <w:rsid w:val="00046D64"/>
    <w:rsid w:val="00046DDF"/>
    <w:rsid w:val="00046E16"/>
    <w:rsid w:val="00047367"/>
    <w:rsid w:val="000475D9"/>
    <w:rsid w:val="00047E6A"/>
    <w:rsid w:val="00047F9F"/>
    <w:rsid w:val="000508C2"/>
    <w:rsid w:val="00050CAF"/>
    <w:rsid w:val="0005117A"/>
    <w:rsid w:val="00051339"/>
    <w:rsid w:val="00051B56"/>
    <w:rsid w:val="00051BB4"/>
    <w:rsid w:val="00052303"/>
    <w:rsid w:val="000526F2"/>
    <w:rsid w:val="00052C8A"/>
    <w:rsid w:val="00053007"/>
    <w:rsid w:val="00053354"/>
    <w:rsid w:val="000539B7"/>
    <w:rsid w:val="000539D0"/>
    <w:rsid w:val="00053D78"/>
    <w:rsid w:val="00053DD0"/>
    <w:rsid w:val="00053E54"/>
    <w:rsid w:val="00054007"/>
    <w:rsid w:val="00054621"/>
    <w:rsid w:val="000546D7"/>
    <w:rsid w:val="000549A3"/>
    <w:rsid w:val="00054A8D"/>
    <w:rsid w:val="00054B9A"/>
    <w:rsid w:val="00054DF9"/>
    <w:rsid w:val="000550EB"/>
    <w:rsid w:val="000557C7"/>
    <w:rsid w:val="0005692B"/>
    <w:rsid w:val="00056B18"/>
    <w:rsid w:val="00056B1C"/>
    <w:rsid w:val="00056ECF"/>
    <w:rsid w:val="00057970"/>
    <w:rsid w:val="00057F55"/>
    <w:rsid w:val="0006031D"/>
    <w:rsid w:val="0006038D"/>
    <w:rsid w:val="000604DF"/>
    <w:rsid w:val="00060659"/>
    <w:rsid w:val="000607D5"/>
    <w:rsid w:val="00060FDE"/>
    <w:rsid w:val="00061416"/>
    <w:rsid w:val="00061770"/>
    <w:rsid w:val="00061771"/>
    <w:rsid w:val="00061DBF"/>
    <w:rsid w:val="00062324"/>
    <w:rsid w:val="000623C0"/>
    <w:rsid w:val="000623D7"/>
    <w:rsid w:val="000624CF"/>
    <w:rsid w:val="000624EC"/>
    <w:rsid w:val="000626B2"/>
    <w:rsid w:val="000626D4"/>
    <w:rsid w:val="000627BA"/>
    <w:rsid w:val="00062B4F"/>
    <w:rsid w:val="00062C70"/>
    <w:rsid w:val="00063085"/>
    <w:rsid w:val="00063B40"/>
    <w:rsid w:val="00063B59"/>
    <w:rsid w:val="000640C2"/>
    <w:rsid w:val="00064632"/>
    <w:rsid w:val="000647AF"/>
    <w:rsid w:val="00064C66"/>
    <w:rsid w:val="00064F9A"/>
    <w:rsid w:val="000650ED"/>
    <w:rsid w:val="000653B5"/>
    <w:rsid w:val="0006575B"/>
    <w:rsid w:val="00065C73"/>
    <w:rsid w:val="00065CAC"/>
    <w:rsid w:val="00066022"/>
    <w:rsid w:val="000660E5"/>
    <w:rsid w:val="00066360"/>
    <w:rsid w:val="00066731"/>
    <w:rsid w:val="000668C9"/>
    <w:rsid w:val="00066A08"/>
    <w:rsid w:val="00066AF8"/>
    <w:rsid w:val="00066F76"/>
    <w:rsid w:val="000671DD"/>
    <w:rsid w:val="00067311"/>
    <w:rsid w:val="00067393"/>
    <w:rsid w:val="00067999"/>
    <w:rsid w:val="00067A48"/>
    <w:rsid w:val="00067D5E"/>
    <w:rsid w:val="00067E0F"/>
    <w:rsid w:val="00067EBB"/>
    <w:rsid w:val="00067F79"/>
    <w:rsid w:val="0007007C"/>
    <w:rsid w:val="00070616"/>
    <w:rsid w:val="00070A3A"/>
    <w:rsid w:val="00071248"/>
    <w:rsid w:val="000720B9"/>
    <w:rsid w:val="00072485"/>
    <w:rsid w:val="00072931"/>
    <w:rsid w:val="000729BD"/>
    <w:rsid w:val="00072E1C"/>
    <w:rsid w:val="000736A6"/>
    <w:rsid w:val="000737F7"/>
    <w:rsid w:val="00073A60"/>
    <w:rsid w:val="00073AF6"/>
    <w:rsid w:val="00073C45"/>
    <w:rsid w:val="00073E75"/>
    <w:rsid w:val="00074279"/>
    <w:rsid w:val="000744A9"/>
    <w:rsid w:val="00074802"/>
    <w:rsid w:val="000749DA"/>
    <w:rsid w:val="00074B08"/>
    <w:rsid w:val="0007548D"/>
    <w:rsid w:val="000755C1"/>
    <w:rsid w:val="000755D8"/>
    <w:rsid w:val="00075724"/>
    <w:rsid w:val="000758F1"/>
    <w:rsid w:val="00075C11"/>
    <w:rsid w:val="00075ECD"/>
    <w:rsid w:val="0007672F"/>
    <w:rsid w:val="000769D1"/>
    <w:rsid w:val="00076B54"/>
    <w:rsid w:val="00076B89"/>
    <w:rsid w:val="00076C3C"/>
    <w:rsid w:val="00076ED9"/>
    <w:rsid w:val="00076F17"/>
    <w:rsid w:val="00077059"/>
    <w:rsid w:val="000773F0"/>
    <w:rsid w:val="000774F0"/>
    <w:rsid w:val="00077CFB"/>
    <w:rsid w:val="00077E0D"/>
    <w:rsid w:val="000803B6"/>
    <w:rsid w:val="0008043E"/>
    <w:rsid w:val="00080909"/>
    <w:rsid w:val="00080A3D"/>
    <w:rsid w:val="00080A6A"/>
    <w:rsid w:val="00080C79"/>
    <w:rsid w:val="0008128C"/>
    <w:rsid w:val="000812CA"/>
    <w:rsid w:val="000814E7"/>
    <w:rsid w:val="00081670"/>
    <w:rsid w:val="00081E63"/>
    <w:rsid w:val="000823E6"/>
    <w:rsid w:val="0008258D"/>
    <w:rsid w:val="000825C0"/>
    <w:rsid w:val="00082685"/>
    <w:rsid w:val="00082B41"/>
    <w:rsid w:val="00082F37"/>
    <w:rsid w:val="00082F3A"/>
    <w:rsid w:val="0008377F"/>
    <w:rsid w:val="00083CAE"/>
    <w:rsid w:val="00083D76"/>
    <w:rsid w:val="00083E99"/>
    <w:rsid w:val="00084227"/>
    <w:rsid w:val="000842F9"/>
    <w:rsid w:val="00084377"/>
    <w:rsid w:val="0008446A"/>
    <w:rsid w:val="00084648"/>
    <w:rsid w:val="000849FF"/>
    <w:rsid w:val="00084C71"/>
    <w:rsid w:val="00084D4E"/>
    <w:rsid w:val="00084EC0"/>
    <w:rsid w:val="00084FA1"/>
    <w:rsid w:val="00084FA8"/>
    <w:rsid w:val="000851AC"/>
    <w:rsid w:val="000855AC"/>
    <w:rsid w:val="000856C5"/>
    <w:rsid w:val="00085C31"/>
    <w:rsid w:val="00085E4D"/>
    <w:rsid w:val="0008617B"/>
    <w:rsid w:val="0008630D"/>
    <w:rsid w:val="00086476"/>
    <w:rsid w:val="00086B91"/>
    <w:rsid w:val="00086BA1"/>
    <w:rsid w:val="00086D7E"/>
    <w:rsid w:val="000870EF"/>
    <w:rsid w:val="000871DD"/>
    <w:rsid w:val="000874A7"/>
    <w:rsid w:val="0008769A"/>
    <w:rsid w:val="00087EBA"/>
    <w:rsid w:val="0009007C"/>
    <w:rsid w:val="000902D9"/>
    <w:rsid w:val="00090C7E"/>
    <w:rsid w:val="000911AC"/>
    <w:rsid w:val="0009153F"/>
    <w:rsid w:val="00091AFA"/>
    <w:rsid w:val="00091F16"/>
    <w:rsid w:val="00092600"/>
    <w:rsid w:val="0009262B"/>
    <w:rsid w:val="00092758"/>
    <w:rsid w:val="00092770"/>
    <w:rsid w:val="0009293A"/>
    <w:rsid w:val="00092B1B"/>
    <w:rsid w:val="00092CA4"/>
    <w:rsid w:val="000931F8"/>
    <w:rsid w:val="00093228"/>
    <w:rsid w:val="00093310"/>
    <w:rsid w:val="000937C9"/>
    <w:rsid w:val="00093E2A"/>
    <w:rsid w:val="000942DA"/>
    <w:rsid w:val="0009445C"/>
    <w:rsid w:val="000944B2"/>
    <w:rsid w:val="000947BF"/>
    <w:rsid w:val="00094AB7"/>
    <w:rsid w:val="00094E15"/>
    <w:rsid w:val="00095200"/>
    <w:rsid w:val="000955DB"/>
    <w:rsid w:val="000958F4"/>
    <w:rsid w:val="00095BA8"/>
    <w:rsid w:val="00095EDB"/>
    <w:rsid w:val="00095FE5"/>
    <w:rsid w:val="00096284"/>
    <w:rsid w:val="00096758"/>
    <w:rsid w:val="0009693B"/>
    <w:rsid w:val="00096941"/>
    <w:rsid w:val="00096A96"/>
    <w:rsid w:val="00096EBA"/>
    <w:rsid w:val="00097057"/>
    <w:rsid w:val="000970A2"/>
    <w:rsid w:val="000971C6"/>
    <w:rsid w:val="000971C9"/>
    <w:rsid w:val="00097D16"/>
    <w:rsid w:val="00097E0E"/>
    <w:rsid w:val="000A0A51"/>
    <w:rsid w:val="000A12E7"/>
    <w:rsid w:val="000A1BC0"/>
    <w:rsid w:val="000A1C7A"/>
    <w:rsid w:val="000A22B7"/>
    <w:rsid w:val="000A23D8"/>
    <w:rsid w:val="000A2C9E"/>
    <w:rsid w:val="000A2F9E"/>
    <w:rsid w:val="000A3188"/>
    <w:rsid w:val="000A36ED"/>
    <w:rsid w:val="000A3B0B"/>
    <w:rsid w:val="000A3E47"/>
    <w:rsid w:val="000A45C1"/>
    <w:rsid w:val="000A4AC2"/>
    <w:rsid w:val="000A4D1F"/>
    <w:rsid w:val="000A522B"/>
    <w:rsid w:val="000A5523"/>
    <w:rsid w:val="000A5AB7"/>
    <w:rsid w:val="000A5B83"/>
    <w:rsid w:val="000A5DF5"/>
    <w:rsid w:val="000A6039"/>
    <w:rsid w:val="000A6153"/>
    <w:rsid w:val="000A6230"/>
    <w:rsid w:val="000A6389"/>
    <w:rsid w:val="000A6608"/>
    <w:rsid w:val="000A692F"/>
    <w:rsid w:val="000A6F52"/>
    <w:rsid w:val="000A6FD9"/>
    <w:rsid w:val="000A7233"/>
    <w:rsid w:val="000A7446"/>
    <w:rsid w:val="000A7453"/>
    <w:rsid w:val="000A7A47"/>
    <w:rsid w:val="000A7CFB"/>
    <w:rsid w:val="000A7D08"/>
    <w:rsid w:val="000A7D9F"/>
    <w:rsid w:val="000A7E42"/>
    <w:rsid w:val="000B0121"/>
    <w:rsid w:val="000B0670"/>
    <w:rsid w:val="000B071F"/>
    <w:rsid w:val="000B0836"/>
    <w:rsid w:val="000B0A55"/>
    <w:rsid w:val="000B0DF5"/>
    <w:rsid w:val="000B0E75"/>
    <w:rsid w:val="000B119B"/>
    <w:rsid w:val="000B1439"/>
    <w:rsid w:val="000B1D5D"/>
    <w:rsid w:val="000B1DCB"/>
    <w:rsid w:val="000B2023"/>
    <w:rsid w:val="000B210D"/>
    <w:rsid w:val="000B21FC"/>
    <w:rsid w:val="000B223D"/>
    <w:rsid w:val="000B2384"/>
    <w:rsid w:val="000B2BBC"/>
    <w:rsid w:val="000B2DCB"/>
    <w:rsid w:val="000B2E96"/>
    <w:rsid w:val="000B36FD"/>
    <w:rsid w:val="000B3887"/>
    <w:rsid w:val="000B397F"/>
    <w:rsid w:val="000B3BFF"/>
    <w:rsid w:val="000B44E3"/>
    <w:rsid w:val="000B45A3"/>
    <w:rsid w:val="000B47C7"/>
    <w:rsid w:val="000B4E68"/>
    <w:rsid w:val="000B554B"/>
    <w:rsid w:val="000B556A"/>
    <w:rsid w:val="000B5C25"/>
    <w:rsid w:val="000B5CE0"/>
    <w:rsid w:val="000B5F33"/>
    <w:rsid w:val="000B6CAC"/>
    <w:rsid w:val="000B73FF"/>
    <w:rsid w:val="000B7612"/>
    <w:rsid w:val="000B7678"/>
    <w:rsid w:val="000B78AE"/>
    <w:rsid w:val="000B78F5"/>
    <w:rsid w:val="000B7B02"/>
    <w:rsid w:val="000B7C4D"/>
    <w:rsid w:val="000B7D20"/>
    <w:rsid w:val="000B7E96"/>
    <w:rsid w:val="000B7EC1"/>
    <w:rsid w:val="000C000D"/>
    <w:rsid w:val="000C031A"/>
    <w:rsid w:val="000C0487"/>
    <w:rsid w:val="000C04E5"/>
    <w:rsid w:val="000C089B"/>
    <w:rsid w:val="000C09AF"/>
    <w:rsid w:val="000C10F9"/>
    <w:rsid w:val="000C1550"/>
    <w:rsid w:val="000C1757"/>
    <w:rsid w:val="000C1E7D"/>
    <w:rsid w:val="000C1F11"/>
    <w:rsid w:val="000C2455"/>
    <w:rsid w:val="000C27F8"/>
    <w:rsid w:val="000C2BB3"/>
    <w:rsid w:val="000C3033"/>
    <w:rsid w:val="000C32E9"/>
    <w:rsid w:val="000C3353"/>
    <w:rsid w:val="000C3427"/>
    <w:rsid w:val="000C3478"/>
    <w:rsid w:val="000C362D"/>
    <w:rsid w:val="000C36E5"/>
    <w:rsid w:val="000C379B"/>
    <w:rsid w:val="000C388C"/>
    <w:rsid w:val="000C3A5C"/>
    <w:rsid w:val="000C3DF9"/>
    <w:rsid w:val="000C3FE4"/>
    <w:rsid w:val="000C43D7"/>
    <w:rsid w:val="000C4898"/>
    <w:rsid w:val="000C4CF2"/>
    <w:rsid w:val="000C4CFA"/>
    <w:rsid w:val="000C4E0D"/>
    <w:rsid w:val="000C5288"/>
    <w:rsid w:val="000C53C2"/>
    <w:rsid w:val="000C588A"/>
    <w:rsid w:val="000C5A37"/>
    <w:rsid w:val="000C62B9"/>
    <w:rsid w:val="000C6450"/>
    <w:rsid w:val="000C6572"/>
    <w:rsid w:val="000C6713"/>
    <w:rsid w:val="000C6C5B"/>
    <w:rsid w:val="000C76E0"/>
    <w:rsid w:val="000D00CC"/>
    <w:rsid w:val="000D0170"/>
    <w:rsid w:val="000D0285"/>
    <w:rsid w:val="000D02CC"/>
    <w:rsid w:val="000D0627"/>
    <w:rsid w:val="000D105A"/>
    <w:rsid w:val="000D1148"/>
    <w:rsid w:val="000D19DF"/>
    <w:rsid w:val="000D1BFC"/>
    <w:rsid w:val="000D1C53"/>
    <w:rsid w:val="000D1D5D"/>
    <w:rsid w:val="000D1FC3"/>
    <w:rsid w:val="000D1FEC"/>
    <w:rsid w:val="000D2132"/>
    <w:rsid w:val="000D226A"/>
    <w:rsid w:val="000D2416"/>
    <w:rsid w:val="000D2533"/>
    <w:rsid w:val="000D281A"/>
    <w:rsid w:val="000D2848"/>
    <w:rsid w:val="000D287B"/>
    <w:rsid w:val="000D2B13"/>
    <w:rsid w:val="000D2D7F"/>
    <w:rsid w:val="000D30EA"/>
    <w:rsid w:val="000D326A"/>
    <w:rsid w:val="000D352E"/>
    <w:rsid w:val="000D35E0"/>
    <w:rsid w:val="000D3610"/>
    <w:rsid w:val="000D36A9"/>
    <w:rsid w:val="000D3F91"/>
    <w:rsid w:val="000D4157"/>
    <w:rsid w:val="000D4281"/>
    <w:rsid w:val="000D45D4"/>
    <w:rsid w:val="000D4930"/>
    <w:rsid w:val="000D4A80"/>
    <w:rsid w:val="000D4C01"/>
    <w:rsid w:val="000D4D1B"/>
    <w:rsid w:val="000D4E04"/>
    <w:rsid w:val="000D4F18"/>
    <w:rsid w:val="000D50B2"/>
    <w:rsid w:val="000D50DB"/>
    <w:rsid w:val="000D51FB"/>
    <w:rsid w:val="000D5382"/>
    <w:rsid w:val="000D5464"/>
    <w:rsid w:val="000D5474"/>
    <w:rsid w:val="000D57F5"/>
    <w:rsid w:val="000D5E1C"/>
    <w:rsid w:val="000D6017"/>
    <w:rsid w:val="000D6275"/>
    <w:rsid w:val="000D65EF"/>
    <w:rsid w:val="000D666F"/>
    <w:rsid w:val="000D714A"/>
    <w:rsid w:val="000D760C"/>
    <w:rsid w:val="000D7BDD"/>
    <w:rsid w:val="000D7C2A"/>
    <w:rsid w:val="000E038E"/>
    <w:rsid w:val="000E0640"/>
    <w:rsid w:val="000E0AD8"/>
    <w:rsid w:val="000E0F9C"/>
    <w:rsid w:val="000E12D1"/>
    <w:rsid w:val="000E135D"/>
    <w:rsid w:val="000E1530"/>
    <w:rsid w:val="000E2051"/>
    <w:rsid w:val="000E2571"/>
    <w:rsid w:val="000E26AB"/>
    <w:rsid w:val="000E2765"/>
    <w:rsid w:val="000E27B9"/>
    <w:rsid w:val="000E34B0"/>
    <w:rsid w:val="000E35B8"/>
    <w:rsid w:val="000E3C7E"/>
    <w:rsid w:val="000E42D3"/>
    <w:rsid w:val="000E43D6"/>
    <w:rsid w:val="000E440C"/>
    <w:rsid w:val="000E4692"/>
    <w:rsid w:val="000E5062"/>
    <w:rsid w:val="000E508D"/>
    <w:rsid w:val="000E57D9"/>
    <w:rsid w:val="000E59C9"/>
    <w:rsid w:val="000E6BC1"/>
    <w:rsid w:val="000E6D83"/>
    <w:rsid w:val="000E6DBA"/>
    <w:rsid w:val="000E7068"/>
    <w:rsid w:val="000E7305"/>
    <w:rsid w:val="000E75F5"/>
    <w:rsid w:val="000E75FA"/>
    <w:rsid w:val="000E764B"/>
    <w:rsid w:val="000E7D2C"/>
    <w:rsid w:val="000F007B"/>
    <w:rsid w:val="000F00BA"/>
    <w:rsid w:val="000F0223"/>
    <w:rsid w:val="000F0631"/>
    <w:rsid w:val="000F125A"/>
    <w:rsid w:val="000F175E"/>
    <w:rsid w:val="000F1EAE"/>
    <w:rsid w:val="000F2124"/>
    <w:rsid w:val="000F228D"/>
    <w:rsid w:val="000F316A"/>
    <w:rsid w:val="000F3245"/>
    <w:rsid w:val="000F3292"/>
    <w:rsid w:val="000F3496"/>
    <w:rsid w:val="000F3965"/>
    <w:rsid w:val="000F3C4C"/>
    <w:rsid w:val="000F3C74"/>
    <w:rsid w:val="000F4102"/>
    <w:rsid w:val="000F44A4"/>
    <w:rsid w:val="000F4510"/>
    <w:rsid w:val="000F4B04"/>
    <w:rsid w:val="000F4BB8"/>
    <w:rsid w:val="000F4FA9"/>
    <w:rsid w:val="000F5082"/>
    <w:rsid w:val="000F53FB"/>
    <w:rsid w:val="000F56E7"/>
    <w:rsid w:val="000F5BBF"/>
    <w:rsid w:val="000F5D80"/>
    <w:rsid w:val="000F63BE"/>
    <w:rsid w:val="000F67BC"/>
    <w:rsid w:val="000F691E"/>
    <w:rsid w:val="000F6C0A"/>
    <w:rsid w:val="000F6D4F"/>
    <w:rsid w:val="000F6D9F"/>
    <w:rsid w:val="000F6E23"/>
    <w:rsid w:val="000F6F2C"/>
    <w:rsid w:val="000F703E"/>
    <w:rsid w:val="000F70DB"/>
    <w:rsid w:val="000F7127"/>
    <w:rsid w:val="000F7310"/>
    <w:rsid w:val="000F782A"/>
    <w:rsid w:val="000F798F"/>
    <w:rsid w:val="000F7B54"/>
    <w:rsid w:val="001000B3"/>
    <w:rsid w:val="00100152"/>
    <w:rsid w:val="001004EC"/>
    <w:rsid w:val="001006C0"/>
    <w:rsid w:val="00100D3A"/>
    <w:rsid w:val="00100D64"/>
    <w:rsid w:val="00100EC3"/>
    <w:rsid w:val="00100F8A"/>
    <w:rsid w:val="00101379"/>
    <w:rsid w:val="00101637"/>
    <w:rsid w:val="001017FC"/>
    <w:rsid w:val="0010193D"/>
    <w:rsid w:val="00101A91"/>
    <w:rsid w:val="00101AF6"/>
    <w:rsid w:val="00101C29"/>
    <w:rsid w:val="00101D2A"/>
    <w:rsid w:val="00101E0E"/>
    <w:rsid w:val="001022B7"/>
    <w:rsid w:val="001024F1"/>
    <w:rsid w:val="001026BA"/>
    <w:rsid w:val="00102B83"/>
    <w:rsid w:val="001032F7"/>
    <w:rsid w:val="001033A7"/>
    <w:rsid w:val="00103804"/>
    <w:rsid w:val="00103849"/>
    <w:rsid w:val="00103A78"/>
    <w:rsid w:val="00103EBF"/>
    <w:rsid w:val="0010417A"/>
    <w:rsid w:val="001044FC"/>
    <w:rsid w:val="00104528"/>
    <w:rsid w:val="0010452E"/>
    <w:rsid w:val="0010468F"/>
    <w:rsid w:val="0010478E"/>
    <w:rsid w:val="0010509A"/>
    <w:rsid w:val="001055C9"/>
    <w:rsid w:val="001059D4"/>
    <w:rsid w:val="00105AE2"/>
    <w:rsid w:val="00105D8B"/>
    <w:rsid w:val="0010600A"/>
    <w:rsid w:val="001060C6"/>
    <w:rsid w:val="0010636C"/>
    <w:rsid w:val="001064D4"/>
    <w:rsid w:val="00106B44"/>
    <w:rsid w:val="00106B80"/>
    <w:rsid w:val="00106B92"/>
    <w:rsid w:val="00106E19"/>
    <w:rsid w:val="00106E50"/>
    <w:rsid w:val="001073A9"/>
    <w:rsid w:val="0010764A"/>
    <w:rsid w:val="001079CA"/>
    <w:rsid w:val="00107B04"/>
    <w:rsid w:val="0011032E"/>
    <w:rsid w:val="00110426"/>
    <w:rsid w:val="0011042A"/>
    <w:rsid w:val="001109FB"/>
    <w:rsid w:val="00110A8B"/>
    <w:rsid w:val="00110BD8"/>
    <w:rsid w:val="00110CA1"/>
    <w:rsid w:val="00110CFB"/>
    <w:rsid w:val="001113BE"/>
    <w:rsid w:val="00111753"/>
    <w:rsid w:val="00111789"/>
    <w:rsid w:val="00111A60"/>
    <w:rsid w:val="00112164"/>
    <w:rsid w:val="001122DF"/>
    <w:rsid w:val="001127B6"/>
    <w:rsid w:val="001127CB"/>
    <w:rsid w:val="001127D7"/>
    <w:rsid w:val="00112913"/>
    <w:rsid w:val="00112C78"/>
    <w:rsid w:val="00112FEB"/>
    <w:rsid w:val="00113132"/>
    <w:rsid w:val="0011348B"/>
    <w:rsid w:val="00113743"/>
    <w:rsid w:val="00113FAB"/>
    <w:rsid w:val="0011406D"/>
    <w:rsid w:val="001142A1"/>
    <w:rsid w:val="001142A2"/>
    <w:rsid w:val="001143B0"/>
    <w:rsid w:val="001148E2"/>
    <w:rsid w:val="001149A8"/>
    <w:rsid w:val="00114C42"/>
    <w:rsid w:val="00115982"/>
    <w:rsid w:val="00115B82"/>
    <w:rsid w:val="00115C14"/>
    <w:rsid w:val="00115E78"/>
    <w:rsid w:val="00116095"/>
    <w:rsid w:val="00116105"/>
    <w:rsid w:val="0011669D"/>
    <w:rsid w:val="001167F8"/>
    <w:rsid w:val="00116974"/>
    <w:rsid w:val="00116A4F"/>
    <w:rsid w:val="00116C53"/>
    <w:rsid w:val="00117671"/>
    <w:rsid w:val="001179DF"/>
    <w:rsid w:val="00117CD4"/>
    <w:rsid w:val="00117DB3"/>
    <w:rsid w:val="0012012F"/>
    <w:rsid w:val="0012029F"/>
    <w:rsid w:val="001207CD"/>
    <w:rsid w:val="00120B99"/>
    <w:rsid w:val="00120DCD"/>
    <w:rsid w:val="001216DB"/>
    <w:rsid w:val="00121790"/>
    <w:rsid w:val="00121799"/>
    <w:rsid w:val="001219CF"/>
    <w:rsid w:val="00121E13"/>
    <w:rsid w:val="001222FC"/>
    <w:rsid w:val="001226E5"/>
    <w:rsid w:val="00122BDF"/>
    <w:rsid w:val="00122E17"/>
    <w:rsid w:val="00122F33"/>
    <w:rsid w:val="00123689"/>
    <w:rsid w:val="00123784"/>
    <w:rsid w:val="00123902"/>
    <w:rsid w:val="00123915"/>
    <w:rsid w:val="00123D42"/>
    <w:rsid w:val="00123DD5"/>
    <w:rsid w:val="00123F94"/>
    <w:rsid w:val="00124025"/>
    <w:rsid w:val="0012481A"/>
    <w:rsid w:val="00124A51"/>
    <w:rsid w:val="00124BE8"/>
    <w:rsid w:val="00124C35"/>
    <w:rsid w:val="00124F3A"/>
    <w:rsid w:val="001250A2"/>
    <w:rsid w:val="00125712"/>
    <w:rsid w:val="001257A6"/>
    <w:rsid w:val="00125845"/>
    <w:rsid w:val="00125BAD"/>
    <w:rsid w:val="00125BD5"/>
    <w:rsid w:val="00125C08"/>
    <w:rsid w:val="00125CC7"/>
    <w:rsid w:val="00125F86"/>
    <w:rsid w:val="0012605E"/>
    <w:rsid w:val="0012624D"/>
    <w:rsid w:val="0012651B"/>
    <w:rsid w:val="00126567"/>
    <w:rsid w:val="00126621"/>
    <w:rsid w:val="0012687C"/>
    <w:rsid w:val="00126ACE"/>
    <w:rsid w:val="00126B1D"/>
    <w:rsid w:val="00126C53"/>
    <w:rsid w:val="00126DE5"/>
    <w:rsid w:val="00127349"/>
    <w:rsid w:val="001275F1"/>
    <w:rsid w:val="001301E9"/>
    <w:rsid w:val="00130240"/>
    <w:rsid w:val="00130408"/>
    <w:rsid w:val="001307CB"/>
    <w:rsid w:val="001308CA"/>
    <w:rsid w:val="0013097E"/>
    <w:rsid w:val="00131716"/>
    <w:rsid w:val="00131CF5"/>
    <w:rsid w:val="00131D82"/>
    <w:rsid w:val="00131F45"/>
    <w:rsid w:val="00132014"/>
    <w:rsid w:val="0013270E"/>
    <w:rsid w:val="0013298F"/>
    <w:rsid w:val="00132B22"/>
    <w:rsid w:val="00132C7E"/>
    <w:rsid w:val="00132E20"/>
    <w:rsid w:val="00132F31"/>
    <w:rsid w:val="00132FB6"/>
    <w:rsid w:val="00133377"/>
    <w:rsid w:val="001336BF"/>
    <w:rsid w:val="00133907"/>
    <w:rsid w:val="00133D36"/>
    <w:rsid w:val="00134329"/>
    <w:rsid w:val="0013450C"/>
    <w:rsid w:val="001347CA"/>
    <w:rsid w:val="001349AD"/>
    <w:rsid w:val="00134A8B"/>
    <w:rsid w:val="00134C2F"/>
    <w:rsid w:val="00135894"/>
    <w:rsid w:val="00135EDC"/>
    <w:rsid w:val="00136039"/>
    <w:rsid w:val="0013620E"/>
    <w:rsid w:val="0013681F"/>
    <w:rsid w:val="0013687F"/>
    <w:rsid w:val="00136ABD"/>
    <w:rsid w:val="00136C5F"/>
    <w:rsid w:val="00137582"/>
    <w:rsid w:val="00137645"/>
    <w:rsid w:val="001377E8"/>
    <w:rsid w:val="00137A71"/>
    <w:rsid w:val="00137AF2"/>
    <w:rsid w:val="00137AF6"/>
    <w:rsid w:val="00137BCB"/>
    <w:rsid w:val="0014015A"/>
    <w:rsid w:val="001401B9"/>
    <w:rsid w:val="00140D72"/>
    <w:rsid w:val="00140E99"/>
    <w:rsid w:val="001412E3"/>
    <w:rsid w:val="00141551"/>
    <w:rsid w:val="00141D2B"/>
    <w:rsid w:val="00141E74"/>
    <w:rsid w:val="001421FF"/>
    <w:rsid w:val="00142323"/>
    <w:rsid w:val="00142A91"/>
    <w:rsid w:val="00142E2F"/>
    <w:rsid w:val="0014341C"/>
    <w:rsid w:val="00143A27"/>
    <w:rsid w:val="00143A76"/>
    <w:rsid w:val="00143C46"/>
    <w:rsid w:val="00143F67"/>
    <w:rsid w:val="001445AF"/>
    <w:rsid w:val="001446E0"/>
    <w:rsid w:val="00145234"/>
    <w:rsid w:val="00145540"/>
    <w:rsid w:val="001456B0"/>
    <w:rsid w:val="00145737"/>
    <w:rsid w:val="00145D15"/>
    <w:rsid w:val="00145FF6"/>
    <w:rsid w:val="00146258"/>
    <w:rsid w:val="0014637A"/>
    <w:rsid w:val="001466BE"/>
    <w:rsid w:val="001469C2"/>
    <w:rsid w:val="00147003"/>
    <w:rsid w:val="00147051"/>
    <w:rsid w:val="0014781D"/>
    <w:rsid w:val="00147EC5"/>
    <w:rsid w:val="001501F8"/>
    <w:rsid w:val="001505DA"/>
    <w:rsid w:val="00150652"/>
    <w:rsid w:val="0015076A"/>
    <w:rsid w:val="0015082A"/>
    <w:rsid w:val="00150969"/>
    <w:rsid w:val="001509AA"/>
    <w:rsid w:val="00150D38"/>
    <w:rsid w:val="00150ECE"/>
    <w:rsid w:val="001512ED"/>
    <w:rsid w:val="001513B3"/>
    <w:rsid w:val="00151745"/>
    <w:rsid w:val="001521CB"/>
    <w:rsid w:val="0015252B"/>
    <w:rsid w:val="00152963"/>
    <w:rsid w:val="00152BEE"/>
    <w:rsid w:val="00152D3C"/>
    <w:rsid w:val="00152F70"/>
    <w:rsid w:val="00153A1E"/>
    <w:rsid w:val="00153AF5"/>
    <w:rsid w:val="00154470"/>
    <w:rsid w:val="00154704"/>
    <w:rsid w:val="001547AB"/>
    <w:rsid w:val="00154EFD"/>
    <w:rsid w:val="00154FE2"/>
    <w:rsid w:val="00155152"/>
    <w:rsid w:val="001554C3"/>
    <w:rsid w:val="00155683"/>
    <w:rsid w:val="0015580C"/>
    <w:rsid w:val="00155997"/>
    <w:rsid w:val="00155AD4"/>
    <w:rsid w:val="00155C6A"/>
    <w:rsid w:val="00155DD0"/>
    <w:rsid w:val="00155E34"/>
    <w:rsid w:val="001563DB"/>
    <w:rsid w:val="00156A38"/>
    <w:rsid w:val="00156DA8"/>
    <w:rsid w:val="00156F8F"/>
    <w:rsid w:val="00157130"/>
    <w:rsid w:val="001576B1"/>
    <w:rsid w:val="001578B9"/>
    <w:rsid w:val="001578FF"/>
    <w:rsid w:val="001579EC"/>
    <w:rsid w:val="00157B13"/>
    <w:rsid w:val="00157B7C"/>
    <w:rsid w:val="00157FC0"/>
    <w:rsid w:val="0016040F"/>
    <w:rsid w:val="0016041E"/>
    <w:rsid w:val="0016047B"/>
    <w:rsid w:val="00160A4C"/>
    <w:rsid w:val="0016150F"/>
    <w:rsid w:val="00162340"/>
    <w:rsid w:val="00162913"/>
    <w:rsid w:val="0016307A"/>
    <w:rsid w:val="00163188"/>
    <w:rsid w:val="00163538"/>
    <w:rsid w:val="0016379B"/>
    <w:rsid w:val="0016388A"/>
    <w:rsid w:val="001639FB"/>
    <w:rsid w:val="00163EFF"/>
    <w:rsid w:val="00163F66"/>
    <w:rsid w:val="00164295"/>
    <w:rsid w:val="0016438C"/>
    <w:rsid w:val="0016478E"/>
    <w:rsid w:val="001650BB"/>
    <w:rsid w:val="00165150"/>
    <w:rsid w:val="001653B2"/>
    <w:rsid w:val="00165932"/>
    <w:rsid w:val="00165E4A"/>
    <w:rsid w:val="00165EC4"/>
    <w:rsid w:val="00166085"/>
    <w:rsid w:val="0016609C"/>
    <w:rsid w:val="001660D7"/>
    <w:rsid w:val="00166181"/>
    <w:rsid w:val="001661EC"/>
    <w:rsid w:val="001661FB"/>
    <w:rsid w:val="0016661D"/>
    <w:rsid w:val="001666E8"/>
    <w:rsid w:val="00166880"/>
    <w:rsid w:val="00166D40"/>
    <w:rsid w:val="00166DC9"/>
    <w:rsid w:val="0016705A"/>
    <w:rsid w:val="00167197"/>
    <w:rsid w:val="001671A0"/>
    <w:rsid w:val="0016767F"/>
    <w:rsid w:val="00167953"/>
    <w:rsid w:val="00167CCE"/>
    <w:rsid w:val="00167D32"/>
    <w:rsid w:val="0017002A"/>
    <w:rsid w:val="001702FF"/>
    <w:rsid w:val="00170304"/>
    <w:rsid w:val="001704A5"/>
    <w:rsid w:val="00170693"/>
    <w:rsid w:val="001706E4"/>
    <w:rsid w:val="00170790"/>
    <w:rsid w:val="00170824"/>
    <w:rsid w:val="00170A12"/>
    <w:rsid w:val="00171287"/>
    <w:rsid w:val="001712D6"/>
    <w:rsid w:val="0017158A"/>
    <w:rsid w:val="001718B8"/>
    <w:rsid w:val="00171912"/>
    <w:rsid w:val="00171D94"/>
    <w:rsid w:val="00171DA7"/>
    <w:rsid w:val="00171E75"/>
    <w:rsid w:val="001727C0"/>
    <w:rsid w:val="00172D4F"/>
    <w:rsid w:val="00173094"/>
    <w:rsid w:val="00173099"/>
    <w:rsid w:val="00173302"/>
    <w:rsid w:val="00173565"/>
    <w:rsid w:val="00173B07"/>
    <w:rsid w:val="00173B24"/>
    <w:rsid w:val="00173D70"/>
    <w:rsid w:val="00173D99"/>
    <w:rsid w:val="00173DBC"/>
    <w:rsid w:val="00173F76"/>
    <w:rsid w:val="00174110"/>
    <w:rsid w:val="001749D1"/>
    <w:rsid w:val="001751FA"/>
    <w:rsid w:val="001756B1"/>
    <w:rsid w:val="00175A5D"/>
    <w:rsid w:val="00175A83"/>
    <w:rsid w:val="00175D61"/>
    <w:rsid w:val="001761DF"/>
    <w:rsid w:val="00176B22"/>
    <w:rsid w:val="00176D38"/>
    <w:rsid w:val="001771FC"/>
    <w:rsid w:val="001775D5"/>
    <w:rsid w:val="00177609"/>
    <w:rsid w:val="00180BBA"/>
    <w:rsid w:val="00180C3C"/>
    <w:rsid w:val="00180EA3"/>
    <w:rsid w:val="00181161"/>
    <w:rsid w:val="00181571"/>
    <w:rsid w:val="001818E7"/>
    <w:rsid w:val="00181ADB"/>
    <w:rsid w:val="00181C10"/>
    <w:rsid w:val="00181C4C"/>
    <w:rsid w:val="00181D86"/>
    <w:rsid w:val="00181D9C"/>
    <w:rsid w:val="0018220C"/>
    <w:rsid w:val="00182240"/>
    <w:rsid w:val="00182254"/>
    <w:rsid w:val="00182276"/>
    <w:rsid w:val="001823E5"/>
    <w:rsid w:val="00182B1C"/>
    <w:rsid w:val="00182BB9"/>
    <w:rsid w:val="00182C00"/>
    <w:rsid w:val="001831B9"/>
    <w:rsid w:val="001835F8"/>
    <w:rsid w:val="001837FF"/>
    <w:rsid w:val="001839D6"/>
    <w:rsid w:val="00183D49"/>
    <w:rsid w:val="00183D4F"/>
    <w:rsid w:val="00183DA8"/>
    <w:rsid w:val="00183F9A"/>
    <w:rsid w:val="001846CC"/>
    <w:rsid w:val="00184B0E"/>
    <w:rsid w:val="00184B75"/>
    <w:rsid w:val="00184C4B"/>
    <w:rsid w:val="00184D9E"/>
    <w:rsid w:val="00184F81"/>
    <w:rsid w:val="00185185"/>
    <w:rsid w:val="001854A4"/>
    <w:rsid w:val="00185648"/>
    <w:rsid w:val="001856A6"/>
    <w:rsid w:val="001858A5"/>
    <w:rsid w:val="00185B24"/>
    <w:rsid w:val="00186587"/>
    <w:rsid w:val="001867E5"/>
    <w:rsid w:val="00186CD6"/>
    <w:rsid w:val="00186DD5"/>
    <w:rsid w:val="00187217"/>
    <w:rsid w:val="0018722D"/>
    <w:rsid w:val="00187456"/>
    <w:rsid w:val="0018752F"/>
    <w:rsid w:val="00187A2D"/>
    <w:rsid w:val="00187A91"/>
    <w:rsid w:val="00187AAB"/>
    <w:rsid w:val="00187F18"/>
    <w:rsid w:val="0019008B"/>
    <w:rsid w:val="00190E28"/>
    <w:rsid w:val="00191C93"/>
    <w:rsid w:val="00191DF1"/>
    <w:rsid w:val="00192515"/>
    <w:rsid w:val="00192FF1"/>
    <w:rsid w:val="001934DF"/>
    <w:rsid w:val="001937A7"/>
    <w:rsid w:val="00193838"/>
    <w:rsid w:val="00193F66"/>
    <w:rsid w:val="0019433C"/>
    <w:rsid w:val="00194A15"/>
    <w:rsid w:val="00194AD8"/>
    <w:rsid w:val="00194D25"/>
    <w:rsid w:val="001950BD"/>
    <w:rsid w:val="00195222"/>
    <w:rsid w:val="00195452"/>
    <w:rsid w:val="00195B8B"/>
    <w:rsid w:val="00195BBC"/>
    <w:rsid w:val="00195C3F"/>
    <w:rsid w:val="00195DAA"/>
    <w:rsid w:val="00195F06"/>
    <w:rsid w:val="0019649E"/>
    <w:rsid w:val="001964A6"/>
    <w:rsid w:val="0019674B"/>
    <w:rsid w:val="00196C25"/>
    <w:rsid w:val="0019714D"/>
    <w:rsid w:val="001975D8"/>
    <w:rsid w:val="0019775E"/>
    <w:rsid w:val="001979F9"/>
    <w:rsid w:val="00197A84"/>
    <w:rsid w:val="00197C4E"/>
    <w:rsid w:val="00197FDF"/>
    <w:rsid w:val="001A0050"/>
    <w:rsid w:val="001A01C5"/>
    <w:rsid w:val="001A0665"/>
    <w:rsid w:val="001A0BE8"/>
    <w:rsid w:val="001A1204"/>
    <w:rsid w:val="001A1505"/>
    <w:rsid w:val="001A178E"/>
    <w:rsid w:val="001A1B22"/>
    <w:rsid w:val="001A212C"/>
    <w:rsid w:val="001A2174"/>
    <w:rsid w:val="001A24CB"/>
    <w:rsid w:val="001A2D70"/>
    <w:rsid w:val="001A2EC4"/>
    <w:rsid w:val="001A2F10"/>
    <w:rsid w:val="001A2FB9"/>
    <w:rsid w:val="001A3084"/>
    <w:rsid w:val="001A3116"/>
    <w:rsid w:val="001A33B7"/>
    <w:rsid w:val="001A34D3"/>
    <w:rsid w:val="001A36A0"/>
    <w:rsid w:val="001A388B"/>
    <w:rsid w:val="001A391C"/>
    <w:rsid w:val="001A39D6"/>
    <w:rsid w:val="001A3A86"/>
    <w:rsid w:val="001A3B51"/>
    <w:rsid w:val="001A3FD2"/>
    <w:rsid w:val="001A4264"/>
    <w:rsid w:val="001A43FA"/>
    <w:rsid w:val="001A456D"/>
    <w:rsid w:val="001A47C5"/>
    <w:rsid w:val="001A4BD7"/>
    <w:rsid w:val="001A4CE2"/>
    <w:rsid w:val="001A4FAA"/>
    <w:rsid w:val="001A52B7"/>
    <w:rsid w:val="001A5753"/>
    <w:rsid w:val="001A57A2"/>
    <w:rsid w:val="001A59FB"/>
    <w:rsid w:val="001A5A06"/>
    <w:rsid w:val="001A5E9E"/>
    <w:rsid w:val="001A5F68"/>
    <w:rsid w:val="001A5FB7"/>
    <w:rsid w:val="001A601D"/>
    <w:rsid w:val="001A61E2"/>
    <w:rsid w:val="001A62BB"/>
    <w:rsid w:val="001A6354"/>
    <w:rsid w:val="001A6366"/>
    <w:rsid w:val="001A6627"/>
    <w:rsid w:val="001A678F"/>
    <w:rsid w:val="001A68F5"/>
    <w:rsid w:val="001A69C4"/>
    <w:rsid w:val="001A6C29"/>
    <w:rsid w:val="001A6D43"/>
    <w:rsid w:val="001A6D9E"/>
    <w:rsid w:val="001A6E95"/>
    <w:rsid w:val="001A7155"/>
    <w:rsid w:val="001A73D6"/>
    <w:rsid w:val="001A769B"/>
    <w:rsid w:val="001A7746"/>
    <w:rsid w:val="001A7AE8"/>
    <w:rsid w:val="001A7B0C"/>
    <w:rsid w:val="001B0389"/>
    <w:rsid w:val="001B064E"/>
    <w:rsid w:val="001B082A"/>
    <w:rsid w:val="001B10E3"/>
    <w:rsid w:val="001B1175"/>
    <w:rsid w:val="001B133E"/>
    <w:rsid w:val="001B13DC"/>
    <w:rsid w:val="001B14D2"/>
    <w:rsid w:val="001B16B9"/>
    <w:rsid w:val="001B178C"/>
    <w:rsid w:val="001B1B06"/>
    <w:rsid w:val="001B1C3A"/>
    <w:rsid w:val="001B1C4B"/>
    <w:rsid w:val="001B1CBD"/>
    <w:rsid w:val="001B204E"/>
    <w:rsid w:val="001B2238"/>
    <w:rsid w:val="001B2372"/>
    <w:rsid w:val="001B2471"/>
    <w:rsid w:val="001B2E91"/>
    <w:rsid w:val="001B3443"/>
    <w:rsid w:val="001B3729"/>
    <w:rsid w:val="001B3B99"/>
    <w:rsid w:val="001B411D"/>
    <w:rsid w:val="001B4288"/>
    <w:rsid w:val="001B4523"/>
    <w:rsid w:val="001B4D20"/>
    <w:rsid w:val="001B4E4D"/>
    <w:rsid w:val="001B5C3A"/>
    <w:rsid w:val="001B5ED9"/>
    <w:rsid w:val="001B5F9F"/>
    <w:rsid w:val="001B717E"/>
    <w:rsid w:val="001B745C"/>
    <w:rsid w:val="001B761C"/>
    <w:rsid w:val="001B76AF"/>
    <w:rsid w:val="001B777A"/>
    <w:rsid w:val="001B7920"/>
    <w:rsid w:val="001B7F7C"/>
    <w:rsid w:val="001B7F84"/>
    <w:rsid w:val="001C02F3"/>
    <w:rsid w:val="001C04CB"/>
    <w:rsid w:val="001C0784"/>
    <w:rsid w:val="001C092B"/>
    <w:rsid w:val="001C0F4D"/>
    <w:rsid w:val="001C14A7"/>
    <w:rsid w:val="001C15A6"/>
    <w:rsid w:val="001C1FA1"/>
    <w:rsid w:val="001C29A9"/>
    <w:rsid w:val="001C29C7"/>
    <w:rsid w:val="001C2A9B"/>
    <w:rsid w:val="001C2C36"/>
    <w:rsid w:val="001C2EF6"/>
    <w:rsid w:val="001C3051"/>
    <w:rsid w:val="001C35E3"/>
    <w:rsid w:val="001C3895"/>
    <w:rsid w:val="001C3DBC"/>
    <w:rsid w:val="001C3DD6"/>
    <w:rsid w:val="001C4299"/>
    <w:rsid w:val="001C42A7"/>
    <w:rsid w:val="001C438F"/>
    <w:rsid w:val="001C442E"/>
    <w:rsid w:val="001C44C0"/>
    <w:rsid w:val="001C4682"/>
    <w:rsid w:val="001C4874"/>
    <w:rsid w:val="001C4CD2"/>
    <w:rsid w:val="001C4D5C"/>
    <w:rsid w:val="001C5C0F"/>
    <w:rsid w:val="001C5F94"/>
    <w:rsid w:val="001C5FF8"/>
    <w:rsid w:val="001C644D"/>
    <w:rsid w:val="001C6942"/>
    <w:rsid w:val="001C6E66"/>
    <w:rsid w:val="001C705D"/>
    <w:rsid w:val="001C7153"/>
    <w:rsid w:val="001C736A"/>
    <w:rsid w:val="001C74B1"/>
    <w:rsid w:val="001C755E"/>
    <w:rsid w:val="001C76E4"/>
    <w:rsid w:val="001C78DE"/>
    <w:rsid w:val="001D057B"/>
    <w:rsid w:val="001D069A"/>
    <w:rsid w:val="001D0933"/>
    <w:rsid w:val="001D0E3D"/>
    <w:rsid w:val="001D0FBE"/>
    <w:rsid w:val="001D1100"/>
    <w:rsid w:val="001D1391"/>
    <w:rsid w:val="001D1730"/>
    <w:rsid w:val="001D1836"/>
    <w:rsid w:val="001D186B"/>
    <w:rsid w:val="001D19C3"/>
    <w:rsid w:val="001D1A53"/>
    <w:rsid w:val="001D1BAB"/>
    <w:rsid w:val="001D1FA6"/>
    <w:rsid w:val="001D22CD"/>
    <w:rsid w:val="001D2305"/>
    <w:rsid w:val="001D25D7"/>
    <w:rsid w:val="001D29C9"/>
    <w:rsid w:val="001D2AB1"/>
    <w:rsid w:val="001D2BBA"/>
    <w:rsid w:val="001D2BDF"/>
    <w:rsid w:val="001D2DFA"/>
    <w:rsid w:val="001D30DF"/>
    <w:rsid w:val="001D324C"/>
    <w:rsid w:val="001D3354"/>
    <w:rsid w:val="001D3395"/>
    <w:rsid w:val="001D36A0"/>
    <w:rsid w:val="001D36DD"/>
    <w:rsid w:val="001D3C43"/>
    <w:rsid w:val="001D3D01"/>
    <w:rsid w:val="001D3D82"/>
    <w:rsid w:val="001D438B"/>
    <w:rsid w:val="001D441D"/>
    <w:rsid w:val="001D47AE"/>
    <w:rsid w:val="001D4EF9"/>
    <w:rsid w:val="001D50B2"/>
    <w:rsid w:val="001D5236"/>
    <w:rsid w:val="001D528D"/>
    <w:rsid w:val="001D570D"/>
    <w:rsid w:val="001D5809"/>
    <w:rsid w:val="001D58E4"/>
    <w:rsid w:val="001D6626"/>
    <w:rsid w:val="001D67BF"/>
    <w:rsid w:val="001D6CB5"/>
    <w:rsid w:val="001D6F72"/>
    <w:rsid w:val="001D71F4"/>
    <w:rsid w:val="001D7510"/>
    <w:rsid w:val="001D75EB"/>
    <w:rsid w:val="001D7645"/>
    <w:rsid w:val="001D76A0"/>
    <w:rsid w:val="001D7804"/>
    <w:rsid w:val="001D78E3"/>
    <w:rsid w:val="001E0F42"/>
    <w:rsid w:val="001E128F"/>
    <w:rsid w:val="001E14BD"/>
    <w:rsid w:val="001E1542"/>
    <w:rsid w:val="001E1623"/>
    <w:rsid w:val="001E19C4"/>
    <w:rsid w:val="001E1A15"/>
    <w:rsid w:val="001E1E86"/>
    <w:rsid w:val="001E1FB1"/>
    <w:rsid w:val="001E1FF6"/>
    <w:rsid w:val="001E237C"/>
    <w:rsid w:val="001E238E"/>
    <w:rsid w:val="001E2483"/>
    <w:rsid w:val="001E2518"/>
    <w:rsid w:val="001E28EF"/>
    <w:rsid w:val="001E2AEB"/>
    <w:rsid w:val="001E2B04"/>
    <w:rsid w:val="001E2B1E"/>
    <w:rsid w:val="001E2BA5"/>
    <w:rsid w:val="001E2C66"/>
    <w:rsid w:val="001E2CFF"/>
    <w:rsid w:val="001E2F24"/>
    <w:rsid w:val="001E30D4"/>
    <w:rsid w:val="001E34DF"/>
    <w:rsid w:val="001E394D"/>
    <w:rsid w:val="001E4139"/>
    <w:rsid w:val="001E4241"/>
    <w:rsid w:val="001E4A36"/>
    <w:rsid w:val="001E4CF1"/>
    <w:rsid w:val="001E52EB"/>
    <w:rsid w:val="001E5787"/>
    <w:rsid w:val="001E592C"/>
    <w:rsid w:val="001E594F"/>
    <w:rsid w:val="001E5CC3"/>
    <w:rsid w:val="001E61D2"/>
    <w:rsid w:val="001E668F"/>
    <w:rsid w:val="001E731A"/>
    <w:rsid w:val="001E740C"/>
    <w:rsid w:val="001E7589"/>
    <w:rsid w:val="001E7C45"/>
    <w:rsid w:val="001E7F93"/>
    <w:rsid w:val="001F05DC"/>
    <w:rsid w:val="001F075F"/>
    <w:rsid w:val="001F07B5"/>
    <w:rsid w:val="001F094A"/>
    <w:rsid w:val="001F0C74"/>
    <w:rsid w:val="001F1235"/>
    <w:rsid w:val="001F1CB3"/>
    <w:rsid w:val="001F1EFA"/>
    <w:rsid w:val="001F2192"/>
    <w:rsid w:val="001F22ED"/>
    <w:rsid w:val="001F25A5"/>
    <w:rsid w:val="001F283E"/>
    <w:rsid w:val="001F29D8"/>
    <w:rsid w:val="001F2ABE"/>
    <w:rsid w:val="001F2B5D"/>
    <w:rsid w:val="001F2BEA"/>
    <w:rsid w:val="001F2FAE"/>
    <w:rsid w:val="001F3152"/>
    <w:rsid w:val="001F31CF"/>
    <w:rsid w:val="001F320D"/>
    <w:rsid w:val="001F3257"/>
    <w:rsid w:val="001F38B5"/>
    <w:rsid w:val="001F3FBD"/>
    <w:rsid w:val="001F4081"/>
    <w:rsid w:val="001F4270"/>
    <w:rsid w:val="001F427F"/>
    <w:rsid w:val="001F4B6A"/>
    <w:rsid w:val="001F4CDB"/>
    <w:rsid w:val="001F4DB3"/>
    <w:rsid w:val="001F4E22"/>
    <w:rsid w:val="001F5AFC"/>
    <w:rsid w:val="001F5B2C"/>
    <w:rsid w:val="001F5D9C"/>
    <w:rsid w:val="001F61B6"/>
    <w:rsid w:val="001F61B9"/>
    <w:rsid w:val="001F6A27"/>
    <w:rsid w:val="001F6A35"/>
    <w:rsid w:val="001F6D1F"/>
    <w:rsid w:val="001F706A"/>
    <w:rsid w:val="001F70E9"/>
    <w:rsid w:val="001F7361"/>
    <w:rsid w:val="001F78A2"/>
    <w:rsid w:val="001F7E40"/>
    <w:rsid w:val="001F7FA9"/>
    <w:rsid w:val="00200DD0"/>
    <w:rsid w:val="002011B0"/>
    <w:rsid w:val="002011F9"/>
    <w:rsid w:val="00201312"/>
    <w:rsid w:val="00201412"/>
    <w:rsid w:val="00201627"/>
    <w:rsid w:val="00201747"/>
    <w:rsid w:val="0020175E"/>
    <w:rsid w:val="002017E2"/>
    <w:rsid w:val="00201BA7"/>
    <w:rsid w:val="00201D11"/>
    <w:rsid w:val="00201E33"/>
    <w:rsid w:val="00201F7D"/>
    <w:rsid w:val="00202105"/>
    <w:rsid w:val="002024E1"/>
    <w:rsid w:val="002025CC"/>
    <w:rsid w:val="0020268A"/>
    <w:rsid w:val="002028C8"/>
    <w:rsid w:val="00202969"/>
    <w:rsid w:val="00202CBD"/>
    <w:rsid w:val="00202FB0"/>
    <w:rsid w:val="00202FE2"/>
    <w:rsid w:val="00203181"/>
    <w:rsid w:val="002035D5"/>
    <w:rsid w:val="00203674"/>
    <w:rsid w:val="00203783"/>
    <w:rsid w:val="002037EA"/>
    <w:rsid w:val="0020385F"/>
    <w:rsid w:val="00203A2A"/>
    <w:rsid w:val="00204381"/>
    <w:rsid w:val="002043AC"/>
    <w:rsid w:val="0020446B"/>
    <w:rsid w:val="002044AA"/>
    <w:rsid w:val="002052B6"/>
    <w:rsid w:val="0020559E"/>
    <w:rsid w:val="0020559F"/>
    <w:rsid w:val="00205E59"/>
    <w:rsid w:val="002068A0"/>
    <w:rsid w:val="00206960"/>
    <w:rsid w:val="00206B03"/>
    <w:rsid w:val="00206BB8"/>
    <w:rsid w:val="00206EDF"/>
    <w:rsid w:val="00206FED"/>
    <w:rsid w:val="00207021"/>
    <w:rsid w:val="00207084"/>
    <w:rsid w:val="002071F8"/>
    <w:rsid w:val="0020732F"/>
    <w:rsid w:val="00207C2A"/>
    <w:rsid w:val="00207D00"/>
    <w:rsid w:val="00210197"/>
    <w:rsid w:val="00210316"/>
    <w:rsid w:val="002105C1"/>
    <w:rsid w:val="00210D6B"/>
    <w:rsid w:val="00211283"/>
    <w:rsid w:val="00211413"/>
    <w:rsid w:val="00211424"/>
    <w:rsid w:val="002115EB"/>
    <w:rsid w:val="002116E6"/>
    <w:rsid w:val="002116FD"/>
    <w:rsid w:val="0021185B"/>
    <w:rsid w:val="002119A2"/>
    <w:rsid w:val="002119C0"/>
    <w:rsid w:val="00211A12"/>
    <w:rsid w:val="00211C56"/>
    <w:rsid w:val="00211DA4"/>
    <w:rsid w:val="0021208E"/>
    <w:rsid w:val="00212182"/>
    <w:rsid w:val="002128E8"/>
    <w:rsid w:val="002129C2"/>
    <w:rsid w:val="00212A5A"/>
    <w:rsid w:val="002136FC"/>
    <w:rsid w:val="00213A24"/>
    <w:rsid w:val="00213EF5"/>
    <w:rsid w:val="00214207"/>
    <w:rsid w:val="00214244"/>
    <w:rsid w:val="0021443A"/>
    <w:rsid w:val="00214839"/>
    <w:rsid w:val="00214A14"/>
    <w:rsid w:val="00214D87"/>
    <w:rsid w:val="00214E53"/>
    <w:rsid w:val="00214E80"/>
    <w:rsid w:val="0021523E"/>
    <w:rsid w:val="0021538D"/>
    <w:rsid w:val="0021565D"/>
    <w:rsid w:val="002156AB"/>
    <w:rsid w:val="002157D7"/>
    <w:rsid w:val="00215832"/>
    <w:rsid w:val="00215BD9"/>
    <w:rsid w:val="00215D4E"/>
    <w:rsid w:val="00215FBE"/>
    <w:rsid w:val="00216BF5"/>
    <w:rsid w:val="00216EAC"/>
    <w:rsid w:val="00217461"/>
    <w:rsid w:val="002176FE"/>
    <w:rsid w:val="00217860"/>
    <w:rsid w:val="002179D9"/>
    <w:rsid w:val="00217C4A"/>
    <w:rsid w:val="00217CF3"/>
    <w:rsid w:val="00217D92"/>
    <w:rsid w:val="00217DAB"/>
    <w:rsid w:val="00217FDF"/>
    <w:rsid w:val="00220083"/>
    <w:rsid w:val="00220153"/>
    <w:rsid w:val="0022027D"/>
    <w:rsid w:val="0022035F"/>
    <w:rsid w:val="0022073A"/>
    <w:rsid w:val="002209E0"/>
    <w:rsid w:val="002213D7"/>
    <w:rsid w:val="00221656"/>
    <w:rsid w:val="00221B73"/>
    <w:rsid w:val="00221C10"/>
    <w:rsid w:val="00222194"/>
    <w:rsid w:val="00222A8C"/>
    <w:rsid w:val="00222E85"/>
    <w:rsid w:val="002239AA"/>
    <w:rsid w:val="00223B49"/>
    <w:rsid w:val="00223D5A"/>
    <w:rsid w:val="00223E74"/>
    <w:rsid w:val="00224410"/>
    <w:rsid w:val="002246D8"/>
    <w:rsid w:val="002247A5"/>
    <w:rsid w:val="00224964"/>
    <w:rsid w:val="00224C7B"/>
    <w:rsid w:val="00224DD4"/>
    <w:rsid w:val="00225677"/>
    <w:rsid w:val="00225FDA"/>
    <w:rsid w:val="00226119"/>
    <w:rsid w:val="00226274"/>
    <w:rsid w:val="00226358"/>
    <w:rsid w:val="00226A5C"/>
    <w:rsid w:val="00226E98"/>
    <w:rsid w:val="00227290"/>
    <w:rsid w:val="00227358"/>
    <w:rsid w:val="002273BA"/>
    <w:rsid w:val="00227458"/>
    <w:rsid w:val="0022764C"/>
    <w:rsid w:val="002278A0"/>
    <w:rsid w:val="002279F2"/>
    <w:rsid w:val="00227D6A"/>
    <w:rsid w:val="00227DD5"/>
    <w:rsid w:val="00230092"/>
    <w:rsid w:val="00230170"/>
    <w:rsid w:val="002301F9"/>
    <w:rsid w:val="002304DD"/>
    <w:rsid w:val="002309CC"/>
    <w:rsid w:val="00230D6A"/>
    <w:rsid w:val="00230E4E"/>
    <w:rsid w:val="00230EB5"/>
    <w:rsid w:val="002310E0"/>
    <w:rsid w:val="002310F1"/>
    <w:rsid w:val="002313C1"/>
    <w:rsid w:val="00231548"/>
    <w:rsid w:val="002317FF"/>
    <w:rsid w:val="00231B0F"/>
    <w:rsid w:val="00231BA9"/>
    <w:rsid w:val="00231BB4"/>
    <w:rsid w:val="00231D16"/>
    <w:rsid w:val="00231DCA"/>
    <w:rsid w:val="00231DE0"/>
    <w:rsid w:val="00231FFE"/>
    <w:rsid w:val="0023209F"/>
    <w:rsid w:val="002320F0"/>
    <w:rsid w:val="0023227D"/>
    <w:rsid w:val="002322C1"/>
    <w:rsid w:val="0023243B"/>
    <w:rsid w:val="00232499"/>
    <w:rsid w:val="0023251B"/>
    <w:rsid w:val="00232C24"/>
    <w:rsid w:val="0023330B"/>
    <w:rsid w:val="002334D1"/>
    <w:rsid w:val="00233615"/>
    <w:rsid w:val="00233621"/>
    <w:rsid w:val="0023377C"/>
    <w:rsid w:val="00233788"/>
    <w:rsid w:val="00233A2D"/>
    <w:rsid w:val="00233B86"/>
    <w:rsid w:val="00233C01"/>
    <w:rsid w:val="0023402F"/>
    <w:rsid w:val="0023413C"/>
    <w:rsid w:val="002346F0"/>
    <w:rsid w:val="00234819"/>
    <w:rsid w:val="002351FB"/>
    <w:rsid w:val="00235616"/>
    <w:rsid w:val="002356D4"/>
    <w:rsid w:val="00235BDC"/>
    <w:rsid w:val="00235FEE"/>
    <w:rsid w:val="0023629D"/>
    <w:rsid w:val="00236431"/>
    <w:rsid w:val="00236945"/>
    <w:rsid w:val="0023698E"/>
    <w:rsid w:val="00236E66"/>
    <w:rsid w:val="00237255"/>
    <w:rsid w:val="002373E6"/>
    <w:rsid w:val="002375C4"/>
    <w:rsid w:val="002376A6"/>
    <w:rsid w:val="00237A1F"/>
    <w:rsid w:val="002402BF"/>
    <w:rsid w:val="002407EC"/>
    <w:rsid w:val="00240B39"/>
    <w:rsid w:val="002410C7"/>
    <w:rsid w:val="00241331"/>
    <w:rsid w:val="002413E0"/>
    <w:rsid w:val="00241F3E"/>
    <w:rsid w:val="00242205"/>
    <w:rsid w:val="002424AF"/>
    <w:rsid w:val="00242598"/>
    <w:rsid w:val="00242899"/>
    <w:rsid w:val="00242931"/>
    <w:rsid w:val="00242A8E"/>
    <w:rsid w:val="0024398D"/>
    <w:rsid w:val="002439DC"/>
    <w:rsid w:val="00243BD5"/>
    <w:rsid w:val="002441D1"/>
    <w:rsid w:val="002441D2"/>
    <w:rsid w:val="00244373"/>
    <w:rsid w:val="00244419"/>
    <w:rsid w:val="00244DC8"/>
    <w:rsid w:val="00245219"/>
    <w:rsid w:val="00245265"/>
    <w:rsid w:val="00245271"/>
    <w:rsid w:val="00245367"/>
    <w:rsid w:val="002454DF"/>
    <w:rsid w:val="00245804"/>
    <w:rsid w:val="002458BA"/>
    <w:rsid w:val="00245CA6"/>
    <w:rsid w:val="00245CE9"/>
    <w:rsid w:val="00246138"/>
    <w:rsid w:val="0024635F"/>
    <w:rsid w:val="0024636C"/>
    <w:rsid w:val="002464C3"/>
    <w:rsid w:val="002467F4"/>
    <w:rsid w:val="00246E8E"/>
    <w:rsid w:val="00247150"/>
    <w:rsid w:val="00247223"/>
    <w:rsid w:val="00247244"/>
    <w:rsid w:val="0024741D"/>
    <w:rsid w:val="00247802"/>
    <w:rsid w:val="00247925"/>
    <w:rsid w:val="002500D0"/>
    <w:rsid w:val="0025088D"/>
    <w:rsid w:val="00250CAB"/>
    <w:rsid w:val="00251006"/>
    <w:rsid w:val="002510EE"/>
    <w:rsid w:val="0025158A"/>
    <w:rsid w:val="00251797"/>
    <w:rsid w:val="0025228B"/>
    <w:rsid w:val="002523E0"/>
    <w:rsid w:val="002524D5"/>
    <w:rsid w:val="0025252D"/>
    <w:rsid w:val="00252587"/>
    <w:rsid w:val="00252A64"/>
    <w:rsid w:val="00253223"/>
    <w:rsid w:val="002533A7"/>
    <w:rsid w:val="00253B1D"/>
    <w:rsid w:val="00253D44"/>
    <w:rsid w:val="002540CB"/>
    <w:rsid w:val="00254107"/>
    <w:rsid w:val="002542AC"/>
    <w:rsid w:val="002543B2"/>
    <w:rsid w:val="0025477C"/>
    <w:rsid w:val="00254807"/>
    <w:rsid w:val="0025488B"/>
    <w:rsid w:val="002548A7"/>
    <w:rsid w:val="002549DE"/>
    <w:rsid w:val="00254DCF"/>
    <w:rsid w:val="002550DD"/>
    <w:rsid w:val="0025534B"/>
    <w:rsid w:val="00255651"/>
    <w:rsid w:val="00255BB7"/>
    <w:rsid w:val="00257026"/>
    <w:rsid w:val="00257377"/>
    <w:rsid w:val="002574C1"/>
    <w:rsid w:val="00257513"/>
    <w:rsid w:val="00257541"/>
    <w:rsid w:val="00257A39"/>
    <w:rsid w:val="00257AC4"/>
    <w:rsid w:val="00257B5E"/>
    <w:rsid w:val="00257BBE"/>
    <w:rsid w:val="00257C71"/>
    <w:rsid w:val="00260A8F"/>
    <w:rsid w:val="00260C22"/>
    <w:rsid w:val="00260CA6"/>
    <w:rsid w:val="00260E51"/>
    <w:rsid w:val="00261059"/>
    <w:rsid w:val="0026182F"/>
    <w:rsid w:val="002619CD"/>
    <w:rsid w:val="00261B77"/>
    <w:rsid w:val="00261EEF"/>
    <w:rsid w:val="00261F68"/>
    <w:rsid w:val="00262178"/>
    <w:rsid w:val="00262282"/>
    <w:rsid w:val="00262A1A"/>
    <w:rsid w:val="00262A87"/>
    <w:rsid w:val="00262BA4"/>
    <w:rsid w:val="00262C5F"/>
    <w:rsid w:val="00262FEB"/>
    <w:rsid w:val="002631F6"/>
    <w:rsid w:val="00263267"/>
    <w:rsid w:val="002632A2"/>
    <w:rsid w:val="002633DF"/>
    <w:rsid w:val="0026391A"/>
    <w:rsid w:val="00263923"/>
    <w:rsid w:val="00264060"/>
    <w:rsid w:val="002641B1"/>
    <w:rsid w:val="00264647"/>
    <w:rsid w:val="00264707"/>
    <w:rsid w:val="0026496C"/>
    <w:rsid w:val="00264D26"/>
    <w:rsid w:val="00264DD7"/>
    <w:rsid w:val="00264E58"/>
    <w:rsid w:val="00264EC9"/>
    <w:rsid w:val="002651FB"/>
    <w:rsid w:val="002654FC"/>
    <w:rsid w:val="002655DE"/>
    <w:rsid w:val="00265A6E"/>
    <w:rsid w:val="00265C0A"/>
    <w:rsid w:val="002662E7"/>
    <w:rsid w:val="0026681F"/>
    <w:rsid w:val="00266AF8"/>
    <w:rsid w:val="00266AFD"/>
    <w:rsid w:val="00266C97"/>
    <w:rsid w:val="00267557"/>
    <w:rsid w:val="00267642"/>
    <w:rsid w:val="00267944"/>
    <w:rsid w:val="0026798E"/>
    <w:rsid w:val="00267AEA"/>
    <w:rsid w:val="0027001D"/>
    <w:rsid w:val="002700AD"/>
    <w:rsid w:val="002700E6"/>
    <w:rsid w:val="00270211"/>
    <w:rsid w:val="002702BC"/>
    <w:rsid w:val="002702E7"/>
    <w:rsid w:val="002703E6"/>
    <w:rsid w:val="002704F1"/>
    <w:rsid w:val="002706A5"/>
    <w:rsid w:val="002706DB"/>
    <w:rsid w:val="00270C0B"/>
    <w:rsid w:val="00270C78"/>
    <w:rsid w:val="00270CC1"/>
    <w:rsid w:val="00270E44"/>
    <w:rsid w:val="00270E56"/>
    <w:rsid w:val="002710AF"/>
    <w:rsid w:val="002711BB"/>
    <w:rsid w:val="002718B8"/>
    <w:rsid w:val="00271DFD"/>
    <w:rsid w:val="0027294B"/>
    <w:rsid w:val="00272CDE"/>
    <w:rsid w:val="0027363F"/>
    <w:rsid w:val="00273A76"/>
    <w:rsid w:val="00273B87"/>
    <w:rsid w:val="00273EB4"/>
    <w:rsid w:val="002741E0"/>
    <w:rsid w:val="00274419"/>
    <w:rsid w:val="0027454B"/>
    <w:rsid w:val="0027467E"/>
    <w:rsid w:val="00274682"/>
    <w:rsid w:val="00274EA1"/>
    <w:rsid w:val="00275001"/>
    <w:rsid w:val="002750D9"/>
    <w:rsid w:val="00275158"/>
    <w:rsid w:val="00275191"/>
    <w:rsid w:val="002751A5"/>
    <w:rsid w:val="002758C6"/>
    <w:rsid w:val="002758F3"/>
    <w:rsid w:val="00275964"/>
    <w:rsid w:val="00275A6D"/>
    <w:rsid w:val="00275C5A"/>
    <w:rsid w:val="00275DEF"/>
    <w:rsid w:val="002762C3"/>
    <w:rsid w:val="002769F1"/>
    <w:rsid w:val="00276AC8"/>
    <w:rsid w:val="00276DC7"/>
    <w:rsid w:val="00277091"/>
    <w:rsid w:val="002771CA"/>
    <w:rsid w:val="002771D8"/>
    <w:rsid w:val="002772DC"/>
    <w:rsid w:val="00277591"/>
    <w:rsid w:val="00277664"/>
    <w:rsid w:val="002776BD"/>
    <w:rsid w:val="00277A91"/>
    <w:rsid w:val="00277AC1"/>
    <w:rsid w:val="00277B04"/>
    <w:rsid w:val="00280548"/>
    <w:rsid w:val="002805FD"/>
    <w:rsid w:val="0028093E"/>
    <w:rsid w:val="00280FBD"/>
    <w:rsid w:val="00281014"/>
    <w:rsid w:val="002818E1"/>
    <w:rsid w:val="002818E8"/>
    <w:rsid w:val="00281AC3"/>
    <w:rsid w:val="00281B89"/>
    <w:rsid w:val="00281DB2"/>
    <w:rsid w:val="00281EAE"/>
    <w:rsid w:val="00282038"/>
    <w:rsid w:val="002821DC"/>
    <w:rsid w:val="00282484"/>
    <w:rsid w:val="002825F4"/>
    <w:rsid w:val="00282823"/>
    <w:rsid w:val="00282995"/>
    <w:rsid w:val="00282D3A"/>
    <w:rsid w:val="002830AA"/>
    <w:rsid w:val="00283247"/>
    <w:rsid w:val="0028338A"/>
    <w:rsid w:val="00283475"/>
    <w:rsid w:val="00283777"/>
    <w:rsid w:val="00283A44"/>
    <w:rsid w:val="00283DA8"/>
    <w:rsid w:val="00284961"/>
    <w:rsid w:val="00284EF9"/>
    <w:rsid w:val="002856D7"/>
    <w:rsid w:val="0028593B"/>
    <w:rsid w:val="0028598B"/>
    <w:rsid w:val="00285BC1"/>
    <w:rsid w:val="00285BCE"/>
    <w:rsid w:val="00285D8E"/>
    <w:rsid w:val="0028665D"/>
    <w:rsid w:val="00286AE4"/>
    <w:rsid w:val="00286D87"/>
    <w:rsid w:val="00286E3D"/>
    <w:rsid w:val="0028740D"/>
    <w:rsid w:val="002878E5"/>
    <w:rsid w:val="00287A97"/>
    <w:rsid w:val="00287CA0"/>
    <w:rsid w:val="00287F97"/>
    <w:rsid w:val="00290058"/>
    <w:rsid w:val="002903AA"/>
    <w:rsid w:val="00290532"/>
    <w:rsid w:val="0029075B"/>
    <w:rsid w:val="00290871"/>
    <w:rsid w:val="00290A60"/>
    <w:rsid w:val="00290CC6"/>
    <w:rsid w:val="002919C6"/>
    <w:rsid w:val="00291C6D"/>
    <w:rsid w:val="0029224E"/>
    <w:rsid w:val="00292A64"/>
    <w:rsid w:val="00293642"/>
    <w:rsid w:val="002938A6"/>
    <w:rsid w:val="002939A5"/>
    <w:rsid w:val="002945C0"/>
    <w:rsid w:val="00294F6D"/>
    <w:rsid w:val="00295208"/>
    <w:rsid w:val="002953EB"/>
    <w:rsid w:val="002957D6"/>
    <w:rsid w:val="002967C2"/>
    <w:rsid w:val="00296AE1"/>
    <w:rsid w:val="00297020"/>
    <w:rsid w:val="00297385"/>
    <w:rsid w:val="002975A7"/>
    <w:rsid w:val="00297D68"/>
    <w:rsid w:val="002A05BA"/>
    <w:rsid w:val="002A0D4A"/>
    <w:rsid w:val="002A0E83"/>
    <w:rsid w:val="002A106D"/>
    <w:rsid w:val="002A1087"/>
    <w:rsid w:val="002A1265"/>
    <w:rsid w:val="002A131D"/>
    <w:rsid w:val="002A14AB"/>
    <w:rsid w:val="002A1603"/>
    <w:rsid w:val="002A16EE"/>
    <w:rsid w:val="002A172A"/>
    <w:rsid w:val="002A1DC4"/>
    <w:rsid w:val="002A2021"/>
    <w:rsid w:val="002A27B1"/>
    <w:rsid w:val="002A2811"/>
    <w:rsid w:val="002A2878"/>
    <w:rsid w:val="002A28B0"/>
    <w:rsid w:val="002A2ADE"/>
    <w:rsid w:val="002A2F23"/>
    <w:rsid w:val="002A2F50"/>
    <w:rsid w:val="002A43B8"/>
    <w:rsid w:val="002A4568"/>
    <w:rsid w:val="002A4665"/>
    <w:rsid w:val="002A47C5"/>
    <w:rsid w:val="002A4F0E"/>
    <w:rsid w:val="002A4FFF"/>
    <w:rsid w:val="002A51B7"/>
    <w:rsid w:val="002A523D"/>
    <w:rsid w:val="002A547F"/>
    <w:rsid w:val="002A5E21"/>
    <w:rsid w:val="002A618D"/>
    <w:rsid w:val="002A6411"/>
    <w:rsid w:val="002A64A9"/>
    <w:rsid w:val="002A6843"/>
    <w:rsid w:val="002A6D18"/>
    <w:rsid w:val="002A6DD5"/>
    <w:rsid w:val="002A7005"/>
    <w:rsid w:val="002A745A"/>
    <w:rsid w:val="002A7678"/>
    <w:rsid w:val="002A78C1"/>
    <w:rsid w:val="002A7943"/>
    <w:rsid w:val="002A7E7C"/>
    <w:rsid w:val="002A7FA8"/>
    <w:rsid w:val="002B05A1"/>
    <w:rsid w:val="002B08B9"/>
    <w:rsid w:val="002B097A"/>
    <w:rsid w:val="002B09A4"/>
    <w:rsid w:val="002B100C"/>
    <w:rsid w:val="002B103C"/>
    <w:rsid w:val="002B11C3"/>
    <w:rsid w:val="002B12CE"/>
    <w:rsid w:val="002B15A1"/>
    <w:rsid w:val="002B15F6"/>
    <w:rsid w:val="002B16FE"/>
    <w:rsid w:val="002B1ADA"/>
    <w:rsid w:val="002B1B85"/>
    <w:rsid w:val="002B1C1F"/>
    <w:rsid w:val="002B1DD4"/>
    <w:rsid w:val="002B20A5"/>
    <w:rsid w:val="002B225B"/>
    <w:rsid w:val="002B2F78"/>
    <w:rsid w:val="002B36C6"/>
    <w:rsid w:val="002B3CD7"/>
    <w:rsid w:val="002B432F"/>
    <w:rsid w:val="002B43E5"/>
    <w:rsid w:val="002B453E"/>
    <w:rsid w:val="002B4BBB"/>
    <w:rsid w:val="002B5511"/>
    <w:rsid w:val="002B55E1"/>
    <w:rsid w:val="002B56EA"/>
    <w:rsid w:val="002B5834"/>
    <w:rsid w:val="002B5964"/>
    <w:rsid w:val="002B5CF6"/>
    <w:rsid w:val="002B5ECB"/>
    <w:rsid w:val="002B5F56"/>
    <w:rsid w:val="002B6001"/>
    <w:rsid w:val="002B62A9"/>
    <w:rsid w:val="002B62B3"/>
    <w:rsid w:val="002B64F9"/>
    <w:rsid w:val="002B6754"/>
    <w:rsid w:val="002B68D3"/>
    <w:rsid w:val="002B6CCE"/>
    <w:rsid w:val="002B6D8F"/>
    <w:rsid w:val="002B6F8F"/>
    <w:rsid w:val="002B7577"/>
    <w:rsid w:val="002B79F5"/>
    <w:rsid w:val="002B7B67"/>
    <w:rsid w:val="002B7E8E"/>
    <w:rsid w:val="002B7FE0"/>
    <w:rsid w:val="002C093C"/>
    <w:rsid w:val="002C0BEF"/>
    <w:rsid w:val="002C0C48"/>
    <w:rsid w:val="002C1631"/>
    <w:rsid w:val="002C16DD"/>
    <w:rsid w:val="002C1ACD"/>
    <w:rsid w:val="002C2022"/>
    <w:rsid w:val="002C2049"/>
    <w:rsid w:val="002C2510"/>
    <w:rsid w:val="002C2764"/>
    <w:rsid w:val="002C2775"/>
    <w:rsid w:val="002C27C1"/>
    <w:rsid w:val="002C2822"/>
    <w:rsid w:val="002C2859"/>
    <w:rsid w:val="002C2B01"/>
    <w:rsid w:val="002C2E10"/>
    <w:rsid w:val="002C33C5"/>
    <w:rsid w:val="002C348D"/>
    <w:rsid w:val="002C36E3"/>
    <w:rsid w:val="002C373B"/>
    <w:rsid w:val="002C37EE"/>
    <w:rsid w:val="002C3A04"/>
    <w:rsid w:val="002C3AC7"/>
    <w:rsid w:val="002C4528"/>
    <w:rsid w:val="002C5099"/>
    <w:rsid w:val="002C516E"/>
    <w:rsid w:val="002C5889"/>
    <w:rsid w:val="002C5CF5"/>
    <w:rsid w:val="002C6164"/>
    <w:rsid w:val="002C632E"/>
    <w:rsid w:val="002C63F0"/>
    <w:rsid w:val="002C71CE"/>
    <w:rsid w:val="002C7461"/>
    <w:rsid w:val="002C772B"/>
    <w:rsid w:val="002C7757"/>
    <w:rsid w:val="002C7FDC"/>
    <w:rsid w:val="002D024D"/>
    <w:rsid w:val="002D043F"/>
    <w:rsid w:val="002D0534"/>
    <w:rsid w:val="002D06AB"/>
    <w:rsid w:val="002D0750"/>
    <w:rsid w:val="002D07DD"/>
    <w:rsid w:val="002D08F8"/>
    <w:rsid w:val="002D0CC1"/>
    <w:rsid w:val="002D1BA1"/>
    <w:rsid w:val="002D1DFC"/>
    <w:rsid w:val="002D2368"/>
    <w:rsid w:val="002D2432"/>
    <w:rsid w:val="002D24A8"/>
    <w:rsid w:val="002D25D8"/>
    <w:rsid w:val="002D2740"/>
    <w:rsid w:val="002D2D19"/>
    <w:rsid w:val="002D3354"/>
    <w:rsid w:val="002D33DE"/>
    <w:rsid w:val="002D3989"/>
    <w:rsid w:val="002D4036"/>
    <w:rsid w:val="002D4175"/>
    <w:rsid w:val="002D455E"/>
    <w:rsid w:val="002D4A95"/>
    <w:rsid w:val="002D4F25"/>
    <w:rsid w:val="002D51FF"/>
    <w:rsid w:val="002D5272"/>
    <w:rsid w:val="002D55A7"/>
    <w:rsid w:val="002D577C"/>
    <w:rsid w:val="002D5AC0"/>
    <w:rsid w:val="002D5E92"/>
    <w:rsid w:val="002D64CB"/>
    <w:rsid w:val="002D7051"/>
    <w:rsid w:val="002D7496"/>
    <w:rsid w:val="002D7832"/>
    <w:rsid w:val="002E0D97"/>
    <w:rsid w:val="002E0FFF"/>
    <w:rsid w:val="002E1071"/>
    <w:rsid w:val="002E136F"/>
    <w:rsid w:val="002E14E7"/>
    <w:rsid w:val="002E15B9"/>
    <w:rsid w:val="002E17B3"/>
    <w:rsid w:val="002E186F"/>
    <w:rsid w:val="002E19C1"/>
    <w:rsid w:val="002E19D4"/>
    <w:rsid w:val="002E1A71"/>
    <w:rsid w:val="002E1B81"/>
    <w:rsid w:val="002E1C2E"/>
    <w:rsid w:val="002E201C"/>
    <w:rsid w:val="002E2158"/>
    <w:rsid w:val="002E26A7"/>
    <w:rsid w:val="002E2814"/>
    <w:rsid w:val="002E2CC4"/>
    <w:rsid w:val="002E3345"/>
    <w:rsid w:val="002E34AD"/>
    <w:rsid w:val="002E358E"/>
    <w:rsid w:val="002E3959"/>
    <w:rsid w:val="002E3AE5"/>
    <w:rsid w:val="002E434D"/>
    <w:rsid w:val="002E4F02"/>
    <w:rsid w:val="002E526C"/>
    <w:rsid w:val="002E582F"/>
    <w:rsid w:val="002E5AB5"/>
    <w:rsid w:val="002E5E64"/>
    <w:rsid w:val="002E6837"/>
    <w:rsid w:val="002E68EB"/>
    <w:rsid w:val="002E6AF3"/>
    <w:rsid w:val="002E6C40"/>
    <w:rsid w:val="002E6C93"/>
    <w:rsid w:val="002E6E75"/>
    <w:rsid w:val="002E6F38"/>
    <w:rsid w:val="002E7140"/>
    <w:rsid w:val="002E72C4"/>
    <w:rsid w:val="002E74C2"/>
    <w:rsid w:val="002E7722"/>
    <w:rsid w:val="002E79D4"/>
    <w:rsid w:val="002E7B2F"/>
    <w:rsid w:val="002E7E8A"/>
    <w:rsid w:val="002E7F91"/>
    <w:rsid w:val="002F0348"/>
    <w:rsid w:val="002F0527"/>
    <w:rsid w:val="002F059A"/>
    <w:rsid w:val="002F07BA"/>
    <w:rsid w:val="002F0817"/>
    <w:rsid w:val="002F0827"/>
    <w:rsid w:val="002F0B23"/>
    <w:rsid w:val="002F0DA9"/>
    <w:rsid w:val="002F1014"/>
    <w:rsid w:val="002F14B3"/>
    <w:rsid w:val="002F14D4"/>
    <w:rsid w:val="002F151D"/>
    <w:rsid w:val="002F1558"/>
    <w:rsid w:val="002F164C"/>
    <w:rsid w:val="002F1670"/>
    <w:rsid w:val="002F1C08"/>
    <w:rsid w:val="002F1E3B"/>
    <w:rsid w:val="002F1EDB"/>
    <w:rsid w:val="002F1FA1"/>
    <w:rsid w:val="002F2208"/>
    <w:rsid w:val="002F23B4"/>
    <w:rsid w:val="002F24C6"/>
    <w:rsid w:val="002F2794"/>
    <w:rsid w:val="002F285D"/>
    <w:rsid w:val="002F2975"/>
    <w:rsid w:val="002F2CAA"/>
    <w:rsid w:val="002F32CA"/>
    <w:rsid w:val="002F3506"/>
    <w:rsid w:val="002F360D"/>
    <w:rsid w:val="002F48AD"/>
    <w:rsid w:val="002F4E17"/>
    <w:rsid w:val="002F56A5"/>
    <w:rsid w:val="002F5E6D"/>
    <w:rsid w:val="002F6265"/>
    <w:rsid w:val="002F636B"/>
    <w:rsid w:val="002F643C"/>
    <w:rsid w:val="002F65E8"/>
    <w:rsid w:val="002F67DE"/>
    <w:rsid w:val="002F71C0"/>
    <w:rsid w:val="002F74F1"/>
    <w:rsid w:val="002F78D2"/>
    <w:rsid w:val="00300283"/>
    <w:rsid w:val="003005D5"/>
    <w:rsid w:val="0030084E"/>
    <w:rsid w:val="003008BB"/>
    <w:rsid w:val="00300B1F"/>
    <w:rsid w:val="00300B83"/>
    <w:rsid w:val="00300C15"/>
    <w:rsid w:val="00301017"/>
    <w:rsid w:val="0030155F"/>
    <w:rsid w:val="0030193E"/>
    <w:rsid w:val="003019A0"/>
    <w:rsid w:val="00301A42"/>
    <w:rsid w:val="00302510"/>
    <w:rsid w:val="0030295A"/>
    <w:rsid w:val="003040C1"/>
    <w:rsid w:val="00304964"/>
    <w:rsid w:val="00304A9B"/>
    <w:rsid w:val="00305117"/>
    <w:rsid w:val="003055D3"/>
    <w:rsid w:val="0030587B"/>
    <w:rsid w:val="00305A24"/>
    <w:rsid w:val="003062FE"/>
    <w:rsid w:val="0030632B"/>
    <w:rsid w:val="00306783"/>
    <w:rsid w:val="003067C1"/>
    <w:rsid w:val="003069B3"/>
    <w:rsid w:val="00306AAF"/>
    <w:rsid w:val="00306D98"/>
    <w:rsid w:val="00306DCD"/>
    <w:rsid w:val="003070D3"/>
    <w:rsid w:val="003072BC"/>
    <w:rsid w:val="0030786C"/>
    <w:rsid w:val="003078A0"/>
    <w:rsid w:val="00307B6C"/>
    <w:rsid w:val="00310035"/>
    <w:rsid w:val="0031031A"/>
    <w:rsid w:val="0031041C"/>
    <w:rsid w:val="00310431"/>
    <w:rsid w:val="00310981"/>
    <w:rsid w:val="003109A5"/>
    <w:rsid w:val="00310E08"/>
    <w:rsid w:val="00311358"/>
    <w:rsid w:val="0031168F"/>
    <w:rsid w:val="00311D9B"/>
    <w:rsid w:val="003120FA"/>
    <w:rsid w:val="003124D9"/>
    <w:rsid w:val="00312594"/>
    <w:rsid w:val="0031281F"/>
    <w:rsid w:val="00312C5F"/>
    <w:rsid w:val="00312E59"/>
    <w:rsid w:val="00313991"/>
    <w:rsid w:val="00313ED6"/>
    <w:rsid w:val="00314CB0"/>
    <w:rsid w:val="00315498"/>
    <w:rsid w:val="00315553"/>
    <w:rsid w:val="0031580C"/>
    <w:rsid w:val="003158D9"/>
    <w:rsid w:val="003158E9"/>
    <w:rsid w:val="0031596D"/>
    <w:rsid w:val="00315E9B"/>
    <w:rsid w:val="0031623A"/>
    <w:rsid w:val="00316474"/>
    <w:rsid w:val="00316515"/>
    <w:rsid w:val="003168F3"/>
    <w:rsid w:val="00316C43"/>
    <w:rsid w:val="00316C60"/>
    <w:rsid w:val="00316D39"/>
    <w:rsid w:val="00316ECB"/>
    <w:rsid w:val="003172FF"/>
    <w:rsid w:val="00317307"/>
    <w:rsid w:val="003175B3"/>
    <w:rsid w:val="00317887"/>
    <w:rsid w:val="00317F29"/>
    <w:rsid w:val="003213C4"/>
    <w:rsid w:val="003216DB"/>
    <w:rsid w:val="0032185D"/>
    <w:rsid w:val="00321D42"/>
    <w:rsid w:val="00322107"/>
    <w:rsid w:val="00322355"/>
    <w:rsid w:val="0032257F"/>
    <w:rsid w:val="00322846"/>
    <w:rsid w:val="003229E3"/>
    <w:rsid w:val="003237D8"/>
    <w:rsid w:val="00323AD5"/>
    <w:rsid w:val="00323C72"/>
    <w:rsid w:val="00323D34"/>
    <w:rsid w:val="00323E75"/>
    <w:rsid w:val="00324262"/>
    <w:rsid w:val="00324B4F"/>
    <w:rsid w:val="00324DC6"/>
    <w:rsid w:val="00324E47"/>
    <w:rsid w:val="00324F41"/>
    <w:rsid w:val="0032503A"/>
    <w:rsid w:val="0032504C"/>
    <w:rsid w:val="00325195"/>
    <w:rsid w:val="003257C1"/>
    <w:rsid w:val="003257E9"/>
    <w:rsid w:val="00325D26"/>
    <w:rsid w:val="003260E6"/>
    <w:rsid w:val="0032631E"/>
    <w:rsid w:val="0032684F"/>
    <w:rsid w:val="00326C7A"/>
    <w:rsid w:val="00326DA7"/>
    <w:rsid w:val="003270E4"/>
    <w:rsid w:val="003275B3"/>
    <w:rsid w:val="003276D1"/>
    <w:rsid w:val="00327810"/>
    <w:rsid w:val="00327BD8"/>
    <w:rsid w:val="00330628"/>
    <w:rsid w:val="00330819"/>
    <w:rsid w:val="00330DAA"/>
    <w:rsid w:val="00330F5C"/>
    <w:rsid w:val="00330F8E"/>
    <w:rsid w:val="00330FF8"/>
    <w:rsid w:val="0033107E"/>
    <w:rsid w:val="003312A5"/>
    <w:rsid w:val="0033159F"/>
    <w:rsid w:val="003315D3"/>
    <w:rsid w:val="00331E89"/>
    <w:rsid w:val="00331F55"/>
    <w:rsid w:val="00332BCF"/>
    <w:rsid w:val="00332DEF"/>
    <w:rsid w:val="00332FC6"/>
    <w:rsid w:val="00333313"/>
    <w:rsid w:val="003336D9"/>
    <w:rsid w:val="00333CA9"/>
    <w:rsid w:val="00333CF9"/>
    <w:rsid w:val="00333D51"/>
    <w:rsid w:val="003340C0"/>
    <w:rsid w:val="00334606"/>
    <w:rsid w:val="00335240"/>
    <w:rsid w:val="00335347"/>
    <w:rsid w:val="00335534"/>
    <w:rsid w:val="00335C5B"/>
    <w:rsid w:val="00335D88"/>
    <w:rsid w:val="00336058"/>
    <w:rsid w:val="00336202"/>
    <w:rsid w:val="003366C9"/>
    <w:rsid w:val="00336D07"/>
    <w:rsid w:val="00336F7F"/>
    <w:rsid w:val="0033704F"/>
    <w:rsid w:val="003370B9"/>
    <w:rsid w:val="003371B0"/>
    <w:rsid w:val="003377CB"/>
    <w:rsid w:val="003379F4"/>
    <w:rsid w:val="00337ADA"/>
    <w:rsid w:val="00337AF1"/>
    <w:rsid w:val="00337E00"/>
    <w:rsid w:val="00340141"/>
    <w:rsid w:val="00340307"/>
    <w:rsid w:val="00340648"/>
    <w:rsid w:val="003406F8"/>
    <w:rsid w:val="00340DF1"/>
    <w:rsid w:val="00341206"/>
    <w:rsid w:val="00341351"/>
    <w:rsid w:val="00341D7B"/>
    <w:rsid w:val="00341D9E"/>
    <w:rsid w:val="0034221A"/>
    <w:rsid w:val="003423C0"/>
    <w:rsid w:val="0034291C"/>
    <w:rsid w:val="00342A7F"/>
    <w:rsid w:val="00342BE9"/>
    <w:rsid w:val="00342D8E"/>
    <w:rsid w:val="0034340B"/>
    <w:rsid w:val="00343601"/>
    <w:rsid w:val="00343631"/>
    <w:rsid w:val="003437FC"/>
    <w:rsid w:val="00343893"/>
    <w:rsid w:val="00343BBC"/>
    <w:rsid w:val="0034422C"/>
    <w:rsid w:val="0034439F"/>
    <w:rsid w:val="0034445B"/>
    <w:rsid w:val="003446D3"/>
    <w:rsid w:val="003447B7"/>
    <w:rsid w:val="00344BBD"/>
    <w:rsid w:val="00344DA6"/>
    <w:rsid w:val="00345399"/>
    <w:rsid w:val="00345492"/>
    <w:rsid w:val="0034567D"/>
    <w:rsid w:val="00345835"/>
    <w:rsid w:val="00345D91"/>
    <w:rsid w:val="00345E73"/>
    <w:rsid w:val="00345EF7"/>
    <w:rsid w:val="003460BD"/>
    <w:rsid w:val="003460E9"/>
    <w:rsid w:val="00346485"/>
    <w:rsid w:val="003464F6"/>
    <w:rsid w:val="0034690C"/>
    <w:rsid w:val="00346967"/>
    <w:rsid w:val="00347140"/>
    <w:rsid w:val="00347574"/>
    <w:rsid w:val="00347A39"/>
    <w:rsid w:val="00347BE6"/>
    <w:rsid w:val="00347C12"/>
    <w:rsid w:val="003501A2"/>
    <w:rsid w:val="00350276"/>
    <w:rsid w:val="00350309"/>
    <w:rsid w:val="00350949"/>
    <w:rsid w:val="00350D1D"/>
    <w:rsid w:val="003511FC"/>
    <w:rsid w:val="00351668"/>
    <w:rsid w:val="00351704"/>
    <w:rsid w:val="003517F9"/>
    <w:rsid w:val="003518E0"/>
    <w:rsid w:val="00351A59"/>
    <w:rsid w:val="00351BA9"/>
    <w:rsid w:val="00351C0A"/>
    <w:rsid w:val="00351CC1"/>
    <w:rsid w:val="00351CD5"/>
    <w:rsid w:val="00351E82"/>
    <w:rsid w:val="003521A1"/>
    <w:rsid w:val="0035268D"/>
    <w:rsid w:val="00353381"/>
    <w:rsid w:val="00353EF5"/>
    <w:rsid w:val="003543AE"/>
    <w:rsid w:val="00354F64"/>
    <w:rsid w:val="003552CE"/>
    <w:rsid w:val="003559A1"/>
    <w:rsid w:val="0035620E"/>
    <w:rsid w:val="00356346"/>
    <w:rsid w:val="003564BC"/>
    <w:rsid w:val="0035662A"/>
    <w:rsid w:val="00356712"/>
    <w:rsid w:val="00356B4B"/>
    <w:rsid w:val="00356CD1"/>
    <w:rsid w:val="00357193"/>
    <w:rsid w:val="00357294"/>
    <w:rsid w:val="003573F3"/>
    <w:rsid w:val="003575BE"/>
    <w:rsid w:val="0035767B"/>
    <w:rsid w:val="00357ED6"/>
    <w:rsid w:val="00360107"/>
    <w:rsid w:val="00360345"/>
    <w:rsid w:val="00360374"/>
    <w:rsid w:val="00360476"/>
    <w:rsid w:val="0036095D"/>
    <w:rsid w:val="00360960"/>
    <w:rsid w:val="00360B32"/>
    <w:rsid w:val="00361A05"/>
    <w:rsid w:val="00361D2B"/>
    <w:rsid w:val="003624C4"/>
    <w:rsid w:val="00362521"/>
    <w:rsid w:val="00362704"/>
    <w:rsid w:val="00362764"/>
    <w:rsid w:val="00362B90"/>
    <w:rsid w:val="00363500"/>
    <w:rsid w:val="003635BD"/>
    <w:rsid w:val="00363662"/>
    <w:rsid w:val="00363B00"/>
    <w:rsid w:val="00363C7E"/>
    <w:rsid w:val="00363CF5"/>
    <w:rsid w:val="00363F75"/>
    <w:rsid w:val="00363FF6"/>
    <w:rsid w:val="00364161"/>
    <w:rsid w:val="00364215"/>
    <w:rsid w:val="003644AB"/>
    <w:rsid w:val="00364C65"/>
    <w:rsid w:val="00364E35"/>
    <w:rsid w:val="003654AC"/>
    <w:rsid w:val="00365728"/>
    <w:rsid w:val="00365862"/>
    <w:rsid w:val="003658C2"/>
    <w:rsid w:val="00365AB9"/>
    <w:rsid w:val="00365ABC"/>
    <w:rsid w:val="00366201"/>
    <w:rsid w:val="003664C0"/>
    <w:rsid w:val="00366750"/>
    <w:rsid w:val="0036706A"/>
    <w:rsid w:val="0036707D"/>
    <w:rsid w:val="003672B2"/>
    <w:rsid w:val="0036748D"/>
    <w:rsid w:val="00367FA8"/>
    <w:rsid w:val="00370AAA"/>
    <w:rsid w:val="003710CF"/>
    <w:rsid w:val="0037137D"/>
    <w:rsid w:val="00371515"/>
    <w:rsid w:val="003718AC"/>
    <w:rsid w:val="00371987"/>
    <w:rsid w:val="00371A1D"/>
    <w:rsid w:val="00371C45"/>
    <w:rsid w:val="0037200D"/>
    <w:rsid w:val="003720BF"/>
    <w:rsid w:val="00372D14"/>
    <w:rsid w:val="0037307E"/>
    <w:rsid w:val="00373308"/>
    <w:rsid w:val="0037358A"/>
    <w:rsid w:val="00373691"/>
    <w:rsid w:val="00373A74"/>
    <w:rsid w:val="00373BA2"/>
    <w:rsid w:val="00374071"/>
    <w:rsid w:val="0037415F"/>
    <w:rsid w:val="00374861"/>
    <w:rsid w:val="00374A0B"/>
    <w:rsid w:val="00374F01"/>
    <w:rsid w:val="0037509B"/>
    <w:rsid w:val="003750F6"/>
    <w:rsid w:val="00375205"/>
    <w:rsid w:val="0037534B"/>
    <w:rsid w:val="0037536E"/>
    <w:rsid w:val="003754BE"/>
    <w:rsid w:val="0037578C"/>
    <w:rsid w:val="00375CEA"/>
    <w:rsid w:val="00375E66"/>
    <w:rsid w:val="00375E9F"/>
    <w:rsid w:val="0037601D"/>
    <w:rsid w:val="003760FC"/>
    <w:rsid w:val="00376AEE"/>
    <w:rsid w:val="003770FF"/>
    <w:rsid w:val="003775F0"/>
    <w:rsid w:val="00377788"/>
    <w:rsid w:val="00377B2D"/>
    <w:rsid w:val="00377B2E"/>
    <w:rsid w:val="00377C52"/>
    <w:rsid w:val="00377DF6"/>
    <w:rsid w:val="00377EC0"/>
    <w:rsid w:val="00380526"/>
    <w:rsid w:val="00380F62"/>
    <w:rsid w:val="00380FC1"/>
    <w:rsid w:val="00381255"/>
    <w:rsid w:val="00381A8F"/>
    <w:rsid w:val="00381B77"/>
    <w:rsid w:val="00381D0A"/>
    <w:rsid w:val="00381E19"/>
    <w:rsid w:val="00381EAB"/>
    <w:rsid w:val="00381F03"/>
    <w:rsid w:val="00382213"/>
    <w:rsid w:val="003828DE"/>
    <w:rsid w:val="00382A1C"/>
    <w:rsid w:val="003834A3"/>
    <w:rsid w:val="00383525"/>
    <w:rsid w:val="0038365C"/>
    <w:rsid w:val="0038369B"/>
    <w:rsid w:val="00383B26"/>
    <w:rsid w:val="00383B78"/>
    <w:rsid w:val="00383D06"/>
    <w:rsid w:val="0038402D"/>
    <w:rsid w:val="00384694"/>
    <w:rsid w:val="00384696"/>
    <w:rsid w:val="00384D21"/>
    <w:rsid w:val="003852B7"/>
    <w:rsid w:val="00385853"/>
    <w:rsid w:val="0038589C"/>
    <w:rsid w:val="00385A9D"/>
    <w:rsid w:val="00385BCB"/>
    <w:rsid w:val="003860B1"/>
    <w:rsid w:val="00386881"/>
    <w:rsid w:val="00386D10"/>
    <w:rsid w:val="00387121"/>
    <w:rsid w:val="00387FF9"/>
    <w:rsid w:val="003902B1"/>
    <w:rsid w:val="00390344"/>
    <w:rsid w:val="0039059B"/>
    <w:rsid w:val="003909A9"/>
    <w:rsid w:val="00390DC8"/>
    <w:rsid w:val="00390E1A"/>
    <w:rsid w:val="003911BE"/>
    <w:rsid w:val="003914FE"/>
    <w:rsid w:val="00391532"/>
    <w:rsid w:val="003915BA"/>
    <w:rsid w:val="0039163E"/>
    <w:rsid w:val="0039179C"/>
    <w:rsid w:val="00391EC8"/>
    <w:rsid w:val="00391ED7"/>
    <w:rsid w:val="00391F4C"/>
    <w:rsid w:val="003923B5"/>
    <w:rsid w:val="003939B9"/>
    <w:rsid w:val="003939BC"/>
    <w:rsid w:val="003939D0"/>
    <w:rsid w:val="00393B1A"/>
    <w:rsid w:val="00393D28"/>
    <w:rsid w:val="0039437F"/>
    <w:rsid w:val="00394467"/>
    <w:rsid w:val="00394A06"/>
    <w:rsid w:val="00394CD8"/>
    <w:rsid w:val="00394F43"/>
    <w:rsid w:val="00395487"/>
    <w:rsid w:val="0039550D"/>
    <w:rsid w:val="00395FE0"/>
    <w:rsid w:val="003961C9"/>
    <w:rsid w:val="0039637C"/>
    <w:rsid w:val="003964BD"/>
    <w:rsid w:val="003964D4"/>
    <w:rsid w:val="003967B2"/>
    <w:rsid w:val="00396829"/>
    <w:rsid w:val="00396896"/>
    <w:rsid w:val="003968FA"/>
    <w:rsid w:val="003969B7"/>
    <w:rsid w:val="00396CD0"/>
    <w:rsid w:val="00396FD0"/>
    <w:rsid w:val="00397430"/>
    <w:rsid w:val="00397596"/>
    <w:rsid w:val="0039768D"/>
    <w:rsid w:val="003978EA"/>
    <w:rsid w:val="00397946"/>
    <w:rsid w:val="00397C28"/>
    <w:rsid w:val="003A0246"/>
    <w:rsid w:val="003A09B7"/>
    <w:rsid w:val="003A0D7D"/>
    <w:rsid w:val="003A0DFA"/>
    <w:rsid w:val="003A1180"/>
    <w:rsid w:val="003A1407"/>
    <w:rsid w:val="003A1560"/>
    <w:rsid w:val="003A163D"/>
    <w:rsid w:val="003A19D2"/>
    <w:rsid w:val="003A1A7A"/>
    <w:rsid w:val="003A1D34"/>
    <w:rsid w:val="003A2086"/>
    <w:rsid w:val="003A21B2"/>
    <w:rsid w:val="003A2309"/>
    <w:rsid w:val="003A2392"/>
    <w:rsid w:val="003A2831"/>
    <w:rsid w:val="003A312E"/>
    <w:rsid w:val="003A3201"/>
    <w:rsid w:val="003A3366"/>
    <w:rsid w:val="003A3580"/>
    <w:rsid w:val="003A3BDD"/>
    <w:rsid w:val="003A3C73"/>
    <w:rsid w:val="003A3CB6"/>
    <w:rsid w:val="003A3ED1"/>
    <w:rsid w:val="003A4046"/>
    <w:rsid w:val="003A41FD"/>
    <w:rsid w:val="003A4376"/>
    <w:rsid w:val="003A44DB"/>
    <w:rsid w:val="003A4804"/>
    <w:rsid w:val="003A4C14"/>
    <w:rsid w:val="003A4EAB"/>
    <w:rsid w:val="003A5684"/>
    <w:rsid w:val="003A61AE"/>
    <w:rsid w:val="003A61E6"/>
    <w:rsid w:val="003A63F5"/>
    <w:rsid w:val="003A64CD"/>
    <w:rsid w:val="003A662E"/>
    <w:rsid w:val="003A67E1"/>
    <w:rsid w:val="003A6D5E"/>
    <w:rsid w:val="003A785B"/>
    <w:rsid w:val="003A789F"/>
    <w:rsid w:val="003A7E25"/>
    <w:rsid w:val="003B005A"/>
    <w:rsid w:val="003B0460"/>
    <w:rsid w:val="003B06B4"/>
    <w:rsid w:val="003B08DE"/>
    <w:rsid w:val="003B0BFE"/>
    <w:rsid w:val="003B14AE"/>
    <w:rsid w:val="003B15C6"/>
    <w:rsid w:val="003B1E25"/>
    <w:rsid w:val="003B1EB7"/>
    <w:rsid w:val="003B209F"/>
    <w:rsid w:val="003B224C"/>
    <w:rsid w:val="003B239F"/>
    <w:rsid w:val="003B2523"/>
    <w:rsid w:val="003B256C"/>
    <w:rsid w:val="003B2940"/>
    <w:rsid w:val="003B2ADC"/>
    <w:rsid w:val="003B323D"/>
    <w:rsid w:val="003B3413"/>
    <w:rsid w:val="003B3654"/>
    <w:rsid w:val="003B36AF"/>
    <w:rsid w:val="003B3971"/>
    <w:rsid w:val="003B4DF5"/>
    <w:rsid w:val="003B55D1"/>
    <w:rsid w:val="003B566F"/>
    <w:rsid w:val="003B575D"/>
    <w:rsid w:val="003B5B61"/>
    <w:rsid w:val="003B5EFE"/>
    <w:rsid w:val="003B609C"/>
    <w:rsid w:val="003B68B6"/>
    <w:rsid w:val="003B6DF8"/>
    <w:rsid w:val="003B7346"/>
    <w:rsid w:val="003B73A3"/>
    <w:rsid w:val="003B798A"/>
    <w:rsid w:val="003B7CE4"/>
    <w:rsid w:val="003C01A6"/>
    <w:rsid w:val="003C0A42"/>
    <w:rsid w:val="003C0C3F"/>
    <w:rsid w:val="003C0EAE"/>
    <w:rsid w:val="003C12F3"/>
    <w:rsid w:val="003C1654"/>
    <w:rsid w:val="003C182C"/>
    <w:rsid w:val="003C26A7"/>
    <w:rsid w:val="003C2772"/>
    <w:rsid w:val="003C2893"/>
    <w:rsid w:val="003C2C6C"/>
    <w:rsid w:val="003C2C93"/>
    <w:rsid w:val="003C2EF5"/>
    <w:rsid w:val="003C2F3A"/>
    <w:rsid w:val="003C2FEA"/>
    <w:rsid w:val="003C32B9"/>
    <w:rsid w:val="003C33FA"/>
    <w:rsid w:val="003C3699"/>
    <w:rsid w:val="003C3D26"/>
    <w:rsid w:val="003C4076"/>
    <w:rsid w:val="003C4389"/>
    <w:rsid w:val="003C4869"/>
    <w:rsid w:val="003C516E"/>
    <w:rsid w:val="003C5296"/>
    <w:rsid w:val="003C53FC"/>
    <w:rsid w:val="003C5542"/>
    <w:rsid w:val="003C56D6"/>
    <w:rsid w:val="003C60FB"/>
    <w:rsid w:val="003C6314"/>
    <w:rsid w:val="003C6712"/>
    <w:rsid w:val="003C6888"/>
    <w:rsid w:val="003C71FC"/>
    <w:rsid w:val="003C720A"/>
    <w:rsid w:val="003C74A0"/>
    <w:rsid w:val="003C7596"/>
    <w:rsid w:val="003C781D"/>
    <w:rsid w:val="003C78C0"/>
    <w:rsid w:val="003C7AB4"/>
    <w:rsid w:val="003C7C15"/>
    <w:rsid w:val="003C7CBE"/>
    <w:rsid w:val="003C7D19"/>
    <w:rsid w:val="003C7D2F"/>
    <w:rsid w:val="003C7E32"/>
    <w:rsid w:val="003C7ED7"/>
    <w:rsid w:val="003D0275"/>
    <w:rsid w:val="003D04BE"/>
    <w:rsid w:val="003D059D"/>
    <w:rsid w:val="003D0C5A"/>
    <w:rsid w:val="003D0F24"/>
    <w:rsid w:val="003D1006"/>
    <w:rsid w:val="003D14BC"/>
    <w:rsid w:val="003D1524"/>
    <w:rsid w:val="003D155E"/>
    <w:rsid w:val="003D1828"/>
    <w:rsid w:val="003D1CC3"/>
    <w:rsid w:val="003D1DE4"/>
    <w:rsid w:val="003D1E9A"/>
    <w:rsid w:val="003D210D"/>
    <w:rsid w:val="003D215F"/>
    <w:rsid w:val="003D217A"/>
    <w:rsid w:val="003D234D"/>
    <w:rsid w:val="003D2422"/>
    <w:rsid w:val="003D2473"/>
    <w:rsid w:val="003D2737"/>
    <w:rsid w:val="003D2BD4"/>
    <w:rsid w:val="003D33C8"/>
    <w:rsid w:val="003D364B"/>
    <w:rsid w:val="003D385D"/>
    <w:rsid w:val="003D39A1"/>
    <w:rsid w:val="003D3DC6"/>
    <w:rsid w:val="003D3F24"/>
    <w:rsid w:val="003D3FBF"/>
    <w:rsid w:val="003D3FDF"/>
    <w:rsid w:val="003D4378"/>
    <w:rsid w:val="003D45F6"/>
    <w:rsid w:val="003D495D"/>
    <w:rsid w:val="003D4974"/>
    <w:rsid w:val="003D4A30"/>
    <w:rsid w:val="003D4D1F"/>
    <w:rsid w:val="003D4F3B"/>
    <w:rsid w:val="003D5264"/>
    <w:rsid w:val="003D5A74"/>
    <w:rsid w:val="003D6132"/>
    <w:rsid w:val="003D62F1"/>
    <w:rsid w:val="003D661B"/>
    <w:rsid w:val="003D6744"/>
    <w:rsid w:val="003D6A24"/>
    <w:rsid w:val="003D6C30"/>
    <w:rsid w:val="003D6E85"/>
    <w:rsid w:val="003D6F3B"/>
    <w:rsid w:val="003D72A8"/>
    <w:rsid w:val="003D732F"/>
    <w:rsid w:val="003D7452"/>
    <w:rsid w:val="003D77FB"/>
    <w:rsid w:val="003D79BB"/>
    <w:rsid w:val="003D7C98"/>
    <w:rsid w:val="003D7D9D"/>
    <w:rsid w:val="003D7E8C"/>
    <w:rsid w:val="003D7F1A"/>
    <w:rsid w:val="003E04FD"/>
    <w:rsid w:val="003E0543"/>
    <w:rsid w:val="003E082F"/>
    <w:rsid w:val="003E0943"/>
    <w:rsid w:val="003E1163"/>
    <w:rsid w:val="003E1309"/>
    <w:rsid w:val="003E1336"/>
    <w:rsid w:val="003E15F0"/>
    <w:rsid w:val="003E198C"/>
    <w:rsid w:val="003E1ADF"/>
    <w:rsid w:val="003E1DA6"/>
    <w:rsid w:val="003E1F4E"/>
    <w:rsid w:val="003E20D5"/>
    <w:rsid w:val="003E2561"/>
    <w:rsid w:val="003E280E"/>
    <w:rsid w:val="003E2A08"/>
    <w:rsid w:val="003E2F34"/>
    <w:rsid w:val="003E355C"/>
    <w:rsid w:val="003E35AA"/>
    <w:rsid w:val="003E3F83"/>
    <w:rsid w:val="003E4026"/>
    <w:rsid w:val="003E41E5"/>
    <w:rsid w:val="003E4221"/>
    <w:rsid w:val="003E4246"/>
    <w:rsid w:val="003E42DC"/>
    <w:rsid w:val="003E4709"/>
    <w:rsid w:val="003E48FB"/>
    <w:rsid w:val="003E5603"/>
    <w:rsid w:val="003E5A9B"/>
    <w:rsid w:val="003E5C15"/>
    <w:rsid w:val="003E5CEA"/>
    <w:rsid w:val="003E6016"/>
    <w:rsid w:val="003E6A93"/>
    <w:rsid w:val="003E6B5C"/>
    <w:rsid w:val="003E6ED0"/>
    <w:rsid w:val="003E749E"/>
    <w:rsid w:val="003E74A3"/>
    <w:rsid w:val="003E78FB"/>
    <w:rsid w:val="003E7C4B"/>
    <w:rsid w:val="003F0B0B"/>
    <w:rsid w:val="003F0F94"/>
    <w:rsid w:val="003F1080"/>
    <w:rsid w:val="003F17B8"/>
    <w:rsid w:val="003F1C0A"/>
    <w:rsid w:val="003F1EA9"/>
    <w:rsid w:val="003F206F"/>
    <w:rsid w:val="003F2086"/>
    <w:rsid w:val="003F222E"/>
    <w:rsid w:val="003F24E4"/>
    <w:rsid w:val="003F2E39"/>
    <w:rsid w:val="003F30C0"/>
    <w:rsid w:val="003F3134"/>
    <w:rsid w:val="003F34E2"/>
    <w:rsid w:val="003F36D5"/>
    <w:rsid w:val="003F3EFE"/>
    <w:rsid w:val="003F4156"/>
    <w:rsid w:val="003F44B7"/>
    <w:rsid w:val="003F47DF"/>
    <w:rsid w:val="003F4F3A"/>
    <w:rsid w:val="003F5311"/>
    <w:rsid w:val="003F55CF"/>
    <w:rsid w:val="003F55F8"/>
    <w:rsid w:val="003F5ADF"/>
    <w:rsid w:val="003F5C51"/>
    <w:rsid w:val="003F62FC"/>
    <w:rsid w:val="003F6481"/>
    <w:rsid w:val="003F650E"/>
    <w:rsid w:val="003F66DA"/>
    <w:rsid w:val="003F67A2"/>
    <w:rsid w:val="003F69A1"/>
    <w:rsid w:val="003F7266"/>
    <w:rsid w:val="003F72D4"/>
    <w:rsid w:val="003F7774"/>
    <w:rsid w:val="003F7893"/>
    <w:rsid w:val="003F7BFE"/>
    <w:rsid w:val="00400739"/>
    <w:rsid w:val="00400935"/>
    <w:rsid w:val="00400A01"/>
    <w:rsid w:val="00400B29"/>
    <w:rsid w:val="00400E2D"/>
    <w:rsid w:val="00401F8E"/>
    <w:rsid w:val="00402812"/>
    <w:rsid w:val="00402ABE"/>
    <w:rsid w:val="00402B0B"/>
    <w:rsid w:val="0040344B"/>
    <w:rsid w:val="00403553"/>
    <w:rsid w:val="00403654"/>
    <w:rsid w:val="00404036"/>
    <w:rsid w:val="0040504B"/>
    <w:rsid w:val="00405275"/>
    <w:rsid w:val="004052EF"/>
    <w:rsid w:val="00405820"/>
    <w:rsid w:val="004059F4"/>
    <w:rsid w:val="00405A7D"/>
    <w:rsid w:val="00405B35"/>
    <w:rsid w:val="00405FB1"/>
    <w:rsid w:val="00405FF8"/>
    <w:rsid w:val="0040623A"/>
    <w:rsid w:val="0040635E"/>
    <w:rsid w:val="004063BF"/>
    <w:rsid w:val="0040646F"/>
    <w:rsid w:val="004066BC"/>
    <w:rsid w:val="0040672F"/>
    <w:rsid w:val="00406FB6"/>
    <w:rsid w:val="004071BD"/>
    <w:rsid w:val="004075F2"/>
    <w:rsid w:val="004077C0"/>
    <w:rsid w:val="004079EF"/>
    <w:rsid w:val="00407B28"/>
    <w:rsid w:val="00407FE5"/>
    <w:rsid w:val="004101B0"/>
    <w:rsid w:val="00410326"/>
    <w:rsid w:val="004103B3"/>
    <w:rsid w:val="004103F6"/>
    <w:rsid w:val="004104E0"/>
    <w:rsid w:val="00410708"/>
    <w:rsid w:val="00410C03"/>
    <w:rsid w:val="00410EC7"/>
    <w:rsid w:val="0041115B"/>
    <w:rsid w:val="0041151B"/>
    <w:rsid w:val="00411820"/>
    <w:rsid w:val="00411A99"/>
    <w:rsid w:val="00411B39"/>
    <w:rsid w:val="00411E0A"/>
    <w:rsid w:val="00412704"/>
    <w:rsid w:val="004127A7"/>
    <w:rsid w:val="00412A95"/>
    <w:rsid w:val="00412C1D"/>
    <w:rsid w:val="00412E73"/>
    <w:rsid w:val="004131E8"/>
    <w:rsid w:val="00413416"/>
    <w:rsid w:val="00413690"/>
    <w:rsid w:val="00413859"/>
    <w:rsid w:val="004139F3"/>
    <w:rsid w:val="00413A1E"/>
    <w:rsid w:val="00413E6E"/>
    <w:rsid w:val="004141B7"/>
    <w:rsid w:val="00414476"/>
    <w:rsid w:val="004144CE"/>
    <w:rsid w:val="00414612"/>
    <w:rsid w:val="0041491B"/>
    <w:rsid w:val="00414AD3"/>
    <w:rsid w:val="00414C2E"/>
    <w:rsid w:val="004151CF"/>
    <w:rsid w:val="004155B0"/>
    <w:rsid w:val="00415610"/>
    <w:rsid w:val="00415657"/>
    <w:rsid w:val="00415A5D"/>
    <w:rsid w:val="00415D16"/>
    <w:rsid w:val="00416364"/>
    <w:rsid w:val="0041643D"/>
    <w:rsid w:val="0041669B"/>
    <w:rsid w:val="00416A13"/>
    <w:rsid w:val="00416B8B"/>
    <w:rsid w:val="00416EB3"/>
    <w:rsid w:val="0041725C"/>
    <w:rsid w:val="00417A52"/>
    <w:rsid w:val="00417C23"/>
    <w:rsid w:val="00417DD2"/>
    <w:rsid w:val="00417FCA"/>
    <w:rsid w:val="004200A9"/>
    <w:rsid w:val="00420130"/>
    <w:rsid w:val="004202AB"/>
    <w:rsid w:val="0042047F"/>
    <w:rsid w:val="0042092B"/>
    <w:rsid w:val="00420AA6"/>
    <w:rsid w:val="00420AD1"/>
    <w:rsid w:val="00420B9F"/>
    <w:rsid w:val="00421366"/>
    <w:rsid w:val="00421676"/>
    <w:rsid w:val="0042192C"/>
    <w:rsid w:val="00421B09"/>
    <w:rsid w:val="00421BFD"/>
    <w:rsid w:val="00421CF1"/>
    <w:rsid w:val="00422260"/>
    <w:rsid w:val="0042234D"/>
    <w:rsid w:val="004223A1"/>
    <w:rsid w:val="004223C6"/>
    <w:rsid w:val="004226DF"/>
    <w:rsid w:val="0042271B"/>
    <w:rsid w:val="00422A79"/>
    <w:rsid w:val="00422DFB"/>
    <w:rsid w:val="00423001"/>
    <w:rsid w:val="004234F5"/>
    <w:rsid w:val="0042363D"/>
    <w:rsid w:val="00423B7D"/>
    <w:rsid w:val="00423E7C"/>
    <w:rsid w:val="0042413F"/>
    <w:rsid w:val="004245C1"/>
    <w:rsid w:val="0042478C"/>
    <w:rsid w:val="00424885"/>
    <w:rsid w:val="00425109"/>
    <w:rsid w:val="004254DE"/>
    <w:rsid w:val="00425700"/>
    <w:rsid w:val="00425DF0"/>
    <w:rsid w:val="00425F00"/>
    <w:rsid w:val="00425F76"/>
    <w:rsid w:val="0042603D"/>
    <w:rsid w:val="0042755A"/>
    <w:rsid w:val="004279D3"/>
    <w:rsid w:val="00430156"/>
    <w:rsid w:val="00430158"/>
    <w:rsid w:val="0043017D"/>
    <w:rsid w:val="004305EC"/>
    <w:rsid w:val="004307A8"/>
    <w:rsid w:val="00430A6C"/>
    <w:rsid w:val="00430A98"/>
    <w:rsid w:val="00431401"/>
    <w:rsid w:val="0043198B"/>
    <w:rsid w:val="004319DF"/>
    <w:rsid w:val="004319F8"/>
    <w:rsid w:val="00431C16"/>
    <w:rsid w:val="00431D55"/>
    <w:rsid w:val="00431D87"/>
    <w:rsid w:val="00431E03"/>
    <w:rsid w:val="00431E55"/>
    <w:rsid w:val="004321F6"/>
    <w:rsid w:val="0043225F"/>
    <w:rsid w:val="004322A9"/>
    <w:rsid w:val="0043256A"/>
    <w:rsid w:val="004327F5"/>
    <w:rsid w:val="004328E7"/>
    <w:rsid w:val="00432B62"/>
    <w:rsid w:val="00432F86"/>
    <w:rsid w:val="00433044"/>
    <w:rsid w:val="00433135"/>
    <w:rsid w:val="00433665"/>
    <w:rsid w:val="00433764"/>
    <w:rsid w:val="00434060"/>
    <w:rsid w:val="00434088"/>
    <w:rsid w:val="004345D3"/>
    <w:rsid w:val="00435573"/>
    <w:rsid w:val="0043564E"/>
    <w:rsid w:val="00435965"/>
    <w:rsid w:val="0043598C"/>
    <w:rsid w:val="00436345"/>
    <w:rsid w:val="00436818"/>
    <w:rsid w:val="00436A03"/>
    <w:rsid w:val="00436ABC"/>
    <w:rsid w:val="00437043"/>
    <w:rsid w:val="0043731A"/>
    <w:rsid w:val="0043755D"/>
    <w:rsid w:val="004375B0"/>
    <w:rsid w:val="004375B9"/>
    <w:rsid w:val="00437859"/>
    <w:rsid w:val="00437E3F"/>
    <w:rsid w:val="00437E9A"/>
    <w:rsid w:val="00437F5C"/>
    <w:rsid w:val="004402A0"/>
    <w:rsid w:val="00440326"/>
    <w:rsid w:val="00440A98"/>
    <w:rsid w:val="00440F6F"/>
    <w:rsid w:val="004411D4"/>
    <w:rsid w:val="004412FC"/>
    <w:rsid w:val="00441404"/>
    <w:rsid w:val="00441553"/>
    <w:rsid w:val="004415AA"/>
    <w:rsid w:val="00441F0E"/>
    <w:rsid w:val="00442394"/>
    <w:rsid w:val="004423A4"/>
    <w:rsid w:val="004425EE"/>
    <w:rsid w:val="004426E5"/>
    <w:rsid w:val="004428D0"/>
    <w:rsid w:val="0044293A"/>
    <w:rsid w:val="00442959"/>
    <w:rsid w:val="00442AB5"/>
    <w:rsid w:val="00442D1D"/>
    <w:rsid w:val="00443108"/>
    <w:rsid w:val="0044313D"/>
    <w:rsid w:val="004435F5"/>
    <w:rsid w:val="0044395D"/>
    <w:rsid w:val="00443AA2"/>
    <w:rsid w:val="00443AC4"/>
    <w:rsid w:val="0044410E"/>
    <w:rsid w:val="00444185"/>
    <w:rsid w:val="004443A7"/>
    <w:rsid w:val="0044442C"/>
    <w:rsid w:val="00444818"/>
    <w:rsid w:val="00444876"/>
    <w:rsid w:val="00444A29"/>
    <w:rsid w:val="00444B6D"/>
    <w:rsid w:val="0044516F"/>
    <w:rsid w:val="00445332"/>
    <w:rsid w:val="00445425"/>
    <w:rsid w:val="00445572"/>
    <w:rsid w:val="004457E7"/>
    <w:rsid w:val="00445843"/>
    <w:rsid w:val="00445941"/>
    <w:rsid w:val="0044598F"/>
    <w:rsid w:val="00445AFB"/>
    <w:rsid w:val="00445B60"/>
    <w:rsid w:val="00445DCC"/>
    <w:rsid w:val="00445E3B"/>
    <w:rsid w:val="004463A8"/>
    <w:rsid w:val="004464CA"/>
    <w:rsid w:val="004464EB"/>
    <w:rsid w:val="00446579"/>
    <w:rsid w:val="00446A49"/>
    <w:rsid w:val="00446C40"/>
    <w:rsid w:val="0044711C"/>
    <w:rsid w:val="004474DB"/>
    <w:rsid w:val="00447565"/>
    <w:rsid w:val="004476E7"/>
    <w:rsid w:val="00447AF6"/>
    <w:rsid w:val="00447BF1"/>
    <w:rsid w:val="00447D26"/>
    <w:rsid w:val="00447DFC"/>
    <w:rsid w:val="00450068"/>
    <w:rsid w:val="0045084C"/>
    <w:rsid w:val="00450BFA"/>
    <w:rsid w:val="00450EB5"/>
    <w:rsid w:val="004510CB"/>
    <w:rsid w:val="004513A1"/>
    <w:rsid w:val="00451B12"/>
    <w:rsid w:val="0045206E"/>
    <w:rsid w:val="004521A1"/>
    <w:rsid w:val="004522EA"/>
    <w:rsid w:val="0045232F"/>
    <w:rsid w:val="00452502"/>
    <w:rsid w:val="0045251C"/>
    <w:rsid w:val="00452591"/>
    <w:rsid w:val="00452796"/>
    <w:rsid w:val="00452FFD"/>
    <w:rsid w:val="004531DB"/>
    <w:rsid w:val="00453410"/>
    <w:rsid w:val="0045369E"/>
    <w:rsid w:val="004536FB"/>
    <w:rsid w:val="00453922"/>
    <w:rsid w:val="00453D15"/>
    <w:rsid w:val="00453E02"/>
    <w:rsid w:val="00454060"/>
    <w:rsid w:val="00454702"/>
    <w:rsid w:val="00454920"/>
    <w:rsid w:val="00454B98"/>
    <w:rsid w:val="00454BC0"/>
    <w:rsid w:val="004551E8"/>
    <w:rsid w:val="0045561C"/>
    <w:rsid w:val="00455862"/>
    <w:rsid w:val="00455D45"/>
    <w:rsid w:val="004560D7"/>
    <w:rsid w:val="004561B3"/>
    <w:rsid w:val="0045649D"/>
    <w:rsid w:val="00456523"/>
    <w:rsid w:val="0045693E"/>
    <w:rsid w:val="00456CF1"/>
    <w:rsid w:val="00457261"/>
    <w:rsid w:val="00457656"/>
    <w:rsid w:val="00457DDB"/>
    <w:rsid w:val="00457FE8"/>
    <w:rsid w:val="004600A6"/>
    <w:rsid w:val="0046049E"/>
    <w:rsid w:val="00460584"/>
    <w:rsid w:val="004609B4"/>
    <w:rsid w:val="004611EA"/>
    <w:rsid w:val="0046126E"/>
    <w:rsid w:val="004613F6"/>
    <w:rsid w:val="00461A99"/>
    <w:rsid w:val="00461AE3"/>
    <w:rsid w:val="00461EA8"/>
    <w:rsid w:val="0046244A"/>
    <w:rsid w:val="004627EA"/>
    <w:rsid w:val="0046291E"/>
    <w:rsid w:val="00462A4F"/>
    <w:rsid w:val="00463001"/>
    <w:rsid w:val="0046301C"/>
    <w:rsid w:val="0046334C"/>
    <w:rsid w:val="0046347C"/>
    <w:rsid w:val="00463D5C"/>
    <w:rsid w:val="00464578"/>
    <w:rsid w:val="00464595"/>
    <w:rsid w:val="00464949"/>
    <w:rsid w:val="004649D8"/>
    <w:rsid w:val="00464E5D"/>
    <w:rsid w:val="004651BF"/>
    <w:rsid w:val="004655A2"/>
    <w:rsid w:val="00465641"/>
    <w:rsid w:val="004658B5"/>
    <w:rsid w:val="00465FF9"/>
    <w:rsid w:val="004660B2"/>
    <w:rsid w:val="0046642D"/>
    <w:rsid w:val="004664E9"/>
    <w:rsid w:val="0046670E"/>
    <w:rsid w:val="00466766"/>
    <w:rsid w:val="004668B9"/>
    <w:rsid w:val="00466B1D"/>
    <w:rsid w:val="00466CDF"/>
    <w:rsid w:val="00466D21"/>
    <w:rsid w:val="00466F57"/>
    <w:rsid w:val="004670B7"/>
    <w:rsid w:val="00467782"/>
    <w:rsid w:val="004677AE"/>
    <w:rsid w:val="00467A59"/>
    <w:rsid w:val="00467AE6"/>
    <w:rsid w:val="00470023"/>
    <w:rsid w:val="004700AB"/>
    <w:rsid w:val="004701D9"/>
    <w:rsid w:val="004702A3"/>
    <w:rsid w:val="004709ED"/>
    <w:rsid w:val="00470C45"/>
    <w:rsid w:val="00470F8E"/>
    <w:rsid w:val="00471066"/>
    <w:rsid w:val="00471425"/>
    <w:rsid w:val="00471C6B"/>
    <w:rsid w:val="00471EA5"/>
    <w:rsid w:val="004721A5"/>
    <w:rsid w:val="004724A1"/>
    <w:rsid w:val="004728D8"/>
    <w:rsid w:val="00472A08"/>
    <w:rsid w:val="00472A79"/>
    <w:rsid w:val="00472C72"/>
    <w:rsid w:val="00472E6F"/>
    <w:rsid w:val="004739EB"/>
    <w:rsid w:val="00473EC1"/>
    <w:rsid w:val="00473F19"/>
    <w:rsid w:val="00473F9F"/>
    <w:rsid w:val="00473FB6"/>
    <w:rsid w:val="0047405D"/>
    <w:rsid w:val="00474D99"/>
    <w:rsid w:val="00475646"/>
    <w:rsid w:val="00475774"/>
    <w:rsid w:val="00475A08"/>
    <w:rsid w:val="00475A1B"/>
    <w:rsid w:val="00475D53"/>
    <w:rsid w:val="00475E22"/>
    <w:rsid w:val="004763C7"/>
    <w:rsid w:val="00476471"/>
    <w:rsid w:val="00476691"/>
    <w:rsid w:val="0047672B"/>
    <w:rsid w:val="00476AA6"/>
    <w:rsid w:val="00476F5A"/>
    <w:rsid w:val="0047718D"/>
    <w:rsid w:val="004771F5"/>
    <w:rsid w:val="00477584"/>
    <w:rsid w:val="00477754"/>
    <w:rsid w:val="00477A24"/>
    <w:rsid w:val="00477F81"/>
    <w:rsid w:val="004801EA"/>
    <w:rsid w:val="00480207"/>
    <w:rsid w:val="0048071C"/>
    <w:rsid w:val="0048088E"/>
    <w:rsid w:val="00480F12"/>
    <w:rsid w:val="00480F2B"/>
    <w:rsid w:val="0048120A"/>
    <w:rsid w:val="00481388"/>
    <w:rsid w:val="00481C34"/>
    <w:rsid w:val="00481C92"/>
    <w:rsid w:val="00481E97"/>
    <w:rsid w:val="004820D2"/>
    <w:rsid w:val="0048220B"/>
    <w:rsid w:val="00482381"/>
    <w:rsid w:val="00482403"/>
    <w:rsid w:val="00482720"/>
    <w:rsid w:val="00482AE4"/>
    <w:rsid w:val="00482C63"/>
    <w:rsid w:val="00482C7A"/>
    <w:rsid w:val="00483413"/>
    <w:rsid w:val="004835E7"/>
    <w:rsid w:val="00483804"/>
    <w:rsid w:val="0048383A"/>
    <w:rsid w:val="004838A4"/>
    <w:rsid w:val="00483F88"/>
    <w:rsid w:val="00484015"/>
    <w:rsid w:val="0048403F"/>
    <w:rsid w:val="0048470B"/>
    <w:rsid w:val="004847B6"/>
    <w:rsid w:val="00484924"/>
    <w:rsid w:val="00484CE0"/>
    <w:rsid w:val="0048509A"/>
    <w:rsid w:val="00485662"/>
    <w:rsid w:val="004859E1"/>
    <w:rsid w:val="0048610D"/>
    <w:rsid w:val="0048628A"/>
    <w:rsid w:val="0048664E"/>
    <w:rsid w:val="004867E2"/>
    <w:rsid w:val="00486D48"/>
    <w:rsid w:val="00487052"/>
    <w:rsid w:val="0048717F"/>
    <w:rsid w:val="004875AE"/>
    <w:rsid w:val="004877DD"/>
    <w:rsid w:val="00487E45"/>
    <w:rsid w:val="0049027E"/>
    <w:rsid w:val="00490582"/>
    <w:rsid w:val="004905B9"/>
    <w:rsid w:val="004907D8"/>
    <w:rsid w:val="00490880"/>
    <w:rsid w:val="00490B17"/>
    <w:rsid w:val="00490C22"/>
    <w:rsid w:val="00491032"/>
    <w:rsid w:val="0049140C"/>
    <w:rsid w:val="004915EA"/>
    <w:rsid w:val="00491A1B"/>
    <w:rsid w:val="00491B3A"/>
    <w:rsid w:val="004922EB"/>
    <w:rsid w:val="004923E8"/>
    <w:rsid w:val="00492CFD"/>
    <w:rsid w:val="00492F13"/>
    <w:rsid w:val="004932E5"/>
    <w:rsid w:val="00493989"/>
    <w:rsid w:val="004939E1"/>
    <w:rsid w:val="00493F5A"/>
    <w:rsid w:val="00494207"/>
    <w:rsid w:val="004945BA"/>
    <w:rsid w:val="00494CF5"/>
    <w:rsid w:val="00494D37"/>
    <w:rsid w:val="00494DD5"/>
    <w:rsid w:val="00495FB2"/>
    <w:rsid w:val="00496075"/>
    <w:rsid w:val="004962D2"/>
    <w:rsid w:val="004963C4"/>
    <w:rsid w:val="0049648A"/>
    <w:rsid w:val="00496509"/>
    <w:rsid w:val="004969A0"/>
    <w:rsid w:val="00497410"/>
    <w:rsid w:val="00497581"/>
    <w:rsid w:val="00497A46"/>
    <w:rsid w:val="00497C12"/>
    <w:rsid w:val="00497DBC"/>
    <w:rsid w:val="00497EA5"/>
    <w:rsid w:val="00497F96"/>
    <w:rsid w:val="004A03FC"/>
    <w:rsid w:val="004A071C"/>
    <w:rsid w:val="004A0DA1"/>
    <w:rsid w:val="004A0F7D"/>
    <w:rsid w:val="004A133B"/>
    <w:rsid w:val="004A13D6"/>
    <w:rsid w:val="004A169F"/>
    <w:rsid w:val="004A1DE4"/>
    <w:rsid w:val="004A1DFE"/>
    <w:rsid w:val="004A2524"/>
    <w:rsid w:val="004A2559"/>
    <w:rsid w:val="004A2938"/>
    <w:rsid w:val="004A2DE0"/>
    <w:rsid w:val="004A2EDF"/>
    <w:rsid w:val="004A2F11"/>
    <w:rsid w:val="004A3785"/>
    <w:rsid w:val="004A3850"/>
    <w:rsid w:val="004A3C38"/>
    <w:rsid w:val="004A3D1D"/>
    <w:rsid w:val="004A40C3"/>
    <w:rsid w:val="004A41A8"/>
    <w:rsid w:val="004A43DD"/>
    <w:rsid w:val="004A4F62"/>
    <w:rsid w:val="004A4FF7"/>
    <w:rsid w:val="004A503D"/>
    <w:rsid w:val="004A52E9"/>
    <w:rsid w:val="004A533D"/>
    <w:rsid w:val="004A5805"/>
    <w:rsid w:val="004A5DA9"/>
    <w:rsid w:val="004A6040"/>
    <w:rsid w:val="004A60B3"/>
    <w:rsid w:val="004A6597"/>
    <w:rsid w:val="004A65CF"/>
    <w:rsid w:val="004A6F88"/>
    <w:rsid w:val="004A7848"/>
    <w:rsid w:val="004A793B"/>
    <w:rsid w:val="004A7EEC"/>
    <w:rsid w:val="004A7FE4"/>
    <w:rsid w:val="004B02CE"/>
    <w:rsid w:val="004B02FE"/>
    <w:rsid w:val="004B07F0"/>
    <w:rsid w:val="004B0888"/>
    <w:rsid w:val="004B0A03"/>
    <w:rsid w:val="004B0AE2"/>
    <w:rsid w:val="004B0D60"/>
    <w:rsid w:val="004B0DC9"/>
    <w:rsid w:val="004B1076"/>
    <w:rsid w:val="004B136E"/>
    <w:rsid w:val="004B1CB4"/>
    <w:rsid w:val="004B1DED"/>
    <w:rsid w:val="004B21E2"/>
    <w:rsid w:val="004B2B41"/>
    <w:rsid w:val="004B2B59"/>
    <w:rsid w:val="004B2F18"/>
    <w:rsid w:val="004B389D"/>
    <w:rsid w:val="004B393B"/>
    <w:rsid w:val="004B3DDB"/>
    <w:rsid w:val="004B42C1"/>
    <w:rsid w:val="004B432F"/>
    <w:rsid w:val="004B44FD"/>
    <w:rsid w:val="004B4F10"/>
    <w:rsid w:val="004B4F9D"/>
    <w:rsid w:val="004B51ED"/>
    <w:rsid w:val="004B52F6"/>
    <w:rsid w:val="004B5BE3"/>
    <w:rsid w:val="004B5CFC"/>
    <w:rsid w:val="004B6302"/>
    <w:rsid w:val="004B639E"/>
    <w:rsid w:val="004B660B"/>
    <w:rsid w:val="004B6883"/>
    <w:rsid w:val="004B6AF9"/>
    <w:rsid w:val="004B6F79"/>
    <w:rsid w:val="004B7189"/>
    <w:rsid w:val="004B755F"/>
    <w:rsid w:val="004B774D"/>
    <w:rsid w:val="004B7F81"/>
    <w:rsid w:val="004C0381"/>
    <w:rsid w:val="004C04C7"/>
    <w:rsid w:val="004C0586"/>
    <w:rsid w:val="004C0970"/>
    <w:rsid w:val="004C0AB1"/>
    <w:rsid w:val="004C19FF"/>
    <w:rsid w:val="004C1D62"/>
    <w:rsid w:val="004C1D85"/>
    <w:rsid w:val="004C2273"/>
    <w:rsid w:val="004C26FF"/>
    <w:rsid w:val="004C2750"/>
    <w:rsid w:val="004C2A8E"/>
    <w:rsid w:val="004C2AC2"/>
    <w:rsid w:val="004C3335"/>
    <w:rsid w:val="004C39CD"/>
    <w:rsid w:val="004C3B02"/>
    <w:rsid w:val="004C3BE1"/>
    <w:rsid w:val="004C3CC4"/>
    <w:rsid w:val="004C444D"/>
    <w:rsid w:val="004C49E8"/>
    <w:rsid w:val="004C4AED"/>
    <w:rsid w:val="004C562E"/>
    <w:rsid w:val="004C5BCE"/>
    <w:rsid w:val="004C67D2"/>
    <w:rsid w:val="004C67EA"/>
    <w:rsid w:val="004C692F"/>
    <w:rsid w:val="004C6934"/>
    <w:rsid w:val="004C6CCC"/>
    <w:rsid w:val="004C6DEC"/>
    <w:rsid w:val="004C6F44"/>
    <w:rsid w:val="004C7250"/>
    <w:rsid w:val="004C795B"/>
    <w:rsid w:val="004C7D02"/>
    <w:rsid w:val="004C7F74"/>
    <w:rsid w:val="004D0088"/>
    <w:rsid w:val="004D02B2"/>
    <w:rsid w:val="004D04DE"/>
    <w:rsid w:val="004D04F6"/>
    <w:rsid w:val="004D069E"/>
    <w:rsid w:val="004D0815"/>
    <w:rsid w:val="004D09FB"/>
    <w:rsid w:val="004D0B20"/>
    <w:rsid w:val="004D0D97"/>
    <w:rsid w:val="004D106F"/>
    <w:rsid w:val="004D1283"/>
    <w:rsid w:val="004D1514"/>
    <w:rsid w:val="004D1BB7"/>
    <w:rsid w:val="004D1CA1"/>
    <w:rsid w:val="004D250F"/>
    <w:rsid w:val="004D2BD6"/>
    <w:rsid w:val="004D2C2D"/>
    <w:rsid w:val="004D2F65"/>
    <w:rsid w:val="004D2FC4"/>
    <w:rsid w:val="004D31C2"/>
    <w:rsid w:val="004D334E"/>
    <w:rsid w:val="004D358F"/>
    <w:rsid w:val="004D3686"/>
    <w:rsid w:val="004D37B6"/>
    <w:rsid w:val="004D37C9"/>
    <w:rsid w:val="004D3F91"/>
    <w:rsid w:val="004D3FB1"/>
    <w:rsid w:val="004D5048"/>
    <w:rsid w:val="004D504D"/>
    <w:rsid w:val="004D539A"/>
    <w:rsid w:val="004D5611"/>
    <w:rsid w:val="004D5857"/>
    <w:rsid w:val="004D5932"/>
    <w:rsid w:val="004D5AF9"/>
    <w:rsid w:val="004D5B07"/>
    <w:rsid w:val="004D60A5"/>
    <w:rsid w:val="004D69B5"/>
    <w:rsid w:val="004D6E50"/>
    <w:rsid w:val="004D71F8"/>
    <w:rsid w:val="004D7227"/>
    <w:rsid w:val="004D7254"/>
    <w:rsid w:val="004D7A76"/>
    <w:rsid w:val="004D7B5E"/>
    <w:rsid w:val="004E003E"/>
    <w:rsid w:val="004E011E"/>
    <w:rsid w:val="004E017D"/>
    <w:rsid w:val="004E026A"/>
    <w:rsid w:val="004E05B2"/>
    <w:rsid w:val="004E0667"/>
    <w:rsid w:val="004E0897"/>
    <w:rsid w:val="004E08B0"/>
    <w:rsid w:val="004E0B59"/>
    <w:rsid w:val="004E0E7F"/>
    <w:rsid w:val="004E0EB8"/>
    <w:rsid w:val="004E0FCF"/>
    <w:rsid w:val="004E12ED"/>
    <w:rsid w:val="004E18E9"/>
    <w:rsid w:val="004E19DF"/>
    <w:rsid w:val="004E1A57"/>
    <w:rsid w:val="004E1B5D"/>
    <w:rsid w:val="004E1B91"/>
    <w:rsid w:val="004E2ADC"/>
    <w:rsid w:val="004E2C17"/>
    <w:rsid w:val="004E2E30"/>
    <w:rsid w:val="004E2FC0"/>
    <w:rsid w:val="004E32F1"/>
    <w:rsid w:val="004E348E"/>
    <w:rsid w:val="004E384A"/>
    <w:rsid w:val="004E43B2"/>
    <w:rsid w:val="004E57BC"/>
    <w:rsid w:val="004E582C"/>
    <w:rsid w:val="004E58AD"/>
    <w:rsid w:val="004E5CFA"/>
    <w:rsid w:val="004E6014"/>
    <w:rsid w:val="004E6419"/>
    <w:rsid w:val="004E6737"/>
    <w:rsid w:val="004E7087"/>
    <w:rsid w:val="004E728A"/>
    <w:rsid w:val="004E7F0E"/>
    <w:rsid w:val="004F00DB"/>
    <w:rsid w:val="004F06E8"/>
    <w:rsid w:val="004F0EAF"/>
    <w:rsid w:val="004F129C"/>
    <w:rsid w:val="004F1409"/>
    <w:rsid w:val="004F1B1A"/>
    <w:rsid w:val="004F1BEA"/>
    <w:rsid w:val="004F1CBB"/>
    <w:rsid w:val="004F1D02"/>
    <w:rsid w:val="004F1FBD"/>
    <w:rsid w:val="004F20F8"/>
    <w:rsid w:val="004F24DB"/>
    <w:rsid w:val="004F2679"/>
    <w:rsid w:val="004F2F21"/>
    <w:rsid w:val="004F3DE5"/>
    <w:rsid w:val="004F458C"/>
    <w:rsid w:val="004F4641"/>
    <w:rsid w:val="004F49D4"/>
    <w:rsid w:val="004F4BCE"/>
    <w:rsid w:val="004F4D17"/>
    <w:rsid w:val="004F4D80"/>
    <w:rsid w:val="004F5652"/>
    <w:rsid w:val="004F579A"/>
    <w:rsid w:val="004F5928"/>
    <w:rsid w:val="004F5AF5"/>
    <w:rsid w:val="004F5BFE"/>
    <w:rsid w:val="004F5C1A"/>
    <w:rsid w:val="004F5D18"/>
    <w:rsid w:val="004F5DFC"/>
    <w:rsid w:val="004F63EB"/>
    <w:rsid w:val="004F6913"/>
    <w:rsid w:val="004F6B13"/>
    <w:rsid w:val="004F6CD9"/>
    <w:rsid w:val="004F715D"/>
    <w:rsid w:val="004F7262"/>
    <w:rsid w:val="004F72E3"/>
    <w:rsid w:val="004F73E0"/>
    <w:rsid w:val="004F74EC"/>
    <w:rsid w:val="004F777C"/>
    <w:rsid w:val="004F778A"/>
    <w:rsid w:val="004F7865"/>
    <w:rsid w:val="004F78D2"/>
    <w:rsid w:val="004F7A84"/>
    <w:rsid w:val="004F7EEE"/>
    <w:rsid w:val="00500231"/>
    <w:rsid w:val="005007B4"/>
    <w:rsid w:val="0050081E"/>
    <w:rsid w:val="00500EE3"/>
    <w:rsid w:val="005011A9"/>
    <w:rsid w:val="005012BE"/>
    <w:rsid w:val="0050130C"/>
    <w:rsid w:val="005015DF"/>
    <w:rsid w:val="005016A7"/>
    <w:rsid w:val="0050174E"/>
    <w:rsid w:val="00501854"/>
    <w:rsid w:val="00502069"/>
    <w:rsid w:val="0050219B"/>
    <w:rsid w:val="00502610"/>
    <w:rsid w:val="00502933"/>
    <w:rsid w:val="00502E20"/>
    <w:rsid w:val="00502E73"/>
    <w:rsid w:val="00502ED2"/>
    <w:rsid w:val="00502F23"/>
    <w:rsid w:val="00503435"/>
    <w:rsid w:val="00503552"/>
    <w:rsid w:val="005036F1"/>
    <w:rsid w:val="00503BCB"/>
    <w:rsid w:val="00503F17"/>
    <w:rsid w:val="00503F3A"/>
    <w:rsid w:val="00503FC9"/>
    <w:rsid w:val="005040E6"/>
    <w:rsid w:val="00504EEF"/>
    <w:rsid w:val="0050500D"/>
    <w:rsid w:val="00505317"/>
    <w:rsid w:val="0050537D"/>
    <w:rsid w:val="005057DA"/>
    <w:rsid w:val="0050591F"/>
    <w:rsid w:val="005059CC"/>
    <w:rsid w:val="00505A04"/>
    <w:rsid w:val="005061F0"/>
    <w:rsid w:val="0050636A"/>
    <w:rsid w:val="00506405"/>
    <w:rsid w:val="00506928"/>
    <w:rsid w:val="00506AE8"/>
    <w:rsid w:val="00506C56"/>
    <w:rsid w:val="00506D17"/>
    <w:rsid w:val="00506F53"/>
    <w:rsid w:val="0050722A"/>
    <w:rsid w:val="00507423"/>
    <w:rsid w:val="005077EF"/>
    <w:rsid w:val="00507A54"/>
    <w:rsid w:val="00507B99"/>
    <w:rsid w:val="00510208"/>
    <w:rsid w:val="00510275"/>
    <w:rsid w:val="0051074A"/>
    <w:rsid w:val="00510AE4"/>
    <w:rsid w:val="00510B11"/>
    <w:rsid w:val="00510E82"/>
    <w:rsid w:val="00511463"/>
    <w:rsid w:val="00511AD5"/>
    <w:rsid w:val="00511CE6"/>
    <w:rsid w:val="00511DC7"/>
    <w:rsid w:val="00511FD3"/>
    <w:rsid w:val="00512B35"/>
    <w:rsid w:val="00512E9F"/>
    <w:rsid w:val="005130CC"/>
    <w:rsid w:val="0051310E"/>
    <w:rsid w:val="005132DD"/>
    <w:rsid w:val="00513B31"/>
    <w:rsid w:val="00513D30"/>
    <w:rsid w:val="0051422F"/>
    <w:rsid w:val="005142C5"/>
    <w:rsid w:val="0051485F"/>
    <w:rsid w:val="00514B14"/>
    <w:rsid w:val="00514F26"/>
    <w:rsid w:val="00514F54"/>
    <w:rsid w:val="0051501B"/>
    <w:rsid w:val="0051507D"/>
    <w:rsid w:val="005151EE"/>
    <w:rsid w:val="005152B5"/>
    <w:rsid w:val="00515447"/>
    <w:rsid w:val="00515815"/>
    <w:rsid w:val="00515886"/>
    <w:rsid w:val="00515B68"/>
    <w:rsid w:val="00515D83"/>
    <w:rsid w:val="00516020"/>
    <w:rsid w:val="005161A8"/>
    <w:rsid w:val="0051622E"/>
    <w:rsid w:val="005167F1"/>
    <w:rsid w:val="00516E09"/>
    <w:rsid w:val="0051739D"/>
    <w:rsid w:val="00517C75"/>
    <w:rsid w:val="00517D1C"/>
    <w:rsid w:val="005201F7"/>
    <w:rsid w:val="0052025C"/>
    <w:rsid w:val="00520455"/>
    <w:rsid w:val="005208DD"/>
    <w:rsid w:val="00520F9B"/>
    <w:rsid w:val="0052123C"/>
    <w:rsid w:val="005212AD"/>
    <w:rsid w:val="00521319"/>
    <w:rsid w:val="00521A57"/>
    <w:rsid w:val="00521BB8"/>
    <w:rsid w:val="00521C19"/>
    <w:rsid w:val="00521ECD"/>
    <w:rsid w:val="0052253F"/>
    <w:rsid w:val="0052285B"/>
    <w:rsid w:val="00522BC8"/>
    <w:rsid w:val="00522F85"/>
    <w:rsid w:val="00523168"/>
    <w:rsid w:val="0052338D"/>
    <w:rsid w:val="005234D2"/>
    <w:rsid w:val="0052365F"/>
    <w:rsid w:val="00523772"/>
    <w:rsid w:val="0052377D"/>
    <w:rsid w:val="00523C28"/>
    <w:rsid w:val="0052400E"/>
    <w:rsid w:val="00524037"/>
    <w:rsid w:val="005241E4"/>
    <w:rsid w:val="005245CC"/>
    <w:rsid w:val="00524AB1"/>
    <w:rsid w:val="00524BC5"/>
    <w:rsid w:val="005250E2"/>
    <w:rsid w:val="0052561D"/>
    <w:rsid w:val="00525785"/>
    <w:rsid w:val="00526144"/>
    <w:rsid w:val="00526217"/>
    <w:rsid w:val="00526507"/>
    <w:rsid w:val="005267B5"/>
    <w:rsid w:val="00526874"/>
    <w:rsid w:val="00526A59"/>
    <w:rsid w:val="00526B21"/>
    <w:rsid w:val="005270B2"/>
    <w:rsid w:val="00527528"/>
    <w:rsid w:val="005275F9"/>
    <w:rsid w:val="005275FA"/>
    <w:rsid w:val="00527886"/>
    <w:rsid w:val="00530128"/>
    <w:rsid w:val="00530DC0"/>
    <w:rsid w:val="0053176B"/>
    <w:rsid w:val="0053177F"/>
    <w:rsid w:val="00531B27"/>
    <w:rsid w:val="00531EAF"/>
    <w:rsid w:val="00531EF2"/>
    <w:rsid w:val="00532710"/>
    <w:rsid w:val="00532817"/>
    <w:rsid w:val="0053286A"/>
    <w:rsid w:val="00532B40"/>
    <w:rsid w:val="00532BC0"/>
    <w:rsid w:val="0053380C"/>
    <w:rsid w:val="00533860"/>
    <w:rsid w:val="00533EA3"/>
    <w:rsid w:val="005340F6"/>
    <w:rsid w:val="005341B3"/>
    <w:rsid w:val="0053435D"/>
    <w:rsid w:val="00534B8A"/>
    <w:rsid w:val="00534D44"/>
    <w:rsid w:val="00534DB3"/>
    <w:rsid w:val="00534FBE"/>
    <w:rsid w:val="00535227"/>
    <w:rsid w:val="00535C5D"/>
    <w:rsid w:val="00536175"/>
    <w:rsid w:val="00536398"/>
    <w:rsid w:val="00536475"/>
    <w:rsid w:val="005366B8"/>
    <w:rsid w:val="00536793"/>
    <w:rsid w:val="0053681F"/>
    <w:rsid w:val="00536833"/>
    <w:rsid w:val="005368F5"/>
    <w:rsid w:val="0053699D"/>
    <w:rsid w:val="00536B19"/>
    <w:rsid w:val="00536BE0"/>
    <w:rsid w:val="00536E25"/>
    <w:rsid w:val="00536F42"/>
    <w:rsid w:val="00537182"/>
    <w:rsid w:val="00537624"/>
    <w:rsid w:val="005376BA"/>
    <w:rsid w:val="005377AC"/>
    <w:rsid w:val="00537A16"/>
    <w:rsid w:val="00537E2C"/>
    <w:rsid w:val="00540266"/>
    <w:rsid w:val="005403BD"/>
    <w:rsid w:val="0054054C"/>
    <w:rsid w:val="005406AF"/>
    <w:rsid w:val="00540B22"/>
    <w:rsid w:val="0054100B"/>
    <w:rsid w:val="00541314"/>
    <w:rsid w:val="005414AE"/>
    <w:rsid w:val="0054181E"/>
    <w:rsid w:val="00541858"/>
    <w:rsid w:val="00541B33"/>
    <w:rsid w:val="00541EDD"/>
    <w:rsid w:val="0054211B"/>
    <w:rsid w:val="005423E4"/>
    <w:rsid w:val="00542500"/>
    <w:rsid w:val="00542743"/>
    <w:rsid w:val="00542788"/>
    <w:rsid w:val="00542AC7"/>
    <w:rsid w:val="00542C2D"/>
    <w:rsid w:val="00542F55"/>
    <w:rsid w:val="0054326C"/>
    <w:rsid w:val="005432C3"/>
    <w:rsid w:val="005434E4"/>
    <w:rsid w:val="00543859"/>
    <w:rsid w:val="00543A51"/>
    <w:rsid w:val="00543EAC"/>
    <w:rsid w:val="00543FF2"/>
    <w:rsid w:val="0054473E"/>
    <w:rsid w:val="00544767"/>
    <w:rsid w:val="00544A87"/>
    <w:rsid w:val="00544B79"/>
    <w:rsid w:val="00544CA9"/>
    <w:rsid w:val="00544D0D"/>
    <w:rsid w:val="00544D2D"/>
    <w:rsid w:val="00544E0A"/>
    <w:rsid w:val="005456B9"/>
    <w:rsid w:val="005456BC"/>
    <w:rsid w:val="005456EF"/>
    <w:rsid w:val="0054585E"/>
    <w:rsid w:val="005464B5"/>
    <w:rsid w:val="0054688F"/>
    <w:rsid w:val="00547693"/>
    <w:rsid w:val="005478BD"/>
    <w:rsid w:val="005479E3"/>
    <w:rsid w:val="00547B7E"/>
    <w:rsid w:val="00547CDF"/>
    <w:rsid w:val="0054A34D"/>
    <w:rsid w:val="00550036"/>
    <w:rsid w:val="00550278"/>
    <w:rsid w:val="0055086F"/>
    <w:rsid w:val="00550870"/>
    <w:rsid w:val="00550A3D"/>
    <w:rsid w:val="00550AFA"/>
    <w:rsid w:val="00550B88"/>
    <w:rsid w:val="00550FC9"/>
    <w:rsid w:val="0055192E"/>
    <w:rsid w:val="00551985"/>
    <w:rsid w:val="00551F19"/>
    <w:rsid w:val="00551FC2"/>
    <w:rsid w:val="00552167"/>
    <w:rsid w:val="005523C7"/>
    <w:rsid w:val="005524F4"/>
    <w:rsid w:val="00552814"/>
    <w:rsid w:val="00552B35"/>
    <w:rsid w:val="00552BD3"/>
    <w:rsid w:val="00552D3D"/>
    <w:rsid w:val="00552E8B"/>
    <w:rsid w:val="00552EB9"/>
    <w:rsid w:val="0055307F"/>
    <w:rsid w:val="00553130"/>
    <w:rsid w:val="005532A0"/>
    <w:rsid w:val="005540DF"/>
    <w:rsid w:val="0055424B"/>
    <w:rsid w:val="00554466"/>
    <w:rsid w:val="005548D2"/>
    <w:rsid w:val="005549E5"/>
    <w:rsid w:val="00555109"/>
    <w:rsid w:val="00555356"/>
    <w:rsid w:val="00555680"/>
    <w:rsid w:val="005557B6"/>
    <w:rsid w:val="00555897"/>
    <w:rsid w:val="00555AC2"/>
    <w:rsid w:val="00555B31"/>
    <w:rsid w:val="00555BC1"/>
    <w:rsid w:val="00555F8A"/>
    <w:rsid w:val="005561DD"/>
    <w:rsid w:val="00556341"/>
    <w:rsid w:val="00556493"/>
    <w:rsid w:val="005566DC"/>
    <w:rsid w:val="00556A2A"/>
    <w:rsid w:val="00556B35"/>
    <w:rsid w:val="00556B77"/>
    <w:rsid w:val="00556DAD"/>
    <w:rsid w:val="00557036"/>
    <w:rsid w:val="00557141"/>
    <w:rsid w:val="0055741A"/>
    <w:rsid w:val="005575CC"/>
    <w:rsid w:val="0056044B"/>
    <w:rsid w:val="005605A4"/>
    <w:rsid w:val="00560690"/>
    <w:rsid w:val="005611B7"/>
    <w:rsid w:val="00561365"/>
    <w:rsid w:val="005618D4"/>
    <w:rsid w:val="00561E0C"/>
    <w:rsid w:val="00561F4C"/>
    <w:rsid w:val="0056214C"/>
    <w:rsid w:val="00562183"/>
    <w:rsid w:val="00562975"/>
    <w:rsid w:val="00562CCF"/>
    <w:rsid w:val="00562E99"/>
    <w:rsid w:val="005634D8"/>
    <w:rsid w:val="005636A8"/>
    <w:rsid w:val="0056384C"/>
    <w:rsid w:val="00563DC1"/>
    <w:rsid w:val="0056452B"/>
    <w:rsid w:val="005646FD"/>
    <w:rsid w:val="0056479C"/>
    <w:rsid w:val="00564867"/>
    <w:rsid w:val="005650DD"/>
    <w:rsid w:val="00565431"/>
    <w:rsid w:val="00565470"/>
    <w:rsid w:val="0056558E"/>
    <w:rsid w:val="005655EC"/>
    <w:rsid w:val="00565C79"/>
    <w:rsid w:val="00565D61"/>
    <w:rsid w:val="00565DF0"/>
    <w:rsid w:val="0056624E"/>
    <w:rsid w:val="005663A3"/>
    <w:rsid w:val="00566550"/>
    <w:rsid w:val="0056696F"/>
    <w:rsid w:val="00566B39"/>
    <w:rsid w:val="00566D1E"/>
    <w:rsid w:val="00567062"/>
    <w:rsid w:val="005670D5"/>
    <w:rsid w:val="005673B2"/>
    <w:rsid w:val="005674B0"/>
    <w:rsid w:val="00567618"/>
    <w:rsid w:val="0056775B"/>
    <w:rsid w:val="005677BF"/>
    <w:rsid w:val="00567AD8"/>
    <w:rsid w:val="00567BD0"/>
    <w:rsid w:val="00567C09"/>
    <w:rsid w:val="00570113"/>
    <w:rsid w:val="00570232"/>
    <w:rsid w:val="00570384"/>
    <w:rsid w:val="00570EF7"/>
    <w:rsid w:val="00571078"/>
    <w:rsid w:val="0057128D"/>
    <w:rsid w:val="00571A06"/>
    <w:rsid w:val="00571B6A"/>
    <w:rsid w:val="00571DC5"/>
    <w:rsid w:val="005720D1"/>
    <w:rsid w:val="005720F0"/>
    <w:rsid w:val="00572269"/>
    <w:rsid w:val="005723CE"/>
    <w:rsid w:val="0057244A"/>
    <w:rsid w:val="00572659"/>
    <w:rsid w:val="005726D5"/>
    <w:rsid w:val="00572BA7"/>
    <w:rsid w:val="00572F26"/>
    <w:rsid w:val="00572F60"/>
    <w:rsid w:val="00573817"/>
    <w:rsid w:val="00573874"/>
    <w:rsid w:val="0057426C"/>
    <w:rsid w:val="00574973"/>
    <w:rsid w:val="005750C5"/>
    <w:rsid w:val="005752DE"/>
    <w:rsid w:val="005753FF"/>
    <w:rsid w:val="0057587D"/>
    <w:rsid w:val="00575AC4"/>
    <w:rsid w:val="00575BC4"/>
    <w:rsid w:val="00575BD3"/>
    <w:rsid w:val="00575C24"/>
    <w:rsid w:val="00575D60"/>
    <w:rsid w:val="00575D8D"/>
    <w:rsid w:val="00575E50"/>
    <w:rsid w:val="00575F26"/>
    <w:rsid w:val="00575F6F"/>
    <w:rsid w:val="00575F8E"/>
    <w:rsid w:val="00576285"/>
    <w:rsid w:val="0057644E"/>
    <w:rsid w:val="005766E5"/>
    <w:rsid w:val="00576972"/>
    <w:rsid w:val="00576ABB"/>
    <w:rsid w:val="00576B90"/>
    <w:rsid w:val="00576D14"/>
    <w:rsid w:val="00577248"/>
    <w:rsid w:val="00577700"/>
    <w:rsid w:val="00577975"/>
    <w:rsid w:val="00580141"/>
    <w:rsid w:val="00580514"/>
    <w:rsid w:val="0058053C"/>
    <w:rsid w:val="00580543"/>
    <w:rsid w:val="0058072D"/>
    <w:rsid w:val="0058086C"/>
    <w:rsid w:val="00580B4E"/>
    <w:rsid w:val="00580BE9"/>
    <w:rsid w:val="00580F66"/>
    <w:rsid w:val="00581037"/>
    <w:rsid w:val="0058111D"/>
    <w:rsid w:val="005815C4"/>
    <w:rsid w:val="005815CC"/>
    <w:rsid w:val="005817C2"/>
    <w:rsid w:val="00581D55"/>
    <w:rsid w:val="00581F32"/>
    <w:rsid w:val="0058239A"/>
    <w:rsid w:val="005825BF"/>
    <w:rsid w:val="00582ACA"/>
    <w:rsid w:val="00583641"/>
    <w:rsid w:val="00583699"/>
    <w:rsid w:val="005837DD"/>
    <w:rsid w:val="0058386B"/>
    <w:rsid w:val="0058399F"/>
    <w:rsid w:val="00583CB4"/>
    <w:rsid w:val="00584A91"/>
    <w:rsid w:val="00584D71"/>
    <w:rsid w:val="00584D7C"/>
    <w:rsid w:val="00584DA3"/>
    <w:rsid w:val="00584E64"/>
    <w:rsid w:val="00585224"/>
    <w:rsid w:val="00585264"/>
    <w:rsid w:val="00585605"/>
    <w:rsid w:val="0058574E"/>
    <w:rsid w:val="0058576A"/>
    <w:rsid w:val="00585792"/>
    <w:rsid w:val="005857DC"/>
    <w:rsid w:val="00585AF8"/>
    <w:rsid w:val="00585C38"/>
    <w:rsid w:val="00585CDD"/>
    <w:rsid w:val="00585E50"/>
    <w:rsid w:val="00585EC8"/>
    <w:rsid w:val="00586755"/>
    <w:rsid w:val="0058681B"/>
    <w:rsid w:val="00586E39"/>
    <w:rsid w:val="00587058"/>
    <w:rsid w:val="00587529"/>
    <w:rsid w:val="00587552"/>
    <w:rsid w:val="005878EC"/>
    <w:rsid w:val="00590494"/>
    <w:rsid w:val="00590709"/>
    <w:rsid w:val="00590DE8"/>
    <w:rsid w:val="005914F2"/>
    <w:rsid w:val="00591677"/>
    <w:rsid w:val="00591957"/>
    <w:rsid w:val="00591FA9"/>
    <w:rsid w:val="005924B8"/>
    <w:rsid w:val="00592AB9"/>
    <w:rsid w:val="00592F2A"/>
    <w:rsid w:val="0059308D"/>
    <w:rsid w:val="005931B5"/>
    <w:rsid w:val="00593AC2"/>
    <w:rsid w:val="00593B17"/>
    <w:rsid w:val="005946D0"/>
    <w:rsid w:val="00594B9C"/>
    <w:rsid w:val="00594E49"/>
    <w:rsid w:val="005953D8"/>
    <w:rsid w:val="005956E3"/>
    <w:rsid w:val="005958DE"/>
    <w:rsid w:val="00595A2A"/>
    <w:rsid w:val="00595CD0"/>
    <w:rsid w:val="00595E20"/>
    <w:rsid w:val="005968E3"/>
    <w:rsid w:val="00597084"/>
    <w:rsid w:val="005970E7"/>
    <w:rsid w:val="00597674"/>
    <w:rsid w:val="0059794F"/>
    <w:rsid w:val="00597BF9"/>
    <w:rsid w:val="00597FB7"/>
    <w:rsid w:val="005A019F"/>
    <w:rsid w:val="005A02A1"/>
    <w:rsid w:val="005A02D6"/>
    <w:rsid w:val="005A03EE"/>
    <w:rsid w:val="005A0478"/>
    <w:rsid w:val="005A0655"/>
    <w:rsid w:val="005A0C11"/>
    <w:rsid w:val="005A18E4"/>
    <w:rsid w:val="005A1E2A"/>
    <w:rsid w:val="005A20B6"/>
    <w:rsid w:val="005A218C"/>
    <w:rsid w:val="005A2202"/>
    <w:rsid w:val="005A2203"/>
    <w:rsid w:val="005A2A1E"/>
    <w:rsid w:val="005A2F8B"/>
    <w:rsid w:val="005A309A"/>
    <w:rsid w:val="005A373D"/>
    <w:rsid w:val="005A3FD0"/>
    <w:rsid w:val="005A4052"/>
    <w:rsid w:val="005A4061"/>
    <w:rsid w:val="005A41A1"/>
    <w:rsid w:val="005A48E8"/>
    <w:rsid w:val="005A4FED"/>
    <w:rsid w:val="005A5A6D"/>
    <w:rsid w:val="005A5F8A"/>
    <w:rsid w:val="005A6240"/>
    <w:rsid w:val="005A662E"/>
    <w:rsid w:val="005A68DF"/>
    <w:rsid w:val="005A7311"/>
    <w:rsid w:val="005A74C3"/>
    <w:rsid w:val="005A789C"/>
    <w:rsid w:val="005A7B01"/>
    <w:rsid w:val="005A7B6B"/>
    <w:rsid w:val="005A7E88"/>
    <w:rsid w:val="005B0066"/>
    <w:rsid w:val="005B011E"/>
    <w:rsid w:val="005B032C"/>
    <w:rsid w:val="005B049C"/>
    <w:rsid w:val="005B04BD"/>
    <w:rsid w:val="005B09FB"/>
    <w:rsid w:val="005B0B58"/>
    <w:rsid w:val="005B0C75"/>
    <w:rsid w:val="005B118E"/>
    <w:rsid w:val="005B18ED"/>
    <w:rsid w:val="005B1C2D"/>
    <w:rsid w:val="005B1C7F"/>
    <w:rsid w:val="005B1CB2"/>
    <w:rsid w:val="005B1F14"/>
    <w:rsid w:val="005B1FA4"/>
    <w:rsid w:val="005B22F0"/>
    <w:rsid w:val="005B2526"/>
    <w:rsid w:val="005B2949"/>
    <w:rsid w:val="005B2DA6"/>
    <w:rsid w:val="005B2F0B"/>
    <w:rsid w:val="005B2F7C"/>
    <w:rsid w:val="005B31E8"/>
    <w:rsid w:val="005B36F7"/>
    <w:rsid w:val="005B38DD"/>
    <w:rsid w:val="005B3963"/>
    <w:rsid w:val="005B3A80"/>
    <w:rsid w:val="005B3C9A"/>
    <w:rsid w:val="005B3D98"/>
    <w:rsid w:val="005B3FCD"/>
    <w:rsid w:val="005B43EB"/>
    <w:rsid w:val="005B45BC"/>
    <w:rsid w:val="005B45FB"/>
    <w:rsid w:val="005B45FD"/>
    <w:rsid w:val="005B47A2"/>
    <w:rsid w:val="005B490E"/>
    <w:rsid w:val="005B4C48"/>
    <w:rsid w:val="005B4E53"/>
    <w:rsid w:val="005B4EBF"/>
    <w:rsid w:val="005B4EEE"/>
    <w:rsid w:val="005B5295"/>
    <w:rsid w:val="005B53A3"/>
    <w:rsid w:val="005B5857"/>
    <w:rsid w:val="005B5D00"/>
    <w:rsid w:val="005B65FA"/>
    <w:rsid w:val="005B66D5"/>
    <w:rsid w:val="005B7A83"/>
    <w:rsid w:val="005B7AD1"/>
    <w:rsid w:val="005B7B53"/>
    <w:rsid w:val="005B7BBC"/>
    <w:rsid w:val="005C066E"/>
    <w:rsid w:val="005C0987"/>
    <w:rsid w:val="005C0D45"/>
    <w:rsid w:val="005C0E00"/>
    <w:rsid w:val="005C0F0D"/>
    <w:rsid w:val="005C1221"/>
    <w:rsid w:val="005C12E9"/>
    <w:rsid w:val="005C17B7"/>
    <w:rsid w:val="005C19C4"/>
    <w:rsid w:val="005C1B83"/>
    <w:rsid w:val="005C1F56"/>
    <w:rsid w:val="005C1FFE"/>
    <w:rsid w:val="005C2247"/>
    <w:rsid w:val="005C2429"/>
    <w:rsid w:val="005C25FF"/>
    <w:rsid w:val="005C260E"/>
    <w:rsid w:val="005C2D55"/>
    <w:rsid w:val="005C314E"/>
    <w:rsid w:val="005C3253"/>
    <w:rsid w:val="005C346B"/>
    <w:rsid w:val="005C3789"/>
    <w:rsid w:val="005C44B1"/>
    <w:rsid w:val="005C4698"/>
    <w:rsid w:val="005C4D1C"/>
    <w:rsid w:val="005C4DD2"/>
    <w:rsid w:val="005C4F2D"/>
    <w:rsid w:val="005C4F44"/>
    <w:rsid w:val="005C51B4"/>
    <w:rsid w:val="005C5601"/>
    <w:rsid w:val="005C578F"/>
    <w:rsid w:val="005C5887"/>
    <w:rsid w:val="005C5ABC"/>
    <w:rsid w:val="005C5CDB"/>
    <w:rsid w:val="005C6125"/>
    <w:rsid w:val="005C65B3"/>
    <w:rsid w:val="005C6958"/>
    <w:rsid w:val="005C6B07"/>
    <w:rsid w:val="005C6DFF"/>
    <w:rsid w:val="005C7715"/>
    <w:rsid w:val="005C7832"/>
    <w:rsid w:val="005C792F"/>
    <w:rsid w:val="005C7E20"/>
    <w:rsid w:val="005D044D"/>
    <w:rsid w:val="005D0ABD"/>
    <w:rsid w:val="005D0BFE"/>
    <w:rsid w:val="005D0F23"/>
    <w:rsid w:val="005D12DC"/>
    <w:rsid w:val="005D1876"/>
    <w:rsid w:val="005D18AD"/>
    <w:rsid w:val="005D1A5B"/>
    <w:rsid w:val="005D26B4"/>
    <w:rsid w:val="005D3160"/>
    <w:rsid w:val="005D327B"/>
    <w:rsid w:val="005D32B2"/>
    <w:rsid w:val="005D3579"/>
    <w:rsid w:val="005D3C0E"/>
    <w:rsid w:val="005D40ED"/>
    <w:rsid w:val="005D436D"/>
    <w:rsid w:val="005D465E"/>
    <w:rsid w:val="005D4692"/>
    <w:rsid w:val="005D48EE"/>
    <w:rsid w:val="005D4DF8"/>
    <w:rsid w:val="005D5194"/>
    <w:rsid w:val="005D526B"/>
    <w:rsid w:val="005D599B"/>
    <w:rsid w:val="005D5B66"/>
    <w:rsid w:val="005D5C21"/>
    <w:rsid w:val="005D6026"/>
    <w:rsid w:val="005D6223"/>
    <w:rsid w:val="005D6497"/>
    <w:rsid w:val="005D65E1"/>
    <w:rsid w:val="005D6BEB"/>
    <w:rsid w:val="005D6C38"/>
    <w:rsid w:val="005D6DEF"/>
    <w:rsid w:val="005D718D"/>
    <w:rsid w:val="005D7726"/>
    <w:rsid w:val="005D7739"/>
    <w:rsid w:val="005D7A11"/>
    <w:rsid w:val="005E02B6"/>
    <w:rsid w:val="005E051B"/>
    <w:rsid w:val="005E062C"/>
    <w:rsid w:val="005E06ED"/>
    <w:rsid w:val="005E09F2"/>
    <w:rsid w:val="005E16E5"/>
    <w:rsid w:val="005E1722"/>
    <w:rsid w:val="005E175A"/>
    <w:rsid w:val="005E176D"/>
    <w:rsid w:val="005E1995"/>
    <w:rsid w:val="005E1C34"/>
    <w:rsid w:val="005E200D"/>
    <w:rsid w:val="005E295E"/>
    <w:rsid w:val="005E2A0D"/>
    <w:rsid w:val="005E2BB7"/>
    <w:rsid w:val="005E2C72"/>
    <w:rsid w:val="005E337E"/>
    <w:rsid w:val="005E3988"/>
    <w:rsid w:val="005E3B36"/>
    <w:rsid w:val="005E3FA8"/>
    <w:rsid w:val="005E3FC7"/>
    <w:rsid w:val="005E406F"/>
    <w:rsid w:val="005E4169"/>
    <w:rsid w:val="005E4655"/>
    <w:rsid w:val="005E4D3B"/>
    <w:rsid w:val="005E5195"/>
    <w:rsid w:val="005E5AF5"/>
    <w:rsid w:val="005E6711"/>
    <w:rsid w:val="005E6CBC"/>
    <w:rsid w:val="005E6D0B"/>
    <w:rsid w:val="005E6D31"/>
    <w:rsid w:val="005E6F6C"/>
    <w:rsid w:val="005E6FD0"/>
    <w:rsid w:val="005E72FF"/>
    <w:rsid w:val="005E7376"/>
    <w:rsid w:val="005E73C0"/>
    <w:rsid w:val="005E7491"/>
    <w:rsid w:val="005E7585"/>
    <w:rsid w:val="005E7959"/>
    <w:rsid w:val="005E7B03"/>
    <w:rsid w:val="005F036F"/>
    <w:rsid w:val="005F059F"/>
    <w:rsid w:val="005F05D6"/>
    <w:rsid w:val="005F0702"/>
    <w:rsid w:val="005F07ED"/>
    <w:rsid w:val="005F0801"/>
    <w:rsid w:val="005F0998"/>
    <w:rsid w:val="005F0D11"/>
    <w:rsid w:val="005F0E7F"/>
    <w:rsid w:val="005F1611"/>
    <w:rsid w:val="005F1668"/>
    <w:rsid w:val="005F1B70"/>
    <w:rsid w:val="005F1B99"/>
    <w:rsid w:val="005F1C53"/>
    <w:rsid w:val="005F1D7B"/>
    <w:rsid w:val="005F1E45"/>
    <w:rsid w:val="005F21E3"/>
    <w:rsid w:val="005F24F2"/>
    <w:rsid w:val="005F2706"/>
    <w:rsid w:val="005F2D58"/>
    <w:rsid w:val="005F3434"/>
    <w:rsid w:val="005F35E2"/>
    <w:rsid w:val="005F3606"/>
    <w:rsid w:val="005F3776"/>
    <w:rsid w:val="005F38E0"/>
    <w:rsid w:val="005F3FED"/>
    <w:rsid w:val="005F425D"/>
    <w:rsid w:val="005F4604"/>
    <w:rsid w:val="005F4B37"/>
    <w:rsid w:val="005F546A"/>
    <w:rsid w:val="005F5970"/>
    <w:rsid w:val="005F5C59"/>
    <w:rsid w:val="005F5D57"/>
    <w:rsid w:val="005F64EA"/>
    <w:rsid w:val="005F677D"/>
    <w:rsid w:val="005F6A8F"/>
    <w:rsid w:val="005F6BB7"/>
    <w:rsid w:val="005F6C9C"/>
    <w:rsid w:val="005F730D"/>
    <w:rsid w:val="005F734E"/>
    <w:rsid w:val="005F74BA"/>
    <w:rsid w:val="005F7588"/>
    <w:rsid w:val="005F7804"/>
    <w:rsid w:val="005F7C37"/>
    <w:rsid w:val="0060002B"/>
    <w:rsid w:val="006000CD"/>
    <w:rsid w:val="00600847"/>
    <w:rsid w:val="006009BC"/>
    <w:rsid w:val="00600B56"/>
    <w:rsid w:val="006011CC"/>
    <w:rsid w:val="006012CB"/>
    <w:rsid w:val="00601325"/>
    <w:rsid w:val="00601505"/>
    <w:rsid w:val="0060166F"/>
    <w:rsid w:val="00601889"/>
    <w:rsid w:val="00601A8C"/>
    <w:rsid w:val="006021F2"/>
    <w:rsid w:val="006021F7"/>
    <w:rsid w:val="00602232"/>
    <w:rsid w:val="006028B9"/>
    <w:rsid w:val="006028D3"/>
    <w:rsid w:val="00602F7E"/>
    <w:rsid w:val="006030A9"/>
    <w:rsid w:val="006031EA"/>
    <w:rsid w:val="00603276"/>
    <w:rsid w:val="00603352"/>
    <w:rsid w:val="00603616"/>
    <w:rsid w:val="00603695"/>
    <w:rsid w:val="00603A0D"/>
    <w:rsid w:val="00603DB9"/>
    <w:rsid w:val="00603FC2"/>
    <w:rsid w:val="00604054"/>
    <w:rsid w:val="006049FE"/>
    <w:rsid w:val="00604C02"/>
    <w:rsid w:val="00604CD0"/>
    <w:rsid w:val="00604EE2"/>
    <w:rsid w:val="00604F8E"/>
    <w:rsid w:val="00605198"/>
    <w:rsid w:val="00605D43"/>
    <w:rsid w:val="00605E8D"/>
    <w:rsid w:val="00605F09"/>
    <w:rsid w:val="00606123"/>
    <w:rsid w:val="00606444"/>
    <w:rsid w:val="00606E9F"/>
    <w:rsid w:val="00606FBA"/>
    <w:rsid w:val="0060748B"/>
    <w:rsid w:val="0060751A"/>
    <w:rsid w:val="00607669"/>
    <w:rsid w:val="006076F4"/>
    <w:rsid w:val="00607793"/>
    <w:rsid w:val="006077DC"/>
    <w:rsid w:val="00607AFD"/>
    <w:rsid w:val="00607F2B"/>
    <w:rsid w:val="006102E7"/>
    <w:rsid w:val="00610B0B"/>
    <w:rsid w:val="00610BB2"/>
    <w:rsid w:val="00610D77"/>
    <w:rsid w:val="00610FCC"/>
    <w:rsid w:val="00611402"/>
    <w:rsid w:val="00611B12"/>
    <w:rsid w:val="00611CB9"/>
    <w:rsid w:val="00611FB5"/>
    <w:rsid w:val="006124A7"/>
    <w:rsid w:val="00612504"/>
    <w:rsid w:val="0061270E"/>
    <w:rsid w:val="00612734"/>
    <w:rsid w:val="00612A95"/>
    <w:rsid w:val="00612DC8"/>
    <w:rsid w:val="00612E0B"/>
    <w:rsid w:val="00612F97"/>
    <w:rsid w:val="00612FDF"/>
    <w:rsid w:val="0061345D"/>
    <w:rsid w:val="0061379B"/>
    <w:rsid w:val="00613947"/>
    <w:rsid w:val="00613B59"/>
    <w:rsid w:val="00613C4B"/>
    <w:rsid w:val="00614323"/>
    <w:rsid w:val="0061482C"/>
    <w:rsid w:val="00614E8A"/>
    <w:rsid w:val="006153C8"/>
    <w:rsid w:val="0061542C"/>
    <w:rsid w:val="0061549B"/>
    <w:rsid w:val="0061553D"/>
    <w:rsid w:val="00615546"/>
    <w:rsid w:val="0061558F"/>
    <w:rsid w:val="00615CA4"/>
    <w:rsid w:val="00615F70"/>
    <w:rsid w:val="0061605C"/>
    <w:rsid w:val="00616802"/>
    <w:rsid w:val="006168DF"/>
    <w:rsid w:val="00616B16"/>
    <w:rsid w:val="00616B37"/>
    <w:rsid w:val="00616D1A"/>
    <w:rsid w:val="00616D33"/>
    <w:rsid w:val="00616FB6"/>
    <w:rsid w:val="006170F0"/>
    <w:rsid w:val="00617E12"/>
    <w:rsid w:val="006201B5"/>
    <w:rsid w:val="006203A7"/>
    <w:rsid w:val="006208BF"/>
    <w:rsid w:val="00620BDA"/>
    <w:rsid w:val="00620C25"/>
    <w:rsid w:val="00620E3C"/>
    <w:rsid w:val="00621477"/>
    <w:rsid w:val="00621ADA"/>
    <w:rsid w:val="00621EEA"/>
    <w:rsid w:val="006222EF"/>
    <w:rsid w:val="0062283D"/>
    <w:rsid w:val="006229F6"/>
    <w:rsid w:val="00622D46"/>
    <w:rsid w:val="00622E88"/>
    <w:rsid w:val="006230AD"/>
    <w:rsid w:val="006230E5"/>
    <w:rsid w:val="00623575"/>
    <w:rsid w:val="00623F7B"/>
    <w:rsid w:val="00623FDF"/>
    <w:rsid w:val="00624694"/>
    <w:rsid w:val="00624A6E"/>
    <w:rsid w:val="00624BD4"/>
    <w:rsid w:val="00624F8D"/>
    <w:rsid w:val="00625197"/>
    <w:rsid w:val="006255B5"/>
    <w:rsid w:val="006259B5"/>
    <w:rsid w:val="00625BC5"/>
    <w:rsid w:val="006262BE"/>
    <w:rsid w:val="00626483"/>
    <w:rsid w:val="0062687E"/>
    <w:rsid w:val="00626CC5"/>
    <w:rsid w:val="00627138"/>
    <w:rsid w:val="00627288"/>
    <w:rsid w:val="006273D2"/>
    <w:rsid w:val="00627453"/>
    <w:rsid w:val="00627EF0"/>
    <w:rsid w:val="006301B7"/>
    <w:rsid w:val="006301C5"/>
    <w:rsid w:val="00630528"/>
    <w:rsid w:val="006305D7"/>
    <w:rsid w:val="0063086F"/>
    <w:rsid w:val="00630880"/>
    <w:rsid w:val="00630B87"/>
    <w:rsid w:val="00631222"/>
    <w:rsid w:val="0063158F"/>
    <w:rsid w:val="006315F7"/>
    <w:rsid w:val="00631D6B"/>
    <w:rsid w:val="00631EFE"/>
    <w:rsid w:val="00631F64"/>
    <w:rsid w:val="00632183"/>
    <w:rsid w:val="00632660"/>
    <w:rsid w:val="00632B69"/>
    <w:rsid w:val="00632FBF"/>
    <w:rsid w:val="006330A1"/>
    <w:rsid w:val="006337CC"/>
    <w:rsid w:val="0063390B"/>
    <w:rsid w:val="00633BD4"/>
    <w:rsid w:val="00633D96"/>
    <w:rsid w:val="00633E43"/>
    <w:rsid w:val="00634374"/>
    <w:rsid w:val="0063451E"/>
    <w:rsid w:val="0063479F"/>
    <w:rsid w:val="006347F8"/>
    <w:rsid w:val="0063498A"/>
    <w:rsid w:val="00634F5B"/>
    <w:rsid w:val="00634FA1"/>
    <w:rsid w:val="00635070"/>
    <w:rsid w:val="0063518F"/>
    <w:rsid w:val="00635270"/>
    <w:rsid w:val="006353A4"/>
    <w:rsid w:val="006353F0"/>
    <w:rsid w:val="006357B5"/>
    <w:rsid w:val="006359C7"/>
    <w:rsid w:val="00635A29"/>
    <w:rsid w:val="00635EFF"/>
    <w:rsid w:val="006364A1"/>
    <w:rsid w:val="0063678E"/>
    <w:rsid w:val="00636A03"/>
    <w:rsid w:val="00636DB6"/>
    <w:rsid w:val="006373A0"/>
    <w:rsid w:val="006377C3"/>
    <w:rsid w:val="00637A52"/>
    <w:rsid w:val="00637B13"/>
    <w:rsid w:val="00637BFD"/>
    <w:rsid w:val="00637C5C"/>
    <w:rsid w:val="00637D84"/>
    <w:rsid w:val="00640374"/>
    <w:rsid w:val="006405B6"/>
    <w:rsid w:val="00640AAA"/>
    <w:rsid w:val="00640AFF"/>
    <w:rsid w:val="006411CC"/>
    <w:rsid w:val="006415DA"/>
    <w:rsid w:val="00641922"/>
    <w:rsid w:val="00641C4E"/>
    <w:rsid w:val="00641D7E"/>
    <w:rsid w:val="00641DE0"/>
    <w:rsid w:val="00641FB3"/>
    <w:rsid w:val="006429F5"/>
    <w:rsid w:val="006431D0"/>
    <w:rsid w:val="00643217"/>
    <w:rsid w:val="00643717"/>
    <w:rsid w:val="00643876"/>
    <w:rsid w:val="0064434C"/>
    <w:rsid w:val="006446F4"/>
    <w:rsid w:val="006449D6"/>
    <w:rsid w:val="00644B24"/>
    <w:rsid w:val="00644D4B"/>
    <w:rsid w:val="00644E40"/>
    <w:rsid w:val="006452F7"/>
    <w:rsid w:val="006453C4"/>
    <w:rsid w:val="00645423"/>
    <w:rsid w:val="00645E8F"/>
    <w:rsid w:val="00646122"/>
    <w:rsid w:val="00646CA3"/>
    <w:rsid w:val="00647036"/>
    <w:rsid w:val="00647050"/>
    <w:rsid w:val="006471CC"/>
    <w:rsid w:val="006472FE"/>
    <w:rsid w:val="00647738"/>
    <w:rsid w:val="00647779"/>
    <w:rsid w:val="0064781E"/>
    <w:rsid w:val="0064795E"/>
    <w:rsid w:val="00647A29"/>
    <w:rsid w:val="00647EFE"/>
    <w:rsid w:val="006502E7"/>
    <w:rsid w:val="00650377"/>
    <w:rsid w:val="00650588"/>
    <w:rsid w:val="00650625"/>
    <w:rsid w:val="0065079F"/>
    <w:rsid w:val="006508AB"/>
    <w:rsid w:val="00650BF7"/>
    <w:rsid w:val="006518CA"/>
    <w:rsid w:val="00651908"/>
    <w:rsid w:val="00651918"/>
    <w:rsid w:val="00651C99"/>
    <w:rsid w:val="00651D01"/>
    <w:rsid w:val="00652A28"/>
    <w:rsid w:val="00652FC9"/>
    <w:rsid w:val="0065318A"/>
    <w:rsid w:val="00653580"/>
    <w:rsid w:val="0065379F"/>
    <w:rsid w:val="006537D9"/>
    <w:rsid w:val="006537EC"/>
    <w:rsid w:val="00654105"/>
    <w:rsid w:val="006543BB"/>
    <w:rsid w:val="006543D8"/>
    <w:rsid w:val="00654455"/>
    <w:rsid w:val="006546E7"/>
    <w:rsid w:val="00654868"/>
    <w:rsid w:val="00654AC4"/>
    <w:rsid w:val="00654C30"/>
    <w:rsid w:val="00654CCA"/>
    <w:rsid w:val="006557C6"/>
    <w:rsid w:val="00655885"/>
    <w:rsid w:val="00655E75"/>
    <w:rsid w:val="00655EC3"/>
    <w:rsid w:val="00655ECE"/>
    <w:rsid w:val="00656188"/>
    <w:rsid w:val="00656257"/>
    <w:rsid w:val="00656DF2"/>
    <w:rsid w:val="00656F83"/>
    <w:rsid w:val="00656F8D"/>
    <w:rsid w:val="00656FAF"/>
    <w:rsid w:val="00657152"/>
    <w:rsid w:val="0065715A"/>
    <w:rsid w:val="0065736A"/>
    <w:rsid w:val="00657AC5"/>
    <w:rsid w:val="00657B52"/>
    <w:rsid w:val="00657BDB"/>
    <w:rsid w:val="0066003E"/>
    <w:rsid w:val="0066019B"/>
    <w:rsid w:val="00660C43"/>
    <w:rsid w:val="00660CC3"/>
    <w:rsid w:val="00660E3D"/>
    <w:rsid w:val="00660EB1"/>
    <w:rsid w:val="00660EFE"/>
    <w:rsid w:val="00660FB5"/>
    <w:rsid w:val="0066100F"/>
    <w:rsid w:val="006610F1"/>
    <w:rsid w:val="0066168D"/>
    <w:rsid w:val="006616A1"/>
    <w:rsid w:val="00661B11"/>
    <w:rsid w:val="00661C6B"/>
    <w:rsid w:val="006625F1"/>
    <w:rsid w:val="00662963"/>
    <w:rsid w:val="00662D3E"/>
    <w:rsid w:val="00662E6D"/>
    <w:rsid w:val="00662FCF"/>
    <w:rsid w:val="006631F9"/>
    <w:rsid w:val="006631FD"/>
    <w:rsid w:val="00663389"/>
    <w:rsid w:val="006634B9"/>
    <w:rsid w:val="00663587"/>
    <w:rsid w:val="00663B78"/>
    <w:rsid w:val="00663C51"/>
    <w:rsid w:val="006643A6"/>
    <w:rsid w:val="00664EC8"/>
    <w:rsid w:val="006655A4"/>
    <w:rsid w:val="00665B5D"/>
    <w:rsid w:val="00666277"/>
    <w:rsid w:val="00666883"/>
    <w:rsid w:val="00666A07"/>
    <w:rsid w:val="00666A0A"/>
    <w:rsid w:val="00667250"/>
    <w:rsid w:val="00667480"/>
    <w:rsid w:val="006675A8"/>
    <w:rsid w:val="006679EF"/>
    <w:rsid w:val="00667BE3"/>
    <w:rsid w:val="00667CFA"/>
    <w:rsid w:val="00671004"/>
    <w:rsid w:val="00671250"/>
    <w:rsid w:val="006712DC"/>
    <w:rsid w:val="00671767"/>
    <w:rsid w:val="00671776"/>
    <w:rsid w:val="0067183C"/>
    <w:rsid w:val="00671D26"/>
    <w:rsid w:val="0067221F"/>
    <w:rsid w:val="00672646"/>
    <w:rsid w:val="00672B05"/>
    <w:rsid w:val="00672B0D"/>
    <w:rsid w:val="00672E12"/>
    <w:rsid w:val="00672F96"/>
    <w:rsid w:val="006732E1"/>
    <w:rsid w:val="0067330D"/>
    <w:rsid w:val="0067337F"/>
    <w:rsid w:val="0067369A"/>
    <w:rsid w:val="006740E2"/>
    <w:rsid w:val="00674741"/>
    <w:rsid w:val="006747C9"/>
    <w:rsid w:val="00674E42"/>
    <w:rsid w:val="00675236"/>
    <w:rsid w:val="00675251"/>
    <w:rsid w:val="00675304"/>
    <w:rsid w:val="00675AA0"/>
    <w:rsid w:val="00676563"/>
    <w:rsid w:val="00676B77"/>
    <w:rsid w:val="00676DB6"/>
    <w:rsid w:val="00676E6B"/>
    <w:rsid w:val="00676EBB"/>
    <w:rsid w:val="0067706B"/>
    <w:rsid w:val="00677434"/>
    <w:rsid w:val="00677506"/>
    <w:rsid w:val="00677853"/>
    <w:rsid w:val="00680033"/>
    <w:rsid w:val="00680205"/>
    <w:rsid w:val="006804A2"/>
    <w:rsid w:val="00680565"/>
    <w:rsid w:val="00680721"/>
    <w:rsid w:val="00680773"/>
    <w:rsid w:val="00680E7C"/>
    <w:rsid w:val="00680EAA"/>
    <w:rsid w:val="006813F8"/>
    <w:rsid w:val="00681F71"/>
    <w:rsid w:val="00682112"/>
    <w:rsid w:val="00682BA6"/>
    <w:rsid w:val="00682D3C"/>
    <w:rsid w:val="00682E9B"/>
    <w:rsid w:val="00682F90"/>
    <w:rsid w:val="006831FD"/>
    <w:rsid w:val="006833FB"/>
    <w:rsid w:val="00683603"/>
    <w:rsid w:val="00683708"/>
    <w:rsid w:val="00683E81"/>
    <w:rsid w:val="00684192"/>
    <w:rsid w:val="0068458D"/>
    <w:rsid w:val="00684A39"/>
    <w:rsid w:val="00684C95"/>
    <w:rsid w:val="00684CA1"/>
    <w:rsid w:val="00684F4A"/>
    <w:rsid w:val="00685224"/>
    <w:rsid w:val="006852B3"/>
    <w:rsid w:val="006853B7"/>
    <w:rsid w:val="00685547"/>
    <w:rsid w:val="006856EA"/>
    <w:rsid w:val="0068594E"/>
    <w:rsid w:val="00685B36"/>
    <w:rsid w:val="00685B45"/>
    <w:rsid w:val="00686255"/>
    <w:rsid w:val="00686957"/>
    <w:rsid w:val="00686DA3"/>
    <w:rsid w:val="00686FE7"/>
    <w:rsid w:val="00686FF4"/>
    <w:rsid w:val="006872BA"/>
    <w:rsid w:val="00687840"/>
    <w:rsid w:val="00687981"/>
    <w:rsid w:val="00687B4B"/>
    <w:rsid w:val="00687C6F"/>
    <w:rsid w:val="006901C0"/>
    <w:rsid w:val="00690326"/>
    <w:rsid w:val="00690795"/>
    <w:rsid w:val="006907AD"/>
    <w:rsid w:val="00690950"/>
    <w:rsid w:val="00690C98"/>
    <w:rsid w:val="00690EF8"/>
    <w:rsid w:val="00690FB7"/>
    <w:rsid w:val="0069109C"/>
    <w:rsid w:val="00691170"/>
    <w:rsid w:val="00691648"/>
    <w:rsid w:val="006917BB"/>
    <w:rsid w:val="006917D7"/>
    <w:rsid w:val="0069195B"/>
    <w:rsid w:val="0069210B"/>
    <w:rsid w:val="006923AA"/>
    <w:rsid w:val="006924A6"/>
    <w:rsid w:val="006928B1"/>
    <w:rsid w:val="00692DE1"/>
    <w:rsid w:val="00692F5E"/>
    <w:rsid w:val="0069337A"/>
    <w:rsid w:val="00693BB4"/>
    <w:rsid w:val="0069434C"/>
    <w:rsid w:val="00694353"/>
    <w:rsid w:val="0069437F"/>
    <w:rsid w:val="00694530"/>
    <w:rsid w:val="006945AA"/>
    <w:rsid w:val="00694625"/>
    <w:rsid w:val="00694871"/>
    <w:rsid w:val="006949CF"/>
    <w:rsid w:val="00694A97"/>
    <w:rsid w:val="00694CFC"/>
    <w:rsid w:val="00694F44"/>
    <w:rsid w:val="0069508D"/>
    <w:rsid w:val="00695329"/>
    <w:rsid w:val="006955FF"/>
    <w:rsid w:val="0069586A"/>
    <w:rsid w:val="006959A8"/>
    <w:rsid w:val="00695B54"/>
    <w:rsid w:val="00695DA0"/>
    <w:rsid w:val="00695FAB"/>
    <w:rsid w:val="00696EF9"/>
    <w:rsid w:val="00696F51"/>
    <w:rsid w:val="00697103"/>
    <w:rsid w:val="0069742E"/>
    <w:rsid w:val="00697472"/>
    <w:rsid w:val="006974B0"/>
    <w:rsid w:val="0069754F"/>
    <w:rsid w:val="006975E1"/>
    <w:rsid w:val="006979A5"/>
    <w:rsid w:val="00697E07"/>
    <w:rsid w:val="006A00F0"/>
    <w:rsid w:val="006A016F"/>
    <w:rsid w:val="006A07D5"/>
    <w:rsid w:val="006A07D9"/>
    <w:rsid w:val="006A0842"/>
    <w:rsid w:val="006A088C"/>
    <w:rsid w:val="006A0A1E"/>
    <w:rsid w:val="006A0AB4"/>
    <w:rsid w:val="006A0B61"/>
    <w:rsid w:val="006A0DF7"/>
    <w:rsid w:val="006A100C"/>
    <w:rsid w:val="006A1029"/>
    <w:rsid w:val="006A12C7"/>
    <w:rsid w:val="006A16C3"/>
    <w:rsid w:val="006A1A76"/>
    <w:rsid w:val="006A1BAA"/>
    <w:rsid w:val="006A1C99"/>
    <w:rsid w:val="006A21A1"/>
    <w:rsid w:val="006A2735"/>
    <w:rsid w:val="006A2DAB"/>
    <w:rsid w:val="006A3167"/>
    <w:rsid w:val="006A31BB"/>
    <w:rsid w:val="006A333E"/>
    <w:rsid w:val="006A3666"/>
    <w:rsid w:val="006A3CC3"/>
    <w:rsid w:val="006A3D5F"/>
    <w:rsid w:val="006A41BE"/>
    <w:rsid w:val="006A4321"/>
    <w:rsid w:val="006A43D9"/>
    <w:rsid w:val="006A45A3"/>
    <w:rsid w:val="006A46F8"/>
    <w:rsid w:val="006A4C85"/>
    <w:rsid w:val="006A4F58"/>
    <w:rsid w:val="006A5105"/>
    <w:rsid w:val="006A51DB"/>
    <w:rsid w:val="006A51FE"/>
    <w:rsid w:val="006A5AEC"/>
    <w:rsid w:val="006A5DB2"/>
    <w:rsid w:val="006A5F7E"/>
    <w:rsid w:val="006A612C"/>
    <w:rsid w:val="006A6B99"/>
    <w:rsid w:val="006A6DA4"/>
    <w:rsid w:val="006A6E3D"/>
    <w:rsid w:val="006A719D"/>
    <w:rsid w:val="006A78C8"/>
    <w:rsid w:val="006A7E5F"/>
    <w:rsid w:val="006B009A"/>
    <w:rsid w:val="006B0388"/>
    <w:rsid w:val="006B0546"/>
    <w:rsid w:val="006B0703"/>
    <w:rsid w:val="006B074C"/>
    <w:rsid w:val="006B07F0"/>
    <w:rsid w:val="006B100C"/>
    <w:rsid w:val="006B190B"/>
    <w:rsid w:val="006B1D06"/>
    <w:rsid w:val="006B2523"/>
    <w:rsid w:val="006B261B"/>
    <w:rsid w:val="006B2695"/>
    <w:rsid w:val="006B29CA"/>
    <w:rsid w:val="006B2C90"/>
    <w:rsid w:val="006B2D5B"/>
    <w:rsid w:val="006B2DAA"/>
    <w:rsid w:val="006B2FF9"/>
    <w:rsid w:val="006B300A"/>
    <w:rsid w:val="006B3113"/>
    <w:rsid w:val="006B32ED"/>
    <w:rsid w:val="006B35E6"/>
    <w:rsid w:val="006B3976"/>
    <w:rsid w:val="006B3CC5"/>
    <w:rsid w:val="006B3DA7"/>
    <w:rsid w:val="006B4269"/>
    <w:rsid w:val="006B44CA"/>
    <w:rsid w:val="006B465A"/>
    <w:rsid w:val="006B48EE"/>
    <w:rsid w:val="006B49D1"/>
    <w:rsid w:val="006B49E0"/>
    <w:rsid w:val="006B4FE7"/>
    <w:rsid w:val="006B56E4"/>
    <w:rsid w:val="006B5996"/>
    <w:rsid w:val="006B6DD0"/>
    <w:rsid w:val="006B6FF5"/>
    <w:rsid w:val="006B7585"/>
    <w:rsid w:val="006B79AB"/>
    <w:rsid w:val="006B79ED"/>
    <w:rsid w:val="006B7A28"/>
    <w:rsid w:val="006C0399"/>
    <w:rsid w:val="006C049D"/>
    <w:rsid w:val="006C0818"/>
    <w:rsid w:val="006C13F2"/>
    <w:rsid w:val="006C1507"/>
    <w:rsid w:val="006C1635"/>
    <w:rsid w:val="006C1765"/>
    <w:rsid w:val="006C1995"/>
    <w:rsid w:val="006C19F0"/>
    <w:rsid w:val="006C1D0F"/>
    <w:rsid w:val="006C21C9"/>
    <w:rsid w:val="006C2374"/>
    <w:rsid w:val="006C2650"/>
    <w:rsid w:val="006C27C5"/>
    <w:rsid w:val="006C27E1"/>
    <w:rsid w:val="006C2A83"/>
    <w:rsid w:val="006C2A8E"/>
    <w:rsid w:val="006C2F74"/>
    <w:rsid w:val="006C3058"/>
    <w:rsid w:val="006C3255"/>
    <w:rsid w:val="006C3377"/>
    <w:rsid w:val="006C363C"/>
    <w:rsid w:val="006C367A"/>
    <w:rsid w:val="006C3852"/>
    <w:rsid w:val="006C3E44"/>
    <w:rsid w:val="006C3E7E"/>
    <w:rsid w:val="006C3F24"/>
    <w:rsid w:val="006C3F26"/>
    <w:rsid w:val="006C4296"/>
    <w:rsid w:val="006C4595"/>
    <w:rsid w:val="006C488C"/>
    <w:rsid w:val="006C4DDF"/>
    <w:rsid w:val="006C4F2B"/>
    <w:rsid w:val="006C54DF"/>
    <w:rsid w:val="006C58D1"/>
    <w:rsid w:val="006C5DDC"/>
    <w:rsid w:val="006C6152"/>
    <w:rsid w:val="006C6563"/>
    <w:rsid w:val="006C6A1C"/>
    <w:rsid w:val="006C72F2"/>
    <w:rsid w:val="006C734A"/>
    <w:rsid w:val="006C736D"/>
    <w:rsid w:val="006C74E8"/>
    <w:rsid w:val="006C750A"/>
    <w:rsid w:val="006C76A3"/>
    <w:rsid w:val="006C77CF"/>
    <w:rsid w:val="006C77ED"/>
    <w:rsid w:val="006C7835"/>
    <w:rsid w:val="006C7E8C"/>
    <w:rsid w:val="006D02F6"/>
    <w:rsid w:val="006D0384"/>
    <w:rsid w:val="006D0D17"/>
    <w:rsid w:val="006D12A6"/>
    <w:rsid w:val="006D131B"/>
    <w:rsid w:val="006D1DCA"/>
    <w:rsid w:val="006D2B46"/>
    <w:rsid w:val="006D2CC2"/>
    <w:rsid w:val="006D333A"/>
    <w:rsid w:val="006D38BE"/>
    <w:rsid w:val="006D3C7D"/>
    <w:rsid w:val="006D3D34"/>
    <w:rsid w:val="006D3F88"/>
    <w:rsid w:val="006D4202"/>
    <w:rsid w:val="006D4659"/>
    <w:rsid w:val="006D4960"/>
    <w:rsid w:val="006D4996"/>
    <w:rsid w:val="006D4A1F"/>
    <w:rsid w:val="006D4D43"/>
    <w:rsid w:val="006D4E43"/>
    <w:rsid w:val="006D543E"/>
    <w:rsid w:val="006D5549"/>
    <w:rsid w:val="006D5772"/>
    <w:rsid w:val="006D585B"/>
    <w:rsid w:val="006D5A87"/>
    <w:rsid w:val="006D5C81"/>
    <w:rsid w:val="006D5CB7"/>
    <w:rsid w:val="006D5CCE"/>
    <w:rsid w:val="006D5D5F"/>
    <w:rsid w:val="006D5F14"/>
    <w:rsid w:val="006D61CE"/>
    <w:rsid w:val="006D62D6"/>
    <w:rsid w:val="006D63A2"/>
    <w:rsid w:val="006D647E"/>
    <w:rsid w:val="006D68FB"/>
    <w:rsid w:val="006D69A6"/>
    <w:rsid w:val="006D6D24"/>
    <w:rsid w:val="006D7244"/>
    <w:rsid w:val="006D7580"/>
    <w:rsid w:val="006D771F"/>
    <w:rsid w:val="006D7A56"/>
    <w:rsid w:val="006D7CF2"/>
    <w:rsid w:val="006D7EA1"/>
    <w:rsid w:val="006D7FF5"/>
    <w:rsid w:val="006E01D6"/>
    <w:rsid w:val="006E01EF"/>
    <w:rsid w:val="006E0BE6"/>
    <w:rsid w:val="006E0EC0"/>
    <w:rsid w:val="006E12F6"/>
    <w:rsid w:val="006E17C3"/>
    <w:rsid w:val="006E1B83"/>
    <w:rsid w:val="006E2138"/>
    <w:rsid w:val="006E21A8"/>
    <w:rsid w:val="006E2868"/>
    <w:rsid w:val="006E3138"/>
    <w:rsid w:val="006E34D2"/>
    <w:rsid w:val="006E3686"/>
    <w:rsid w:val="006E37F3"/>
    <w:rsid w:val="006E3AE8"/>
    <w:rsid w:val="006E3E6F"/>
    <w:rsid w:val="006E3F2F"/>
    <w:rsid w:val="006E3FE0"/>
    <w:rsid w:val="006E456F"/>
    <w:rsid w:val="006E4818"/>
    <w:rsid w:val="006E4967"/>
    <w:rsid w:val="006E4E3F"/>
    <w:rsid w:val="006E4F7F"/>
    <w:rsid w:val="006E5080"/>
    <w:rsid w:val="006E51BA"/>
    <w:rsid w:val="006E5447"/>
    <w:rsid w:val="006E55A9"/>
    <w:rsid w:val="006E5640"/>
    <w:rsid w:val="006E56EC"/>
    <w:rsid w:val="006E5A9E"/>
    <w:rsid w:val="006E5D6C"/>
    <w:rsid w:val="006E5DAD"/>
    <w:rsid w:val="006E5E61"/>
    <w:rsid w:val="006E623E"/>
    <w:rsid w:val="006E6672"/>
    <w:rsid w:val="006E690F"/>
    <w:rsid w:val="006E6A0A"/>
    <w:rsid w:val="006E6D29"/>
    <w:rsid w:val="006E70CB"/>
    <w:rsid w:val="006E7117"/>
    <w:rsid w:val="006E73AE"/>
    <w:rsid w:val="006E75D6"/>
    <w:rsid w:val="006E79D4"/>
    <w:rsid w:val="006F04A3"/>
    <w:rsid w:val="006F0AE9"/>
    <w:rsid w:val="006F0C33"/>
    <w:rsid w:val="006F0C46"/>
    <w:rsid w:val="006F0F08"/>
    <w:rsid w:val="006F0F93"/>
    <w:rsid w:val="006F1436"/>
    <w:rsid w:val="006F19DF"/>
    <w:rsid w:val="006F1BA6"/>
    <w:rsid w:val="006F1E67"/>
    <w:rsid w:val="006F2123"/>
    <w:rsid w:val="006F24F6"/>
    <w:rsid w:val="006F2FA2"/>
    <w:rsid w:val="006F306C"/>
    <w:rsid w:val="006F3A68"/>
    <w:rsid w:val="006F3B3E"/>
    <w:rsid w:val="006F4205"/>
    <w:rsid w:val="006F426F"/>
    <w:rsid w:val="006F42F5"/>
    <w:rsid w:val="006F4A07"/>
    <w:rsid w:val="006F5063"/>
    <w:rsid w:val="006F533F"/>
    <w:rsid w:val="006F58BB"/>
    <w:rsid w:val="006F5916"/>
    <w:rsid w:val="006F63A5"/>
    <w:rsid w:val="006F6B99"/>
    <w:rsid w:val="006F7225"/>
    <w:rsid w:val="006F79EF"/>
    <w:rsid w:val="006F7B7A"/>
    <w:rsid w:val="006F7C87"/>
    <w:rsid w:val="006F7E7E"/>
    <w:rsid w:val="006F7EBE"/>
    <w:rsid w:val="0070014C"/>
    <w:rsid w:val="00700A0A"/>
    <w:rsid w:val="00700AA0"/>
    <w:rsid w:val="00700D22"/>
    <w:rsid w:val="00700D34"/>
    <w:rsid w:val="00701249"/>
    <w:rsid w:val="0070142B"/>
    <w:rsid w:val="007014A8"/>
    <w:rsid w:val="00701866"/>
    <w:rsid w:val="00701924"/>
    <w:rsid w:val="00701A02"/>
    <w:rsid w:val="00701A1B"/>
    <w:rsid w:val="007023A2"/>
    <w:rsid w:val="0070276E"/>
    <w:rsid w:val="007027B6"/>
    <w:rsid w:val="00702816"/>
    <w:rsid w:val="007028CA"/>
    <w:rsid w:val="00702F8F"/>
    <w:rsid w:val="00703E8B"/>
    <w:rsid w:val="00703EAC"/>
    <w:rsid w:val="007043DE"/>
    <w:rsid w:val="007045F9"/>
    <w:rsid w:val="0070471C"/>
    <w:rsid w:val="00704EF2"/>
    <w:rsid w:val="00704FBA"/>
    <w:rsid w:val="0070550A"/>
    <w:rsid w:val="00705665"/>
    <w:rsid w:val="00705A54"/>
    <w:rsid w:val="00705D27"/>
    <w:rsid w:val="00705FB8"/>
    <w:rsid w:val="00706133"/>
    <w:rsid w:val="0070614A"/>
    <w:rsid w:val="00706193"/>
    <w:rsid w:val="007068BC"/>
    <w:rsid w:val="00706C15"/>
    <w:rsid w:val="00706C57"/>
    <w:rsid w:val="00706F10"/>
    <w:rsid w:val="007076BD"/>
    <w:rsid w:val="00707759"/>
    <w:rsid w:val="007079FC"/>
    <w:rsid w:val="00710360"/>
    <w:rsid w:val="0071084B"/>
    <w:rsid w:val="00710ABC"/>
    <w:rsid w:val="00710B51"/>
    <w:rsid w:val="00710D86"/>
    <w:rsid w:val="00711289"/>
    <w:rsid w:val="007116ED"/>
    <w:rsid w:val="0071177B"/>
    <w:rsid w:val="00711874"/>
    <w:rsid w:val="007118BE"/>
    <w:rsid w:val="007118D4"/>
    <w:rsid w:val="00711A36"/>
    <w:rsid w:val="00711AA1"/>
    <w:rsid w:val="00711B30"/>
    <w:rsid w:val="00711B4F"/>
    <w:rsid w:val="00711D07"/>
    <w:rsid w:val="00711DE2"/>
    <w:rsid w:val="007122A2"/>
    <w:rsid w:val="007125D3"/>
    <w:rsid w:val="007129BE"/>
    <w:rsid w:val="00712F19"/>
    <w:rsid w:val="00712F83"/>
    <w:rsid w:val="00713001"/>
    <w:rsid w:val="00713022"/>
    <w:rsid w:val="00713404"/>
    <w:rsid w:val="007137CF"/>
    <w:rsid w:val="007137DB"/>
    <w:rsid w:val="007138D2"/>
    <w:rsid w:val="0071399C"/>
    <w:rsid w:val="00713C4E"/>
    <w:rsid w:val="00713E44"/>
    <w:rsid w:val="007140DA"/>
    <w:rsid w:val="00714160"/>
    <w:rsid w:val="00714A89"/>
    <w:rsid w:val="00714C26"/>
    <w:rsid w:val="00714F39"/>
    <w:rsid w:val="00714F64"/>
    <w:rsid w:val="00714FCB"/>
    <w:rsid w:val="0071501A"/>
    <w:rsid w:val="007150C8"/>
    <w:rsid w:val="007150FA"/>
    <w:rsid w:val="0071529C"/>
    <w:rsid w:val="007154E4"/>
    <w:rsid w:val="0071558C"/>
    <w:rsid w:val="0071565A"/>
    <w:rsid w:val="007156E0"/>
    <w:rsid w:val="007157C6"/>
    <w:rsid w:val="00715ECA"/>
    <w:rsid w:val="007167BF"/>
    <w:rsid w:val="007167F0"/>
    <w:rsid w:val="00716A83"/>
    <w:rsid w:val="00717083"/>
    <w:rsid w:val="007170DA"/>
    <w:rsid w:val="00717209"/>
    <w:rsid w:val="007172AD"/>
    <w:rsid w:val="00717546"/>
    <w:rsid w:val="007175B5"/>
    <w:rsid w:val="00717647"/>
    <w:rsid w:val="00717B7D"/>
    <w:rsid w:val="00717FBC"/>
    <w:rsid w:val="007200EF"/>
    <w:rsid w:val="007202BE"/>
    <w:rsid w:val="007205E8"/>
    <w:rsid w:val="00720801"/>
    <w:rsid w:val="00720DF0"/>
    <w:rsid w:val="00720EF4"/>
    <w:rsid w:val="00721022"/>
    <w:rsid w:val="007215CE"/>
    <w:rsid w:val="0072164D"/>
    <w:rsid w:val="0072202A"/>
    <w:rsid w:val="00722108"/>
    <w:rsid w:val="0072219E"/>
    <w:rsid w:val="00722B1B"/>
    <w:rsid w:val="00722CA9"/>
    <w:rsid w:val="00722D2D"/>
    <w:rsid w:val="00722F69"/>
    <w:rsid w:val="00722F8D"/>
    <w:rsid w:val="0072300B"/>
    <w:rsid w:val="00723310"/>
    <w:rsid w:val="007235A0"/>
    <w:rsid w:val="0072370A"/>
    <w:rsid w:val="0072401A"/>
    <w:rsid w:val="007240A7"/>
    <w:rsid w:val="007240CA"/>
    <w:rsid w:val="0072416F"/>
    <w:rsid w:val="007243AB"/>
    <w:rsid w:val="00724513"/>
    <w:rsid w:val="00724F8A"/>
    <w:rsid w:val="007252B6"/>
    <w:rsid w:val="007252DF"/>
    <w:rsid w:val="007254CF"/>
    <w:rsid w:val="007259AF"/>
    <w:rsid w:val="00725B2F"/>
    <w:rsid w:val="00725FA5"/>
    <w:rsid w:val="00725FB1"/>
    <w:rsid w:val="007261E2"/>
    <w:rsid w:val="0072644D"/>
    <w:rsid w:val="007265D8"/>
    <w:rsid w:val="007267B5"/>
    <w:rsid w:val="00726A46"/>
    <w:rsid w:val="00726B61"/>
    <w:rsid w:val="00726F76"/>
    <w:rsid w:val="00727849"/>
    <w:rsid w:val="007278B8"/>
    <w:rsid w:val="00727C7B"/>
    <w:rsid w:val="00727C7E"/>
    <w:rsid w:val="00727C94"/>
    <w:rsid w:val="00730F44"/>
    <w:rsid w:val="007312E6"/>
    <w:rsid w:val="00731740"/>
    <w:rsid w:val="00731B0A"/>
    <w:rsid w:val="00731BEF"/>
    <w:rsid w:val="00731EAE"/>
    <w:rsid w:val="007320E0"/>
    <w:rsid w:val="0073286B"/>
    <w:rsid w:val="00733073"/>
    <w:rsid w:val="0073360C"/>
    <w:rsid w:val="007337E9"/>
    <w:rsid w:val="00733B5A"/>
    <w:rsid w:val="00733C91"/>
    <w:rsid w:val="00733F1F"/>
    <w:rsid w:val="00733F59"/>
    <w:rsid w:val="00734384"/>
    <w:rsid w:val="00734815"/>
    <w:rsid w:val="00734A78"/>
    <w:rsid w:val="00735033"/>
    <w:rsid w:val="007351A6"/>
    <w:rsid w:val="007352FE"/>
    <w:rsid w:val="00735328"/>
    <w:rsid w:val="00735EB8"/>
    <w:rsid w:val="00736438"/>
    <w:rsid w:val="007367CA"/>
    <w:rsid w:val="0073685B"/>
    <w:rsid w:val="00736C18"/>
    <w:rsid w:val="00736C4C"/>
    <w:rsid w:val="0073718A"/>
    <w:rsid w:val="007377B4"/>
    <w:rsid w:val="00737A5C"/>
    <w:rsid w:val="00737BA5"/>
    <w:rsid w:val="00737CCB"/>
    <w:rsid w:val="00737F99"/>
    <w:rsid w:val="00739F14"/>
    <w:rsid w:val="0074008A"/>
    <w:rsid w:val="007400D2"/>
    <w:rsid w:val="00740759"/>
    <w:rsid w:val="007408A9"/>
    <w:rsid w:val="00740A3A"/>
    <w:rsid w:val="00740B43"/>
    <w:rsid w:val="00740CF2"/>
    <w:rsid w:val="0074111C"/>
    <w:rsid w:val="007411A4"/>
    <w:rsid w:val="0074129A"/>
    <w:rsid w:val="007412DB"/>
    <w:rsid w:val="007414A0"/>
    <w:rsid w:val="007416F8"/>
    <w:rsid w:val="00741865"/>
    <w:rsid w:val="00741C09"/>
    <w:rsid w:val="007420C9"/>
    <w:rsid w:val="0074220B"/>
    <w:rsid w:val="00742336"/>
    <w:rsid w:val="00742674"/>
    <w:rsid w:val="007426B1"/>
    <w:rsid w:val="00742BCD"/>
    <w:rsid w:val="00742FD9"/>
    <w:rsid w:val="00743084"/>
    <w:rsid w:val="007434D9"/>
    <w:rsid w:val="007435BE"/>
    <w:rsid w:val="0074361C"/>
    <w:rsid w:val="00743868"/>
    <w:rsid w:val="00743BCD"/>
    <w:rsid w:val="00743D18"/>
    <w:rsid w:val="00743FA9"/>
    <w:rsid w:val="007443D5"/>
    <w:rsid w:val="00744863"/>
    <w:rsid w:val="007449BF"/>
    <w:rsid w:val="007450D4"/>
    <w:rsid w:val="00745444"/>
    <w:rsid w:val="00745C84"/>
    <w:rsid w:val="00745D17"/>
    <w:rsid w:val="00745F73"/>
    <w:rsid w:val="00745FDF"/>
    <w:rsid w:val="00745FE5"/>
    <w:rsid w:val="007463FE"/>
    <w:rsid w:val="00746653"/>
    <w:rsid w:val="00746BC0"/>
    <w:rsid w:val="00746FC6"/>
    <w:rsid w:val="0074716D"/>
    <w:rsid w:val="0074774B"/>
    <w:rsid w:val="0075038C"/>
    <w:rsid w:val="00750652"/>
    <w:rsid w:val="00750E49"/>
    <w:rsid w:val="007510B4"/>
    <w:rsid w:val="007511A6"/>
    <w:rsid w:val="007514E1"/>
    <w:rsid w:val="0075157F"/>
    <w:rsid w:val="007517DF"/>
    <w:rsid w:val="007517F3"/>
    <w:rsid w:val="00751BF5"/>
    <w:rsid w:val="00751F5C"/>
    <w:rsid w:val="00751FEE"/>
    <w:rsid w:val="00752029"/>
    <w:rsid w:val="00752142"/>
    <w:rsid w:val="007523F9"/>
    <w:rsid w:val="0075243D"/>
    <w:rsid w:val="0075260C"/>
    <w:rsid w:val="0075277B"/>
    <w:rsid w:val="007527BF"/>
    <w:rsid w:val="00752BD9"/>
    <w:rsid w:val="00752E86"/>
    <w:rsid w:val="00752EFB"/>
    <w:rsid w:val="007531CA"/>
    <w:rsid w:val="007533EF"/>
    <w:rsid w:val="0075357E"/>
    <w:rsid w:val="007539A8"/>
    <w:rsid w:val="00753B29"/>
    <w:rsid w:val="00753D3B"/>
    <w:rsid w:val="00753E39"/>
    <w:rsid w:val="00753EA1"/>
    <w:rsid w:val="00754012"/>
    <w:rsid w:val="00754327"/>
    <w:rsid w:val="00754385"/>
    <w:rsid w:val="00754419"/>
    <w:rsid w:val="00754789"/>
    <w:rsid w:val="00754946"/>
    <w:rsid w:val="00754ACE"/>
    <w:rsid w:val="007554C5"/>
    <w:rsid w:val="00755673"/>
    <w:rsid w:val="00755813"/>
    <w:rsid w:val="00756105"/>
    <w:rsid w:val="00756263"/>
    <w:rsid w:val="0075626C"/>
    <w:rsid w:val="00756370"/>
    <w:rsid w:val="007567FF"/>
    <w:rsid w:val="007568EC"/>
    <w:rsid w:val="00756A20"/>
    <w:rsid w:val="00756D2E"/>
    <w:rsid w:val="00757006"/>
    <w:rsid w:val="007570CF"/>
    <w:rsid w:val="00757390"/>
    <w:rsid w:val="007573C0"/>
    <w:rsid w:val="007573E8"/>
    <w:rsid w:val="007575F3"/>
    <w:rsid w:val="00760060"/>
    <w:rsid w:val="00760669"/>
    <w:rsid w:val="00760829"/>
    <w:rsid w:val="00760C4E"/>
    <w:rsid w:val="00760EB8"/>
    <w:rsid w:val="00760F67"/>
    <w:rsid w:val="00760F9E"/>
    <w:rsid w:val="00760FE1"/>
    <w:rsid w:val="007616E6"/>
    <w:rsid w:val="00761A60"/>
    <w:rsid w:val="00761BDD"/>
    <w:rsid w:val="00761CE4"/>
    <w:rsid w:val="00761DE7"/>
    <w:rsid w:val="00761FA6"/>
    <w:rsid w:val="007620A1"/>
    <w:rsid w:val="007621A7"/>
    <w:rsid w:val="007627BE"/>
    <w:rsid w:val="00762B81"/>
    <w:rsid w:val="00762F7C"/>
    <w:rsid w:val="007630D9"/>
    <w:rsid w:val="0076345C"/>
    <w:rsid w:val="00763A91"/>
    <w:rsid w:val="00763C46"/>
    <w:rsid w:val="007643CC"/>
    <w:rsid w:val="0076452D"/>
    <w:rsid w:val="00764654"/>
    <w:rsid w:val="00764881"/>
    <w:rsid w:val="007649C7"/>
    <w:rsid w:val="00764A84"/>
    <w:rsid w:val="00764CD8"/>
    <w:rsid w:val="00764D2E"/>
    <w:rsid w:val="00764E05"/>
    <w:rsid w:val="00764F03"/>
    <w:rsid w:val="00764F2E"/>
    <w:rsid w:val="00764FCF"/>
    <w:rsid w:val="00765138"/>
    <w:rsid w:val="00765470"/>
    <w:rsid w:val="0076550A"/>
    <w:rsid w:val="007658A7"/>
    <w:rsid w:val="00765AEE"/>
    <w:rsid w:val="00765B06"/>
    <w:rsid w:val="00765B1A"/>
    <w:rsid w:val="00765DC1"/>
    <w:rsid w:val="00765E5F"/>
    <w:rsid w:val="00766418"/>
    <w:rsid w:val="007664D1"/>
    <w:rsid w:val="0076697A"/>
    <w:rsid w:val="00766AE0"/>
    <w:rsid w:val="00766ECD"/>
    <w:rsid w:val="007671E1"/>
    <w:rsid w:val="007671EC"/>
    <w:rsid w:val="0076796F"/>
    <w:rsid w:val="00767C10"/>
    <w:rsid w:val="00767C69"/>
    <w:rsid w:val="00767D36"/>
    <w:rsid w:val="00767E8A"/>
    <w:rsid w:val="00767F62"/>
    <w:rsid w:val="00767FA2"/>
    <w:rsid w:val="0077023D"/>
    <w:rsid w:val="007704BA"/>
    <w:rsid w:val="007705EE"/>
    <w:rsid w:val="00770637"/>
    <w:rsid w:val="00770983"/>
    <w:rsid w:val="007709B9"/>
    <w:rsid w:val="007709CC"/>
    <w:rsid w:val="00770B9B"/>
    <w:rsid w:val="0077165B"/>
    <w:rsid w:val="00771986"/>
    <w:rsid w:val="00771A7A"/>
    <w:rsid w:val="00771BC0"/>
    <w:rsid w:val="00772261"/>
    <w:rsid w:val="0077281B"/>
    <w:rsid w:val="007731A6"/>
    <w:rsid w:val="00773C39"/>
    <w:rsid w:val="00773D49"/>
    <w:rsid w:val="00773E50"/>
    <w:rsid w:val="0077421C"/>
    <w:rsid w:val="007745B4"/>
    <w:rsid w:val="00774AC6"/>
    <w:rsid w:val="00774E91"/>
    <w:rsid w:val="0077508B"/>
    <w:rsid w:val="007759C0"/>
    <w:rsid w:val="00775C9D"/>
    <w:rsid w:val="00775D57"/>
    <w:rsid w:val="00776070"/>
    <w:rsid w:val="00776501"/>
    <w:rsid w:val="00776917"/>
    <w:rsid w:val="00776A29"/>
    <w:rsid w:val="00776D36"/>
    <w:rsid w:val="00777335"/>
    <w:rsid w:val="00777346"/>
    <w:rsid w:val="007774AB"/>
    <w:rsid w:val="007774B6"/>
    <w:rsid w:val="00777A56"/>
    <w:rsid w:val="00780600"/>
    <w:rsid w:val="0078119C"/>
    <w:rsid w:val="0078142E"/>
    <w:rsid w:val="00781713"/>
    <w:rsid w:val="0078175A"/>
    <w:rsid w:val="00781777"/>
    <w:rsid w:val="00781F34"/>
    <w:rsid w:val="00782176"/>
    <w:rsid w:val="007821EB"/>
    <w:rsid w:val="00782C01"/>
    <w:rsid w:val="00783067"/>
    <w:rsid w:val="007832BD"/>
    <w:rsid w:val="00783C54"/>
    <w:rsid w:val="00783CC5"/>
    <w:rsid w:val="00783D9D"/>
    <w:rsid w:val="0078404F"/>
    <w:rsid w:val="007842DE"/>
    <w:rsid w:val="007843F2"/>
    <w:rsid w:val="00784655"/>
    <w:rsid w:val="007846D5"/>
    <w:rsid w:val="007846FA"/>
    <w:rsid w:val="00784762"/>
    <w:rsid w:val="00784B41"/>
    <w:rsid w:val="00784F6B"/>
    <w:rsid w:val="00785085"/>
    <w:rsid w:val="0078547B"/>
    <w:rsid w:val="00785A03"/>
    <w:rsid w:val="00785A79"/>
    <w:rsid w:val="00785A9F"/>
    <w:rsid w:val="00785AFF"/>
    <w:rsid w:val="007863CB"/>
    <w:rsid w:val="007863D4"/>
    <w:rsid w:val="0078662A"/>
    <w:rsid w:val="0078663C"/>
    <w:rsid w:val="00787624"/>
    <w:rsid w:val="00787E81"/>
    <w:rsid w:val="00787F27"/>
    <w:rsid w:val="00787FB1"/>
    <w:rsid w:val="00790721"/>
    <w:rsid w:val="00790912"/>
    <w:rsid w:val="00790A19"/>
    <w:rsid w:val="00790A2C"/>
    <w:rsid w:val="00790E42"/>
    <w:rsid w:val="0079140B"/>
    <w:rsid w:val="00791D1E"/>
    <w:rsid w:val="00791FF1"/>
    <w:rsid w:val="00792320"/>
    <w:rsid w:val="007925DF"/>
    <w:rsid w:val="0079266B"/>
    <w:rsid w:val="0079293B"/>
    <w:rsid w:val="00792AD0"/>
    <w:rsid w:val="0079326E"/>
    <w:rsid w:val="0079342D"/>
    <w:rsid w:val="007937FC"/>
    <w:rsid w:val="0079384D"/>
    <w:rsid w:val="007938E0"/>
    <w:rsid w:val="007939FA"/>
    <w:rsid w:val="00793B5A"/>
    <w:rsid w:val="00793CCF"/>
    <w:rsid w:val="00793FBC"/>
    <w:rsid w:val="007940ED"/>
    <w:rsid w:val="00794163"/>
    <w:rsid w:val="007942F0"/>
    <w:rsid w:val="00794C84"/>
    <w:rsid w:val="00794DB6"/>
    <w:rsid w:val="00794E3F"/>
    <w:rsid w:val="00794E4B"/>
    <w:rsid w:val="007954B8"/>
    <w:rsid w:val="007958B4"/>
    <w:rsid w:val="00795FC0"/>
    <w:rsid w:val="00796169"/>
    <w:rsid w:val="00796C8B"/>
    <w:rsid w:val="007973F0"/>
    <w:rsid w:val="007977D7"/>
    <w:rsid w:val="0079787A"/>
    <w:rsid w:val="00797A0A"/>
    <w:rsid w:val="00797A49"/>
    <w:rsid w:val="00797BF1"/>
    <w:rsid w:val="007A0082"/>
    <w:rsid w:val="007A024E"/>
    <w:rsid w:val="007A03B2"/>
    <w:rsid w:val="007A08AA"/>
    <w:rsid w:val="007A0A12"/>
    <w:rsid w:val="007A0C9F"/>
    <w:rsid w:val="007A0F0B"/>
    <w:rsid w:val="007A132D"/>
    <w:rsid w:val="007A1345"/>
    <w:rsid w:val="007A176F"/>
    <w:rsid w:val="007A1882"/>
    <w:rsid w:val="007A1F53"/>
    <w:rsid w:val="007A1FAC"/>
    <w:rsid w:val="007A20A2"/>
    <w:rsid w:val="007A2423"/>
    <w:rsid w:val="007A291F"/>
    <w:rsid w:val="007A2A03"/>
    <w:rsid w:val="007A2DDB"/>
    <w:rsid w:val="007A2F6D"/>
    <w:rsid w:val="007A34F3"/>
    <w:rsid w:val="007A3768"/>
    <w:rsid w:val="007A3AA2"/>
    <w:rsid w:val="007A41A5"/>
    <w:rsid w:val="007A44E4"/>
    <w:rsid w:val="007A4C55"/>
    <w:rsid w:val="007A4D96"/>
    <w:rsid w:val="007A4EAC"/>
    <w:rsid w:val="007A50AB"/>
    <w:rsid w:val="007A5216"/>
    <w:rsid w:val="007A55AA"/>
    <w:rsid w:val="007A5A14"/>
    <w:rsid w:val="007A5AF0"/>
    <w:rsid w:val="007A5E07"/>
    <w:rsid w:val="007A5F81"/>
    <w:rsid w:val="007A637E"/>
    <w:rsid w:val="007A6450"/>
    <w:rsid w:val="007A6592"/>
    <w:rsid w:val="007A6692"/>
    <w:rsid w:val="007A6A2B"/>
    <w:rsid w:val="007A707D"/>
    <w:rsid w:val="007A70BA"/>
    <w:rsid w:val="007A7376"/>
    <w:rsid w:val="007A7860"/>
    <w:rsid w:val="007A7A77"/>
    <w:rsid w:val="007B0448"/>
    <w:rsid w:val="007B05CC"/>
    <w:rsid w:val="007B0A6D"/>
    <w:rsid w:val="007B0AC7"/>
    <w:rsid w:val="007B0D68"/>
    <w:rsid w:val="007B1032"/>
    <w:rsid w:val="007B1093"/>
    <w:rsid w:val="007B1334"/>
    <w:rsid w:val="007B1909"/>
    <w:rsid w:val="007B1A4D"/>
    <w:rsid w:val="007B1FAB"/>
    <w:rsid w:val="007B2012"/>
    <w:rsid w:val="007B2016"/>
    <w:rsid w:val="007B24AC"/>
    <w:rsid w:val="007B251D"/>
    <w:rsid w:val="007B26F6"/>
    <w:rsid w:val="007B28F9"/>
    <w:rsid w:val="007B2CE8"/>
    <w:rsid w:val="007B2F80"/>
    <w:rsid w:val="007B324C"/>
    <w:rsid w:val="007B3533"/>
    <w:rsid w:val="007B35A6"/>
    <w:rsid w:val="007B3D06"/>
    <w:rsid w:val="007B3DE7"/>
    <w:rsid w:val="007B3FE5"/>
    <w:rsid w:val="007B4009"/>
    <w:rsid w:val="007B47E6"/>
    <w:rsid w:val="007B49D2"/>
    <w:rsid w:val="007B4CFE"/>
    <w:rsid w:val="007B4F58"/>
    <w:rsid w:val="007B528D"/>
    <w:rsid w:val="007B542C"/>
    <w:rsid w:val="007B57AA"/>
    <w:rsid w:val="007B5912"/>
    <w:rsid w:val="007B5A45"/>
    <w:rsid w:val="007B5AD3"/>
    <w:rsid w:val="007B5CEF"/>
    <w:rsid w:val="007B6137"/>
    <w:rsid w:val="007B63CA"/>
    <w:rsid w:val="007B661E"/>
    <w:rsid w:val="007B66E2"/>
    <w:rsid w:val="007B67E5"/>
    <w:rsid w:val="007B6ADB"/>
    <w:rsid w:val="007B6CDC"/>
    <w:rsid w:val="007B77D1"/>
    <w:rsid w:val="007B78E6"/>
    <w:rsid w:val="007B7BBE"/>
    <w:rsid w:val="007B7DC1"/>
    <w:rsid w:val="007B7EBB"/>
    <w:rsid w:val="007B7F33"/>
    <w:rsid w:val="007C0066"/>
    <w:rsid w:val="007C01DE"/>
    <w:rsid w:val="007C0215"/>
    <w:rsid w:val="007C074C"/>
    <w:rsid w:val="007C07C7"/>
    <w:rsid w:val="007C0B90"/>
    <w:rsid w:val="007C0C05"/>
    <w:rsid w:val="007C0C3C"/>
    <w:rsid w:val="007C1420"/>
    <w:rsid w:val="007C1BB4"/>
    <w:rsid w:val="007C1C84"/>
    <w:rsid w:val="007C1CD9"/>
    <w:rsid w:val="007C21D1"/>
    <w:rsid w:val="007C233B"/>
    <w:rsid w:val="007C2590"/>
    <w:rsid w:val="007C2EF2"/>
    <w:rsid w:val="007C32EF"/>
    <w:rsid w:val="007C3405"/>
    <w:rsid w:val="007C34CA"/>
    <w:rsid w:val="007C3519"/>
    <w:rsid w:val="007C361D"/>
    <w:rsid w:val="007C3721"/>
    <w:rsid w:val="007C37EA"/>
    <w:rsid w:val="007C3C8C"/>
    <w:rsid w:val="007C3F94"/>
    <w:rsid w:val="007C4133"/>
    <w:rsid w:val="007C43F3"/>
    <w:rsid w:val="007C4957"/>
    <w:rsid w:val="007C4B7F"/>
    <w:rsid w:val="007C4B84"/>
    <w:rsid w:val="007C4BBC"/>
    <w:rsid w:val="007C53F2"/>
    <w:rsid w:val="007C572A"/>
    <w:rsid w:val="007C5977"/>
    <w:rsid w:val="007C5CAD"/>
    <w:rsid w:val="007C6197"/>
    <w:rsid w:val="007C67E2"/>
    <w:rsid w:val="007C69AF"/>
    <w:rsid w:val="007C69C9"/>
    <w:rsid w:val="007C6A89"/>
    <w:rsid w:val="007C6D58"/>
    <w:rsid w:val="007C6E0F"/>
    <w:rsid w:val="007C70FF"/>
    <w:rsid w:val="007C72C4"/>
    <w:rsid w:val="007C745F"/>
    <w:rsid w:val="007C75C0"/>
    <w:rsid w:val="007C7601"/>
    <w:rsid w:val="007C76E1"/>
    <w:rsid w:val="007C7B08"/>
    <w:rsid w:val="007C7C25"/>
    <w:rsid w:val="007C7D32"/>
    <w:rsid w:val="007D004F"/>
    <w:rsid w:val="007D035F"/>
    <w:rsid w:val="007D048F"/>
    <w:rsid w:val="007D06B2"/>
    <w:rsid w:val="007D07B4"/>
    <w:rsid w:val="007D0B38"/>
    <w:rsid w:val="007D0D64"/>
    <w:rsid w:val="007D0FC2"/>
    <w:rsid w:val="007D138A"/>
    <w:rsid w:val="007D13CF"/>
    <w:rsid w:val="007D1784"/>
    <w:rsid w:val="007D1BDC"/>
    <w:rsid w:val="007D2006"/>
    <w:rsid w:val="007D2132"/>
    <w:rsid w:val="007D2217"/>
    <w:rsid w:val="007D2E89"/>
    <w:rsid w:val="007D35FF"/>
    <w:rsid w:val="007D3A27"/>
    <w:rsid w:val="007D3FB8"/>
    <w:rsid w:val="007D4090"/>
    <w:rsid w:val="007D4492"/>
    <w:rsid w:val="007D47E2"/>
    <w:rsid w:val="007D4B85"/>
    <w:rsid w:val="007D4BF2"/>
    <w:rsid w:val="007D4C6D"/>
    <w:rsid w:val="007D4CF8"/>
    <w:rsid w:val="007D5440"/>
    <w:rsid w:val="007D5815"/>
    <w:rsid w:val="007D5D5D"/>
    <w:rsid w:val="007D6328"/>
    <w:rsid w:val="007D649B"/>
    <w:rsid w:val="007D664D"/>
    <w:rsid w:val="007D69EB"/>
    <w:rsid w:val="007D6E1C"/>
    <w:rsid w:val="007D71C8"/>
    <w:rsid w:val="007D7216"/>
    <w:rsid w:val="007D7483"/>
    <w:rsid w:val="007D76D2"/>
    <w:rsid w:val="007D7808"/>
    <w:rsid w:val="007D78D7"/>
    <w:rsid w:val="007D7B94"/>
    <w:rsid w:val="007D7EB4"/>
    <w:rsid w:val="007E046C"/>
    <w:rsid w:val="007E06EC"/>
    <w:rsid w:val="007E06F0"/>
    <w:rsid w:val="007E072E"/>
    <w:rsid w:val="007E0C75"/>
    <w:rsid w:val="007E128F"/>
    <w:rsid w:val="007E150D"/>
    <w:rsid w:val="007E164C"/>
    <w:rsid w:val="007E1723"/>
    <w:rsid w:val="007E1C23"/>
    <w:rsid w:val="007E1C24"/>
    <w:rsid w:val="007E2112"/>
    <w:rsid w:val="007E22E2"/>
    <w:rsid w:val="007E284D"/>
    <w:rsid w:val="007E2B26"/>
    <w:rsid w:val="007E3113"/>
    <w:rsid w:val="007E3382"/>
    <w:rsid w:val="007E3410"/>
    <w:rsid w:val="007E366D"/>
    <w:rsid w:val="007E3727"/>
    <w:rsid w:val="007E393D"/>
    <w:rsid w:val="007E3AC2"/>
    <w:rsid w:val="007E3B0A"/>
    <w:rsid w:val="007E3DC0"/>
    <w:rsid w:val="007E42AD"/>
    <w:rsid w:val="007E4384"/>
    <w:rsid w:val="007E4E6F"/>
    <w:rsid w:val="007E4F86"/>
    <w:rsid w:val="007E52CC"/>
    <w:rsid w:val="007E5390"/>
    <w:rsid w:val="007E564B"/>
    <w:rsid w:val="007E5A2A"/>
    <w:rsid w:val="007E5BA8"/>
    <w:rsid w:val="007E5CD7"/>
    <w:rsid w:val="007E5D88"/>
    <w:rsid w:val="007E61B3"/>
    <w:rsid w:val="007E63D7"/>
    <w:rsid w:val="007E6448"/>
    <w:rsid w:val="007E647F"/>
    <w:rsid w:val="007E6797"/>
    <w:rsid w:val="007E69CC"/>
    <w:rsid w:val="007E701D"/>
    <w:rsid w:val="007E715F"/>
    <w:rsid w:val="007E71AB"/>
    <w:rsid w:val="007E71C7"/>
    <w:rsid w:val="007E72C0"/>
    <w:rsid w:val="007E7A60"/>
    <w:rsid w:val="007E7BE6"/>
    <w:rsid w:val="007E7D79"/>
    <w:rsid w:val="007F01B5"/>
    <w:rsid w:val="007F05C9"/>
    <w:rsid w:val="007F065C"/>
    <w:rsid w:val="007F0712"/>
    <w:rsid w:val="007F09F7"/>
    <w:rsid w:val="007F0CED"/>
    <w:rsid w:val="007F0F49"/>
    <w:rsid w:val="007F1017"/>
    <w:rsid w:val="007F1168"/>
    <w:rsid w:val="007F1302"/>
    <w:rsid w:val="007F2104"/>
    <w:rsid w:val="007F215B"/>
    <w:rsid w:val="007F223D"/>
    <w:rsid w:val="007F238F"/>
    <w:rsid w:val="007F2452"/>
    <w:rsid w:val="007F26A2"/>
    <w:rsid w:val="007F279D"/>
    <w:rsid w:val="007F2A68"/>
    <w:rsid w:val="007F2C6C"/>
    <w:rsid w:val="007F2D59"/>
    <w:rsid w:val="007F2EBF"/>
    <w:rsid w:val="007F3141"/>
    <w:rsid w:val="007F358B"/>
    <w:rsid w:val="007F3602"/>
    <w:rsid w:val="007F3617"/>
    <w:rsid w:val="007F37E3"/>
    <w:rsid w:val="007F381A"/>
    <w:rsid w:val="007F3829"/>
    <w:rsid w:val="007F3E22"/>
    <w:rsid w:val="007F40D3"/>
    <w:rsid w:val="007F469D"/>
    <w:rsid w:val="007F471C"/>
    <w:rsid w:val="007F4977"/>
    <w:rsid w:val="007F4A3F"/>
    <w:rsid w:val="007F4A61"/>
    <w:rsid w:val="007F4D6E"/>
    <w:rsid w:val="007F4D86"/>
    <w:rsid w:val="007F5255"/>
    <w:rsid w:val="007F56CC"/>
    <w:rsid w:val="007F5ADD"/>
    <w:rsid w:val="007F61C2"/>
    <w:rsid w:val="007F64EF"/>
    <w:rsid w:val="007F6602"/>
    <w:rsid w:val="007F6662"/>
    <w:rsid w:val="007F6B84"/>
    <w:rsid w:val="007F6BFA"/>
    <w:rsid w:val="007F6C56"/>
    <w:rsid w:val="007F7224"/>
    <w:rsid w:val="007F74DE"/>
    <w:rsid w:val="007F76A4"/>
    <w:rsid w:val="007F7803"/>
    <w:rsid w:val="007F79A4"/>
    <w:rsid w:val="007F7B14"/>
    <w:rsid w:val="007F7C9B"/>
    <w:rsid w:val="008003DC"/>
    <w:rsid w:val="00800468"/>
    <w:rsid w:val="008005C0"/>
    <w:rsid w:val="00800A54"/>
    <w:rsid w:val="00800F24"/>
    <w:rsid w:val="00801194"/>
    <w:rsid w:val="00801449"/>
    <w:rsid w:val="00801515"/>
    <w:rsid w:val="00801745"/>
    <w:rsid w:val="00801A88"/>
    <w:rsid w:val="00801C29"/>
    <w:rsid w:val="0080211E"/>
    <w:rsid w:val="0080229B"/>
    <w:rsid w:val="00802375"/>
    <w:rsid w:val="008028A4"/>
    <w:rsid w:val="00802A93"/>
    <w:rsid w:val="00803090"/>
    <w:rsid w:val="00803269"/>
    <w:rsid w:val="00803D1D"/>
    <w:rsid w:val="00803D2F"/>
    <w:rsid w:val="00803D88"/>
    <w:rsid w:val="00804258"/>
    <w:rsid w:val="00804367"/>
    <w:rsid w:val="00804443"/>
    <w:rsid w:val="00805087"/>
    <w:rsid w:val="00805142"/>
    <w:rsid w:val="00805340"/>
    <w:rsid w:val="008054A5"/>
    <w:rsid w:val="0080566B"/>
    <w:rsid w:val="0080568B"/>
    <w:rsid w:val="00805784"/>
    <w:rsid w:val="008059A1"/>
    <w:rsid w:val="00805D6D"/>
    <w:rsid w:val="00805FCE"/>
    <w:rsid w:val="0080623D"/>
    <w:rsid w:val="00806816"/>
    <w:rsid w:val="0080696B"/>
    <w:rsid w:val="00806D3A"/>
    <w:rsid w:val="00807297"/>
    <w:rsid w:val="00807432"/>
    <w:rsid w:val="008077A7"/>
    <w:rsid w:val="00807A8B"/>
    <w:rsid w:val="00807B1F"/>
    <w:rsid w:val="008109D6"/>
    <w:rsid w:val="00810A6C"/>
    <w:rsid w:val="00810E10"/>
    <w:rsid w:val="00811291"/>
    <w:rsid w:val="00811368"/>
    <w:rsid w:val="00811383"/>
    <w:rsid w:val="008115F8"/>
    <w:rsid w:val="00811931"/>
    <w:rsid w:val="00811D67"/>
    <w:rsid w:val="00811FA1"/>
    <w:rsid w:val="00812149"/>
    <w:rsid w:val="0081270E"/>
    <w:rsid w:val="00812C30"/>
    <w:rsid w:val="00812CAC"/>
    <w:rsid w:val="00812DD2"/>
    <w:rsid w:val="00813367"/>
    <w:rsid w:val="00813B46"/>
    <w:rsid w:val="00813BE1"/>
    <w:rsid w:val="008145BC"/>
    <w:rsid w:val="008146A2"/>
    <w:rsid w:val="00814C26"/>
    <w:rsid w:val="00814EE4"/>
    <w:rsid w:val="00814FA7"/>
    <w:rsid w:val="008152CA"/>
    <w:rsid w:val="0081558A"/>
    <w:rsid w:val="00815A01"/>
    <w:rsid w:val="00815E31"/>
    <w:rsid w:val="0081601B"/>
    <w:rsid w:val="00816361"/>
    <w:rsid w:val="00816480"/>
    <w:rsid w:val="008166EF"/>
    <w:rsid w:val="00816D73"/>
    <w:rsid w:val="00816D74"/>
    <w:rsid w:val="00816FAD"/>
    <w:rsid w:val="00816FEF"/>
    <w:rsid w:val="00817236"/>
    <w:rsid w:val="008172C7"/>
    <w:rsid w:val="0081731C"/>
    <w:rsid w:val="00817934"/>
    <w:rsid w:val="008179C7"/>
    <w:rsid w:val="00817AEF"/>
    <w:rsid w:val="00817CFC"/>
    <w:rsid w:val="00820773"/>
    <w:rsid w:val="00820908"/>
    <w:rsid w:val="00820A8C"/>
    <w:rsid w:val="00820B07"/>
    <w:rsid w:val="00821142"/>
    <w:rsid w:val="008215FB"/>
    <w:rsid w:val="008218A5"/>
    <w:rsid w:val="008220C0"/>
    <w:rsid w:val="008220CC"/>
    <w:rsid w:val="008223AE"/>
    <w:rsid w:val="008223BD"/>
    <w:rsid w:val="00822FBE"/>
    <w:rsid w:val="00823174"/>
    <w:rsid w:val="0082322B"/>
    <w:rsid w:val="00823374"/>
    <w:rsid w:val="0082354B"/>
    <w:rsid w:val="00823AD4"/>
    <w:rsid w:val="00823AE1"/>
    <w:rsid w:val="00823D00"/>
    <w:rsid w:val="008240E2"/>
    <w:rsid w:val="0082415D"/>
    <w:rsid w:val="008242E2"/>
    <w:rsid w:val="00824839"/>
    <w:rsid w:val="00824B96"/>
    <w:rsid w:val="00824EA6"/>
    <w:rsid w:val="00824EED"/>
    <w:rsid w:val="0082515B"/>
    <w:rsid w:val="00825263"/>
    <w:rsid w:val="0082546D"/>
    <w:rsid w:val="00825751"/>
    <w:rsid w:val="00825E10"/>
    <w:rsid w:val="00826372"/>
    <w:rsid w:val="008264EB"/>
    <w:rsid w:val="00826529"/>
    <w:rsid w:val="00826541"/>
    <w:rsid w:val="00826898"/>
    <w:rsid w:val="008268CE"/>
    <w:rsid w:val="00826B5A"/>
    <w:rsid w:val="00827109"/>
    <w:rsid w:val="008271F8"/>
    <w:rsid w:val="00827807"/>
    <w:rsid w:val="00827C23"/>
    <w:rsid w:val="00827DE5"/>
    <w:rsid w:val="0083000B"/>
    <w:rsid w:val="008300D5"/>
    <w:rsid w:val="00830C7D"/>
    <w:rsid w:val="00831203"/>
    <w:rsid w:val="00831312"/>
    <w:rsid w:val="00831512"/>
    <w:rsid w:val="00831716"/>
    <w:rsid w:val="0083193C"/>
    <w:rsid w:val="008319BC"/>
    <w:rsid w:val="00831A5A"/>
    <w:rsid w:val="00831F64"/>
    <w:rsid w:val="00831FF5"/>
    <w:rsid w:val="008324DB"/>
    <w:rsid w:val="008327BF"/>
    <w:rsid w:val="00832942"/>
    <w:rsid w:val="00833113"/>
    <w:rsid w:val="008332FE"/>
    <w:rsid w:val="008334BD"/>
    <w:rsid w:val="008337D5"/>
    <w:rsid w:val="00833B05"/>
    <w:rsid w:val="00833E34"/>
    <w:rsid w:val="00834861"/>
    <w:rsid w:val="0083488F"/>
    <w:rsid w:val="00834B9B"/>
    <w:rsid w:val="00834EC2"/>
    <w:rsid w:val="00835C68"/>
    <w:rsid w:val="00835E04"/>
    <w:rsid w:val="008362B4"/>
    <w:rsid w:val="008362E6"/>
    <w:rsid w:val="008363F3"/>
    <w:rsid w:val="00836AD3"/>
    <w:rsid w:val="008370F4"/>
    <w:rsid w:val="0083754A"/>
    <w:rsid w:val="0083758B"/>
    <w:rsid w:val="00837593"/>
    <w:rsid w:val="008375ED"/>
    <w:rsid w:val="00837631"/>
    <w:rsid w:val="008379B1"/>
    <w:rsid w:val="008400F2"/>
    <w:rsid w:val="00840539"/>
    <w:rsid w:val="008405D3"/>
    <w:rsid w:val="00840694"/>
    <w:rsid w:val="0084076A"/>
    <w:rsid w:val="00840936"/>
    <w:rsid w:val="00840CA2"/>
    <w:rsid w:val="00840CC2"/>
    <w:rsid w:val="008415B1"/>
    <w:rsid w:val="00841B8C"/>
    <w:rsid w:val="00841DDE"/>
    <w:rsid w:val="00841EAD"/>
    <w:rsid w:val="00842178"/>
    <w:rsid w:val="00842583"/>
    <w:rsid w:val="0084283A"/>
    <w:rsid w:val="00842C3F"/>
    <w:rsid w:val="00843725"/>
    <w:rsid w:val="0084374F"/>
    <w:rsid w:val="0084387F"/>
    <w:rsid w:val="00843EBD"/>
    <w:rsid w:val="00844307"/>
    <w:rsid w:val="008444F0"/>
    <w:rsid w:val="008447C2"/>
    <w:rsid w:val="00844A22"/>
    <w:rsid w:val="00844E48"/>
    <w:rsid w:val="00845229"/>
    <w:rsid w:val="00845506"/>
    <w:rsid w:val="00845DBF"/>
    <w:rsid w:val="00846C1A"/>
    <w:rsid w:val="00846E75"/>
    <w:rsid w:val="0084710C"/>
    <w:rsid w:val="0084741A"/>
    <w:rsid w:val="0084758B"/>
    <w:rsid w:val="00847703"/>
    <w:rsid w:val="00847AE1"/>
    <w:rsid w:val="00847D37"/>
    <w:rsid w:val="00847DF5"/>
    <w:rsid w:val="00847E90"/>
    <w:rsid w:val="00850115"/>
    <w:rsid w:val="00850D82"/>
    <w:rsid w:val="008510A9"/>
    <w:rsid w:val="00851436"/>
    <w:rsid w:val="008515F4"/>
    <w:rsid w:val="0085164A"/>
    <w:rsid w:val="00851BAB"/>
    <w:rsid w:val="00851CDF"/>
    <w:rsid w:val="00851DCD"/>
    <w:rsid w:val="00852C19"/>
    <w:rsid w:val="00852C37"/>
    <w:rsid w:val="00852CB9"/>
    <w:rsid w:val="0085309D"/>
    <w:rsid w:val="00853675"/>
    <w:rsid w:val="00853AC1"/>
    <w:rsid w:val="00853C5E"/>
    <w:rsid w:val="00853D36"/>
    <w:rsid w:val="00854148"/>
    <w:rsid w:val="00854546"/>
    <w:rsid w:val="008548FB"/>
    <w:rsid w:val="0085522F"/>
    <w:rsid w:val="00855460"/>
    <w:rsid w:val="008555AE"/>
    <w:rsid w:val="0085563D"/>
    <w:rsid w:val="00855837"/>
    <w:rsid w:val="00855A96"/>
    <w:rsid w:val="008560EA"/>
    <w:rsid w:val="008560F4"/>
    <w:rsid w:val="0085612B"/>
    <w:rsid w:val="00856897"/>
    <w:rsid w:val="00856E9A"/>
    <w:rsid w:val="008570A9"/>
    <w:rsid w:val="0085760E"/>
    <w:rsid w:val="00857838"/>
    <w:rsid w:val="00857CCD"/>
    <w:rsid w:val="00860654"/>
    <w:rsid w:val="0086075D"/>
    <w:rsid w:val="00860ACA"/>
    <w:rsid w:val="00860C5A"/>
    <w:rsid w:val="00860DFB"/>
    <w:rsid w:val="0086128F"/>
    <w:rsid w:val="008616DC"/>
    <w:rsid w:val="00861F97"/>
    <w:rsid w:val="008624A1"/>
    <w:rsid w:val="00862502"/>
    <w:rsid w:val="008628A3"/>
    <w:rsid w:val="00862ADC"/>
    <w:rsid w:val="00862CC1"/>
    <w:rsid w:val="008634C3"/>
    <w:rsid w:val="008634E1"/>
    <w:rsid w:val="00863A1E"/>
    <w:rsid w:val="00863C06"/>
    <w:rsid w:val="00863FB1"/>
    <w:rsid w:val="00863FD0"/>
    <w:rsid w:val="008642A7"/>
    <w:rsid w:val="00864781"/>
    <w:rsid w:val="00864881"/>
    <w:rsid w:val="00864F2C"/>
    <w:rsid w:val="00864FB7"/>
    <w:rsid w:val="00865073"/>
    <w:rsid w:val="008657CB"/>
    <w:rsid w:val="00865A90"/>
    <w:rsid w:val="00865E4D"/>
    <w:rsid w:val="008660D4"/>
    <w:rsid w:val="00866535"/>
    <w:rsid w:val="00866564"/>
    <w:rsid w:val="00866576"/>
    <w:rsid w:val="00866B13"/>
    <w:rsid w:val="00866DAF"/>
    <w:rsid w:val="00866FA5"/>
    <w:rsid w:val="008670F0"/>
    <w:rsid w:val="00867168"/>
    <w:rsid w:val="00867363"/>
    <w:rsid w:val="008675F5"/>
    <w:rsid w:val="00867F05"/>
    <w:rsid w:val="00867F6E"/>
    <w:rsid w:val="00870008"/>
    <w:rsid w:val="00870649"/>
    <w:rsid w:val="0087083B"/>
    <w:rsid w:val="00870B44"/>
    <w:rsid w:val="00870B55"/>
    <w:rsid w:val="00870D60"/>
    <w:rsid w:val="00870E57"/>
    <w:rsid w:val="008715C0"/>
    <w:rsid w:val="008718A6"/>
    <w:rsid w:val="008718E1"/>
    <w:rsid w:val="00871CDC"/>
    <w:rsid w:val="00871D89"/>
    <w:rsid w:val="00871F49"/>
    <w:rsid w:val="00871FA9"/>
    <w:rsid w:val="00872022"/>
    <w:rsid w:val="008728E9"/>
    <w:rsid w:val="00872A61"/>
    <w:rsid w:val="00872CF5"/>
    <w:rsid w:val="00872E65"/>
    <w:rsid w:val="00873410"/>
    <w:rsid w:val="00873453"/>
    <w:rsid w:val="0087358D"/>
    <w:rsid w:val="008735A6"/>
    <w:rsid w:val="0087396B"/>
    <w:rsid w:val="008739FD"/>
    <w:rsid w:val="00873EBF"/>
    <w:rsid w:val="00873EF6"/>
    <w:rsid w:val="00875082"/>
    <w:rsid w:val="008759F6"/>
    <w:rsid w:val="00875B53"/>
    <w:rsid w:val="00875B78"/>
    <w:rsid w:val="00876DAD"/>
    <w:rsid w:val="008773E9"/>
    <w:rsid w:val="00877D31"/>
    <w:rsid w:val="008807B5"/>
    <w:rsid w:val="00880882"/>
    <w:rsid w:val="008809E8"/>
    <w:rsid w:val="00880C06"/>
    <w:rsid w:val="00880C2E"/>
    <w:rsid w:val="00880DC7"/>
    <w:rsid w:val="008810D3"/>
    <w:rsid w:val="00881161"/>
    <w:rsid w:val="008813B1"/>
    <w:rsid w:val="008817FA"/>
    <w:rsid w:val="00881993"/>
    <w:rsid w:val="00881C4D"/>
    <w:rsid w:val="00881EE5"/>
    <w:rsid w:val="008823DD"/>
    <w:rsid w:val="00882874"/>
    <w:rsid w:val="008828EE"/>
    <w:rsid w:val="00882C3A"/>
    <w:rsid w:val="00882E3C"/>
    <w:rsid w:val="00883074"/>
    <w:rsid w:val="0088308A"/>
    <w:rsid w:val="008834F8"/>
    <w:rsid w:val="008836E9"/>
    <w:rsid w:val="00883787"/>
    <w:rsid w:val="00883DC4"/>
    <w:rsid w:val="00884101"/>
    <w:rsid w:val="008843DD"/>
    <w:rsid w:val="00884574"/>
    <w:rsid w:val="008848AF"/>
    <w:rsid w:val="00884B3C"/>
    <w:rsid w:val="00884EF2"/>
    <w:rsid w:val="00884F21"/>
    <w:rsid w:val="0088539F"/>
    <w:rsid w:val="008855E4"/>
    <w:rsid w:val="008861DD"/>
    <w:rsid w:val="008865AD"/>
    <w:rsid w:val="00886B33"/>
    <w:rsid w:val="00886CD2"/>
    <w:rsid w:val="008875B3"/>
    <w:rsid w:val="00890B92"/>
    <w:rsid w:val="00890BEE"/>
    <w:rsid w:val="00890D24"/>
    <w:rsid w:val="008912F8"/>
    <w:rsid w:val="0089167C"/>
    <w:rsid w:val="00891C3C"/>
    <w:rsid w:val="00891CB9"/>
    <w:rsid w:val="00891E6F"/>
    <w:rsid w:val="0089219F"/>
    <w:rsid w:val="0089223A"/>
    <w:rsid w:val="00892441"/>
    <w:rsid w:val="0089267E"/>
    <w:rsid w:val="0089275D"/>
    <w:rsid w:val="00892779"/>
    <w:rsid w:val="00892940"/>
    <w:rsid w:val="00892A36"/>
    <w:rsid w:val="00892CBC"/>
    <w:rsid w:val="008931D0"/>
    <w:rsid w:val="00893239"/>
    <w:rsid w:val="00893CCF"/>
    <w:rsid w:val="00893E1C"/>
    <w:rsid w:val="00893E89"/>
    <w:rsid w:val="00893FFA"/>
    <w:rsid w:val="0089420E"/>
    <w:rsid w:val="00894489"/>
    <w:rsid w:val="0089465E"/>
    <w:rsid w:val="00894B0F"/>
    <w:rsid w:val="00894CD6"/>
    <w:rsid w:val="00894CE8"/>
    <w:rsid w:val="00894D61"/>
    <w:rsid w:val="00894DA8"/>
    <w:rsid w:val="00895264"/>
    <w:rsid w:val="0089561C"/>
    <w:rsid w:val="00895629"/>
    <w:rsid w:val="00895A6B"/>
    <w:rsid w:val="00895C91"/>
    <w:rsid w:val="00895CCC"/>
    <w:rsid w:val="00895D90"/>
    <w:rsid w:val="008963A5"/>
    <w:rsid w:val="008963B2"/>
    <w:rsid w:val="008966C6"/>
    <w:rsid w:val="00896906"/>
    <w:rsid w:val="00896D5D"/>
    <w:rsid w:val="00896E40"/>
    <w:rsid w:val="00896FA0"/>
    <w:rsid w:val="008975CB"/>
    <w:rsid w:val="00897993"/>
    <w:rsid w:val="00897BA5"/>
    <w:rsid w:val="008A04A4"/>
    <w:rsid w:val="008A0BFA"/>
    <w:rsid w:val="008A0F8A"/>
    <w:rsid w:val="008A110F"/>
    <w:rsid w:val="008A1412"/>
    <w:rsid w:val="008A20EF"/>
    <w:rsid w:val="008A22CF"/>
    <w:rsid w:val="008A276B"/>
    <w:rsid w:val="008A2C39"/>
    <w:rsid w:val="008A3158"/>
    <w:rsid w:val="008A3239"/>
    <w:rsid w:val="008A3363"/>
    <w:rsid w:val="008A3371"/>
    <w:rsid w:val="008A33E9"/>
    <w:rsid w:val="008A3425"/>
    <w:rsid w:val="008A34C7"/>
    <w:rsid w:val="008A34ED"/>
    <w:rsid w:val="008A3C3E"/>
    <w:rsid w:val="008A43E0"/>
    <w:rsid w:val="008A44CD"/>
    <w:rsid w:val="008A458A"/>
    <w:rsid w:val="008A464B"/>
    <w:rsid w:val="008A4DD4"/>
    <w:rsid w:val="008A4FFF"/>
    <w:rsid w:val="008A532E"/>
    <w:rsid w:val="008A5434"/>
    <w:rsid w:val="008A5979"/>
    <w:rsid w:val="008A5AE4"/>
    <w:rsid w:val="008A5C02"/>
    <w:rsid w:val="008A5C32"/>
    <w:rsid w:val="008A5E2A"/>
    <w:rsid w:val="008A63F5"/>
    <w:rsid w:val="008A6655"/>
    <w:rsid w:val="008A68B9"/>
    <w:rsid w:val="008A6910"/>
    <w:rsid w:val="008A77A1"/>
    <w:rsid w:val="008A7879"/>
    <w:rsid w:val="008A78BA"/>
    <w:rsid w:val="008A78FF"/>
    <w:rsid w:val="008A79DE"/>
    <w:rsid w:val="008A7A81"/>
    <w:rsid w:val="008A7C4E"/>
    <w:rsid w:val="008A7CBA"/>
    <w:rsid w:val="008B0059"/>
    <w:rsid w:val="008B05B9"/>
    <w:rsid w:val="008B062F"/>
    <w:rsid w:val="008B08E6"/>
    <w:rsid w:val="008B1124"/>
    <w:rsid w:val="008B12BA"/>
    <w:rsid w:val="008B12F7"/>
    <w:rsid w:val="008B143C"/>
    <w:rsid w:val="008B1757"/>
    <w:rsid w:val="008B1C33"/>
    <w:rsid w:val="008B20CC"/>
    <w:rsid w:val="008B21D2"/>
    <w:rsid w:val="008B2386"/>
    <w:rsid w:val="008B2819"/>
    <w:rsid w:val="008B2869"/>
    <w:rsid w:val="008B2BF5"/>
    <w:rsid w:val="008B2CDD"/>
    <w:rsid w:val="008B2D33"/>
    <w:rsid w:val="008B38DC"/>
    <w:rsid w:val="008B3EC4"/>
    <w:rsid w:val="008B3F6C"/>
    <w:rsid w:val="008B3FF9"/>
    <w:rsid w:val="008B40BC"/>
    <w:rsid w:val="008B41F1"/>
    <w:rsid w:val="008B4432"/>
    <w:rsid w:val="008B4564"/>
    <w:rsid w:val="008B49F0"/>
    <w:rsid w:val="008B4B6E"/>
    <w:rsid w:val="008B4B6F"/>
    <w:rsid w:val="008B4D45"/>
    <w:rsid w:val="008B4D64"/>
    <w:rsid w:val="008B4EFF"/>
    <w:rsid w:val="008B50CC"/>
    <w:rsid w:val="008B51D7"/>
    <w:rsid w:val="008B52DF"/>
    <w:rsid w:val="008B56A3"/>
    <w:rsid w:val="008B5A3B"/>
    <w:rsid w:val="008B5CA4"/>
    <w:rsid w:val="008B5E01"/>
    <w:rsid w:val="008B6192"/>
    <w:rsid w:val="008B6224"/>
    <w:rsid w:val="008B669C"/>
    <w:rsid w:val="008B6890"/>
    <w:rsid w:val="008B6BF0"/>
    <w:rsid w:val="008B6D85"/>
    <w:rsid w:val="008B7310"/>
    <w:rsid w:val="008B7398"/>
    <w:rsid w:val="008B7552"/>
    <w:rsid w:val="008B7708"/>
    <w:rsid w:val="008B7992"/>
    <w:rsid w:val="008B7C84"/>
    <w:rsid w:val="008B7D7E"/>
    <w:rsid w:val="008B7DD2"/>
    <w:rsid w:val="008C00BC"/>
    <w:rsid w:val="008C05E6"/>
    <w:rsid w:val="008C06C1"/>
    <w:rsid w:val="008C0AF8"/>
    <w:rsid w:val="008C0F95"/>
    <w:rsid w:val="008C152E"/>
    <w:rsid w:val="008C1896"/>
    <w:rsid w:val="008C18A3"/>
    <w:rsid w:val="008C1B6A"/>
    <w:rsid w:val="008C2531"/>
    <w:rsid w:val="008C2A95"/>
    <w:rsid w:val="008C2C82"/>
    <w:rsid w:val="008C2C91"/>
    <w:rsid w:val="008C3010"/>
    <w:rsid w:val="008C30F8"/>
    <w:rsid w:val="008C365D"/>
    <w:rsid w:val="008C3E30"/>
    <w:rsid w:val="008C426C"/>
    <w:rsid w:val="008C473D"/>
    <w:rsid w:val="008C4A16"/>
    <w:rsid w:val="008C4C8D"/>
    <w:rsid w:val="008C4CDA"/>
    <w:rsid w:val="008C55ED"/>
    <w:rsid w:val="008C5610"/>
    <w:rsid w:val="008C5739"/>
    <w:rsid w:val="008C5C9A"/>
    <w:rsid w:val="008C5E44"/>
    <w:rsid w:val="008C605B"/>
    <w:rsid w:val="008C65FF"/>
    <w:rsid w:val="008C6A7C"/>
    <w:rsid w:val="008C7282"/>
    <w:rsid w:val="008C779E"/>
    <w:rsid w:val="008C7CFA"/>
    <w:rsid w:val="008C7ECB"/>
    <w:rsid w:val="008D02D0"/>
    <w:rsid w:val="008D0377"/>
    <w:rsid w:val="008D070F"/>
    <w:rsid w:val="008D0A98"/>
    <w:rsid w:val="008D126B"/>
    <w:rsid w:val="008D12A4"/>
    <w:rsid w:val="008D1AD8"/>
    <w:rsid w:val="008D1B14"/>
    <w:rsid w:val="008D212B"/>
    <w:rsid w:val="008D216C"/>
    <w:rsid w:val="008D228A"/>
    <w:rsid w:val="008D24E7"/>
    <w:rsid w:val="008D25CA"/>
    <w:rsid w:val="008D26C3"/>
    <w:rsid w:val="008D29C3"/>
    <w:rsid w:val="008D2B06"/>
    <w:rsid w:val="008D2B8B"/>
    <w:rsid w:val="008D317E"/>
    <w:rsid w:val="008D333D"/>
    <w:rsid w:val="008D337D"/>
    <w:rsid w:val="008D3B86"/>
    <w:rsid w:val="008D3C3E"/>
    <w:rsid w:val="008D423C"/>
    <w:rsid w:val="008D43FD"/>
    <w:rsid w:val="008D4468"/>
    <w:rsid w:val="008D45EA"/>
    <w:rsid w:val="008D4755"/>
    <w:rsid w:val="008D47B7"/>
    <w:rsid w:val="008D4BDF"/>
    <w:rsid w:val="008D4C3D"/>
    <w:rsid w:val="008D4E8D"/>
    <w:rsid w:val="008D4EB0"/>
    <w:rsid w:val="008D5037"/>
    <w:rsid w:val="008D50E3"/>
    <w:rsid w:val="008D5B9D"/>
    <w:rsid w:val="008D5E37"/>
    <w:rsid w:val="008D616E"/>
    <w:rsid w:val="008D6297"/>
    <w:rsid w:val="008D62B6"/>
    <w:rsid w:val="008D6470"/>
    <w:rsid w:val="008D65AF"/>
    <w:rsid w:val="008D67E2"/>
    <w:rsid w:val="008D6908"/>
    <w:rsid w:val="008D72C2"/>
    <w:rsid w:val="008D7347"/>
    <w:rsid w:val="008D743C"/>
    <w:rsid w:val="008D7498"/>
    <w:rsid w:val="008D7B29"/>
    <w:rsid w:val="008D7D41"/>
    <w:rsid w:val="008E032E"/>
    <w:rsid w:val="008E0566"/>
    <w:rsid w:val="008E063F"/>
    <w:rsid w:val="008E0D3C"/>
    <w:rsid w:val="008E11FB"/>
    <w:rsid w:val="008E123C"/>
    <w:rsid w:val="008E14C8"/>
    <w:rsid w:val="008E19D2"/>
    <w:rsid w:val="008E1B9E"/>
    <w:rsid w:val="008E2846"/>
    <w:rsid w:val="008E2F9B"/>
    <w:rsid w:val="008E2FDD"/>
    <w:rsid w:val="008E309A"/>
    <w:rsid w:val="008E3394"/>
    <w:rsid w:val="008E3F45"/>
    <w:rsid w:val="008E4125"/>
    <w:rsid w:val="008E436B"/>
    <w:rsid w:val="008E445B"/>
    <w:rsid w:val="008E5224"/>
    <w:rsid w:val="008E537D"/>
    <w:rsid w:val="008E55AB"/>
    <w:rsid w:val="008E56B8"/>
    <w:rsid w:val="008E66C5"/>
    <w:rsid w:val="008E6C06"/>
    <w:rsid w:val="008E6E52"/>
    <w:rsid w:val="008E7273"/>
    <w:rsid w:val="008E74EA"/>
    <w:rsid w:val="008E7827"/>
    <w:rsid w:val="008F0402"/>
    <w:rsid w:val="008F08EC"/>
    <w:rsid w:val="008F0B55"/>
    <w:rsid w:val="008F0E5B"/>
    <w:rsid w:val="008F0EA6"/>
    <w:rsid w:val="008F120A"/>
    <w:rsid w:val="008F15E6"/>
    <w:rsid w:val="008F1746"/>
    <w:rsid w:val="008F1996"/>
    <w:rsid w:val="008F1ACF"/>
    <w:rsid w:val="008F1B47"/>
    <w:rsid w:val="008F1C68"/>
    <w:rsid w:val="008F1F7C"/>
    <w:rsid w:val="008F22F2"/>
    <w:rsid w:val="008F27E0"/>
    <w:rsid w:val="008F2ED1"/>
    <w:rsid w:val="008F3084"/>
    <w:rsid w:val="008F38ED"/>
    <w:rsid w:val="008F3BF4"/>
    <w:rsid w:val="008F405C"/>
    <w:rsid w:val="008F41CB"/>
    <w:rsid w:val="008F426B"/>
    <w:rsid w:val="008F44FD"/>
    <w:rsid w:val="008F47E2"/>
    <w:rsid w:val="008F48EB"/>
    <w:rsid w:val="008F4B7C"/>
    <w:rsid w:val="008F4DF2"/>
    <w:rsid w:val="008F4F0B"/>
    <w:rsid w:val="008F5017"/>
    <w:rsid w:val="008F5102"/>
    <w:rsid w:val="008F5557"/>
    <w:rsid w:val="008F56D2"/>
    <w:rsid w:val="008F58BA"/>
    <w:rsid w:val="008F5BEB"/>
    <w:rsid w:val="008F6150"/>
    <w:rsid w:val="008F633B"/>
    <w:rsid w:val="008F6C9C"/>
    <w:rsid w:val="008F79F6"/>
    <w:rsid w:val="00900111"/>
    <w:rsid w:val="00900432"/>
    <w:rsid w:val="009007AF"/>
    <w:rsid w:val="00900941"/>
    <w:rsid w:val="00900FEE"/>
    <w:rsid w:val="00901001"/>
    <w:rsid w:val="009010CA"/>
    <w:rsid w:val="0090123F"/>
    <w:rsid w:val="00901538"/>
    <w:rsid w:val="009018E3"/>
    <w:rsid w:val="009021D3"/>
    <w:rsid w:val="0090230E"/>
    <w:rsid w:val="009028FB"/>
    <w:rsid w:val="0090320F"/>
    <w:rsid w:val="009032CF"/>
    <w:rsid w:val="009038CF"/>
    <w:rsid w:val="00903DBC"/>
    <w:rsid w:val="00904187"/>
    <w:rsid w:val="009042B1"/>
    <w:rsid w:val="0090455C"/>
    <w:rsid w:val="009046C4"/>
    <w:rsid w:val="009048C0"/>
    <w:rsid w:val="00904EE3"/>
    <w:rsid w:val="00905A67"/>
    <w:rsid w:val="00905B0E"/>
    <w:rsid w:val="00905E39"/>
    <w:rsid w:val="009060BB"/>
    <w:rsid w:val="009062A5"/>
    <w:rsid w:val="00906521"/>
    <w:rsid w:val="00906B49"/>
    <w:rsid w:val="00906C21"/>
    <w:rsid w:val="009075A9"/>
    <w:rsid w:val="009075D3"/>
    <w:rsid w:val="00907699"/>
    <w:rsid w:val="00907A06"/>
    <w:rsid w:val="00907B9D"/>
    <w:rsid w:val="00907CDD"/>
    <w:rsid w:val="00907FC6"/>
    <w:rsid w:val="009108ED"/>
    <w:rsid w:val="00910BFD"/>
    <w:rsid w:val="00910EB7"/>
    <w:rsid w:val="00910FA7"/>
    <w:rsid w:val="00911272"/>
    <w:rsid w:val="00911280"/>
    <w:rsid w:val="00911339"/>
    <w:rsid w:val="00911434"/>
    <w:rsid w:val="00911482"/>
    <w:rsid w:val="0091197F"/>
    <w:rsid w:val="00911B5F"/>
    <w:rsid w:val="00911C61"/>
    <w:rsid w:val="00911F09"/>
    <w:rsid w:val="009121EA"/>
    <w:rsid w:val="00912D88"/>
    <w:rsid w:val="00912FD7"/>
    <w:rsid w:val="0091347A"/>
    <w:rsid w:val="009134C8"/>
    <w:rsid w:val="009135D6"/>
    <w:rsid w:val="00913810"/>
    <w:rsid w:val="009139E4"/>
    <w:rsid w:val="00913A00"/>
    <w:rsid w:val="00913FC0"/>
    <w:rsid w:val="00914212"/>
    <w:rsid w:val="009143BA"/>
    <w:rsid w:val="009145CF"/>
    <w:rsid w:val="009149C0"/>
    <w:rsid w:val="00914B20"/>
    <w:rsid w:val="00914C77"/>
    <w:rsid w:val="00914CDF"/>
    <w:rsid w:val="0091518C"/>
    <w:rsid w:val="009151E0"/>
    <w:rsid w:val="00915245"/>
    <w:rsid w:val="00915571"/>
    <w:rsid w:val="009157D2"/>
    <w:rsid w:val="009159F0"/>
    <w:rsid w:val="00915CAF"/>
    <w:rsid w:val="00916121"/>
    <w:rsid w:val="009162BC"/>
    <w:rsid w:val="00916AE1"/>
    <w:rsid w:val="00916D71"/>
    <w:rsid w:val="00917246"/>
    <w:rsid w:val="00917571"/>
    <w:rsid w:val="00917993"/>
    <w:rsid w:val="00917AA9"/>
    <w:rsid w:val="00917B7A"/>
    <w:rsid w:val="009201AF"/>
    <w:rsid w:val="00920894"/>
    <w:rsid w:val="009209B6"/>
    <w:rsid w:val="00920A92"/>
    <w:rsid w:val="00920E2E"/>
    <w:rsid w:val="009211C8"/>
    <w:rsid w:val="00921355"/>
    <w:rsid w:val="0092149A"/>
    <w:rsid w:val="0092160B"/>
    <w:rsid w:val="009217D3"/>
    <w:rsid w:val="00921ACB"/>
    <w:rsid w:val="00921E37"/>
    <w:rsid w:val="0092213B"/>
    <w:rsid w:val="0092242E"/>
    <w:rsid w:val="00922B0A"/>
    <w:rsid w:val="00922EAC"/>
    <w:rsid w:val="009230C0"/>
    <w:rsid w:val="00923137"/>
    <w:rsid w:val="0092369B"/>
    <w:rsid w:val="00923B2B"/>
    <w:rsid w:val="00923E55"/>
    <w:rsid w:val="0092484E"/>
    <w:rsid w:val="00924A4B"/>
    <w:rsid w:val="00924AF0"/>
    <w:rsid w:val="00924FE2"/>
    <w:rsid w:val="0092559D"/>
    <w:rsid w:val="00925935"/>
    <w:rsid w:val="00925B7C"/>
    <w:rsid w:val="00925D2C"/>
    <w:rsid w:val="00925E8F"/>
    <w:rsid w:val="00925F61"/>
    <w:rsid w:val="009266E6"/>
    <w:rsid w:val="00926A12"/>
    <w:rsid w:val="00926B38"/>
    <w:rsid w:val="00926B84"/>
    <w:rsid w:val="00927304"/>
    <w:rsid w:val="009275F1"/>
    <w:rsid w:val="0092774F"/>
    <w:rsid w:val="00927ECF"/>
    <w:rsid w:val="00927F43"/>
    <w:rsid w:val="00927F8C"/>
    <w:rsid w:val="00930578"/>
    <w:rsid w:val="00930660"/>
    <w:rsid w:val="009309CC"/>
    <w:rsid w:val="009316EC"/>
    <w:rsid w:val="009319A4"/>
    <w:rsid w:val="00931EDF"/>
    <w:rsid w:val="00932166"/>
    <w:rsid w:val="009324B7"/>
    <w:rsid w:val="0093275F"/>
    <w:rsid w:val="009328F4"/>
    <w:rsid w:val="009329A5"/>
    <w:rsid w:val="00932C0A"/>
    <w:rsid w:val="00932CB4"/>
    <w:rsid w:val="00932D16"/>
    <w:rsid w:val="00932D71"/>
    <w:rsid w:val="00933244"/>
    <w:rsid w:val="00933BC8"/>
    <w:rsid w:val="00933F8B"/>
    <w:rsid w:val="009341DA"/>
    <w:rsid w:val="009345CD"/>
    <w:rsid w:val="00934988"/>
    <w:rsid w:val="00934A3D"/>
    <w:rsid w:val="00935261"/>
    <w:rsid w:val="00935295"/>
    <w:rsid w:val="00935BAF"/>
    <w:rsid w:val="00935D81"/>
    <w:rsid w:val="00935FBD"/>
    <w:rsid w:val="00936066"/>
    <w:rsid w:val="00936783"/>
    <w:rsid w:val="00936EC6"/>
    <w:rsid w:val="00936F68"/>
    <w:rsid w:val="00937089"/>
    <w:rsid w:val="009370D0"/>
    <w:rsid w:val="009370F5"/>
    <w:rsid w:val="00937408"/>
    <w:rsid w:val="00937ED6"/>
    <w:rsid w:val="00940103"/>
    <w:rsid w:val="009407DA"/>
    <w:rsid w:val="00941494"/>
    <w:rsid w:val="009417F8"/>
    <w:rsid w:val="00941C4D"/>
    <w:rsid w:val="00941C73"/>
    <w:rsid w:val="009423ED"/>
    <w:rsid w:val="0094240B"/>
    <w:rsid w:val="009428BE"/>
    <w:rsid w:val="00942D7C"/>
    <w:rsid w:val="00942D94"/>
    <w:rsid w:val="009430C0"/>
    <w:rsid w:val="00943F0D"/>
    <w:rsid w:val="0094423D"/>
    <w:rsid w:val="0094443C"/>
    <w:rsid w:val="00944680"/>
    <w:rsid w:val="00944A85"/>
    <w:rsid w:val="00944B78"/>
    <w:rsid w:val="00944CA4"/>
    <w:rsid w:val="00944CB5"/>
    <w:rsid w:val="00944EA0"/>
    <w:rsid w:val="00944F8A"/>
    <w:rsid w:val="00944FC5"/>
    <w:rsid w:val="009452C6"/>
    <w:rsid w:val="009453C4"/>
    <w:rsid w:val="0094547C"/>
    <w:rsid w:val="0094565E"/>
    <w:rsid w:val="0094582D"/>
    <w:rsid w:val="00945905"/>
    <w:rsid w:val="00945954"/>
    <w:rsid w:val="00945CD8"/>
    <w:rsid w:val="00945E6A"/>
    <w:rsid w:val="00945EB9"/>
    <w:rsid w:val="00946411"/>
    <w:rsid w:val="009464D8"/>
    <w:rsid w:val="00946600"/>
    <w:rsid w:val="00947584"/>
    <w:rsid w:val="00947EF8"/>
    <w:rsid w:val="00950113"/>
    <w:rsid w:val="0095066D"/>
    <w:rsid w:val="00950C58"/>
    <w:rsid w:val="00950E74"/>
    <w:rsid w:val="009510A2"/>
    <w:rsid w:val="00951279"/>
    <w:rsid w:val="00951297"/>
    <w:rsid w:val="0095146C"/>
    <w:rsid w:val="00951E92"/>
    <w:rsid w:val="00951F9F"/>
    <w:rsid w:val="009521F1"/>
    <w:rsid w:val="00952608"/>
    <w:rsid w:val="00952624"/>
    <w:rsid w:val="00952B42"/>
    <w:rsid w:val="00952FD8"/>
    <w:rsid w:val="00953257"/>
    <w:rsid w:val="00953620"/>
    <w:rsid w:val="00953A5D"/>
    <w:rsid w:val="00953BEB"/>
    <w:rsid w:val="00953C4A"/>
    <w:rsid w:val="00953D06"/>
    <w:rsid w:val="00953D32"/>
    <w:rsid w:val="00954502"/>
    <w:rsid w:val="00954724"/>
    <w:rsid w:val="0095474C"/>
    <w:rsid w:val="00954DB1"/>
    <w:rsid w:val="00955004"/>
    <w:rsid w:val="00955442"/>
    <w:rsid w:val="0095598E"/>
    <w:rsid w:val="00955DBA"/>
    <w:rsid w:val="00955DE2"/>
    <w:rsid w:val="0095606C"/>
    <w:rsid w:val="0095611E"/>
    <w:rsid w:val="009564A1"/>
    <w:rsid w:val="00956C8A"/>
    <w:rsid w:val="009570CD"/>
    <w:rsid w:val="009578AA"/>
    <w:rsid w:val="00957944"/>
    <w:rsid w:val="00957D92"/>
    <w:rsid w:val="0096030F"/>
    <w:rsid w:val="009604F4"/>
    <w:rsid w:val="0096078B"/>
    <w:rsid w:val="009607B9"/>
    <w:rsid w:val="00960A91"/>
    <w:rsid w:val="00960B86"/>
    <w:rsid w:val="00960C4B"/>
    <w:rsid w:val="00960ED1"/>
    <w:rsid w:val="00961399"/>
    <w:rsid w:val="0096167E"/>
    <w:rsid w:val="0096168A"/>
    <w:rsid w:val="00961A83"/>
    <w:rsid w:val="00961AF9"/>
    <w:rsid w:val="00961E78"/>
    <w:rsid w:val="00961ED5"/>
    <w:rsid w:val="00962020"/>
    <w:rsid w:val="0096225E"/>
    <w:rsid w:val="0096246D"/>
    <w:rsid w:val="009626B7"/>
    <w:rsid w:val="0096294C"/>
    <w:rsid w:val="00962A69"/>
    <w:rsid w:val="00962AA9"/>
    <w:rsid w:val="00962CB9"/>
    <w:rsid w:val="00962D9A"/>
    <w:rsid w:val="009631D5"/>
    <w:rsid w:val="009635BF"/>
    <w:rsid w:val="0096362B"/>
    <w:rsid w:val="00963B19"/>
    <w:rsid w:val="00963B8A"/>
    <w:rsid w:val="00963B98"/>
    <w:rsid w:val="00963E9C"/>
    <w:rsid w:val="00963EC7"/>
    <w:rsid w:val="00964312"/>
    <w:rsid w:val="0096453E"/>
    <w:rsid w:val="00964623"/>
    <w:rsid w:val="00964647"/>
    <w:rsid w:val="0096472C"/>
    <w:rsid w:val="00964A21"/>
    <w:rsid w:val="00964A2C"/>
    <w:rsid w:val="00964C71"/>
    <w:rsid w:val="00964DF6"/>
    <w:rsid w:val="00965057"/>
    <w:rsid w:val="009652E5"/>
    <w:rsid w:val="0096555B"/>
    <w:rsid w:val="00965846"/>
    <w:rsid w:val="009659EA"/>
    <w:rsid w:val="00965A51"/>
    <w:rsid w:val="00965B8A"/>
    <w:rsid w:val="00966501"/>
    <w:rsid w:val="00966502"/>
    <w:rsid w:val="00966581"/>
    <w:rsid w:val="0096670B"/>
    <w:rsid w:val="009667AF"/>
    <w:rsid w:val="0096713D"/>
    <w:rsid w:val="009671C8"/>
    <w:rsid w:val="00967FC7"/>
    <w:rsid w:val="0097013B"/>
    <w:rsid w:val="009702B7"/>
    <w:rsid w:val="0097071F"/>
    <w:rsid w:val="00970C35"/>
    <w:rsid w:val="00970DAE"/>
    <w:rsid w:val="009710B0"/>
    <w:rsid w:val="00971239"/>
    <w:rsid w:val="00971267"/>
    <w:rsid w:val="009713B7"/>
    <w:rsid w:val="009715D0"/>
    <w:rsid w:val="0097168E"/>
    <w:rsid w:val="009717AC"/>
    <w:rsid w:val="00972064"/>
    <w:rsid w:val="009728A1"/>
    <w:rsid w:val="00972D27"/>
    <w:rsid w:val="00973012"/>
    <w:rsid w:val="0097333E"/>
    <w:rsid w:val="0097339D"/>
    <w:rsid w:val="0097348A"/>
    <w:rsid w:val="00973966"/>
    <w:rsid w:val="009739BE"/>
    <w:rsid w:val="00973C7B"/>
    <w:rsid w:val="00973E8A"/>
    <w:rsid w:val="00974123"/>
    <w:rsid w:val="009741F7"/>
    <w:rsid w:val="009744B7"/>
    <w:rsid w:val="00974AFB"/>
    <w:rsid w:val="00974BE1"/>
    <w:rsid w:val="00974F03"/>
    <w:rsid w:val="009751C1"/>
    <w:rsid w:val="0097530F"/>
    <w:rsid w:val="00975727"/>
    <w:rsid w:val="00975E57"/>
    <w:rsid w:val="00975F75"/>
    <w:rsid w:val="0097614F"/>
    <w:rsid w:val="00976D84"/>
    <w:rsid w:val="00977157"/>
    <w:rsid w:val="00977204"/>
    <w:rsid w:val="0097785C"/>
    <w:rsid w:val="00977B69"/>
    <w:rsid w:val="00977BE8"/>
    <w:rsid w:val="00980426"/>
    <w:rsid w:val="009805DE"/>
    <w:rsid w:val="009806BE"/>
    <w:rsid w:val="00980807"/>
    <w:rsid w:val="0098092A"/>
    <w:rsid w:val="00981089"/>
    <w:rsid w:val="009811F1"/>
    <w:rsid w:val="0098141F"/>
    <w:rsid w:val="00981875"/>
    <w:rsid w:val="009818D1"/>
    <w:rsid w:val="00981AD7"/>
    <w:rsid w:val="00981B6D"/>
    <w:rsid w:val="00981C55"/>
    <w:rsid w:val="009822FB"/>
    <w:rsid w:val="009823D0"/>
    <w:rsid w:val="0098262F"/>
    <w:rsid w:val="009826E6"/>
    <w:rsid w:val="00982ECD"/>
    <w:rsid w:val="0098304D"/>
    <w:rsid w:val="00983791"/>
    <w:rsid w:val="00983B1A"/>
    <w:rsid w:val="00983E57"/>
    <w:rsid w:val="0098408D"/>
    <w:rsid w:val="009842E3"/>
    <w:rsid w:val="00984478"/>
    <w:rsid w:val="00984611"/>
    <w:rsid w:val="00984C0C"/>
    <w:rsid w:val="009851C2"/>
    <w:rsid w:val="009853CC"/>
    <w:rsid w:val="00985AD2"/>
    <w:rsid w:val="00985B00"/>
    <w:rsid w:val="00985DE2"/>
    <w:rsid w:val="00985E7D"/>
    <w:rsid w:val="00986244"/>
    <w:rsid w:val="0098636B"/>
    <w:rsid w:val="0098675D"/>
    <w:rsid w:val="009869D6"/>
    <w:rsid w:val="00986A79"/>
    <w:rsid w:val="00987295"/>
    <w:rsid w:val="0098767B"/>
    <w:rsid w:val="00987965"/>
    <w:rsid w:val="00987A5E"/>
    <w:rsid w:val="00987BA4"/>
    <w:rsid w:val="00990025"/>
    <w:rsid w:val="0099039C"/>
    <w:rsid w:val="009907C3"/>
    <w:rsid w:val="0099090C"/>
    <w:rsid w:val="00990AFC"/>
    <w:rsid w:val="00990D27"/>
    <w:rsid w:val="00991436"/>
    <w:rsid w:val="00991A03"/>
    <w:rsid w:val="00991A90"/>
    <w:rsid w:val="00991E1F"/>
    <w:rsid w:val="0099236A"/>
    <w:rsid w:val="009924FD"/>
    <w:rsid w:val="00992593"/>
    <w:rsid w:val="009926E0"/>
    <w:rsid w:val="009927C5"/>
    <w:rsid w:val="009927D3"/>
    <w:rsid w:val="00992870"/>
    <w:rsid w:val="00993072"/>
    <w:rsid w:val="009930B2"/>
    <w:rsid w:val="009942B8"/>
    <w:rsid w:val="0099451E"/>
    <w:rsid w:val="009958C7"/>
    <w:rsid w:val="00995BD0"/>
    <w:rsid w:val="009964A3"/>
    <w:rsid w:val="00996663"/>
    <w:rsid w:val="00996730"/>
    <w:rsid w:val="00996A4D"/>
    <w:rsid w:val="00996A67"/>
    <w:rsid w:val="00996B1A"/>
    <w:rsid w:val="00996D27"/>
    <w:rsid w:val="00996F55"/>
    <w:rsid w:val="0099708D"/>
    <w:rsid w:val="009971DE"/>
    <w:rsid w:val="009974CA"/>
    <w:rsid w:val="009974E4"/>
    <w:rsid w:val="00997A37"/>
    <w:rsid w:val="00997D67"/>
    <w:rsid w:val="009A03F6"/>
    <w:rsid w:val="009A0740"/>
    <w:rsid w:val="009A08B6"/>
    <w:rsid w:val="009A0D71"/>
    <w:rsid w:val="009A0D98"/>
    <w:rsid w:val="009A1081"/>
    <w:rsid w:val="009A1129"/>
    <w:rsid w:val="009A1218"/>
    <w:rsid w:val="009A12D2"/>
    <w:rsid w:val="009A184F"/>
    <w:rsid w:val="009A18F6"/>
    <w:rsid w:val="009A20C5"/>
    <w:rsid w:val="009A223E"/>
    <w:rsid w:val="009A23DB"/>
    <w:rsid w:val="009A2541"/>
    <w:rsid w:val="009A2612"/>
    <w:rsid w:val="009A2D32"/>
    <w:rsid w:val="009A2DCC"/>
    <w:rsid w:val="009A3485"/>
    <w:rsid w:val="009A3711"/>
    <w:rsid w:val="009A390F"/>
    <w:rsid w:val="009A39B6"/>
    <w:rsid w:val="009A3AFB"/>
    <w:rsid w:val="009A5180"/>
    <w:rsid w:val="009A56D3"/>
    <w:rsid w:val="009A574D"/>
    <w:rsid w:val="009A59F4"/>
    <w:rsid w:val="009A5AA7"/>
    <w:rsid w:val="009A5ABC"/>
    <w:rsid w:val="009A5CCF"/>
    <w:rsid w:val="009A64E8"/>
    <w:rsid w:val="009A65E8"/>
    <w:rsid w:val="009A6726"/>
    <w:rsid w:val="009A677F"/>
    <w:rsid w:val="009A6784"/>
    <w:rsid w:val="009A698B"/>
    <w:rsid w:val="009A6D16"/>
    <w:rsid w:val="009A7759"/>
    <w:rsid w:val="009A7F10"/>
    <w:rsid w:val="009B004E"/>
    <w:rsid w:val="009B0310"/>
    <w:rsid w:val="009B0B68"/>
    <w:rsid w:val="009B0C71"/>
    <w:rsid w:val="009B13F4"/>
    <w:rsid w:val="009B1611"/>
    <w:rsid w:val="009B1B7A"/>
    <w:rsid w:val="009B1D1A"/>
    <w:rsid w:val="009B226F"/>
    <w:rsid w:val="009B24B6"/>
    <w:rsid w:val="009B2B9D"/>
    <w:rsid w:val="009B3095"/>
    <w:rsid w:val="009B30CA"/>
    <w:rsid w:val="009B3132"/>
    <w:rsid w:val="009B318E"/>
    <w:rsid w:val="009B31F9"/>
    <w:rsid w:val="009B36B3"/>
    <w:rsid w:val="009B3A43"/>
    <w:rsid w:val="009B3B1D"/>
    <w:rsid w:val="009B3E26"/>
    <w:rsid w:val="009B3E51"/>
    <w:rsid w:val="009B3E60"/>
    <w:rsid w:val="009B3EA8"/>
    <w:rsid w:val="009B4065"/>
    <w:rsid w:val="009B4393"/>
    <w:rsid w:val="009B47CB"/>
    <w:rsid w:val="009B48A4"/>
    <w:rsid w:val="009B4CBD"/>
    <w:rsid w:val="009B4E49"/>
    <w:rsid w:val="009B5459"/>
    <w:rsid w:val="009B547E"/>
    <w:rsid w:val="009B5570"/>
    <w:rsid w:val="009B598C"/>
    <w:rsid w:val="009B5BA4"/>
    <w:rsid w:val="009B5C9C"/>
    <w:rsid w:val="009B6582"/>
    <w:rsid w:val="009B65EE"/>
    <w:rsid w:val="009B6AF8"/>
    <w:rsid w:val="009B6F08"/>
    <w:rsid w:val="009B7063"/>
    <w:rsid w:val="009B7376"/>
    <w:rsid w:val="009B7743"/>
    <w:rsid w:val="009B78DA"/>
    <w:rsid w:val="009B7B6D"/>
    <w:rsid w:val="009B7BB2"/>
    <w:rsid w:val="009B7CA0"/>
    <w:rsid w:val="009B7E53"/>
    <w:rsid w:val="009C057C"/>
    <w:rsid w:val="009C0818"/>
    <w:rsid w:val="009C0AA3"/>
    <w:rsid w:val="009C0C9E"/>
    <w:rsid w:val="009C1271"/>
    <w:rsid w:val="009C153D"/>
    <w:rsid w:val="009C1C9B"/>
    <w:rsid w:val="009C1D0A"/>
    <w:rsid w:val="009C1DCE"/>
    <w:rsid w:val="009C1EA3"/>
    <w:rsid w:val="009C2466"/>
    <w:rsid w:val="009C24E7"/>
    <w:rsid w:val="009C2DD7"/>
    <w:rsid w:val="009C2E21"/>
    <w:rsid w:val="009C2E73"/>
    <w:rsid w:val="009C34FF"/>
    <w:rsid w:val="009C3545"/>
    <w:rsid w:val="009C3614"/>
    <w:rsid w:val="009C3706"/>
    <w:rsid w:val="009C3A3A"/>
    <w:rsid w:val="009C3AFE"/>
    <w:rsid w:val="009C3C1F"/>
    <w:rsid w:val="009C426B"/>
    <w:rsid w:val="009C42B1"/>
    <w:rsid w:val="009C48AD"/>
    <w:rsid w:val="009C4D3D"/>
    <w:rsid w:val="009C4F1D"/>
    <w:rsid w:val="009C5283"/>
    <w:rsid w:val="009C52A0"/>
    <w:rsid w:val="009C5BA2"/>
    <w:rsid w:val="009C5D56"/>
    <w:rsid w:val="009C6CEA"/>
    <w:rsid w:val="009C6E52"/>
    <w:rsid w:val="009C7869"/>
    <w:rsid w:val="009C7B85"/>
    <w:rsid w:val="009C7FEA"/>
    <w:rsid w:val="009D010E"/>
    <w:rsid w:val="009D0254"/>
    <w:rsid w:val="009D135E"/>
    <w:rsid w:val="009D1A64"/>
    <w:rsid w:val="009D1E53"/>
    <w:rsid w:val="009D2911"/>
    <w:rsid w:val="009D2DAA"/>
    <w:rsid w:val="009D308D"/>
    <w:rsid w:val="009D30BF"/>
    <w:rsid w:val="009D338D"/>
    <w:rsid w:val="009D45C3"/>
    <w:rsid w:val="009D47E8"/>
    <w:rsid w:val="009D48A7"/>
    <w:rsid w:val="009D51DF"/>
    <w:rsid w:val="009D5758"/>
    <w:rsid w:val="009D5B63"/>
    <w:rsid w:val="009D5B91"/>
    <w:rsid w:val="009D5C25"/>
    <w:rsid w:val="009D5F5F"/>
    <w:rsid w:val="009D6222"/>
    <w:rsid w:val="009D6596"/>
    <w:rsid w:val="009D669F"/>
    <w:rsid w:val="009D67B5"/>
    <w:rsid w:val="009D6898"/>
    <w:rsid w:val="009D6A40"/>
    <w:rsid w:val="009D7922"/>
    <w:rsid w:val="009D792E"/>
    <w:rsid w:val="009D797E"/>
    <w:rsid w:val="009D7BCF"/>
    <w:rsid w:val="009E051B"/>
    <w:rsid w:val="009E06E3"/>
    <w:rsid w:val="009E0C56"/>
    <w:rsid w:val="009E0DFE"/>
    <w:rsid w:val="009E14B0"/>
    <w:rsid w:val="009E164A"/>
    <w:rsid w:val="009E18E5"/>
    <w:rsid w:val="009E1A06"/>
    <w:rsid w:val="009E1D85"/>
    <w:rsid w:val="009E206A"/>
    <w:rsid w:val="009E20C9"/>
    <w:rsid w:val="009E2474"/>
    <w:rsid w:val="009E28C3"/>
    <w:rsid w:val="009E2B3F"/>
    <w:rsid w:val="009E2F37"/>
    <w:rsid w:val="009E31F6"/>
    <w:rsid w:val="009E3C5F"/>
    <w:rsid w:val="009E40BA"/>
    <w:rsid w:val="009E414F"/>
    <w:rsid w:val="009E42E7"/>
    <w:rsid w:val="009E4612"/>
    <w:rsid w:val="009E4669"/>
    <w:rsid w:val="009E46AC"/>
    <w:rsid w:val="009E4741"/>
    <w:rsid w:val="009E4980"/>
    <w:rsid w:val="009E4C07"/>
    <w:rsid w:val="009E519F"/>
    <w:rsid w:val="009E58AE"/>
    <w:rsid w:val="009E59F0"/>
    <w:rsid w:val="009E5D56"/>
    <w:rsid w:val="009E5F18"/>
    <w:rsid w:val="009E6A42"/>
    <w:rsid w:val="009E6D25"/>
    <w:rsid w:val="009E74E1"/>
    <w:rsid w:val="009E777F"/>
    <w:rsid w:val="009E7F4A"/>
    <w:rsid w:val="009E7F4C"/>
    <w:rsid w:val="009F0159"/>
    <w:rsid w:val="009F0299"/>
    <w:rsid w:val="009F0437"/>
    <w:rsid w:val="009F04F0"/>
    <w:rsid w:val="009F0EFC"/>
    <w:rsid w:val="009F14AC"/>
    <w:rsid w:val="009F1828"/>
    <w:rsid w:val="009F203F"/>
    <w:rsid w:val="009F20F6"/>
    <w:rsid w:val="009F229D"/>
    <w:rsid w:val="009F2587"/>
    <w:rsid w:val="009F2EA5"/>
    <w:rsid w:val="009F2F72"/>
    <w:rsid w:val="009F3152"/>
    <w:rsid w:val="009F33BB"/>
    <w:rsid w:val="009F3510"/>
    <w:rsid w:val="009F35F5"/>
    <w:rsid w:val="009F3D02"/>
    <w:rsid w:val="009F5059"/>
    <w:rsid w:val="009F55C6"/>
    <w:rsid w:val="009F6120"/>
    <w:rsid w:val="009F6288"/>
    <w:rsid w:val="009F6A98"/>
    <w:rsid w:val="009F6D38"/>
    <w:rsid w:val="009F6F79"/>
    <w:rsid w:val="009F7227"/>
    <w:rsid w:val="009F7632"/>
    <w:rsid w:val="009F7786"/>
    <w:rsid w:val="009F7A9A"/>
    <w:rsid w:val="009F7B57"/>
    <w:rsid w:val="009F7B88"/>
    <w:rsid w:val="009F7BC8"/>
    <w:rsid w:val="009F7D91"/>
    <w:rsid w:val="00A0050D"/>
    <w:rsid w:val="00A00A91"/>
    <w:rsid w:val="00A00C11"/>
    <w:rsid w:val="00A00D76"/>
    <w:rsid w:val="00A01184"/>
    <w:rsid w:val="00A01449"/>
    <w:rsid w:val="00A01484"/>
    <w:rsid w:val="00A015D5"/>
    <w:rsid w:val="00A0169E"/>
    <w:rsid w:val="00A01788"/>
    <w:rsid w:val="00A01899"/>
    <w:rsid w:val="00A0198A"/>
    <w:rsid w:val="00A01AE5"/>
    <w:rsid w:val="00A01E53"/>
    <w:rsid w:val="00A02035"/>
    <w:rsid w:val="00A0271B"/>
    <w:rsid w:val="00A02837"/>
    <w:rsid w:val="00A02A99"/>
    <w:rsid w:val="00A02B9E"/>
    <w:rsid w:val="00A02E04"/>
    <w:rsid w:val="00A037C2"/>
    <w:rsid w:val="00A03953"/>
    <w:rsid w:val="00A03B7D"/>
    <w:rsid w:val="00A03D43"/>
    <w:rsid w:val="00A03D80"/>
    <w:rsid w:val="00A041E1"/>
    <w:rsid w:val="00A04380"/>
    <w:rsid w:val="00A04624"/>
    <w:rsid w:val="00A046E7"/>
    <w:rsid w:val="00A04786"/>
    <w:rsid w:val="00A05472"/>
    <w:rsid w:val="00A05675"/>
    <w:rsid w:val="00A0569B"/>
    <w:rsid w:val="00A05C32"/>
    <w:rsid w:val="00A05EED"/>
    <w:rsid w:val="00A05F29"/>
    <w:rsid w:val="00A05FD3"/>
    <w:rsid w:val="00A06170"/>
    <w:rsid w:val="00A06447"/>
    <w:rsid w:val="00A0644A"/>
    <w:rsid w:val="00A0653F"/>
    <w:rsid w:val="00A06B9D"/>
    <w:rsid w:val="00A06F4C"/>
    <w:rsid w:val="00A07B64"/>
    <w:rsid w:val="00A07C27"/>
    <w:rsid w:val="00A07DFE"/>
    <w:rsid w:val="00A07F5B"/>
    <w:rsid w:val="00A1063E"/>
    <w:rsid w:val="00A10663"/>
    <w:rsid w:val="00A1067D"/>
    <w:rsid w:val="00A108E7"/>
    <w:rsid w:val="00A10A95"/>
    <w:rsid w:val="00A110AB"/>
    <w:rsid w:val="00A11269"/>
    <w:rsid w:val="00A11CD0"/>
    <w:rsid w:val="00A1234C"/>
    <w:rsid w:val="00A12666"/>
    <w:rsid w:val="00A12A1E"/>
    <w:rsid w:val="00A12DA5"/>
    <w:rsid w:val="00A13040"/>
    <w:rsid w:val="00A1312D"/>
    <w:rsid w:val="00A134CE"/>
    <w:rsid w:val="00A13725"/>
    <w:rsid w:val="00A13948"/>
    <w:rsid w:val="00A144CC"/>
    <w:rsid w:val="00A14578"/>
    <w:rsid w:val="00A147A6"/>
    <w:rsid w:val="00A14C28"/>
    <w:rsid w:val="00A1502A"/>
    <w:rsid w:val="00A1555B"/>
    <w:rsid w:val="00A155C5"/>
    <w:rsid w:val="00A1566A"/>
    <w:rsid w:val="00A156B9"/>
    <w:rsid w:val="00A1650B"/>
    <w:rsid w:val="00A16AD8"/>
    <w:rsid w:val="00A16AEB"/>
    <w:rsid w:val="00A176EB"/>
    <w:rsid w:val="00A1780D"/>
    <w:rsid w:val="00A179EF"/>
    <w:rsid w:val="00A17C26"/>
    <w:rsid w:val="00A17E75"/>
    <w:rsid w:val="00A2021E"/>
    <w:rsid w:val="00A2071E"/>
    <w:rsid w:val="00A207FE"/>
    <w:rsid w:val="00A208CE"/>
    <w:rsid w:val="00A20CA2"/>
    <w:rsid w:val="00A20CC5"/>
    <w:rsid w:val="00A20E19"/>
    <w:rsid w:val="00A20F31"/>
    <w:rsid w:val="00A20FE0"/>
    <w:rsid w:val="00A20FE9"/>
    <w:rsid w:val="00A21089"/>
    <w:rsid w:val="00A21144"/>
    <w:rsid w:val="00A21285"/>
    <w:rsid w:val="00A21C30"/>
    <w:rsid w:val="00A21C95"/>
    <w:rsid w:val="00A21CF3"/>
    <w:rsid w:val="00A21D68"/>
    <w:rsid w:val="00A21E03"/>
    <w:rsid w:val="00A21FE9"/>
    <w:rsid w:val="00A222B5"/>
    <w:rsid w:val="00A22A0B"/>
    <w:rsid w:val="00A22A68"/>
    <w:rsid w:val="00A22A96"/>
    <w:rsid w:val="00A22C8F"/>
    <w:rsid w:val="00A230BF"/>
    <w:rsid w:val="00A23251"/>
    <w:rsid w:val="00A23345"/>
    <w:rsid w:val="00A23396"/>
    <w:rsid w:val="00A238C9"/>
    <w:rsid w:val="00A23C97"/>
    <w:rsid w:val="00A242DD"/>
    <w:rsid w:val="00A24813"/>
    <w:rsid w:val="00A24D2F"/>
    <w:rsid w:val="00A2500F"/>
    <w:rsid w:val="00A2501C"/>
    <w:rsid w:val="00A257FD"/>
    <w:rsid w:val="00A259A9"/>
    <w:rsid w:val="00A25BFC"/>
    <w:rsid w:val="00A25F0B"/>
    <w:rsid w:val="00A2611B"/>
    <w:rsid w:val="00A26389"/>
    <w:rsid w:val="00A26724"/>
    <w:rsid w:val="00A268DC"/>
    <w:rsid w:val="00A26E1E"/>
    <w:rsid w:val="00A270A5"/>
    <w:rsid w:val="00A27130"/>
    <w:rsid w:val="00A27161"/>
    <w:rsid w:val="00A27409"/>
    <w:rsid w:val="00A27552"/>
    <w:rsid w:val="00A27753"/>
    <w:rsid w:val="00A27AEC"/>
    <w:rsid w:val="00A27CA3"/>
    <w:rsid w:val="00A27DA2"/>
    <w:rsid w:val="00A27FCF"/>
    <w:rsid w:val="00A3028B"/>
    <w:rsid w:val="00A30983"/>
    <w:rsid w:val="00A31AD7"/>
    <w:rsid w:val="00A31CB1"/>
    <w:rsid w:val="00A31E08"/>
    <w:rsid w:val="00A320DB"/>
    <w:rsid w:val="00A321BE"/>
    <w:rsid w:val="00A3283C"/>
    <w:rsid w:val="00A32C92"/>
    <w:rsid w:val="00A32EDA"/>
    <w:rsid w:val="00A32FC3"/>
    <w:rsid w:val="00A330A9"/>
    <w:rsid w:val="00A33848"/>
    <w:rsid w:val="00A349BD"/>
    <w:rsid w:val="00A356B6"/>
    <w:rsid w:val="00A35AB7"/>
    <w:rsid w:val="00A35D0E"/>
    <w:rsid w:val="00A35D16"/>
    <w:rsid w:val="00A360C6"/>
    <w:rsid w:val="00A361E4"/>
    <w:rsid w:val="00A36471"/>
    <w:rsid w:val="00A36595"/>
    <w:rsid w:val="00A36618"/>
    <w:rsid w:val="00A36680"/>
    <w:rsid w:val="00A36811"/>
    <w:rsid w:val="00A368DB"/>
    <w:rsid w:val="00A36B6D"/>
    <w:rsid w:val="00A36D88"/>
    <w:rsid w:val="00A36DF6"/>
    <w:rsid w:val="00A36E98"/>
    <w:rsid w:val="00A37202"/>
    <w:rsid w:val="00A37299"/>
    <w:rsid w:val="00A372D0"/>
    <w:rsid w:val="00A3747D"/>
    <w:rsid w:val="00A37561"/>
    <w:rsid w:val="00A37628"/>
    <w:rsid w:val="00A37648"/>
    <w:rsid w:val="00A3775C"/>
    <w:rsid w:val="00A37A5C"/>
    <w:rsid w:val="00A37BCD"/>
    <w:rsid w:val="00A40047"/>
    <w:rsid w:val="00A40121"/>
    <w:rsid w:val="00A402A9"/>
    <w:rsid w:val="00A4068D"/>
    <w:rsid w:val="00A40A7F"/>
    <w:rsid w:val="00A40E61"/>
    <w:rsid w:val="00A41390"/>
    <w:rsid w:val="00A41440"/>
    <w:rsid w:val="00A41689"/>
    <w:rsid w:val="00A418C4"/>
    <w:rsid w:val="00A41AC2"/>
    <w:rsid w:val="00A42203"/>
    <w:rsid w:val="00A4229F"/>
    <w:rsid w:val="00A42592"/>
    <w:rsid w:val="00A42E7C"/>
    <w:rsid w:val="00A42EA0"/>
    <w:rsid w:val="00A43102"/>
    <w:rsid w:val="00A432D9"/>
    <w:rsid w:val="00A43606"/>
    <w:rsid w:val="00A4361C"/>
    <w:rsid w:val="00A43712"/>
    <w:rsid w:val="00A43C59"/>
    <w:rsid w:val="00A43DF8"/>
    <w:rsid w:val="00A44CE0"/>
    <w:rsid w:val="00A45077"/>
    <w:rsid w:val="00A456C5"/>
    <w:rsid w:val="00A45732"/>
    <w:rsid w:val="00A459C3"/>
    <w:rsid w:val="00A462A3"/>
    <w:rsid w:val="00A46377"/>
    <w:rsid w:val="00A46C22"/>
    <w:rsid w:val="00A47100"/>
    <w:rsid w:val="00A471C1"/>
    <w:rsid w:val="00A473F9"/>
    <w:rsid w:val="00A47BD0"/>
    <w:rsid w:val="00A47C66"/>
    <w:rsid w:val="00A504F6"/>
    <w:rsid w:val="00A507A9"/>
    <w:rsid w:val="00A50BD5"/>
    <w:rsid w:val="00A50CF5"/>
    <w:rsid w:val="00A50E3B"/>
    <w:rsid w:val="00A50EAA"/>
    <w:rsid w:val="00A50ECD"/>
    <w:rsid w:val="00A50F4C"/>
    <w:rsid w:val="00A517C4"/>
    <w:rsid w:val="00A518F3"/>
    <w:rsid w:val="00A51B9C"/>
    <w:rsid w:val="00A51CA7"/>
    <w:rsid w:val="00A5224D"/>
    <w:rsid w:val="00A52729"/>
    <w:rsid w:val="00A527D4"/>
    <w:rsid w:val="00A528B0"/>
    <w:rsid w:val="00A528F7"/>
    <w:rsid w:val="00A52A55"/>
    <w:rsid w:val="00A53177"/>
    <w:rsid w:val="00A53259"/>
    <w:rsid w:val="00A53675"/>
    <w:rsid w:val="00A53738"/>
    <w:rsid w:val="00A5382E"/>
    <w:rsid w:val="00A53982"/>
    <w:rsid w:val="00A54098"/>
    <w:rsid w:val="00A542B6"/>
    <w:rsid w:val="00A542C4"/>
    <w:rsid w:val="00A54A6A"/>
    <w:rsid w:val="00A54B07"/>
    <w:rsid w:val="00A54D93"/>
    <w:rsid w:val="00A5511A"/>
    <w:rsid w:val="00A55644"/>
    <w:rsid w:val="00A55835"/>
    <w:rsid w:val="00A55E1D"/>
    <w:rsid w:val="00A55E85"/>
    <w:rsid w:val="00A56066"/>
    <w:rsid w:val="00A561CF"/>
    <w:rsid w:val="00A564D7"/>
    <w:rsid w:val="00A56908"/>
    <w:rsid w:val="00A56B6A"/>
    <w:rsid w:val="00A56F09"/>
    <w:rsid w:val="00A57208"/>
    <w:rsid w:val="00A5726C"/>
    <w:rsid w:val="00A5757E"/>
    <w:rsid w:val="00A5785D"/>
    <w:rsid w:val="00A578DC"/>
    <w:rsid w:val="00A57BFD"/>
    <w:rsid w:val="00A57EE6"/>
    <w:rsid w:val="00A6002C"/>
    <w:rsid w:val="00A60092"/>
    <w:rsid w:val="00A600BF"/>
    <w:rsid w:val="00A603AE"/>
    <w:rsid w:val="00A606F4"/>
    <w:rsid w:val="00A60992"/>
    <w:rsid w:val="00A60F3E"/>
    <w:rsid w:val="00A610FD"/>
    <w:rsid w:val="00A612DA"/>
    <w:rsid w:val="00A61336"/>
    <w:rsid w:val="00A614FC"/>
    <w:rsid w:val="00A6154F"/>
    <w:rsid w:val="00A61555"/>
    <w:rsid w:val="00A621E3"/>
    <w:rsid w:val="00A62985"/>
    <w:rsid w:val="00A62E2C"/>
    <w:rsid w:val="00A634E9"/>
    <w:rsid w:val="00A635E0"/>
    <w:rsid w:val="00A6385B"/>
    <w:rsid w:val="00A63D70"/>
    <w:rsid w:val="00A640E2"/>
    <w:rsid w:val="00A64441"/>
    <w:rsid w:val="00A64D65"/>
    <w:rsid w:val="00A6507E"/>
    <w:rsid w:val="00A65141"/>
    <w:rsid w:val="00A6590B"/>
    <w:rsid w:val="00A65933"/>
    <w:rsid w:val="00A65B00"/>
    <w:rsid w:val="00A65E2E"/>
    <w:rsid w:val="00A6621D"/>
    <w:rsid w:val="00A66286"/>
    <w:rsid w:val="00A668F6"/>
    <w:rsid w:val="00A66D8C"/>
    <w:rsid w:val="00A66E95"/>
    <w:rsid w:val="00A670BD"/>
    <w:rsid w:val="00A6725B"/>
    <w:rsid w:val="00A6734E"/>
    <w:rsid w:val="00A676D4"/>
    <w:rsid w:val="00A67931"/>
    <w:rsid w:val="00A67E2D"/>
    <w:rsid w:val="00A704AB"/>
    <w:rsid w:val="00A70538"/>
    <w:rsid w:val="00A70605"/>
    <w:rsid w:val="00A70705"/>
    <w:rsid w:val="00A70D4A"/>
    <w:rsid w:val="00A70DC3"/>
    <w:rsid w:val="00A710E1"/>
    <w:rsid w:val="00A712F0"/>
    <w:rsid w:val="00A714BC"/>
    <w:rsid w:val="00A7186C"/>
    <w:rsid w:val="00A7199F"/>
    <w:rsid w:val="00A71DC3"/>
    <w:rsid w:val="00A726FB"/>
    <w:rsid w:val="00A72B2C"/>
    <w:rsid w:val="00A72E53"/>
    <w:rsid w:val="00A72F1F"/>
    <w:rsid w:val="00A7310F"/>
    <w:rsid w:val="00A73134"/>
    <w:rsid w:val="00A7365A"/>
    <w:rsid w:val="00A7392D"/>
    <w:rsid w:val="00A73945"/>
    <w:rsid w:val="00A74528"/>
    <w:rsid w:val="00A7463C"/>
    <w:rsid w:val="00A74A32"/>
    <w:rsid w:val="00A74F55"/>
    <w:rsid w:val="00A7542D"/>
    <w:rsid w:val="00A7568A"/>
    <w:rsid w:val="00A75C25"/>
    <w:rsid w:val="00A76001"/>
    <w:rsid w:val="00A76EEA"/>
    <w:rsid w:val="00A777B2"/>
    <w:rsid w:val="00A77E1A"/>
    <w:rsid w:val="00A80A15"/>
    <w:rsid w:val="00A814A4"/>
    <w:rsid w:val="00A817A0"/>
    <w:rsid w:val="00A81C7C"/>
    <w:rsid w:val="00A822C1"/>
    <w:rsid w:val="00A825D4"/>
    <w:rsid w:val="00A826F4"/>
    <w:rsid w:val="00A827FD"/>
    <w:rsid w:val="00A82820"/>
    <w:rsid w:val="00A828F6"/>
    <w:rsid w:val="00A82B73"/>
    <w:rsid w:val="00A82E20"/>
    <w:rsid w:val="00A82E59"/>
    <w:rsid w:val="00A83186"/>
    <w:rsid w:val="00A832BF"/>
    <w:rsid w:val="00A83386"/>
    <w:rsid w:val="00A835E5"/>
    <w:rsid w:val="00A836B3"/>
    <w:rsid w:val="00A8393C"/>
    <w:rsid w:val="00A83B7D"/>
    <w:rsid w:val="00A83D56"/>
    <w:rsid w:val="00A8484E"/>
    <w:rsid w:val="00A84A65"/>
    <w:rsid w:val="00A84CEA"/>
    <w:rsid w:val="00A84F74"/>
    <w:rsid w:val="00A84FDC"/>
    <w:rsid w:val="00A853DE"/>
    <w:rsid w:val="00A85F2D"/>
    <w:rsid w:val="00A86046"/>
    <w:rsid w:val="00A8662A"/>
    <w:rsid w:val="00A86AC3"/>
    <w:rsid w:val="00A86AEF"/>
    <w:rsid w:val="00A86C51"/>
    <w:rsid w:val="00A86E8B"/>
    <w:rsid w:val="00A86EFA"/>
    <w:rsid w:val="00A87164"/>
    <w:rsid w:val="00A871A9"/>
    <w:rsid w:val="00A8731D"/>
    <w:rsid w:val="00A8760E"/>
    <w:rsid w:val="00A8782B"/>
    <w:rsid w:val="00A90124"/>
    <w:rsid w:val="00A90170"/>
    <w:rsid w:val="00A9057C"/>
    <w:rsid w:val="00A90675"/>
    <w:rsid w:val="00A90707"/>
    <w:rsid w:val="00A90820"/>
    <w:rsid w:val="00A90831"/>
    <w:rsid w:val="00A9092C"/>
    <w:rsid w:val="00A90B6C"/>
    <w:rsid w:val="00A90D40"/>
    <w:rsid w:val="00A90F58"/>
    <w:rsid w:val="00A914AC"/>
    <w:rsid w:val="00A91515"/>
    <w:rsid w:val="00A918A5"/>
    <w:rsid w:val="00A92037"/>
    <w:rsid w:val="00A9226F"/>
    <w:rsid w:val="00A9296F"/>
    <w:rsid w:val="00A92A9B"/>
    <w:rsid w:val="00A93072"/>
    <w:rsid w:val="00A93320"/>
    <w:rsid w:val="00A938BD"/>
    <w:rsid w:val="00A93953"/>
    <w:rsid w:val="00A93C01"/>
    <w:rsid w:val="00A93CCE"/>
    <w:rsid w:val="00A93D98"/>
    <w:rsid w:val="00A93F30"/>
    <w:rsid w:val="00A94767"/>
    <w:rsid w:val="00A947A7"/>
    <w:rsid w:val="00A947F4"/>
    <w:rsid w:val="00A94870"/>
    <w:rsid w:val="00A94B0C"/>
    <w:rsid w:val="00A94B20"/>
    <w:rsid w:val="00A95293"/>
    <w:rsid w:val="00A9548F"/>
    <w:rsid w:val="00A959D8"/>
    <w:rsid w:val="00A95DE9"/>
    <w:rsid w:val="00A961C5"/>
    <w:rsid w:val="00A966B3"/>
    <w:rsid w:val="00A96B93"/>
    <w:rsid w:val="00A96E47"/>
    <w:rsid w:val="00A96E6D"/>
    <w:rsid w:val="00A9725A"/>
    <w:rsid w:val="00A97445"/>
    <w:rsid w:val="00A9776A"/>
    <w:rsid w:val="00A97DE4"/>
    <w:rsid w:val="00A97E6C"/>
    <w:rsid w:val="00AA00B2"/>
    <w:rsid w:val="00AA08E4"/>
    <w:rsid w:val="00AA0CA6"/>
    <w:rsid w:val="00AA113D"/>
    <w:rsid w:val="00AA1776"/>
    <w:rsid w:val="00AA1D10"/>
    <w:rsid w:val="00AA1E84"/>
    <w:rsid w:val="00AA21F6"/>
    <w:rsid w:val="00AA23D6"/>
    <w:rsid w:val="00AA2582"/>
    <w:rsid w:val="00AA3016"/>
    <w:rsid w:val="00AA31FD"/>
    <w:rsid w:val="00AA3227"/>
    <w:rsid w:val="00AA32DD"/>
    <w:rsid w:val="00AA3357"/>
    <w:rsid w:val="00AA3581"/>
    <w:rsid w:val="00AA3730"/>
    <w:rsid w:val="00AA38BB"/>
    <w:rsid w:val="00AA3B23"/>
    <w:rsid w:val="00AA3D88"/>
    <w:rsid w:val="00AA3D97"/>
    <w:rsid w:val="00AA3E43"/>
    <w:rsid w:val="00AA4E70"/>
    <w:rsid w:val="00AA4FFB"/>
    <w:rsid w:val="00AA579A"/>
    <w:rsid w:val="00AA5ABD"/>
    <w:rsid w:val="00AA5C1F"/>
    <w:rsid w:val="00AA5CFB"/>
    <w:rsid w:val="00AA605B"/>
    <w:rsid w:val="00AA61E3"/>
    <w:rsid w:val="00AA6A33"/>
    <w:rsid w:val="00AA6BD5"/>
    <w:rsid w:val="00AA6BD8"/>
    <w:rsid w:val="00AA6C7D"/>
    <w:rsid w:val="00AA6D69"/>
    <w:rsid w:val="00AA70CC"/>
    <w:rsid w:val="00AA796B"/>
    <w:rsid w:val="00AA7CA3"/>
    <w:rsid w:val="00AA7CBE"/>
    <w:rsid w:val="00AA7F11"/>
    <w:rsid w:val="00AA7FD6"/>
    <w:rsid w:val="00AB0308"/>
    <w:rsid w:val="00AB0368"/>
    <w:rsid w:val="00AB042A"/>
    <w:rsid w:val="00AB07BE"/>
    <w:rsid w:val="00AB0DAE"/>
    <w:rsid w:val="00AB0F98"/>
    <w:rsid w:val="00AB11AD"/>
    <w:rsid w:val="00AB139D"/>
    <w:rsid w:val="00AB1616"/>
    <w:rsid w:val="00AB191C"/>
    <w:rsid w:val="00AB19EF"/>
    <w:rsid w:val="00AB1BFD"/>
    <w:rsid w:val="00AB2144"/>
    <w:rsid w:val="00AB231B"/>
    <w:rsid w:val="00AB23C9"/>
    <w:rsid w:val="00AB2495"/>
    <w:rsid w:val="00AB24FF"/>
    <w:rsid w:val="00AB25F1"/>
    <w:rsid w:val="00AB2791"/>
    <w:rsid w:val="00AB2B0E"/>
    <w:rsid w:val="00AB2D34"/>
    <w:rsid w:val="00AB321B"/>
    <w:rsid w:val="00AB3430"/>
    <w:rsid w:val="00AB37B9"/>
    <w:rsid w:val="00AB3A28"/>
    <w:rsid w:val="00AB3A99"/>
    <w:rsid w:val="00AB3DA1"/>
    <w:rsid w:val="00AB4176"/>
    <w:rsid w:val="00AB4AD1"/>
    <w:rsid w:val="00AB4CB0"/>
    <w:rsid w:val="00AB5250"/>
    <w:rsid w:val="00AB559C"/>
    <w:rsid w:val="00AB567F"/>
    <w:rsid w:val="00AB5724"/>
    <w:rsid w:val="00AB5DFB"/>
    <w:rsid w:val="00AB5E07"/>
    <w:rsid w:val="00AB61BD"/>
    <w:rsid w:val="00AB65E9"/>
    <w:rsid w:val="00AB687F"/>
    <w:rsid w:val="00AB6C33"/>
    <w:rsid w:val="00AB6E0C"/>
    <w:rsid w:val="00AB73F7"/>
    <w:rsid w:val="00AB7631"/>
    <w:rsid w:val="00AB78CE"/>
    <w:rsid w:val="00AB7B34"/>
    <w:rsid w:val="00AB7CFA"/>
    <w:rsid w:val="00AB7DF3"/>
    <w:rsid w:val="00AB7EBF"/>
    <w:rsid w:val="00AC06E9"/>
    <w:rsid w:val="00AC0875"/>
    <w:rsid w:val="00AC0D9F"/>
    <w:rsid w:val="00AC0F43"/>
    <w:rsid w:val="00AC118C"/>
    <w:rsid w:val="00AC1301"/>
    <w:rsid w:val="00AC131F"/>
    <w:rsid w:val="00AC19DB"/>
    <w:rsid w:val="00AC1A8F"/>
    <w:rsid w:val="00AC27ED"/>
    <w:rsid w:val="00AC2956"/>
    <w:rsid w:val="00AC2B24"/>
    <w:rsid w:val="00AC2B5F"/>
    <w:rsid w:val="00AC2CEB"/>
    <w:rsid w:val="00AC30A5"/>
    <w:rsid w:val="00AC3153"/>
    <w:rsid w:val="00AC35A1"/>
    <w:rsid w:val="00AC40C1"/>
    <w:rsid w:val="00AC4356"/>
    <w:rsid w:val="00AC4714"/>
    <w:rsid w:val="00AC492F"/>
    <w:rsid w:val="00AC4FE3"/>
    <w:rsid w:val="00AC509B"/>
    <w:rsid w:val="00AC5172"/>
    <w:rsid w:val="00AC52F3"/>
    <w:rsid w:val="00AC53D9"/>
    <w:rsid w:val="00AC5470"/>
    <w:rsid w:val="00AC5711"/>
    <w:rsid w:val="00AC599D"/>
    <w:rsid w:val="00AC5B42"/>
    <w:rsid w:val="00AC5B48"/>
    <w:rsid w:val="00AC5ED6"/>
    <w:rsid w:val="00AC607D"/>
    <w:rsid w:val="00AC6387"/>
    <w:rsid w:val="00AC664A"/>
    <w:rsid w:val="00AC679A"/>
    <w:rsid w:val="00AC69AF"/>
    <w:rsid w:val="00AC6C0B"/>
    <w:rsid w:val="00AC6DB5"/>
    <w:rsid w:val="00AC72D5"/>
    <w:rsid w:val="00AC76FB"/>
    <w:rsid w:val="00AC7D1F"/>
    <w:rsid w:val="00AC7DF7"/>
    <w:rsid w:val="00AD12C7"/>
    <w:rsid w:val="00AD1315"/>
    <w:rsid w:val="00AD1450"/>
    <w:rsid w:val="00AD15E8"/>
    <w:rsid w:val="00AD1978"/>
    <w:rsid w:val="00AD1C67"/>
    <w:rsid w:val="00AD1EAB"/>
    <w:rsid w:val="00AD2302"/>
    <w:rsid w:val="00AD2509"/>
    <w:rsid w:val="00AD25DA"/>
    <w:rsid w:val="00AD2837"/>
    <w:rsid w:val="00AD2B37"/>
    <w:rsid w:val="00AD2E6F"/>
    <w:rsid w:val="00AD2EC3"/>
    <w:rsid w:val="00AD356D"/>
    <w:rsid w:val="00AD3757"/>
    <w:rsid w:val="00AD3B27"/>
    <w:rsid w:val="00AD3C99"/>
    <w:rsid w:val="00AD3E66"/>
    <w:rsid w:val="00AD3FB4"/>
    <w:rsid w:val="00AD465C"/>
    <w:rsid w:val="00AD471E"/>
    <w:rsid w:val="00AD479C"/>
    <w:rsid w:val="00AD4A38"/>
    <w:rsid w:val="00AD4D01"/>
    <w:rsid w:val="00AD56E2"/>
    <w:rsid w:val="00AD5AFE"/>
    <w:rsid w:val="00AD5B07"/>
    <w:rsid w:val="00AD6502"/>
    <w:rsid w:val="00AD6668"/>
    <w:rsid w:val="00AD6A80"/>
    <w:rsid w:val="00AD6ABF"/>
    <w:rsid w:val="00AD6B0A"/>
    <w:rsid w:val="00AD70DC"/>
    <w:rsid w:val="00AD79BB"/>
    <w:rsid w:val="00AD7E06"/>
    <w:rsid w:val="00AE0136"/>
    <w:rsid w:val="00AE0151"/>
    <w:rsid w:val="00AE01BE"/>
    <w:rsid w:val="00AE02F4"/>
    <w:rsid w:val="00AE03A2"/>
    <w:rsid w:val="00AE043E"/>
    <w:rsid w:val="00AE04C7"/>
    <w:rsid w:val="00AE05BF"/>
    <w:rsid w:val="00AE0695"/>
    <w:rsid w:val="00AE06C1"/>
    <w:rsid w:val="00AE0986"/>
    <w:rsid w:val="00AE0B43"/>
    <w:rsid w:val="00AE129A"/>
    <w:rsid w:val="00AE149C"/>
    <w:rsid w:val="00AE190F"/>
    <w:rsid w:val="00AE1B7B"/>
    <w:rsid w:val="00AE1D43"/>
    <w:rsid w:val="00AE20B1"/>
    <w:rsid w:val="00AE20F3"/>
    <w:rsid w:val="00AE27C5"/>
    <w:rsid w:val="00AE2E72"/>
    <w:rsid w:val="00AE2EAC"/>
    <w:rsid w:val="00AE3225"/>
    <w:rsid w:val="00AE32E6"/>
    <w:rsid w:val="00AE3562"/>
    <w:rsid w:val="00AE37C0"/>
    <w:rsid w:val="00AE3B50"/>
    <w:rsid w:val="00AE3C9E"/>
    <w:rsid w:val="00AE3E7E"/>
    <w:rsid w:val="00AE3ED7"/>
    <w:rsid w:val="00AE4091"/>
    <w:rsid w:val="00AE41F4"/>
    <w:rsid w:val="00AE4D35"/>
    <w:rsid w:val="00AE505B"/>
    <w:rsid w:val="00AE57A5"/>
    <w:rsid w:val="00AE58C0"/>
    <w:rsid w:val="00AE5A82"/>
    <w:rsid w:val="00AE5DF0"/>
    <w:rsid w:val="00AE6F14"/>
    <w:rsid w:val="00AE71E5"/>
    <w:rsid w:val="00AE7256"/>
    <w:rsid w:val="00AE726B"/>
    <w:rsid w:val="00AE7369"/>
    <w:rsid w:val="00AE748D"/>
    <w:rsid w:val="00AE7955"/>
    <w:rsid w:val="00AE7C51"/>
    <w:rsid w:val="00AE7E53"/>
    <w:rsid w:val="00AF118E"/>
    <w:rsid w:val="00AF1241"/>
    <w:rsid w:val="00AF1315"/>
    <w:rsid w:val="00AF169C"/>
    <w:rsid w:val="00AF19BF"/>
    <w:rsid w:val="00AF1C8C"/>
    <w:rsid w:val="00AF21C4"/>
    <w:rsid w:val="00AF22C6"/>
    <w:rsid w:val="00AF23F5"/>
    <w:rsid w:val="00AF2495"/>
    <w:rsid w:val="00AF2534"/>
    <w:rsid w:val="00AF2B85"/>
    <w:rsid w:val="00AF2D5D"/>
    <w:rsid w:val="00AF2DC3"/>
    <w:rsid w:val="00AF2F0A"/>
    <w:rsid w:val="00AF3223"/>
    <w:rsid w:val="00AF3413"/>
    <w:rsid w:val="00AF34E6"/>
    <w:rsid w:val="00AF39FE"/>
    <w:rsid w:val="00AF3E8B"/>
    <w:rsid w:val="00AF43B1"/>
    <w:rsid w:val="00AF59A7"/>
    <w:rsid w:val="00AF5C26"/>
    <w:rsid w:val="00AF5CD6"/>
    <w:rsid w:val="00AF6598"/>
    <w:rsid w:val="00AF6636"/>
    <w:rsid w:val="00AF6C31"/>
    <w:rsid w:val="00AF72FA"/>
    <w:rsid w:val="00AF7567"/>
    <w:rsid w:val="00AF7D34"/>
    <w:rsid w:val="00B001BC"/>
    <w:rsid w:val="00B00406"/>
    <w:rsid w:val="00B0048F"/>
    <w:rsid w:val="00B00757"/>
    <w:rsid w:val="00B0085A"/>
    <w:rsid w:val="00B008CC"/>
    <w:rsid w:val="00B00D3D"/>
    <w:rsid w:val="00B00DBC"/>
    <w:rsid w:val="00B01159"/>
    <w:rsid w:val="00B0136F"/>
    <w:rsid w:val="00B01A66"/>
    <w:rsid w:val="00B01A98"/>
    <w:rsid w:val="00B01C85"/>
    <w:rsid w:val="00B022F8"/>
    <w:rsid w:val="00B02316"/>
    <w:rsid w:val="00B025E7"/>
    <w:rsid w:val="00B02AEC"/>
    <w:rsid w:val="00B032A2"/>
    <w:rsid w:val="00B033E5"/>
    <w:rsid w:val="00B03462"/>
    <w:rsid w:val="00B034B7"/>
    <w:rsid w:val="00B0353F"/>
    <w:rsid w:val="00B03640"/>
    <w:rsid w:val="00B03671"/>
    <w:rsid w:val="00B03835"/>
    <w:rsid w:val="00B03A63"/>
    <w:rsid w:val="00B03C0B"/>
    <w:rsid w:val="00B03EAD"/>
    <w:rsid w:val="00B0417C"/>
    <w:rsid w:val="00B04328"/>
    <w:rsid w:val="00B043DA"/>
    <w:rsid w:val="00B045B0"/>
    <w:rsid w:val="00B05043"/>
    <w:rsid w:val="00B055BA"/>
    <w:rsid w:val="00B0578F"/>
    <w:rsid w:val="00B05C89"/>
    <w:rsid w:val="00B05D32"/>
    <w:rsid w:val="00B05EE6"/>
    <w:rsid w:val="00B06382"/>
    <w:rsid w:val="00B06573"/>
    <w:rsid w:val="00B065F9"/>
    <w:rsid w:val="00B066EA"/>
    <w:rsid w:val="00B067FD"/>
    <w:rsid w:val="00B07098"/>
    <w:rsid w:val="00B078A9"/>
    <w:rsid w:val="00B07A7D"/>
    <w:rsid w:val="00B07BE5"/>
    <w:rsid w:val="00B07F67"/>
    <w:rsid w:val="00B10081"/>
    <w:rsid w:val="00B10098"/>
    <w:rsid w:val="00B100EA"/>
    <w:rsid w:val="00B10150"/>
    <w:rsid w:val="00B1015D"/>
    <w:rsid w:val="00B1028C"/>
    <w:rsid w:val="00B10696"/>
    <w:rsid w:val="00B10757"/>
    <w:rsid w:val="00B10A45"/>
    <w:rsid w:val="00B10D7C"/>
    <w:rsid w:val="00B10DEC"/>
    <w:rsid w:val="00B11217"/>
    <w:rsid w:val="00B113BB"/>
    <w:rsid w:val="00B114EB"/>
    <w:rsid w:val="00B1196A"/>
    <w:rsid w:val="00B11CFE"/>
    <w:rsid w:val="00B1218E"/>
    <w:rsid w:val="00B126A9"/>
    <w:rsid w:val="00B1284F"/>
    <w:rsid w:val="00B1285C"/>
    <w:rsid w:val="00B128F1"/>
    <w:rsid w:val="00B129A4"/>
    <w:rsid w:val="00B12B7E"/>
    <w:rsid w:val="00B12CAD"/>
    <w:rsid w:val="00B12DA6"/>
    <w:rsid w:val="00B12FD5"/>
    <w:rsid w:val="00B130F6"/>
    <w:rsid w:val="00B13177"/>
    <w:rsid w:val="00B13D5D"/>
    <w:rsid w:val="00B1434F"/>
    <w:rsid w:val="00B1493D"/>
    <w:rsid w:val="00B15078"/>
    <w:rsid w:val="00B150DD"/>
    <w:rsid w:val="00B151D0"/>
    <w:rsid w:val="00B15476"/>
    <w:rsid w:val="00B15C37"/>
    <w:rsid w:val="00B15DA6"/>
    <w:rsid w:val="00B1618F"/>
    <w:rsid w:val="00B1629A"/>
    <w:rsid w:val="00B163A3"/>
    <w:rsid w:val="00B1696C"/>
    <w:rsid w:val="00B16B9E"/>
    <w:rsid w:val="00B16CC9"/>
    <w:rsid w:val="00B16E5B"/>
    <w:rsid w:val="00B16FC8"/>
    <w:rsid w:val="00B1705A"/>
    <w:rsid w:val="00B175E4"/>
    <w:rsid w:val="00B20084"/>
    <w:rsid w:val="00B200D2"/>
    <w:rsid w:val="00B2016E"/>
    <w:rsid w:val="00B201A4"/>
    <w:rsid w:val="00B201D1"/>
    <w:rsid w:val="00B20460"/>
    <w:rsid w:val="00B2053D"/>
    <w:rsid w:val="00B20638"/>
    <w:rsid w:val="00B211D8"/>
    <w:rsid w:val="00B21274"/>
    <w:rsid w:val="00B213A6"/>
    <w:rsid w:val="00B213C4"/>
    <w:rsid w:val="00B21476"/>
    <w:rsid w:val="00B231F8"/>
    <w:rsid w:val="00B23254"/>
    <w:rsid w:val="00B235B0"/>
    <w:rsid w:val="00B23799"/>
    <w:rsid w:val="00B23ADA"/>
    <w:rsid w:val="00B23C80"/>
    <w:rsid w:val="00B23F98"/>
    <w:rsid w:val="00B23FB0"/>
    <w:rsid w:val="00B24128"/>
    <w:rsid w:val="00B2451F"/>
    <w:rsid w:val="00B2464A"/>
    <w:rsid w:val="00B24833"/>
    <w:rsid w:val="00B24DBC"/>
    <w:rsid w:val="00B24DF6"/>
    <w:rsid w:val="00B24EFF"/>
    <w:rsid w:val="00B2500E"/>
    <w:rsid w:val="00B2543C"/>
    <w:rsid w:val="00B254F9"/>
    <w:rsid w:val="00B25ED6"/>
    <w:rsid w:val="00B26113"/>
    <w:rsid w:val="00B264FE"/>
    <w:rsid w:val="00B265CA"/>
    <w:rsid w:val="00B267C7"/>
    <w:rsid w:val="00B26ADA"/>
    <w:rsid w:val="00B27A61"/>
    <w:rsid w:val="00B30288"/>
    <w:rsid w:val="00B30EB0"/>
    <w:rsid w:val="00B30FDE"/>
    <w:rsid w:val="00B311BE"/>
    <w:rsid w:val="00B312FD"/>
    <w:rsid w:val="00B317F1"/>
    <w:rsid w:val="00B31891"/>
    <w:rsid w:val="00B319FF"/>
    <w:rsid w:val="00B31BA5"/>
    <w:rsid w:val="00B325B8"/>
    <w:rsid w:val="00B3291E"/>
    <w:rsid w:val="00B3299A"/>
    <w:rsid w:val="00B32CE8"/>
    <w:rsid w:val="00B32E4E"/>
    <w:rsid w:val="00B32F54"/>
    <w:rsid w:val="00B330FD"/>
    <w:rsid w:val="00B332BA"/>
    <w:rsid w:val="00B332ED"/>
    <w:rsid w:val="00B334E2"/>
    <w:rsid w:val="00B335D5"/>
    <w:rsid w:val="00B335E2"/>
    <w:rsid w:val="00B33726"/>
    <w:rsid w:val="00B3376F"/>
    <w:rsid w:val="00B3394F"/>
    <w:rsid w:val="00B33B95"/>
    <w:rsid w:val="00B34237"/>
    <w:rsid w:val="00B34340"/>
    <w:rsid w:val="00B345CA"/>
    <w:rsid w:val="00B34905"/>
    <w:rsid w:val="00B34914"/>
    <w:rsid w:val="00B34B8C"/>
    <w:rsid w:val="00B34BE1"/>
    <w:rsid w:val="00B34D63"/>
    <w:rsid w:val="00B34FE2"/>
    <w:rsid w:val="00B35166"/>
    <w:rsid w:val="00B351E5"/>
    <w:rsid w:val="00B35460"/>
    <w:rsid w:val="00B3571D"/>
    <w:rsid w:val="00B357D8"/>
    <w:rsid w:val="00B35961"/>
    <w:rsid w:val="00B35A78"/>
    <w:rsid w:val="00B35B71"/>
    <w:rsid w:val="00B35C54"/>
    <w:rsid w:val="00B35D9E"/>
    <w:rsid w:val="00B360F4"/>
    <w:rsid w:val="00B36508"/>
    <w:rsid w:val="00B36744"/>
    <w:rsid w:val="00B36853"/>
    <w:rsid w:val="00B36A00"/>
    <w:rsid w:val="00B36A4C"/>
    <w:rsid w:val="00B36D0F"/>
    <w:rsid w:val="00B36F42"/>
    <w:rsid w:val="00B3792B"/>
    <w:rsid w:val="00B37BFC"/>
    <w:rsid w:val="00B40358"/>
    <w:rsid w:val="00B40535"/>
    <w:rsid w:val="00B405E5"/>
    <w:rsid w:val="00B40AAA"/>
    <w:rsid w:val="00B40D97"/>
    <w:rsid w:val="00B4103E"/>
    <w:rsid w:val="00B41071"/>
    <w:rsid w:val="00B41514"/>
    <w:rsid w:val="00B41614"/>
    <w:rsid w:val="00B416F6"/>
    <w:rsid w:val="00B41723"/>
    <w:rsid w:val="00B418E9"/>
    <w:rsid w:val="00B41CFC"/>
    <w:rsid w:val="00B421BE"/>
    <w:rsid w:val="00B421CB"/>
    <w:rsid w:val="00B424CC"/>
    <w:rsid w:val="00B42821"/>
    <w:rsid w:val="00B42851"/>
    <w:rsid w:val="00B42CBD"/>
    <w:rsid w:val="00B42F80"/>
    <w:rsid w:val="00B435CB"/>
    <w:rsid w:val="00B43861"/>
    <w:rsid w:val="00B43C0C"/>
    <w:rsid w:val="00B4406C"/>
    <w:rsid w:val="00B4414C"/>
    <w:rsid w:val="00B442F1"/>
    <w:rsid w:val="00B44841"/>
    <w:rsid w:val="00B4490C"/>
    <w:rsid w:val="00B44A94"/>
    <w:rsid w:val="00B44D0F"/>
    <w:rsid w:val="00B44D7C"/>
    <w:rsid w:val="00B45588"/>
    <w:rsid w:val="00B45752"/>
    <w:rsid w:val="00B45E0D"/>
    <w:rsid w:val="00B45EC7"/>
    <w:rsid w:val="00B465EC"/>
    <w:rsid w:val="00B469D4"/>
    <w:rsid w:val="00B46AEB"/>
    <w:rsid w:val="00B47041"/>
    <w:rsid w:val="00B4712E"/>
    <w:rsid w:val="00B472CD"/>
    <w:rsid w:val="00B47744"/>
    <w:rsid w:val="00B5019C"/>
    <w:rsid w:val="00B5033E"/>
    <w:rsid w:val="00B5035E"/>
    <w:rsid w:val="00B505C8"/>
    <w:rsid w:val="00B50757"/>
    <w:rsid w:val="00B50976"/>
    <w:rsid w:val="00B509D7"/>
    <w:rsid w:val="00B50DB8"/>
    <w:rsid w:val="00B51A21"/>
    <w:rsid w:val="00B52004"/>
    <w:rsid w:val="00B52158"/>
    <w:rsid w:val="00B52A9B"/>
    <w:rsid w:val="00B52AC4"/>
    <w:rsid w:val="00B52E98"/>
    <w:rsid w:val="00B52F74"/>
    <w:rsid w:val="00B53322"/>
    <w:rsid w:val="00B5341E"/>
    <w:rsid w:val="00B53654"/>
    <w:rsid w:val="00B53905"/>
    <w:rsid w:val="00B53B71"/>
    <w:rsid w:val="00B53E59"/>
    <w:rsid w:val="00B5430E"/>
    <w:rsid w:val="00B54400"/>
    <w:rsid w:val="00B54530"/>
    <w:rsid w:val="00B546DB"/>
    <w:rsid w:val="00B54785"/>
    <w:rsid w:val="00B5488D"/>
    <w:rsid w:val="00B54B5B"/>
    <w:rsid w:val="00B5557A"/>
    <w:rsid w:val="00B5562E"/>
    <w:rsid w:val="00B55685"/>
    <w:rsid w:val="00B55862"/>
    <w:rsid w:val="00B55A2B"/>
    <w:rsid w:val="00B55BC5"/>
    <w:rsid w:val="00B55C76"/>
    <w:rsid w:val="00B55D65"/>
    <w:rsid w:val="00B56013"/>
    <w:rsid w:val="00B5627B"/>
    <w:rsid w:val="00B56305"/>
    <w:rsid w:val="00B566A3"/>
    <w:rsid w:val="00B56ABA"/>
    <w:rsid w:val="00B56BC5"/>
    <w:rsid w:val="00B56F79"/>
    <w:rsid w:val="00B57000"/>
    <w:rsid w:val="00B57199"/>
    <w:rsid w:val="00B573C0"/>
    <w:rsid w:val="00B57599"/>
    <w:rsid w:val="00B5776C"/>
    <w:rsid w:val="00B57A78"/>
    <w:rsid w:val="00B57CC3"/>
    <w:rsid w:val="00B57CF6"/>
    <w:rsid w:val="00B60712"/>
    <w:rsid w:val="00B6090D"/>
    <w:rsid w:val="00B60939"/>
    <w:rsid w:val="00B60AFD"/>
    <w:rsid w:val="00B60B5E"/>
    <w:rsid w:val="00B60CC4"/>
    <w:rsid w:val="00B60E4C"/>
    <w:rsid w:val="00B60EDC"/>
    <w:rsid w:val="00B6112D"/>
    <w:rsid w:val="00B61435"/>
    <w:rsid w:val="00B6159C"/>
    <w:rsid w:val="00B61D13"/>
    <w:rsid w:val="00B61F72"/>
    <w:rsid w:val="00B62674"/>
    <w:rsid w:val="00B62715"/>
    <w:rsid w:val="00B62F77"/>
    <w:rsid w:val="00B62FBE"/>
    <w:rsid w:val="00B630A1"/>
    <w:rsid w:val="00B633F5"/>
    <w:rsid w:val="00B639A8"/>
    <w:rsid w:val="00B63A77"/>
    <w:rsid w:val="00B64166"/>
    <w:rsid w:val="00B643A5"/>
    <w:rsid w:val="00B646E6"/>
    <w:rsid w:val="00B64A3A"/>
    <w:rsid w:val="00B64D9C"/>
    <w:rsid w:val="00B64EE5"/>
    <w:rsid w:val="00B65102"/>
    <w:rsid w:val="00B6515B"/>
    <w:rsid w:val="00B65229"/>
    <w:rsid w:val="00B65611"/>
    <w:rsid w:val="00B658B6"/>
    <w:rsid w:val="00B65C16"/>
    <w:rsid w:val="00B660AA"/>
    <w:rsid w:val="00B6617E"/>
    <w:rsid w:val="00B6656D"/>
    <w:rsid w:val="00B67572"/>
    <w:rsid w:val="00B70867"/>
    <w:rsid w:val="00B70898"/>
    <w:rsid w:val="00B70B37"/>
    <w:rsid w:val="00B70E8E"/>
    <w:rsid w:val="00B7115C"/>
    <w:rsid w:val="00B714E3"/>
    <w:rsid w:val="00B718AF"/>
    <w:rsid w:val="00B71C1A"/>
    <w:rsid w:val="00B72267"/>
    <w:rsid w:val="00B72634"/>
    <w:rsid w:val="00B72B47"/>
    <w:rsid w:val="00B72C2D"/>
    <w:rsid w:val="00B72D09"/>
    <w:rsid w:val="00B72E4A"/>
    <w:rsid w:val="00B72E9D"/>
    <w:rsid w:val="00B72FE5"/>
    <w:rsid w:val="00B73214"/>
    <w:rsid w:val="00B738A3"/>
    <w:rsid w:val="00B73CEE"/>
    <w:rsid w:val="00B740C5"/>
    <w:rsid w:val="00B74446"/>
    <w:rsid w:val="00B745BE"/>
    <w:rsid w:val="00B74991"/>
    <w:rsid w:val="00B74BDE"/>
    <w:rsid w:val="00B751F4"/>
    <w:rsid w:val="00B75431"/>
    <w:rsid w:val="00B7584B"/>
    <w:rsid w:val="00B75927"/>
    <w:rsid w:val="00B76AEA"/>
    <w:rsid w:val="00B76C92"/>
    <w:rsid w:val="00B76D2E"/>
    <w:rsid w:val="00B76E27"/>
    <w:rsid w:val="00B7724C"/>
    <w:rsid w:val="00B772C2"/>
    <w:rsid w:val="00B77617"/>
    <w:rsid w:val="00B77CB8"/>
    <w:rsid w:val="00B77E0E"/>
    <w:rsid w:val="00B8008E"/>
    <w:rsid w:val="00B80633"/>
    <w:rsid w:val="00B80C88"/>
    <w:rsid w:val="00B80EFD"/>
    <w:rsid w:val="00B81111"/>
    <w:rsid w:val="00B81137"/>
    <w:rsid w:val="00B813B2"/>
    <w:rsid w:val="00B813C9"/>
    <w:rsid w:val="00B817EE"/>
    <w:rsid w:val="00B818A4"/>
    <w:rsid w:val="00B819C0"/>
    <w:rsid w:val="00B81F20"/>
    <w:rsid w:val="00B81F4B"/>
    <w:rsid w:val="00B8222F"/>
    <w:rsid w:val="00B82433"/>
    <w:rsid w:val="00B8269B"/>
    <w:rsid w:val="00B827F8"/>
    <w:rsid w:val="00B8286C"/>
    <w:rsid w:val="00B8299D"/>
    <w:rsid w:val="00B830F4"/>
    <w:rsid w:val="00B832E9"/>
    <w:rsid w:val="00B8348D"/>
    <w:rsid w:val="00B83739"/>
    <w:rsid w:val="00B83763"/>
    <w:rsid w:val="00B8384E"/>
    <w:rsid w:val="00B84117"/>
    <w:rsid w:val="00B84BAE"/>
    <w:rsid w:val="00B84C9E"/>
    <w:rsid w:val="00B85332"/>
    <w:rsid w:val="00B85744"/>
    <w:rsid w:val="00B858F0"/>
    <w:rsid w:val="00B85970"/>
    <w:rsid w:val="00B85AA2"/>
    <w:rsid w:val="00B85DB1"/>
    <w:rsid w:val="00B8615C"/>
    <w:rsid w:val="00B86235"/>
    <w:rsid w:val="00B86292"/>
    <w:rsid w:val="00B863A3"/>
    <w:rsid w:val="00B8649C"/>
    <w:rsid w:val="00B86662"/>
    <w:rsid w:val="00B8695D"/>
    <w:rsid w:val="00B86BB2"/>
    <w:rsid w:val="00B870AF"/>
    <w:rsid w:val="00B873DA"/>
    <w:rsid w:val="00B877EF"/>
    <w:rsid w:val="00B8788A"/>
    <w:rsid w:val="00B87AEB"/>
    <w:rsid w:val="00B87C34"/>
    <w:rsid w:val="00B87F0A"/>
    <w:rsid w:val="00B9004D"/>
    <w:rsid w:val="00B9014C"/>
    <w:rsid w:val="00B90311"/>
    <w:rsid w:val="00B903EC"/>
    <w:rsid w:val="00B90642"/>
    <w:rsid w:val="00B90D0F"/>
    <w:rsid w:val="00B911EC"/>
    <w:rsid w:val="00B914FD"/>
    <w:rsid w:val="00B9161F"/>
    <w:rsid w:val="00B916BC"/>
    <w:rsid w:val="00B916C2"/>
    <w:rsid w:val="00B9190B"/>
    <w:rsid w:val="00B919A0"/>
    <w:rsid w:val="00B91A5A"/>
    <w:rsid w:val="00B91D77"/>
    <w:rsid w:val="00B91F5C"/>
    <w:rsid w:val="00B91F80"/>
    <w:rsid w:val="00B91FB1"/>
    <w:rsid w:val="00B91FB4"/>
    <w:rsid w:val="00B925D8"/>
    <w:rsid w:val="00B92983"/>
    <w:rsid w:val="00B92D0B"/>
    <w:rsid w:val="00B92D64"/>
    <w:rsid w:val="00B9356C"/>
    <w:rsid w:val="00B93578"/>
    <w:rsid w:val="00B93CF6"/>
    <w:rsid w:val="00B93D91"/>
    <w:rsid w:val="00B93DC4"/>
    <w:rsid w:val="00B93E3A"/>
    <w:rsid w:val="00B9400E"/>
    <w:rsid w:val="00B9432C"/>
    <w:rsid w:val="00B943D0"/>
    <w:rsid w:val="00B94450"/>
    <w:rsid w:val="00B94945"/>
    <w:rsid w:val="00B94DD6"/>
    <w:rsid w:val="00B94E4C"/>
    <w:rsid w:val="00B951D7"/>
    <w:rsid w:val="00B9531E"/>
    <w:rsid w:val="00B9552A"/>
    <w:rsid w:val="00B955A1"/>
    <w:rsid w:val="00B95971"/>
    <w:rsid w:val="00B95C8D"/>
    <w:rsid w:val="00B9623B"/>
    <w:rsid w:val="00B96674"/>
    <w:rsid w:val="00B966B8"/>
    <w:rsid w:val="00B966FE"/>
    <w:rsid w:val="00B96A5F"/>
    <w:rsid w:val="00B97501"/>
    <w:rsid w:val="00B97A59"/>
    <w:rsid w:val="00B97C68"/>
    <w:rsid w:val="00B97DC6"/>
    <w:rsid w:val="00B97F41"/>
    <w:rsid w:val="00BA138D"/>
    <w:rsid w:val="00BA152B"/>
    <w:rsid w:val="00BA161C"/>
    <w:rsid w:val="00BA1B3F"/>
    <w:rsid w:val="00BA2840"/>
    <w:rsid w:val="00BA2BD2"/>
    <w:rsid w:val="00BA2D83"/>
    <w:rsid w:val="00BA2DF2"/>
    <w:rsid w:val="00BA3024"/>
    <w:rsid w:val="00BA322D"/>
    <w:rsid w:val="00BA377C"/>
    <w:rsid w:val="00BA3E5C"/>
    <w:rsid w:val="00BA479C"/>
    <w:rsid w:val="00BA4B90"/>
    <w:rsid w:val="00BA4D92"/>
    <w:rsid w:val="00BA518F"/>
    <w:rsid w:val="00BA55B3"/>
    <w:rsid w:val="00BA5A88"/>
    <w:rsid w:val="00BA5C5B"/>
    <w:rsid w:val="00BA6175"/>
    <w:rsid w:val="00BA63FA"/>
    <w:rsid w:val="00BA670A"/>
    <w:rsid w:val="00BA6A06"/>
    <w:rsid w:val="00BA6B33"/>
    <w:rsid w:val="00BA6B9A"/>
    <w:rsid w:val="00BA6FF4"/>
    <w:rsid w:val="00BA7A84"/>
    <w:rsid w:val="00BB00B3"/>
    <w:rsid w:val="00BB03F2"/>
    <w:rsid w:val="00BB0BDD"/>
    <w:rsid w:val="00BB0C70"/>
    <w:rsid w:val="00BB16A7"/>
    <w:rsid w:val="00BB176C"/>
    <w:rsid w:val="00BB2609"/>
    <w:rsid w:val="00BB28B5"/>
    <w:rsid w:val="00BB2A73"/>
    <w:rsid w:val="00BB2DBA"/>
    <w:rsid w:val="00BB3924"/>
    <w:rsid w:val="00BB3A45"/>
    <w:rsid w:val="00BB42F1"/>
    <w:rsid w:val="00BB440F"/>
    <w:rsid w:val="00BB4577"/>
    <w:rsid w:val="00BB47F4"/>
    <w:rsid w:val="00BB4865"/>
    <w:rsid w:val="00BB496B"/>
    <w:rsid w:val="00BB4A34"/>
    <w:rsid w:val="00BB4ACC"/>
    <w:rsid w:val="00BB4D34"/>
    <w:rsid w:val="00BB5100"/>
    <w:rsid w:val="00BB518A"/>
    <w:rsid w:val="00BB5865"/>
    <w:rsid w:val="00BB5EAB"/>
    <w:rsid w:val="00BB60DA"/>
    <w:rsid w:val="00BB6579"/>
    <w:rsid w:val="00BB703E"/>
    <w:rsid w:val="00BB71D2"/>
    <w:rsid w:val="00BB732D"/>
    <w:rsid w:val="00BB7405"/>
    <w:rsid w:val="00BB7501"/>
    <w:rsid w:val="00BB767F"/>
    <w:rsid w:val="00BB7907"/>
    <w:rsid w:val="00BB7B08"/>
    <w:rsid w:val="00BB7B48"/>
    <w:rsid w:val="00BB7FD7"/>
    <w:rsid w:val="00BC051F"/>
    <w:rsid w:val="00BC0A03"/>
    <w:rsid w:val="00BC0A38"/>
    <w:rsid w:val="00BC0ABC"/>
    <w:rsid w:val="00BC0AF9"/>
    <w:rsid w:val="00BC0D1B"/>
    <w:rsid w:val="00BC0EF9"/>
    <w:rsid w:val="00BC11DA"/>
    <w:rsid w:val="00BC15D7"/>
    <w:rsid w:val="00BC27B2"/>
    <w:rsid w:val="00BC27DC"/>
    <w:rsid w:val="00BC33FA"/>
    <w:rsid w:val="00BC3631"/>
    <w:rsid w:val="00BC3CA6"/>
    <w:rsid w:val="00BC4A09"/>
    <w:rsid w:val="00BC4AEE"/>
    <w:rsid w:val="00BC4D86"/>
    <w:rsid w:val="00BC511D"/>
    <w:rsid w:val="00BC5153"/>
    <w:rsid w:val="00BC52F0"/>
    <w:rsid w:val="00BC57E5"/>
    <w:rsid w:val="00BC591F"/>
    <w:rsid w:val="00BC59B9"/>
    <w:rsid w:val="00BC5A74"/>
    <w:rsid w:val="00BC5B20"/>
    <w:rsid w:val="00BC5B4D"/>
    <w:rsid w:val="00BC5E50"/>
    <w:rsid w:val="00BC60A1"/>
    <w:rsid w:val="00BC6532"/>
    <w:rsid w:val="00BC66E7"/>
    <w:rsid w:val="00BC6CBB"/>
    <w:rsid w:val="00BC6D4D"/>
    <w:rsid w:val="00BC711E"/>
    <w:rsid w:val="00BC74CA"/>
    <w:rsid w:val="00BC763C"/>
    <w:rsid w:val="00BC769B"/>
    <w:rsid w:val="00BC7B58"/>
    <w:rsid w:val="00BC7D6D"/>
    <w:rsid w:val="00BC7E89"/>
    <w:rsid w:val="00BD0259"/>
    <w:rsid w:val="00BD064C"/>
    <w:rsid w:val="00BD0CD9"/>
    <w:rsid w:val="00BD0D63"/>
    <w:rsid w:val="00BD0DEB"/>
    <w:rsid w:val="00BD0DEC"/>
    <w:rsid w:val="00BD1692"/>
    <w:rsid w:val="00BD1A0B"/>
    <w:rsid w:val="00BD20BD"/>
    <w:rsid w:val="00BD2108"/>
    <w:rsid w:val="00BD2277"/>
    <w:rsid w:val="00BD23A2"/>
    <w:rsid w:val="00BD259F"/>
    <w:rsid w:val="00BD2D0E"/>
    <w:rsid w:val="00BD343B"/>
    <w:rsid w:val="00BD3547"/>
    <w:rsid w:val="00BD3D66"/>
    <w:rsid w:val="00BD3F3E"/>
    <w:rsid w:val="00BD4030"/>
    <w:rsid w:val="00BD4216"/>
    <w:rsid w:val="00BD4710"/>
    <w:rsid w:val="00BD49D5"/>
    <w:rsid w:val="00BD5039"/>
    <w:rsid w:val="00BD5849"/>
    <w:rsid w:val="00BD5A9E"/>
    <w:rsid w:val="00BD5D17"/>
    <w:rsid w:val="00BD63EA"/>
    <w:rsid w:val="00BD68A3"/>
    <w:rsid w:val="00BD6938"/>
    <w:rsid w:val="00BD6B62"/>
    <w:rsid w:val="00BD6CF3"/>
    <w:rsid w:val="00BD6E60"/>
    <w:rsid w:val="00BD6E64"/>
    <w:rsid w:val="00BD7177"/>
    <w:rsid w:val="00BD7511"/>
    <w:rsid w:val="00BD77F7"/>
    <w:rsid w:val="00BD797C"/>
    <w:rsid w:val="00BD7D2C"/>
    <w:rsid w:val="00BD7F72"/>
    <w:rsid w:val="00BE0017"/>
    <w:rsid w:val="00BE003A"/>
    <w:rsid w:val="00BE02C7"/>
    <w:rsid w:val="00BE04BD"/>
    <w:rsid w:val="00BE0608"/>
    <w:rsid w:val="00BE06B7"/>
    <w:rsid w:val="00BE0C52"/>
    <w:rsid w:val="00BE0E28"/>
    <w:rsid w:val="00BE0ECA"/>
    <w:rsid w:val="00BE1343"/>
    <w:rsid w:val="00BE1644"/>
    <w:rsid w:val="00BE1C7D"/>
    <w:rsid w:val="00BE1D4D"/>
    <w:rsid w:val="00BE2180"/>
    <w:rsid w:val="00BE21F2"/>
    <w:rsid w:val="00BE229C"/>
    <w:rsid w:val="00BE308D"/>
    <w:rsid w:val="00BE3104"/>
    <w:rsid w:val="00BE31C3"/>
    <w:rsid w:val="00BE3252"/>
    <w:rsid w:val="00BE33D3"/>
    <w:rsid w:val="00BE3878"/>
    <w:rsid w:val="00BE39C1"/>
    <w:rsid w:val="00BE3B04"/>
    <w:rsid w:val="00BE4275"/>
    <w:rsid w:val="00BE4631"/>
    <w:rsid w:val="00BE474A"/>
    <w:rsid w:val="00BE479E"/>
    <w:rsid w:val="00BE488C"/>
    <w:rsid w:val="00BE56F0"/>
    <w:rsid w:val="00BE599D"/>
    <w:rsid w:val="00BE59BD"/>
    <w:rsid w:val="00BE5C18"/>
    <w:rsid w:val="00BE5F15"/>
    <w:rsid w:val="00BE670C"/>
    <w:rsid w:val="00BE68EF"/>
    <w:rsid w:val="00BE69CE"/>
    <w:rsid w:val="00BE69F9"/>
    <w:rsid w:val="00BE72DE"/>
    <w:rsid w:val="00BE7586"/>
    <w:rsid w:val="00BE77FA"/>
    <w:rsid w:val="00BE7946"/>
    <w:rsid w:val="00BE7CC7"/>
    <w:rsid w:val="00BE7FB6"/>
    <w:rsid w:val="00BF0682"/>
    <w:rsid w:val="00BF06AE"/>
    <w:rsid w:val="00BF0D28"/>
    <w:rsid w:val="00BF0E1A"/>
    <w:rsid w:val="00BF0F1A"/>
    <w:rsid w:val="00BF0F95"/>
    <w:rsid w:val="00BF1502"/>
    <w:rsid w:val="00BF1743"/>
    <w:rsid w:val="00BF1765"/>
    <w:rsid w:val="00BF17B6"/>
    <w:rsid w:val="00BF18A6"/>
    <w:rsid w:val="00BF1C62"/>
    <w:rsid w:val="00BF212C"/>
    <w:rsid w:val="00BF235D"/>
    <w:rsid w:val="00BF2433"/>
    <w:rsid w:val="00BF2978"/>
    <w:rsid w:val="00BF2E6E"/>
    <w:rsid w:val="00BF3247"/>
    <w:rsid w:val="00BF34AF"/>
    <w:rsid w:val="00BF3605"/>
    <w:rsid w:val="00BF3ADB"/>
    <w:rsid w:val="00BF4682"/>
    <w:rsid w:val="00BF4BA3"/>
    <w:rsid w:val="00BF4F13"/>
    <w:rsid w:val="00BF5FBE"/>
    <w:rsid w:val="00BF613A"/>
    <w:rsid w:val="00BF61C9"/>
    <w:rsid w:val="00BF66F2"/>
    <w:rsid w:val="00BF6C94"/>
    <w:rsid w:val="00BF6D97"/>
    <w:rsid w:val="00BF6F3D"/>
    <w:rsid w:val="00BF73E2"/>
    <w:rsid w:val="00BF74B5"/>
    <w:rsid w:val="00BF7A72"/>
    <w:rsid w:val="00BF7CF7"/>
    <w:rsid w:val="00BF7E38"/>
    <w:rsid w:val="00BF7EF9"/>
    <w:rsid w:val="00C000DE"/>
    <w:rsid w:val="00C0027C"/>
    <w:rsid w:val="00C00424"/>
    <w:rsid w:val="00C00A6E"/>
    <w:rsid w:val="00C00B72"/>
    <w:rsid w:val="00C00BB0"/>
    <w:rsid w:val="00C01000"/>
    <w:rsid w:val="00C01200"/>
    <w:rsid w:val="00C01270"/>
    <w:rsid w:val="00C01B34"/>
    <w:rsid w:val="00C01BC3"/>
    <w:rsid w:val="00C01C76"/>
    <w:rsid w:val="00C01C9D"/>
    <w:rsid w:val="00C01E5B"/>
    <w:rsid w:val="00C0236C"/>
    <w:rsid w:val="00C024CA"/>
    <w:rsid w:val="00C02F0D"/>
    <w:rsid w:val="00C033C8"/>
    <w:rsid w:val="00C036E8"/>
    <w:rsid w:val="00C03721"/>
    <w:rsid w:val="00C03780"/>
    <w:rsid w:val="00C03FBC"/>
    <w:rsid w:val="00C040D4"/>
    <w:rsid w:val="00C04AAA"/>
    <w:rsid w:val="00C04DF4"/>
    <w:rsid w:val="00C050DB"/>
    <w:rsid w:val="00C05155"/>
    <w:rsid w:val="00C05566"/>
    <w:rsid w:val="00C05581"/>
    <w:rsid w:val="00C05887"/>
    <w:rsid w:val="00C05906"/>
    <w:rsid w:val="00C05A58"/>
    <w:rsid w:val="00C05C4C"/>
    <w:rsid w:val="00C06A05"/>
    <w:rsid w:val="00C06A3E"/>
    <w:rsid w:val="00C07491"/>
    <w:rsid w:val="00C07C85"/>
    <w:rsid w:val="00C07D7D"/>
    <w:rsid w:val="00C07EF1"/>
    <w:rsid w:val="00C10514"/>
    <w:rsid w:val="00C105B9"/>
    <w:rsid w:val="00C10604"/>
    <w:rsid w:val="00C10832"/>
    <w:rsid w:val="00C10B48"/>
    <w:rsid w:val="00C10BD4"/>
    <w:rsid w:val="00C10FD8"/>
    <w:rsid w:val="00C11254"/>
    <w:rsid w:val="00C114FF"/>
    <w:rsid w:val="00C1179F"/>
    <w:rsid w:val="00C11CCA"/>
    <w:rsid w:val="00C11D7E"/>
    <w:rsid w:val="00C11FD4"/>
    <w:rsid w:val="00C1226A"/>
    <w:rsid w:val="00C1259A"/>
    <w:rsid w:val="00C127B9"/>
    <w:rsid w:val="00C128FA"/>
    <w:rsid w:val="00C12AEA"/>
    <w:rsid w:val="00C12BCB"/>
    <w:rsid w:val="00C12C14"/>
    <w:rsid w:val="00C12C3C"/>
    <w:rsid w:val="00C136B3"/>
    <w:rsid w:val="00C14142"/>
    <w:rsid w:val="00C1436F"/>
    <w:rsid w:val="00C14891"/>
    <w:rsid w:val="00C14B70"/>
    <w:rsid w:val="00C14C9F"/>
    <w:rsid w:val="00C14F3F"/>
    <w:rsid w:val="00C15340"/>
    <w:rsid w:val="00C1541E"/>
    <w:rsid w:val="00C1581E"/>
    <w:rsid w:val="00C15F04"/>
    <w:rsid w:val="00C16378"/>
    <w:rsid w:val="00C164D8"/>
    <w:rsid w:val="00C168FA"/>
    <w:rsid w:val="00C16A89"/>
    <w:rsid w:val="00C16D75"/>
    <w:rsid w:val="00C17759"/>
    <w:rsid w:val="00C179B3"/>
    <w:rsid w:val="00C17C66"/>
    <w:rsid w:val="00C17E3F"/>
    <w:rsid w:val="00C17ED3"/>
    <w:rsid w:val="00C200AA"/>
    <w:rsid w:val="00C205A2"/>
    <w:rsid w:val="00C2080F"/>
    <w:rsid w:val="00C2093E"/>
    <w:rsid w:val="00C209CA"/>
    <w:rsid w:val="00C211DF"/>
    <w:rsid w:val="00C211E3"/>
    <w:rsid w:val="00C213CE"/>
    <w:rsid w:val="00C213F2"/>
    <w:rsid w:val="00C21736"/>
    <w:rsid w:val="00C21CFB"/>
    <w:rsid w:val="00C21EE8"/>
    <w:rsid w:val="00C21FF3"/>
    <w:rsid w:val="00C2238E"/>
    <w:rsid w:val="00C2249C"/>
    <w:rsid w:val="00C23044"/>
    <w:rsid w:val="00C23159"/>
    <w:rsid w:val="00C2319D"/>
    <w:rsid w:val="00C231E1"/>
    <w:rsid w:val="00C233E7"/>
    <w:rsid w:val="00C237ED"/>
    <w:rsid w:val="00C239D0"/>
    <w:rsid w:val="00C239F5"/>
    <w:rsid w:val="00C23F0B"/>
    <w:rsid w:val="00C240D0"/>
    <w:rsid w:val="00C24208"/>
    <w:rsid w:val="00C242E8"/>
    <w:rsid w:val="00C244E7"/>
    <w:rsid w:val="00C24632"/>
    <w:rsid w:val="00C24779"/>
    <w:rsid w:val="00C24A50"/>
    <w:rsid w:val="00C24DBA"/>
    <w:rsid w:val="00C24ECA"/>
    <w:rsid w:val="00C25028"/>
    <w:rsid w:val="00C2536E"/>
    <w:rsid w:val="00C25418"/>
    <w:rsid w:val="00C254C4"/>
    <w:rsid w:val="00C255B8"/>
    <w:rsid w:val="00C25D9C"/>
    <w:rsid w:val="00C262B3"/>
    <w:rsid w:val="00C2653F"/>
    <w:rsid w:val="00C265A2"/>
    <w:rsid w:val="00C27366"/>
    <w:rsid w:val="00C275A0"/>
    <w:rsid w:val="00C2778B"/>
    <w:rsid w:val="00C27B67"/>
    <w:rsid w:val="00C27C37"/>
    <w:rsid w:val="00C302E2"/>
    <w:rsid w:val="00C306C4"/>
    <w:rsid w:val="00C30C02"/>
    <w:rsid w:val="00C30C1E"/>
    <w:rsid w:val="00C3122B"/>
    <w:rsid w:val="00C31649"/>
    <w:rsid w:val="00C316BF"/>
    <w:rsid w:val="00C31830"/>
    <w:rsid w:val="00C321A2"/>
    <w:rsid w:val="00C321CA"/>
    <w:rsid w:val="00C32498"/>
    <w:rsid w:val="00C325CC"/>
    <w:rsid w:val="00C32E89"/>
    <w:rsid w:val="00C32F4C"/>
    <w:rsid w:val="00C333D3"/>
    <w:rsid w:val="00C33647"/>
    <w:rsid w:val="00C33967"/>
    <w:rsid w:val="00C3396A"/>
    <w:rsid w:val="00C33D8B"/>
    <w:rsid w:val="00C34096"/>
    <w:rsid w:val="00C3434C"/>
    <w:rsid w:val="00C34581"/>
    <w:rsid w:val="00C345E0"/>
    <w:rsid w:val="00C34851"/>
    <w:rsid w:val="00C34D7E"/>
    <w:rsid w:val="00C34F30"/>
    <w:rsid w:val="00C35370"/>
    <w:rsid w:val="00C354C7"/>
    <w:rsid w:val="00C3577A"/>
    <w:rsid w:val="00C35C6B"/>
    <w:rsid w:val="00C364AC"/>
    <w:rsid w:val="00C36639"/>
    <w:rsid w:val="00C36AD8"/>
    <w:rsid w:val="00C36C91"/>
    <w:rsid w:val="00C36E57"/>
    <w:rsid w:val="00C36EB6"/>
    <w:rsid w:val="00C3751B"/>
    <w:rsid w:val="00C37707"/>
    <w:rsid w:val="00C379F1"/>
    <w:rsid w:val="00C37AA6"/>
    <w:rsid w:val="00C37D01"/>
    <w:rsid w:val="00C37FBF"/>
    <w:rsid w:val="00C4023C"/>
    <w:rsid w:val="00C40385"/>
    <w:rsid w:val="00C414A4"/>
    <w:rsid w:val="00C41768"/>
    <w:rsid w:val="00C42475"/>
    <w:rsid w:val="00C42716"/>
    <w:rsid w:val="00C42762"/>
    <w:rsid w:val="00C42890"/>
    <w:rsid w:val="00C42CD1"/>
    <w:rsid w:val="00C433FC"/>
    <w:rsid w:val="00C4390D"/>
    <w:rsid w:val="00C43BD9"/>
    <w:rsid w:val="00C43EB5"/>
    <w:rsid w:val="00C442B4"/>
    <w:rsid w:val="00C44495"/>
    <w:rsid w:val="00C44568"/>
    <w:rsid w:val="00C44612"/>
    <w:rsid w:val="00C44AEC"/>
    <w:rsid w:val="00C44BFC"/>
    <w:rsid w:val="00C4513A"/>
    <w:rsid w:val="00C45CD9"/>
    <w:rsid w:val="00C45FD0"/>
    <w:rsid w:val="00C46442"/>
    <w:rsid w:val="00C46930"/>
    <w:rsid w:val="00C46BE4"/>
    <w:rsid w:val="00C46BFD"/>
    <w:rsid w:val="00C46C74"/>
    <w:rsid w:val="00C46FD1"/>
    <w:rsid w:val="00C473B6"/>
    <w:rsid w:val="00C475AA"/>
    <w:rsid w:val="00C4763A"/>
    <w:rsid w:val="00C476D1"/>
    <w:rsid w:val="00C47DFC"/>
    <w:rsid w:val="00C50623"/>
    <w:rsid w:val="00C5081F"/>
    <w:rsid w:val="00C509D8"/>
    <w:rsid w:val="00C50BC8"/>
    <w:rsid w:val="00C513BD"/>
    <w:rsid w:val="00C51637"/>
    <w:rsid w:val="00C51B17"/>
    <w:rsid w:val="00C51C2B"/>
    <w:rsid w:val="00C51DD1"/>
    <w:rsid w:val="00C52092"/>
    <w:rsid w:val="00C52186"/>
    <w:rsid w:val="00C52643"/>
    <w:rsid w:val="00C527C7"/>
    <w:rsid w:val="00C5300A"/>
    <w:rsid w:val="00C53082"/>
    <w:rsid w:val="00C53616"/>
    <w:rsid w:val="00C536C4"/>
    <w:rsid w:val="00C53C98"/>
    <w:rsid w:val="00C53EA9"/>
    <w:rsid w:val="00C54202"/>
    <w:rsid w:val="00C5424F"/>
    <w:rsid w:val="00C54392"/>
    <w:rsid w:val="00C543E8"/>
    <w:rsid w:val="00C544EA"/>
    <w:rsid w:val="00C54BA3"/>
    <w:rsid w:val="00C54DA7"/>
    <w:rsid w:val="00C54E89"/>
    <w:rsid w:val="00C5511D"/>
    <w:rsid w:val="00C5536E"/>
    <w:rsid w:val="00C556D3"/>
    <w:rsid w:val="00C556EC"/>
    <w:rsid w:val="00C567F9"/>
    <w:rsid w:val="00C56CA7"/>
    <w:rsid w:val="00C56FCF"/>
    <w:rsid w:val="00C571C1"/>
    <w:rsid w:val="00C572F6"/>
    <w:rsid w:val="00C57B6C"/>
    <w:rsid w:val="00C57DA7"/>
    <w:rsid w:val="00C6003D"/>
    <w:rsid w:val="00C60164"/>
    <w:rsid w:val="00C6022B"/>
    <w:rsid w:val="00C605FF"/>
    <w:rsid w:val="00C606F2"/>
    <w:rsid w:val="00C60918"/>
    <w:rsid w:val="00C60B61"/>
    <w:rsid w:val="00C60C2F"/>
    <w:rsid w:val="00C61027"/>
    <w:rsid w:val="00C612E0"/>
    <w:rsid w:val="00C617C7"/>
    <w:rsid w:val="00C61A59"/>
    <w:rsid w:val="00C62113"/>
    <w:rsid w:val="00C6230F"/>
    <w:rsid w:val="00C62661"/>
    <w:rsid w:val="00C628A6"/>
    <w:rsid w:val="00C62CD6"/>
    <w:rsid w:val="00C62FFD"/>
    <w:rsid w:val="00C631C8"/>
    <w:rsid w:val="00C63335"/>
    <w:rsid w:val="00C63353"/>
    <w:rsid w:val="00C63718"/>
    <w:rsid w:val="00C637F3"/>
    <w:rsid w:val="00C63F71"/>
    <w:rsid w:val="00C640FD"/>
    <w:rsid w:val="00C64344"/>
    <w:rsid w:val="00C64673"/>
    <w:rsid w:val="00C646E1"/>
    <w:rsid w:val="00C64B8A"/>
    <w:rsid w:val="00C64EF2"/>
    <w:rsid w:val="00C65108"/>
    <w:rsid w:val="00C653C1"/>
    <w:rsid w:val="00C65576"/>
    <w:rsid w:val="00C655E8"/>
    <w:rsid w:val="00C659C1"/>
    <w:rsid w:val="00C65C60"/>
    <w:rsid w:val="00C66165"/>
    <w:rsid w:val="00C665A1"/>
    <w:rsid w:val="00C66689"/>
    <w:rsid w:val="00C6671B"/>
    <w:rsid w:val="00C6676B"/>
    <w:rsid w:val="00C669B1"/>
    <w:rsid w:val="00C6704A"/>
    <w:rsid w:val="00C67735"/>
    <w:rsid w:val="00C678BC"/>
    <w:rsid w:val="00C67B20"/>
    <w:rsid w:val="00C67B50"/>
    <w:rsid w:val="00C70309"/>
    <w:rsid w:val="00C703A4"/>
    <w:rsid w:val="00C7050F"/>
    <w:rsid w:val="00C7060A"/>
    <w:rsid w:val="00C70752"/>
    <w:rsid w:val="00C70B8F"/>
    <w:rsid w:val="00C70DC1"/>
    <w:rsid w:val="00C70E0E"/>
    <w:rsid w:val="00C70E47"/>
    <w:rsid w:val="00C7100B"/>
    <w:rsid w:val="00C71035"/>
    <w:rsid w:val="00C7151A"/>
    <w:rsid w:val="00C717E3"/>
    <w:rsid w:val="00C717E4"/>
    <w:rsid w:val="00C71885"/>
    <w:rsid w:val="00C71902"/>
    <w:rsid w:val="00C71B84"/>
    <w:rsid w:val="00C71EB9"/>
    <w:rsid w:val="00C71F60"/>
    <w:rsid w:val="00C72200"/>
    <w:rsid w:val="00C72241"/>
    <w:rsid w:val="00C7230F"/>
    <w:rsid w:val="00C7240F"/>
    <w:rsid w:val="00C72612"/>
    <w:rsid w:val="00C728C1"/>
    <w:rsid w:val="00C72A37"/>
    <w:rsid w:val="00C72D5F"/>
    <w:rsid w:val="00C72EC4"/>
    <w:rsid w:val="00C734CF"/>
    <w:rsid w:val="00C7381B"/>
    <w:rsid w:val="00C73943"/>
    <w:rsid w:val="00C73AF0"/>
    <w:rsid w:val="00C7411C"/>
    <w:rsid w:val="00C7467B"/>
    <w:rsid w:val="00C74792"/>
    <w:rsid w:val="00C750C8"/>
    <w:rsid w:val="00C7560F"/>
    <w:rsid w:val="00C75AB6"/>
    <w:rsid w:val="00C7611E"/>
    <w:rsid w:val="00C768C6"/>
    <w:rsid w:val="00C76E6C"/>
    <w:rsid w:val="00C77479"/>
    <w:rsid w:val="00C77719"/>
    <w:rsid w:val="00C77A48"/>
    <w:rsid w:val="00C77D99"/>
    <w:rsid w:val="00C77F81"/>
    <w:rsid w:val="00C8024E"/>
    <w:rsid w:val="00C80392"/>
    <w:rsid w:val="00C803EC"/>
    <w:rsid w:val="00C808C7"/>
    <w:rsid w:val="00C80A0E"/>
    <w:rsid w:val="00C80B11"/>
    <w:rsid w:val="00C80B24"/>
    <w:rsid w:val="00C80E9E"/>
    <w:rsid w:val="00C81049"/>
    <w:rsid w:val="00C81970"/>
    <w:rsid w:val="00C81A82"/>
    <w:rsid w:val="00C81D0E"/>
    <w:rsid w:val="00C81D24"/>
    <w:rsid w:val="00C81EB5"/>
    <w:rsid w:val="00C8213F"/>
    <w:rsid w:val="00C8232E"/>
    <w:rsid w:val="00C82519"/>
    <w:rsid w:val="00C82629"/>
    <w:rsid w:val="00C8283B"/>
    <w:rsid w:val="00C82928"/>
    <w:rsid w:val="00C82D73"/>
    <w:rsid w:val="00C8303F"/>
    <w:rsid w:val="00C83758"/>
    <w:rsid w:val="00C83818"/>
    <w:rsid w:val="00C83EC3"/>
    <w:rsid w:val="00C840D9"/>
    <w:rsid w:val="00C842DC"/>
    <w:rsid w:val="00C8492B"/>
    <w:rsid w:val="00C85154"/>
    <w:rsid w:val="00C851AA"/>
    <w:rsid w:val="00C856EE"/>
    <w:rsid w:val="00C85A70"/>
    <w:rsid w:val="00C85D0D"/>
    <w:rsid w:val="00C863A5"/>
    <w:rsid w:val="00C865F3"/>
    <w:rsid w:val="00C8673B"/>
    <w:rsid w:val="00C86741"/>
    <w:rsid w:val="00C868C0"/>
    <w:rsid w:val="00C868FA"/>
    <w:rsid w:val="00C86A69"/>
    <w:rsid w:val="00C86C9D"/>
    <w:rsid w:val="00C871EA"/>
    <w:rsid w:val="00C87733"/>
    <w:rsid w:val="00C8797A"/>
    <w:rsid w:val="00C8798C"/>
    <w:rsid w:val="00C87A44"/>
    <w:rsid w:val="00C90087"/>
    <w:rsid w:val="00C900B8"/>
    <w:rsid w:val="00C90197"/>
    <w:rsid w:val="00C9029B"/>
    <w:rsid w:val="00C905D5"/>
    <w:rsid w:val="00C907D1"/>
    <w:rsid w:val="00C907F1"/>
    <w:rsid w:val="00C90815"/>
    <w:rsid w:val="00C90841"/>
    <w:rsid w:val="00C90B93"/>
    <w:rsid w:val="00C90C71"/>
    <w:rsid w:val="00C910E4"/>
    <w:rsid w:val="00C91925"/>
    <w:rsid w:val="00C91D0D"/>
    <w:rsid w:val="00C91F91"/>
    <w:rsid w:val="00C91FD1"/>
    <w:rsid w:val="00C92001"/>
    <w:rsid w:val="00C92002"/>
    <w:rsid w:val="00C92060"/>
    <w:rsid w:val="00C9233B"/>
    <w:rsid w:val="00C924F0"/>
    <w:rsid w:val="00C92691"/>
    <w:rsid w:val="00C93054"/>
    <w:rsid w:val="00C930ED"/>
    <w:rsid w:val="00C931CF"/>
    <w:rsid w:val="00C9321C"/>
    <w:rsid w:val="00C933BC"/>
    <w:rsid w:val="00C93528"/>
    <w:rsid w:val="00C9365C"/>
    <w:rsid w:val="00C938CF"/>
    <w:rsid w:val="00C93B1B"/>
    <w:rsid w:val="00C93B66"/>
    <w:rsid w:val="00C94053"/>
    <w:rsid w:val="00C940BA"/>
    <w:rsid w:val="00C94437"/>
    <w:rsid w:val="00C9476D"/>
    <w:rsid w:val="00C94B38"/>
    <w:rsid w:val="00C94D64"/>
    <w:rsid w:val="00C94FFA"/>
    <w:rsid w:val="00C9517B"/>
    <w:rsid w:val="00C952A3"/>
    <w:rsid w:val="00C952AF"/>
    <w:rsid w:val="00C955B3"/>
    <w:rsid w:val="00C95DDD"/>
    <w:rsid w:val="00C95FCA"/>
    <w:rsid w:val="00C960AC"/>
    <w:rsid w:val="00C9624D"/>
    <w:rsid w:val="00C9641E"/>
    <w:rsid w:val="00C969DA"/>
    <w:rsid w:val="00C9706B"/>
    <w:rsid w:val="00C972F3"/>
    <w:rsid w:val="00C97399"/>
    <w:rsid w:val="00C973FB"/>
    <w:rsid w:val="00C975D1"/>
    <w:rsid w:val="00C97872"/>
    <w:rsid w:val="00C97A24"/>
    <w:rsid w:val="00C97C14"/>
    <w:rsid w:val="00C97EF7"/>
    <w:rsid w:val="00CA0224"/>
    <w:rsid w:val="00CA0434"/>
    <w:rsid w:val="00CA0435"/>
    <w:rsid w:val="00CA08B9"/>
    <w:rsid w:val="00CA0BA6"/>
    <w:rsid w:val="00CA146E"/>
    <w:rsid w:val="00CA1717"/>
    <w:rsid w:val="00CA18E2"/>
    <w:rsid w:val="00CA194F"/>
    <w:rsid w:val="00CA1C8C"/>
    <w:rsid w:val="00CA1DCF"/>
    <w:rsid w:val="00CA1FEE"/>
    <w:rsid w:val="00CA299C"/>
    <w:rsid w:val="00CA29C0"/>
    <w:rsid w:val="00CA2C77"/>
    <w:rsid w:val="00CA2F3A"/>
    <w:rsid w:val="00CA2FB4"/>
    <w:rsid w:val="00CA3066"/>
    <w:rsid w:val="00CA311A"/>
    <w:rsid w:val="00CA32FC"/>
    <w:rsid w:val="00CA36A2"/>
    <w:rsid w:val="00CA3A7B"/>
    <w:rsid w:val="00CA444F"/>
    <w:rsid w:val="00CA4DD6"/>
    <w:rsid w:val="00CA4E45"/>
    <w:rsid w:val="00CA5245"/>
    <w:rsid w:val="00CA5318"/>
    <w:rsid w:val="00CA54F4"/>
    <w:rsid w:val="00CA5517"/>
    <w:rsid w:val="00CA5525"/>
    <w:rsid w:val="00CA57F7"/>
    <w:rsid w:val="00CA58C7"/>
    <w:rsid w:val="00CA5990"/>
    <w:rsid w:val="00CA5C00"/>
    <w:rsid w:val="00CA5D60"/>
    <w:rsid w:val="00CA61EB"/>
    <w:rsid w:val="00CA667E"/>
    <w:rsid w:val="00CA6CFF"/>
    <w:rsid w:val="00CA71F4"/>
    <w:rsid w:val="00CA72F5"/>
    <w:rsid w:val="00CA7468"/>
    <w:rsid w:val="00CA753B"/>
    <w:rsid w:val="00CA7691"/>
    <w:rsid w:val="00CA7A5E"/>
    <w:rsid w:val="00CA7B09"/>
    <w:rsid w:val="00CB00AB"/>
    <w:rsid w:val="00CB0106"/>
    <w:rsid w:val="00CB020D"/>
    <w:rsid w:val="00CB0400"/>
    <w:rsid w:val="00CB0B4E"/>
    <w:rsid w:val="00CB0D1E"/>
    <w:rsid w:val="00CB0EB3"/>
    <w:rsid w:val="00CB110E"/>
    <w:rsid w:val="00CB12A5"/>
    <w:rsid w:val="00CB1760"/>
    <w:rsid w:val="00CB18A3"/>
    <w:rsid w:val="00CB18AC"/>
    <w:rsid w:val="00CB1B70"/>
    <w:rsid w:val="00CB1BD4"/>
    <w:rsid w:val="00CB1CAC"/>
    <w:rsid w:val="00CB1EB2"/>
    <w:rsid w:val="00CB233F"/>
    <w:rsid w:val="00CB253E"/>
    <w:rsid w:val="00CB2559"/>
    <w:rsid w:val="00CB2E39"/>
    <w:rsid w:val="00CB2F2A"/>
    <w:rsid w:val="00CB324B"/>
    <w:rsid w:val="00CB35FE"/>
    <w:rsid w:val="00CB3806"/>
    <w:rsid w:val="00CB398A"/>
    <w:rsid w:val="00CB3CC1"/>
    <w:rsid w:val="00CB3DC7"/>
    <w:rsid w:val="00CB3E30"/>
    <w:rsid w:val="00CB3E71"/>
    <w:rsid w:val="00CB4774"/>
    <w:rsid w:val="00CB4B99"/>
    <w:rsid w:val="00CB4C75"/>
    <w:rsid w:val="00CB509D"/>
    <w:rsid w:val="00CB57A0"/>
    <w:rsid w:val="00CB5B1A"/>
    <w:rsid w:val="00CB5D50"/>
    <w:rsid w:val="00CB5EB7"/>
    <w:rsid w:val="00CB5F11"/>
    <w:rsid w:val="00CB61D3"/>
    <w:rsid w:val="00CB632C"/>
    <w:rsid w:val="00CB6605"/>
    <w:rsid w:val="00CB6642"/>
    <w:rsid w:val="00CB6B22"/>
    <w:rsid w:val="00CB7025"/>
    <w:rsid w:val="00CB794E"/>
    <w:rsid w:val="00CB7B76"/>
    <w:rsid w:val="00CB7C1B"/>
    <w:rsid w:val="00CB7CCE"/>
    <w:rsid w:val="00CB7E93"/>
    <w:rsid w:val="00CB7F5F"/>
    <w:rsid w:val="00CC0383"/>
    <w:rsid w:val="00CC05D1"/>
    <w:rsid w:val="00CC10FA"/>
    <w:rsid w:val="00CC15CC"/>
    <w:rsid w:val="00CC1B39"/>
    <w:rsid w:val="00CC1BFA"/>
    <w:rsid w:val="00CC2070"/>
    <w:rsid w:val="00CC2185"/>
    <w:rsid w:val="00CC23CE"/>
    <w:rsid w:val="00CC28F1"/>
    <w:rsid w:val="00CC2B54"/>
    <w:rsid w:val="00CC2E9F"/>
    <w:rsid w:val="00CC35EA"/>
    <w:rsid w:val="00CC3615"/>
    <w:rsid w:val="00CC3779"/>
    <w:rsid w:val="00CC3848"/>
    <w:rsid w:val="00CC3904"/>
    <w:rsid w:val="00CC39D9"/>
    <w:rsid w:val="00CC3ACC"/>
    <w:rsid w:val="00CC3B48"/>
    <w:rsid w:val="00CC3BCA"/>
    <w:rsid w:val="00CC3FC4"/>
    <w:rsid w:val="00CC4167"/>
    <w:rsid w:val="00CC41E5"/>
    <w:rsid w:val="00CC47EC"/>
    <w:rsid w:val="00CC4FDE"/>
    <w:rsid w:val="00CC5B45"/>
    <w:rsid w:val="00CC5BFC"/>
    <w:rsid w:val="00CC5C13"/>
    <w:rsid w:val="00CC608C"/>
    <w:rsid w:val="00CC612E"/>
    <w:rsid w:val="00CC61F3"/>
    <w:rsid w:val="00CC6273"/>
    <w:rsid w:val="00CC653D"/>
    <w:rsid w:val="00CC6D5E"/>
    <w:rsid w:val="00CC73EF"/>
    <w:rsid w:val="00CC7600"/>
    <w:rsid w:val="00CC77AC"/>
    <w:rsid w:val="00CC79AF"/>
    <w:rsid w:val="00CC7C58"/>
    <w:rsid w:val="00CC7DD7"/>
    <w:rsid w:val="00CC7E30"/>
    <w:rsid w:val="00CC7F86"/>
    <w:rsid w:val="00CD01E4"/>
    <w:rsid w:val="00CD0200"/>
    <w:rsid w:val="00CD0472"/>
    <w:rsid w:val="00CD054C"/>
    <w:rsid w:val="00CD0927"/>
    <w:rsid w:val="00CD0A0B"/>
    <w:rsid w:val="00CD0A10"/>
    <w:rsid w:val="00CD0BD6"/>
    <w:rsid w:val="00CD0F89"/>
    <w:rsid w:val="00CD11E7"/>
    <w:rsid w:val="00CD13C2"/>
    <w:rsid w:val="00CD166D"/>
    <w:rsid w:val="00CD1780"/>
    <w:rsid w:val="00CD1C02"/>
    <w:rsid w:val="00CD1E2D"/>
    <w:rsid w:val="00CD22E2"/>
    <w:rsid w:val="00CD24F9"/>
    <w:rsid w:val="00CD250B"/>
    <w:rsid w:val="00CD267C"/>
    <w:rsid w:val="00CD2AEC"/>
    <w:rsid w:val="00CD2CED"/>
    <w:rsid w:val="00CD2D9A"/>
    <w:rsid w:val="00CD2F94"/>
    <w:rsid w:val="00CD30EC"/>
    <w:rsid w:val="00CD34FA"/>
    <w:rsid w:val="00CD3A47"/>
    <w:rsid w:val="00CD3E72"/>
    <w:rsid w:val="00CD3F77"/>
    <w:rsid w:val="00CD4869"/>
    <w:rsid w:val="00CD4B5B"/>
    <w:rsid w:val="00CD513D"/>
    <w:rsid w:val="00CD5553"/>
    <w:rsid w:val="00CD5B39"/>
    <w:rsid w:val="00CD5BD8"/>
    <w:rsid w:val="00CD5D3B"/>
    <w:rsid w:val="00CD5E8E"/>
    <w:rsid w:val="00CD6086"/>
    <w:rsid w:val="00CD6376"/>
    <w:rsid w:val="00CD6721"/>
    <w:rsid w:val="00CD685F"/>
    <w:rsid w:val="00CD68D9"/>
    <w:rsid w:val="00CD6ADC"/>
    <w:rsid w:val="00CD6FA5"/>
    <w:rsid w:val="00CD706C"/>
    <w:rsid w:val="00CD7193"/>
    <w:rsid w:val="00CD75E6"/>
    <w:rsid w:val="00CD75E8"/>
    <w:rsid w:val="00CD7CE6"/>
    <w:rsid w:val="00CD7F01"/>
    <w:rsid w:val="00CE0021"/>
    <w:rsid w:val="00CE0091"/>
    <w:rsid w:val="00CE00FB"/>
    <w:rsid w:val="00CE05AC"/>
    <w:rsid w:val="00CE082F"/>
    <w:rsid w:val="00CE0BEA"/>
    <w:rsid w:val="00CE0C50"/>
    <w:rsid w:val="00CE0D57"/>
    <w:rsid w:val="00CE0E9A"/>
    <w:rsid w:val="00CE1177"/>
    <w:rsid w:val="00CE12E0"/>
    <w:rsid w:val="00CE19C6"/>
    <w:rsid w:val="00CE1B3B"/>
    <w:rsid w:val="00CE20B0"/>
    <w:rsid w:val="00CE21A8"/>
    <w:rsid w:val="00CE2D71"/>
    <w:rsid w:val="00CE3071"/>
    <w:rsid w:val="00CE32FD"/>
    <w:rsid w:val="00CE38C8"/>
    <w:rsid w:val="00CE3F93"/>
    <w:rsid w:val="00CE417C"/>
    <w:rsid w:val="00CE41A2"/>
    <w:rsid w:val="00CE426D"/>
    <w:rsid w:val="00CE4A19"/>
    <w:rsid w:val="00CE4CF9"/>
    <w:rsid w:val="00CE4EE2"/>
    <w:rsid w:val="00CE4FB0"/>
    <w:rsid w:val="00CE5196"/>
    <w:rsid w:val="00CE524F"/>
    <w:rsid w:val="00CE55E5"/>
    <w:rsid w:val="00CE57FC"/>
    <w:rsid w:val="00CE58CC"/>
    <w:rsid w:val="00CE5E32"/>
    <w:rsid w:val="00CE5F9D"/>
    <w:rsid w:val="00CE60C5"/>
    <w:rsid w:val="00CE6274"/>
    <w:rsid w:val="00CE64C7"/>
    <w:rsid w:val="00CE6527"/>
    <w:rsid w:val="00CE69DD"/>
    <w:rsid w:val="00CE6E01"/>
    <w:rsid w:val="00CE7228"/>
    <w:rsid w:val="00CE7229"/>
    <w:rsid w:val="00CE76EE"/>
    <w:rsid w:val="00CE770C"/>
    <w:rsid w:val="00CE77B6"/>
    <w:rsid w:val="00CE7AFB"/>
    <w:rsid w:val="00CE7B5B"/>
    <w:rsid w:val="00CF002A"/>
    <w:rsid w:val="00CF0247"/>
    <w:rsid w:val="00CF0377"/>
    <w:rsid w:val="00CF045F"/>
    <w:rsid w:val="00CF06ED"/>
    <w:rsid w:val="00CF13CF"/>
    <w:rsid w:val="00CF185D"/>
    <w:rsid w:val="00CF1FBF"/>
    <w:rsid w:val="00CF2067"/>
    <w:rsid w:val="00CF2334"/>
    <w:rsid w:val="00CF26FC"/>
    <w:rsid w:val="00CF2A31"/>
    <w:rsid w:val="00CF2B8D"/>
    <w:rsid w:val="00CF3205"/>
    <w:rsid w:val="00CF3A1B"/>
    <w:rsid w:val="00CF3BD4"/>
    <w:rsid w:val="00CF4212"/>
    <w:rsid w:val="00CF4305"/>
    <w:rsid w:val="00CF4538"/>
    <w:rsid w:val="00CF456B"/>
    <w:rsid w:val="00CF4736"/>
    <w:rsid w:val="00CF4984"/>
    <w:rsid w:val="00CF5008"/>
    <w:rsid w:val="00CF56B1"/>
    <w:rsid w:val="00CF59D3"/>
    <w:rsid w:val="00CF5A22"/>
    <w:rsid w:val="00CF5AEF"/>
    <w:rsid w:val="00CF6181"/>
    <w:rsid w:val="00CF644D"/>
    <w:rsid w:val="00CF64CA"/>
    <w:rsid w:val="00CF6523"/>
    <w:rsid w:val="00CF654A"/>
    <w:rsid w:val="00CF6816"/>
    <w:rsid w:val="00CF6A58"/>
    <w:rsid w:val="00CF6E5F"/>
    <w:rsid w:val="00CF77F9"/>
    <w:rsid w:val="00CF78BF"/>
    <w:rsid w:val="00CF78DC"/>
    <w:rsid w:val="00CF7A38"/>
    <w:rsid w:val="00CF7D63"/>
    <w:rsid w:val="00CF7DF2"/>
    <w:rsid w:val="00D0003E"/>
    <w:rsid w:val="00D001A9"/>
    <w:rsid w:val="00D006CE"/>
    <w:rsid w:val="00D00C69"/>
    <w:rsid w:val="00D00D24"/>
    <w:rsid w:val="00D00D6A"/>
    <w:rsid w:val="00D01045"/>
    <w:rsid w:val="00D01111"/>
    <w:rsid w:val="00D01560"/>
    <w:rsid w:val="00D017E4"/>
    <w:rsid w:val="00D018E6"/>
    <w:rsid w:val="00D01CF5"/>
    <w:rsid w:val="00D02105"/>
    <w:rsid w:val="00D0221A"/>
    <w:rsid w:val="00D0262E"/>
    <w:rsid w:val="00D02E45"/>
    <w:rsid w:val="00D031F9"/>
    <w:rsid w:val="00D03679"/>
    <w:rsid w:val="00D03843"/>
    <w:rsid w:val="00D03C95"/>
    <w:rsid w:val="00D0443E"/>
    <w:rsid w:val="00D04629"/>
    <w:rsid w:val="00D04CF2"/>
    <w:rsid w:val="00D04D4B"/>
    <w:rsid w:val="00D04DA3"/>
    <w:rsid w:val="00D0568D"/>
    <w:rsid w:val="00D05884"/>
    <w:rsid w:val="00D05E3D"/>
    <w:rsid w:val="00D06139"/>
    <w:rsid w:val="00D0663A"/>
    <w:rsid w:val="00D069B4"/>
    <w:rsid w:val="00D07248"/>
    <w:rsid w:val="00D0728E"/>
    <w:rsid w:val="00D072DB"/>
    <w:rsid w:val="00D07D02"/>
    <w:rsid w:val="00D101B2"/>
    <w:rsid w:val="00D105A0"/>
    <w:rsid w:val="00D108DA"/>
    <w:rsid w:val="00D10931"/>
    <w:rsid w:val="00D10AE8"/>
    <w:rsid w:val="00D110BD"/>
    <w:rsid w:val="00D1127A"/>
    <w:rsid w:val="00D11398"/>
    <w:rsid w:val="00D1194B"/>
    <w:rsid w:val="00D11A58"/>
    <w:rsid w:val="00D11F62"/>
    <w:rsid w:val="00D12551"/>
    <w:rsid w:val="00D12670"/>
    <w:rsid w:val="00D12B73"/>
    <w:rsid w:val="00D12C09"/>
    <w:rsid w:val="00D135D9"/>
    <w:rsid w:val="00D13675"/>
    <w:rsid w:val="00D136F5"/>
    <w:rsid w:val="00D13702"/>
    <w:rsid w:val="00D13946"/>
    <w:rsid w:val="00D141E1"/>
    <w:rsid w:val="00D1437A"/>
    <w:rsid w:val="00D1487A"/>
    <w:rsid w:val="00D14F14"/>
    <w:rsid w:val="00D15019"/>
    <w:rsid w:val="00D15314"/>
    <w:rsid w:val="00D153D1"/>
    <w:rsid w:val="00D157C7"/>
    <w:rsid w:val="00D15A08"/>
    <w:rsid w:val="00D15B2D"/>
    <w:rsid w:val="00D15B48"/>
    <w:rsid w:val="00D15D83"/>
    <w:rsid w:val="00D15D99"/>
    <w:rsid w:val="00D15FBF"/>
    <w:rsid w:val="00D163F9"/>
    <w:rsid w:val="00D16705"/>
    <w:rsid w:val="00D167BC"/>
    <w:rsid w:val="00D16B99"/>
    <w:rsid w:val="00D16C53"/>
    <w:rsid w:val="00D16EB3"/>
    <w:rsid w:val="00D17007"/>
    <w:rsid w:val="00D17A26"/>
    <w:rsid w:val="00D17BFD"/>
    <w:rsid w:val="00D17C28"/>
    <w:rsid w:val="00D17D6C"/>
    <w:rsid w:val="00D20237"/>
    <w:rsid w:val="00D206BC"/>
    <w:rsid w:val="00D209A6"/>
    <w:rsid w:val="00D20AB6"/>
    <w:rsid w:val="00D212B9"/>
    <w:rsid w:val="00D2155B"/>
    <w:rsid w:val="00D2194B"/>
    <w:rsid w:val="00D21B25"/>
    <w:rsid w:val="00D21CE1"/>
    <w:rsid w:val="00D21F45"/>
    <w:rsid w:val="00D2220B"/>
    <w:rsid w:val="00D2231B"/>
    <w:rsid w:val="00D22560"/>
    <w:rsid w:val="00D225D5"/>
    <w:rsid w:val="00D22BC6"/>
    <w:rsid w:val="00D2315A"/>
    <w:rsid w:val="00D233BC"/>
    <w:rsid w:val="00D23583"/>
    <w:rsid w:val="00D237F4"/>
    <w:rsid w:val="00D23A8D"/>
    <w:rsid w:val="00D23C3F"/>
    <w:rsid w:val="00D23D11"/>
    <w:rsid w:val="00D2411F"/>
    <w:rsid w:val="00D24159"/>
    <w:rsid w:val="00D244B6"/>
    <w:rsid w:val="00D24672"/>
    <w:rsid w:val="00D24D99"/>
    <w:rsid w:val="00D253B8"/>
    <w:rsid w:val="00D255B9"/>
    <w:rsid w:val="00D25882"/>
    <w:rsid w:val="00D25B21"/>
    <w:rsid w:val="00D25C92"/>
    <w:rsid w:val="00D25D49"/>
    <w:rsid w:val="00D25E01"/>
    <w:rsid w:val="00D2600E"/>
    <w:rsid w:val="00D26299"/>
    <w:rsid w:val="00D26F85"/>
    <w:rsid w:val="00D2754D"/>
    <w:rsid w:val="00D278F2"/>
    <w:rsid w:val="00D27973"/>
    <w:rsid w:val="00D27993"/>
    <w:rsid w:val="00D27B27"/>
    <w:rsid w:val="00D27B3E"/>
    <w:rsid w:val="00D302F5"/>
    <w:rsid w:val="00D307DD"/>
    <w:rsid w:val="00D30817"/>
    <w:rsid w:val="00D30C54"/>
    <w:rsid w:val="00D30D5B"/>
    <w:rsid w:val="00D30DA6"/>
    <w:rsid w:val="00D30EED"/>
    <w:rsid w:val="00D310C2"/>
    <w:rsid w:val="00D31361"/>
    <w:rsid w:val="00D319A8"/>
    <w:rsid w:val="00D319C9"/>
    <w:rsid w:val="00D319DC"/>
    <w:rsid w:val="00D31C20"/>
    <w:rsid w:val="00D31CD8"/>
    <w:rsid w:val="00D31CDB"/>
    <w:rsid w:val="00D32876"/>
    <w:rsid w:val="00D32943"/>
    <w:rsid w:val="00D32D17"/>
    <w:rsid w:val="00D32DBD"/>
    <w:rsid w:val="00D32DCD"/>
    <w:rsid w:val="00D32F37"/>
    <w:rsid w:val="00D33010"/>
    <w:rsid w:val="00D33596"/>
    <w:rsid w:val="00D336F5"/>
    <w:rsid w:val="00D338A7"/>
    <w:rsid w:val="00D33B0E"/>
    <w:rsid w:val="00D33BE9"/>
    <w:rsid w:val="00D33F93"/>
    <w:rsid w:val="00D342FD"/>
    <w:rsid w:val="00D34374"/>
    <w:rsid w:val="00D34A7A"/>
    <w:rsid w:val="00D34AB6"/>
    <w:rsid w:val="00D34DA6"/>
    <w:rsid w:val="00D351B8"/>
    <w:rsid w:val="00D351D3"/>
    <w:rsid w:val="00D35305"/>
    <w:rsid w:val="00D357FF"/>
    <w:rsid w:val="00D35E47"/>
    <w:rsid w:val="00D35E87"/>
    <w:rsid w:val="00D360AD"/>
    <w:rsid w:val="00D3629A"/>
    <w:rsid w:val="00D36786"/>
    <w:rsid w:val="00D3678E"/>
    <w:rsid w:val="00D36F99"/>
    <w:rsid w:val="00D37392"/>
    <w:rsid w:val="00D3754E"/>
    <w:rsid w:val="00D37C7B"/>
    <w:rsid w:val="00D37CB5"/>
    <w:rsid w:val="00D400F1"/>
    <w:rsid w:val="00D40526"/>
    <w:rsid w:val="00D4068D"/>
    <w:rsid w:val="00D40845"/>
    <w:rsid w:val="00D40B17"/>
    <w:rsid w:val="00D40D00"/>
    <w:rsid w:val="00D41248"/>
    <w:rsid w:val="00D41626"/>
    <w:rsid w:val="00D416E9"/>
    <w:rsid w:val="00D41754"/>
    <w:rsid w:val="00D417F2"/>
    <w:rsid w:val="00D41BC9"/>
    <w:rsid w:val="00D424C7"/>
    <w:rsid w:val="00D42565"/>
    <w:rsid w:val="00D42947"/>
    <w:rsid w:val="00D42BBD"/>
    <w:rsid w:val="00D42CDA"/>
    <w:rsid w:val="00D432D5"/>
    <w:rsid w:val="00D43B2A"/>
    <w:rsid w:val="00D43C45"/>
    <w:rsid w:val="00D43CF1"/>
    <w:rsid w:val="00D43D75"/>
    <w:rsid w:val="00D43D83"/>
    <w:rsid w:val="00D43E07"/>
    <w:rsid w:val="00D43E1B"/>
    <w:rsid w:val="00D43F47"/>
    <w:rsid w:val="00D441A9"/>
    <w:rsid w:val="00D443C1"/>
    <w:rsid w:val="00D445CB"/>
    <w:rsid w:val="00D449A2"/>
    <w:rsid w:val="00D44DF4"/>
    <w:rsid w:val="00D44F18"/>
    <w:rsid w:val="00D45026"/>
    <w:rsid w:val="00D452AA"/>
    <w:rsid w:val="00D45338"/>
    <w:rsid w:val="00D45A70"/>
    <w:rsid w:val="00D45C11"/>
    <w:rsid w:val="00D46395"/>
    <w:rsid w:val="00D4697C"/>
    <w:rsid w:val="00D47575"/>
    <w:rsid w:val="00D47D6B"/>
    <w:rsid w:val="00D47F5F"/>
    <w:rsid w:val="00D50424"/>
    <w:rsid w:val="00D507DE"/>
    <w:rsid w:val="00D5166E"/>
    <w:rsid w:val="00D51CAC"/>
    <w:rsid w:val="00D51F14"/>
    <w:rsid w:val="00D52085"/>
    <w:rsid w:val="00D52379"/>
    <w:rsid w:val="00D5243B"/>
    <w:rsid w:val="00D52C05"/>
    <w:rsid w:val="00D52E91"/>
    <w:rsid w:val="00D53211"/>
    <w:rsid w:val="00D533EC"/>
    <w:rsid w:val="00D53735"/>
    <w:rsid w:val="00D53F55"/>
    <w:rsid w:val="00D54061"/>
    <w:rsid w:val="00D54159"/>
    <w:rsid w:val="00D5424C"/>
    <w:rsid w:val="00D54451"/>
    <w:rsid w:val="00D5459C"/>
    <w:rsid w:val="00D545A7"/>
    <w:rsid w:val="00D54CF4"/>
    <w:rsid w:val="00D552E6"/>
    <w:rsid w:val="00D55306"/>
    <w:rsid w:val="00D55343"/>
    <w:rsid w:val="00D553EB"/>
    <w:rsid w:val="00D554FE"/>
    <w:rsid w:val="00D55617"/>
    <w:rsid w:val="00D556DC"/>
    <w:rsid w:val="00D56099"/>
    <w:rsid w:val="00D562CA"/>
    <w:rsid w:val="00D5632B"/>
    <w:rsid w:val="00D56A95"/>
    <w:rsid w:val="00D56B11"/>
    <w:rsid w:val="00D56EF7"/>
    <w:rsid w:val="00D5739A"/>
    <w:rsid w:val="00D57715"/>
    <w:rsid w:val="00D57768"/>
    <w:rsid w:val="00D57AE8"/>
    <w:rsid w:val="00D57BAE"/>
    <w:rsid w:val="00D60467"/>
    <w:rsid w:val="00D6076E"/>
    <w:rsid w:val="00D60858"/>
    <w:rsid w:val="00D60926"/>
    <w:rsid w:val="00D60A62"/>
    <w:rsid w:val="00D60A80"/>
    <w:rsid w:val="00D61582"/>
    <w:rsid w:val="00D617A0"/>
    <w:rsid w:val="00D61DED"/>
    <w:rsid w:val="00D61FF1"/>
    <w:rsid w:val="00D62749"/>
    <w:rsid w:val="00D62EF3"/>
    <w:rsid w:val="00D63057"/>
    <w:rsid w:val="00D63251"/>
    <w:rsid w:val="00D6381B"/>
    <w:rsid w:val="00D639D0"/>
    <w:rsid w:val="00D63A4B"/>
    <w:rsid w:val="00D63A88"/>
    <w:rsid w:val="00D63ACD"/>
    <w:rsid w:val="00D63CE2"/>
    <w:rsid w:val="00D63E72"/>
    <w:rsid w:val="00D64108"/>
    <w:rsid w:val="00D64298"/>
    <w:rsid w:val="00D642AD"/>
    <w:rsid w:val="00D644CD"/>
    <w:rsid w:val="00D6484C"/>
    <w:rsid w:val="00D64BE8"/>
    <w:rsid w:val="00D64E9A"/>
    <w:rsid w:val="00D64FFA"/>
    <w:rsid w:val="00D655BD"/>
    <w:rsid w:val="00D65786"/>
    <w:rsid w:val="00D665C1"/>
    <w:rsid w:val="00D66859"/>
    <w:rsid w:val="00D66AC1"/>
    <w:rsid w:val="00D66CBC"/>
    <w:rsid w:val="00D670BA"/>
    <w:rsid w:val="00D67414"/>
    <w:rsid w:val="00D6758A"/>
    <w:rsid w:val="00D67A81"/>
    <w:rsid w:val="00D70206"/>
    <w:rsid w:val="00D7068B"/>
    <w:rsid w:val="00D7084A"/>
    <w:rsid w:val="00D70A25"/>
    <w:rsid w:val="00D70F16"/>
    <w:rsid w:val="00D70FEA"/>
    <w:rsid w:val="00D71A64"/>
    <w:rsid w:val="00D71F57"/>
    <w:rsid w:val="00D72369"/>
    <w:rsid w:val="00D72617"/>
    <w:rsid w:val="00D726F3"/>
    <w:rsid w:val="00D72CB9"/>
    <w:rsid w:val="00D72E81"/>
    <w:rsid w:val="00D72F57"/>
    <w:rsid w:val="00D73127"/>
    <w:rsid w:val="00D7395C"/>
    <w:rsid w:val="00D739BF"/>
    <w:rsid w:val="00D73A85"/>
    <w:rsid w:val="00D73EC6"/>
    <w:rsid w:val="00D73FB9"/>
    <w:rsid w:val="00D73FF6"/>
    <w:rsid w:val="00D74001"/>
    <w:rsid w:val="00D7401F"/>
    <w:rsid w:val="00D7421D"/>
    <w:rsid w:val="00D7456D"/>
    <w:rsid w:val="00D74679"/>
    <w:rsid w:val="00D74965"/>
    <w:rsid w:val="00D74B63"/>
    <w:rsid w:val="00D74D10"/>
    <w:rsid w:val="00D74DE2"/>
    <w:rsid w:val="00D75702"/>
    <w:rsid w:val="00D75EB1"/>
    <w:rsid w:val="00D75EBC"/>
    <w:rsid w:val="00D76052"/>
    <w:rsid w:val="00D76586"/>
    <w:rsid w:val="00D76A44"/>
    <w:rsid w:val="00D7714B"/>
    <w:rsid w:val="00D8079E"/>
    <w:rsid w:val="00D808FC"/>
    <w:rsid w:val="00D80A48"/>
    <w:rsid w:val="00D81470"/>
    <w:rsid w:val="00D814C7"/>
    <w:rsid w:val="00D815EF"/>
    <w:rsid w:val="00D81756"/>
    <w:rsid w:val="00D81949"/>
    <w:rsid w:val="00D81B66"/>
    <w:rsid w:val="00D81C58"/>
    <w:rsid w:val="00D81F26"/>
    <w:rsid w:val="00D822E2"/>
    <w:rsid w:val="00D82359"/>
    <w:rsid w:val="00D834F5"/>
    <w:rsid w:val="00D835DC"/>
    <w:rsid w:val="00D83605"/>
    <w:rsid w:val="00D83B31"/>
    <w:rsid w:val="00D83E7E"/>
    <w:rsid w:val="00D840D1"/>
    <w:rsid w:val="00D841BB"/>
    <w:rsid w:val="00D843F2"/>
    <w:rsid w:val="00D850BB"/>
    <w:rsid w:val="00D853F0"/>
    <w:rsid w:val="00D85A36"/>
    <w:rsid w:val="00D860E5"/>
    <w:rsid w:val="00D86231"/>
    <w:rsid w:val="00D863A5"/>
    <w:rsid w:val="00D86C75"/>
    <w:rsid w:val="00D86E54"/>
    <w:rsid w:val="00D87E68"/>
    <w:rsid w:val="00D87E98"/>
    <w:rsid w:val="00D9050A"/>
    <w:rsid w:val="00D90723"/>
    <w:rsid w:val="00D907BE"/>
    <w:rsid w:val="00D90E90"/>
    <w:rsid w:val="00D9102C"/>
    <w:rsid w:val="00D912AB"/>
    <w:rsid w:val="00D91923"/>
    <w:rsid w:val="00D91BC8"/>
    <w:rsid w:val="00D91BF9"/>
    <w:rsid w:val="00D91DB4"/>
    <w:rsid w:val="00D92114"/>
    <w:rsid w:val="00D9235E"/>
    <w:rsid w:val="00D9238E"/>
    <w:rsid w:val="00D925E0"/>
    <w:rsid w:val="00D92690"/>
    <w:rsid w:val="00D927E5"/>
    <w:rsid w:val="00D92D9D"/>
    <w:rsid w:val="00D92EEE"/>
    <w:rsid w:val="00D9301D"/>
    <w:rsid w:val="00D933F6"/>
    <w:rsid w:val="00D93719"/>
    <w:rsid w:val="00D93753"/>
    <w:rsid w:val="00D938A7"/>
    <w:rsid w:val="00D93A88"/>
    <w:rsid w:val="00D94123"/>
    <w:rsid w:val="00D941E2"/>
    <w:rsid w:val="00D946C7"/>
    <w:rsid w:val="00D946EA"/>
    <w:rsid w:val="00D94976"/>
    <w:rsid w:val="00D94A74"/>
    <w:rsid w:val="00D94B18"/>
    <w:rsid w:val="00D95203"/>
    <w:rsid w:val="00D9565F"/>
    <w:rsid w:val="00D95B4D"/>
    <w:rsid w:val="00D95C97"/>
    <w:rsid w:val="00D95E9D"/>
    <w:rsid w:val="00D96379"/>
    <w:rsid w:val="00D967A2"/>
    <w:rsid w:val="00D96CCA"/>
    <w:rsid w:val="00D96D6E"/>
    <w:rsid w:val="00D97070"/>
    <w:rsid w:val="00D971FD"/>
    <w:rsid w:val="00D975EC"/>
    <w:rsid w:val="00D97788"/>
    <w:rsid w:val="00D97B02"/>
    <w:rsid w:val="00D97BD1"/>
    <w:rsid w:val="00D97FDC"/>
    <w:rsid w:val="00DA069E"/>
    <w:rsid w:val="00DA0959"/>
    <w:rsid w:val="00DA098F"/>
    <w:rsid w:val="00DA0EEF"/>
    <w:rsid w:val="00DA1842"/>
    <w:rsid w:val="00DA1BB0"/>
    <w:rsid w:val="00DA1E65"/>
    <w:rsid w:val="00DA23E6"/>
    <w:rsid w:val="00DA24B3"/>
    <w:rsid w:val="00DA2A37"/>
    <w:rsid w:val="00DA2C74"/>
    <w:rsid w:val="00DA2DF1"/>
    <w:rsid w:val="00DA3167"/>
    <w:rsid w:val="00DA32A4"/>
    <w:rsid w:val="00DA3442"/>
    <w:rsid w:val="00DA353E"/>
    <w:rsid w:val="00DA3589"/>
    <w:rsid w:val="00DA359D"/>
    <w:rsid w:val="00DA43AD"/>
    <w:rsid w:val="00DA43BE"/>
    <w:rsid w:val="00DA4C72"/>
    <w:rsid w:val="00DA4DC3"/>
    <w:rsid w:val="00DA51FB"/>
    <w:rsid w:val="00DA5454"/>
    <w:rsid w:val="00DA5AD3"/>
    <w:rsid w:val="00DA5B82"/>
    <w:rsid w:val="00DA6917"/>
    <w:rsid w:val="00DA6A1F"/>
    <w:rsid w:val="00DA6A7A"/>
    <w:rsid w:val="00DA6E91"/>
    <w:rsid w:val="00DA72CB"/>
    <w:rsid w:val="00DA7415"/>
    <w:rsid w:val="00DA77A5"/>
    <w:rsid w:val="00DA77C1"/>
    <w:rsid w:val="00DA7A52"/>
    <w:rsid w:val="00DA7BAD"/>
    <w:rsid w:val="00DB0213"/>
    <w:rsid w:val="00DB0A70"/>
    <w:rsid w:val="00DB0AA3"/>
    <w:rsid w:val="00DB0BC0"/>
    <w:rsid w:val="00DB0E36"/>
    <w:rsid w:val="00DB0F2C"/>
    <w:rsid w:val="00DB13BB"/>
    <w:rsid w:val="00DB2189"/>
    <w:rsid w:val="00DB22AB"/>
    <w:rsid w:val="00DB22BF"/>
    <w:rsid w:val="00DB2642"/>
    <w:rsid w:val="00DB2723"/>
    <w:rsid w:val="00DB2A87"/>
    <w:rsid w:val="00DB2C7B"/>
    <w:rsid w:val="00DB2C8C"/>
    <w:rsid w:val="00DB2D6B"/>
    <w:rsid w:val="00DB351C"/>
    <w:rsid w:val="00DB3572"/>
    <w:rsid w:val="00DB3618"/>
    <w:rsid w:val="00DB37ED"/>
    <w:rsid w:val="00DB387F"/>
    <w:rsid w:val="00DB3BFE"/>
    <w:rsid w:val="00DB3CE4"/>
    <w:rsid w:val="00DB3D8D"/>
    <w:rsid w:val="00DB3DBF"/>
    <w:rsid w:val="00DB3E79"/>
    <w:rsid w:val="00DB3E97"/>
    <w:rsid w:val="00DB3EEA"/>
    <w:rsid w:val="00DB4241"/>
    <w:rsid w:val="00DB44CE"/>
    <w:rsid w:val="00DB484F"/>
    <w:rsid w:val="00DB4E41"/>
    <w:rsid w:val="00DB4F2F"/>
    <w:rsid w:val="00DB51AF"/>
    <w:rsid w:val="00DB595E"/>
    <w:rsid w:val="00DB5AA4"/>
    <w:rsid w:val="00DB5B1B"/>
    <w:rsid w:val="00DB5EBB"/>
    <w:rsid w:val="00DB5F12"/>
    <w:rsid w:val="00DB5F6F"/>
    <w:rsid w:val="00DB620C"/>
    <w:rsid w:val="00DB6251"/>
    <w:rsid w:val="00DB66BC"/>
    <w:rsid w:val="00DB6756"/>
    <w:rsid w:val="00DB6776"/>
    <w:rsid w:val="00DB67D5"/>
    <w:rsid w:val="00DB6880"/>
    <w:rsid w:val="00DB6AE9"/>
    <w:rsid w:val="00DB6E84"/>
    <w:rsid w:val="00DB7370"/>
    <w:rsid w:val="00DB75D2"/>
    <w:rsid w:val="00DB7C14"/>
    <w:rsid w:val="00DB7C9A"/>
    <w:rsid w:val="00DC019C"/>
    <w:rsid w:val="00DC0377"/>
    <w:rsid w:val="00DC04F6"/>
    <w:rsid w:val="00DC0690"/>
    <w:rsid w:val="00DC11FC"/>
    <w:rsid w:val="00DC1639"/>
    <w:rsid w:val="00DC17BF"/>
    <w:rsid w:val="00DC1A57"/>
    <w:rsid w:val="00DC1D49"/>
    <w:rsid w:val="00DC1D65"/>
    <w:rsid w:val="00DC23B0"/>
    <w:rsid w:val="00DC24EC"/>
    <w:rsid w:val="00DC278E"/>
    <w:rsid w:val="00DC279A"/>
    <w:rsid w:val="00DC2B34"/>
    <w:rsid w:val="00DC2C79"/>
    <w:rsid w:val="00DC3244"/>
    <w:rsid w:val="00DC3C57"/>
    <w:rsid w:val="00DC4265"/>
    <w:rsid w:val="00DC442F"/>
    <w:rsid w:val="00DC4489"/>
    <w:rsid w:val="00DC4684"/>
    <w:rsid w:val="00DC46E8"/>
    <w:rsid w:val="00DC471A"/>
    <w:rsid w:val="00DC500B"/>
    <w:rsid w:val="00DC5501"/>
    <w:rsid w:val="00DC564E"/>
    <w:rsid w:val="00DC56F6"/>
    <w:rsid w:val="00DC59A5"/>
    <w:rsid w:val="00DC5B3D"/>
    <w:rsid w:val="00DC5DE4"/>
    <w:rsid w:val="00DC63FD"/>
    <w:rsid w:val="00DC6CBC"/>
    <w:rsid w:val="00DC6CF2"/>
    <w:rsid w:val="00DC6F8D"/>
    <w:rsid w:val="00DC7154"/>
    <w:rsid w:val="00DC75C6"/>
    <w:rsid w:val="00DC769F"/>
    <w:rsid w:val="00DC7E73"/>
    <w:rsid w:val="00DC7E8A"/>
    <w:rsid w:val="00DC7F1F"/>
    <w:rsid w:val="00DD020E"/>
    <w:rsid w:val="00DD0216"/>
    <w:rsid w:val="00DD07E3"/>
    <w:rsid w:val="00DD0828"/>
    <w:rsid w:val="00DD0A39"/>
    <w:rsid w:val="00DD0C25"/>
    <w:rsid w:val="00DD0F78"/>
    <w:rsid w:val="00DD1725"/>
    <w:rsid w:val="00DD17CB"/>
    <w:rsid w:val="00DD24CF"/>
    <w:rsid w:val="00DD273C"/>
    <w:rsid w:val="00DD286F"/>
    <w:rsid w:val="00DD3037"/>
    <w:rsid w:val="00DD34B6"/>
    <w:rsid w:val="00DD3741"/>
    <w:rsid w:val="00DD3F28"/>
    <w:rsid w:val="00DD4381"/>
    <w:rsid w:val="00DD4446"/>
    <w:rsid w:val="00DD4537"/>
    <w:rsid w:val="00DD4789"/>
    <w:rsid w:val="00DD4985"/>
    <w:rsid w:val="00DD4E15"/>
    <w:rsid w:val="00DD4E2F"/>
    <w:rsid w:val="00DD5056"/>
    <w:rsid w:val="00DD5084"/>
    <w:rsid w:val="00DD519E"/>
    <w:rsid w:val="00DD56B8"/>
    <w:rsid w:val="00DD58CF"/>
    <w:rsid w:val="00DD5A19"/>
    <w:rsid w:val="00DD5D39"/>
    <w:rsid w:val="00DD5E95"/>
    <w:rsid w:val="00DD5F97"/>
    <w:rsid w:val="00DD61ED"/>
    <w:rsid w:val="00DD6301"/>
    <w:rsid w:val="00DD6997"/>
    <w:rsid w:val="00DD69ED"/>
    <w:rsid w:val="00DD6F57"/>
    <w:rsid w:val="00DD7385"/>
    <w:rsid w:val="00DD743A"/>
    <w:rsid w:val="00DD761D"/>
    <w:rsid w:val="00DD78C7"/>
    <w:rsid w:val="00DD7990"/>
    <w:rsid w:val="00DD7D4E"/>
    <w:rsid w:val="00DE0096"/>
    <w:rsid w:val="00DE034E"/>
    <w:rsid w:val="00DE08E8"/>
    <w:rsid w:val="00DE0AF3"/>
    <w:rsid w:val="00DE0BBE"/>
    <w:rsid w:val="00DE0E13"/>
    <w:rsid w:val="00DE0F2F"/>
    <w:rsid w:val="00DE0F9B"/>
    <w:rsid w:val="00DE19EF"/>
    <w:rsid w:val="00DE1E8E"/>
    <w:rsid w:val="00DE1F82"/>
    <w:rsid w:val="00DE2304"/>
    <w:rsid w:val="00DE2958"/>
    <w:rsid w:val="00DE2D7A"/>
    <w:rsid w:val="00DE2F50"/>
    <w:rsid w:val="00DE3138"/>
    <w:rsid w:val="00DE3348"/>
    <w:rsid w:val="00DE37F8"/>
    <w:rsid w:val="00DE3A7C"/>
    <w:rsid w:val="00DE3C15"/>
    <w:rsid w:val="00DE3D28"/>
    <w:rsid w:val="00DE3E72"/>
    <w:rsid w:val="00DE4273"/>
    <w:rsid w:val="00DE43AC"/>
    <w:rsid w:val="00DE479D"/>
    <w:rsid w:val="00DE4FCB"/>
    <w:rsid w:val="00DE5D07"/>
    <w:rsid w:val="00DE5D65"/>
    <w:rsid w:val="00DE6080"/>
    <w:rsid w:val="00DE69C7"/>
    <w:rsid w:val="00DE72A7"/>
    <w:rsid w:val="00DE72E7"/>
    <w:rsid w:val="00DE7484"/>
    <w:rsid w:val="00DE7774"/>
    <w:rsid w:val="00DE7799"/>
    <w:rsid w:val="00DE7832"/>
    <w:rsid w:val="00DE7A6E"/>
    <w:rsid w:val="00DE7B5B"/>
    <w:rsid w:val="00DE7DE8"/>
    <w:rsid w:val="00DF00C8"/>
    <w:rsid w:val="00DF0514"/>
    <w:rsid w:val="00DF0779"/>
    <w:rsid w:val="00DF0897"/>
    <w:rsid w:val="00DF147E"/>
    <w:rsid w:val="00DF1549"/>
    <w:rsid w:val="00DF18FC"/>
    <w:rsid w:val="00DF1C22"/>
    <w:rsid w:val="00DF1FCC"/>
    <w:rsid w:val="00DF2468"/>
    <w:rsid w:val="00DF268A"/>
    <w:rsid w:val="00DF2C18"/>
    <w:rsid w:val="00DF2D1D"/>
    <w:rsid w:val="00DF30DB"/>
    <w:rsid w:val="00DF3330"/>
    <w:rsid w:val="00DF3543"/>
    <w:rsid w:val="00DF3791"/>
    <w:rsid w:val="00DF39C7"/>
    <w:rsid w:val="00DF3B75"/>
    <w:rsid w:val="00DF4A03"/>
    <w:rsid w:val="00DF4D84"/>
    <w:rsid w:val="00DF5385"/>
    <w:rsid w:val="00DF57E3"/>
    <w:rsid w:val="00DF5C61"/>
    <w:rsid w:val="00DF5D2B"/>
    <w:rsid w:val="00DF605B"/>
    <w:rsid w:val="00DF6194"/>
    <w:rsid w:val="00DF6341"/>
    <w:rsid w:val="00DF66C5"/>
    <w:rsid w:val="00DF682C"/>
    <w:rsid w:val="00DF68B1"/>
    <w:rsid w:val="00DF702E"/>
    <w:rsid w:val="00DF74A6"/>
    <w:rsid w:val="00DF7632"/>
    <w:rsid w:val="00DF7921"/>
    <w:rsid w:val="00DF7A00"/>
    <w:rsid w:val="00E00D0C"/>
    <w:rsid w:val="00E00E8E"/>
    <w:rsid w:val="00E0123F"/>
    <w:rsid w:val="00E01253"/>
    <w:rsid w:val="00E01292"/>
    <w:rsid w:val="00E013D9"/>
    <w:rsid w:val="00E01ACB"/>
    <w:rsid w:val="00E01C19"/>
    <w:rsid w:val="00E01D7F"/>
    <w:rsid w:val="00E020AD"/>
    <w:rsid w:val="00E021DA"/>
    <w:rsid w:val="00E02860"/>
    <w:rsid w:val="00E02947"/>
    <w:rsid w:val="00E02B97"/>
    <w:rsid w:val="00E02F7C"/>
    <w:rsid w:val="00E032E8"/>
    <w:rsid w:val="00E032F9"/>
    <w:rsid w:val="00E033A3"/>
    <w:rsid w:val="00E03429"/>
    <w:rsid w:val="00E0382A"/>
    <w:rsid w:val="00E03B0D"/>
    <w:rsid w:val="00E03CD5"/>
    <w:rsid w:val="00E03FBC"/>
    <w:rsid w:val="00E0415C"/>
    <w:rsid w:val="00E041E0"/>
    <w:rsid w:val="00E04323"/>
    <w:rsid w:val="00E04E78"/>
    <w:rsid w:val="00E050F4"/>
    <w:rsid w:val="00E05630"/>
    <w:rsid w:val="00E05762"/>
    <w:rsid w:val="00E05CE2"/>
    <w:rsid w:val="00E05E58"/>
    <w:rsid w:val="00E060DD"/>
    <w:rsid w:val="00E06988"/>
    <w:rsid w:val="00E06CA1"/>
    <w:rsid w:val="00E06DBB"/>
    <w:rsid w:val="00E06E71"/>
    <w:rsid w:val="00E071A5"/>
    <w:rsid w:val="00E07B7E"/>
    <w:rsid w:val="00E07E74"/>
    <w:rsid w:val="00E07EED"/>
    <w:rsid w:val="00E10149"/>
    <w:rsid w:val="00E10FBA"/>
    <w:rsid w:val="00E11340"/>
    <w:rsid w:val="00E11BAB"/>
    <w:rsid w:val="00E12089"/>
    <w:rsid w:val="00E1217A"/>
    <w:rsid w:val="00E122A1"/>
    <w:rsid w:val="00E12751"/>
    <w:rsid w:val="00E12984"/>
    <w:rsid w:val="00E12B91"/>
    <w:rsid w:val="00E12FB9"/>
    <w:rsid w:val="00E13201"/>
    <w:rsid w:val="00E132E6"/>
    <w:rsid w:val="00E133E1"/>
    <w:rsid w:val="00E1343E"/>
    <w:rsid w:val="00E138E3"/>
    <w:rsid w:val="00E13B56"/>
    <w:rsid w:val="00E13C31"/>
    <w:rsid w:val="00E13F17"/>
    <w:rsid w:val="00E1425B"/>
    <w:rsid w:val="00E14471"/>
    <w:rsid w:val="00E1480C"/>
    <w:rsid w:val="00E1488F"/>
    <w:rsid w:val="00E15242"/>
    <w:rsid w:val="00E15833"/>
    <w:rsid w:val="00E15A26"/>
    <w:rsid w:val="00E15BFF"/>
    <w:rsid w:val="00E162CC"/>
    <w:rsid w:val="00E162CE"/>
    <w:rsid w:val="00E16372"/>
    <w:rsid w:val="00E1664E"/>
    <w:rsid w:val="00E16AD8"/>
    <w:rsid w:val="00E1707E"/>
    <w:rsid w:val="00E17347"/>
    <w:rsid w:val="00E17BBE"/>
    <w:rsid w:val="00E17D72"/>
    <w:rsid w:val="00E17FFA"/>
    <w:rsid w:val="00E202B1"/>
    <w:rsid w:val="00E20530"/>
    <w:rsid w:val="00E20799"/>
    <w:rsid w:val="00E209E1"/>
    <w:rsid w:val="00E20C40"/>
    <w:rsid w:val="00E20D9F"/>
    <w:rsid w:val="00E20E4D"/>
    <w:rsid w:val="00E20ED6"/>
    <w:rsid w:val="00E21358"/>
    <w:rsid w:val="00E2153C"/>
    <w:rsid w:val="00E2163D"/>
    <w:rsid w:val="00E21802"/>
    <w:rsid w:val="00E21CC4"/>
    <w:rsid w:val="00E2249B"/>
    <w:rsid w:val="00E22A0D"/>
    <w:rsid w:val="00E22C74"/>
    <w:rsid w:val="00E22D38"/>
    <w:rsid w:val="00E2344E"/>
    <w:rsid w:val="00E234C6"/>
    <w:rsid w:val="00E235CD"/>
    <w:rsid w:val="00E23602"/>
    <w:rsid w:val="00E239CD"/>
    <w:rsid w:val="00E239F5"/>
    <w:rsid w:val="00E23C56"/>
    <w:rsid w:val="00E23D70"/>
    <w:rsid w:val="00E23DD0"/>
    <w:rsid w:val="00E23E96"/>
    <w:rsid w:val="00E244F6"/>
    <w:rsid w:val="00E24E81"/>
    <w:rsid w:val="00E24EC9"/>
    <w:rsid w:val="00E24F01"/>
    <w:rsid w:val="00E2517B"/>
    <w:rsid w:val="00E251AE"/>
    <w:rsid w:val="00E25576"/>
    <w:rsid w:val="00E256D6"/>
    <w:rsid w:val="00E258DB"/>
    <w:rsid w:val="00E25D65"/>
    <w:rsid w:val="00E25DF1"/>
    <w:rsid w:val="00E26237"/>
    <w:rsid w:val="00E267EC"/>
    <w:rsid w:val="00E26C61"/>
    <w:rsid w:val="00E26DD1"/>
    <w:rsid w:val="00E2746D"/>
    <w:rsid w:val="00E2771E"/>
    <w:rsid w:val="00E279BC"/>
    <w:rsid w:val="00E27AF8"/>
    <w:rsid w:val="00E27C60"/>
    <w:rsid w:val="00E27D14"/>
    <w:rsid w:val="00E27EA0"/>
    <w:rsid w:val="00E27F17"/>
    <w:rsid w:val="00E30294"/>
    <w:rsid w:val="00E30318"/>
    <w:rsid w:val="00E304F9"/>
    <w:rsid w:val="00E30BDA"/>
    <w:rsid w:val="00E30BE8"/>
    <w:rsid w:val="00E3118C"/>
    <w:rsid w:val="00E311EF"/>
    <w:rsid w:val="00E31258"/>
    <w:rsid w:val="00E31362"/>
    <w:rsid w:val="00E31708"/>
    <w:rsid w:val="00E31880"/>
    <w:rsid w:val="00E31937"/>
    <w:rsid w:val="00E31C59"/>
    <w:rsid w:val="00E31CB9"/>
    <w:rsid w:val="00E3216A"/>
    <w:rsid w:val="00E32180"/>
    <w:rsid w:val="00E326D8"/>
    <w:rsid w:val="00E32741"/>
    <w:rsid w:val="00E32C8A"/>
    <w:rsid w:val="00E3339B"/>
    <w:rsid w:val="00E335B9"/>
    <w:rsid w:val="00E338AC"/>
    <w:rsid w:val="00E33A96"/>
    <w:rsid w:val="00E33D77"/>
    <w:rsid w:val="00E33EFB"/>
    <w:rsid w:val="00E34944"/>
    <w:rsid w:val="00E34948"/>
    <w:rsid w:val="00E34B3C"/>
    <w:rsid w:val="00E34DB5"/>
    <w:rsid w:val="00E3557D"/>
    <w:rsid w:val="00E35B4E"/>
    <w:rsid w:val="00E3640A"/>
    <w:rsid w:val="00E365E1"/>
    <w:rsid w:val="00E368C1"/>
    <w:rsid w:val="00E36A91"/>
    <w:rsid w:val="00E3749F"/>
    <w:rsid w:val="00E37569"/>
    <w:rsid w:val="00E377F4"/>
    <w:rsid w:val="00E3788C"/>
    <w:rsid w:val="00E37C71"/>
    <w:rsid w:val="00E401B2"/>
    <w:rsid w:val="00E40A85"/>
    <w:rsid w:val="00E40FA8"/>
    <w:rsid w:val="00E40FB0"/>
    <w:rsid w:val="00E41E30"/>
    <w:rsid w:val="00E42E31"/>
    <w:rsid w:val="00E42F73"/>
    <w:rsid w:val="00E43A92"/>
    <w:rsid w:val="00E43A99"/>
    <w:rsid w:val="00E43D70"/>
    <w:rsid w:val="00E440A5"/>
    <w:rsid w:val="00E440CA"/>
    <w:rsid w:val="00E44251"/>
    <w:rsid w:val="00E44294"/>
    <w:rsid w:val="00E447B7"/>
    <w:rsid w:val="00E44E9B"/>
    <w:rsid w:val="00E452EB"/>
    <w:rsid w:val="00E45314"/>
    <w:rsid w:val="00E457B9"/>
    <w:rsid w:val="00E459D1"/>
    <w:rsid w:val="00E464FD"/>
    <w:rsid w:val="00E466E6"/>
    <w:rsid w:val="00E466F3"/>
    <w:rsid w:val="00E46902"/>
    <w:rsid w:val="00E46BE3"/>
    <w:rsid w:val="00E473B6"/>
    <w:rsid w:val="00E47437"/>
    <w:rsid w:val="00E47B2C"/>
    <w:rsid w:val="00E47D77"/>
    <w:rsid w:val="00E47DA8"/>
    <w:rsid w:val="00E503B7"/>
    <w:rsid w:val="00E50568"/>
    <w:rsid w:val="00E50992"/>
    <w:rsid w:val="00E50C7C"/>
    <w:rsid w:val="00E50CBA"/>
    <w:rsid w:val="00E50E93"/>
    <w:rsid w:val="00E514E0"/>
    <w:rsid w:val="00E51560"/>
    <w:rsid w:val="00E51821"/>
    <w:rsid w:val="00E5217E"/>
    <w:rsid w:val="00E52192"/>
    <w:rsid w:val="00E523DE"/>
    <w:rsid w:val="00E52517"/>
    <w:rsid w:val="00E526DB"/>
    <w:rsid w:val="00E5276D"/>
    <w:rsid w:val="00E52D3C"/>
    <w:rsid w:val="00E52DA2"/>
    <w:rsid w:val="00E53033"/>
    <w:rsid w:val="00E53139"/>
    <w:rsid w:val="00E53675"/>
    <w:rsid w:val="00E53DBB"/>
    <w:rsid w:val="00E53E1A"/>
    <w:rsid w:val="00E53FC8"/>
    <w:rsid w:val="00E5407E"/>
    <w:rsid w:val="00E54347"/>
    <w:rsid w:val="00E54588"/>
    <w:rsid w:val="00E54600"/>
    <w:rsid w:val="00E54755"/>
    <w:rsid w:val="00E5477E"/>
    <w:rsid w:val="00E54851"/>
    <w:rsid w:val="00E55019"/>
    <w:rsid w:val="00E5504B"/>
    <w:rsid w:val="00E55424"/>
    <w:rsid w:val="00E554A2"/>
    <w:rsid w:val="00E55515"/>
    <w:rsid w:val="00E55915"/>
    <w:rsid w:val="00E55BB5"/>
    <w:rsid w:val="00E55C7D"/>
    <w:rsid w:val="00E56309"/>
    <w:rsid w:val="00E56DB0"/>
    <w:rsid w:val="00E5785C"/>
    <w:rsid w:val="00E60153"/>
    <w:rsid w:val="00E60165"/>
    <w:rsid w:val="00E60234"/>
    <w:rsid w:val="00E603B1"/>
    <w:rsid w:val="00E605AF"/>
    <w:rsid w:val="00E609BB"/>
    <w:rsid w:val="00E60BCA"/>
    <w:rsid w:val="00E60D57"/>
    <w:rsid w:val="00E60D97"/>
    <w:rsid w:val="00E60DC7"/>
    <w:rsid w:val="00E611DF"/>
    <w:rsid w:val="00E615BF"/>
    <w:rsid w:val="00E615E2"/>
    <w:rsid w:val="00E61CEF"/>
    <w:rsid w:val="00E620A9"/>
    <w:rsid w:val="00E62106"/>
    <w:rsid w:val="00E621F6"/>
    <w:rsid w:val="00E62B2C"/>
    <w:rsid w:val="00E62C89"/>
    <w:rsid w:val="00E62CB1"/>
    <w:rsid w:val="00E630C3"/>
    <w:rsid w:val="00E63630"/>
    <w:rsid w:val="00E63649"/>
    <w:rsid w:val="00E63EC0"/>
    <w:rsid w:val="00E63F50"/>
    <w:rsid w:val="00E64207"/>
    <w:rsid w:val="00E648A2"/>
    <w:rsid w:val="00E64953"/>
    <w:rsid w:val="00E64E42"/>
    <w:rsid w:val="00E650D0"/>
    <w:rsid w:val="00E654BB"/>
    <w:rsid w:val="00E65BFC"/>
    <w:rsid w:val="00E65E19"/>
    <w:rsid w:val="00E65E79"/>
    <w:rsid w:val="00E65F0B"/>
    <w:rsid w:val="00E666C4"/>
    <w:rsid w:val="00E66BA2"/>
    <w:rsid w:val="00E66E68"/>
    <w:rsid w:val="00E66EB5"/>
    <w:rsid w:val="00E67416"/>
    <w:rsid w:val="00E67914"/>
    <w:rsid w:val="00E67B2F"/>
    <w:rsid w:val="00E67DC2"/>
    <w:rsid w:val="00E70072"/>
    <w:rsid w:val="00E70092"/>
    <w:rsid w:val="00E700EE"/>
    <w:rsid w:val="00E70123"/>
    <w:rsid w:val="00E701DE"/>
    <w:rsid w:val="00E70A60"/>
    <w:rsid w:val="00E70C1B"/>
    <w:rsid w:val="00E71521"/>
    <w:rsid w:val="00E71642"/>
    <w:rsid w:val="00E71649"/>
    <w:rsid w:val="00E71691"/>
    <w:rsid w:val="00E718B6"/>
    <w:rsid w:val="00E71A52"/>
    <w:rsid w:val="00E723BA"/>
    <w:rsid w:val="00E72C8D"/>
    <w:rsid w:val="00E7303B"/>
    <w:rsid w:val="00E7328F"/>
    <w:rsid w:val="00E7355B"/>
    <w:rsid w:val="00E73581"/>
    <w:rsid w:val="00E737A9"/>
    <w:rsid w:val="00E737C0"/>
    <w:rsid w:val="00E73811"/>
    <w:rsid w:val="00E7396A"/>
    <w:rsid w:val="00E73F08"/>
    <w:rsid w:val="00E7458B"/>
    <w:rsid w:val="00E7489E"/>
    <w:rsid w:val="00E74AE3"/>
    <w:rsid w:val="00E74D82"/>
    <w:rsid w:val="00E74DA4"/>
    <w:rsid w:val="00E74EB3"/>
    <w:rsid w:val="00E75143"/>
    <w:rsid w:val="00E75199"/>
    <w:rsid w:val="00E75A70"/>
    <w:rsid w:val="00E75AC8"/>
    <w:rsid w:val="00E75DAF"/>
    <w:rsid w:val="00E75E15"/>
    <w:rsid w:val="00E75ED9"/>
    <w:rsid w:val="00E75F43"/>
    <w:rsid w:val="00E75FAB"/>
    <w:rsid w:val="00E7608A"/>
    <w:rsid w:val="00E762B4"/>
    <w:rsid w:val="00E763D9"/>
    <w:rsid w:val="00E76C64"/>
    <w:rsid w:val="00E76CB3"/>
    <w:rsid w:val="00E76D64"/>
    <w:rsid w:val="00E76D87"/>
    <w:rsid w:val="00E76FCF"/>
    <w:rsid w:val="00E77766"/>
    <w:rsid w:val="00E77DC7"/>
    <w:rsid w:val="00E80959"/>
    <w:rsid w:val="00E80AF7"/>
    <w:rsid w:val="00E80E44"/>
    <w:rsid w:val="00E80F1D"/>
    <w:rsid w:val="00E81139"/>
    <w:rsid w:val="00E81226"/>
    <w:rsid w:val="00E81337"/>
    <w:rsid w:val="00E81478"/>
    <w:rsid w:val="00E81B0D"/>
    <w:rsid w:val="00E81DBB"/>
    <w:rsid w:val="00E81EB6"/>
    <w:rsid w:val="00E81F02"/>
    <w:rsid w:val="00E81F96"/>
    <w:rsid w:val="00E81FCA"/>
    <w:rsid w:val="00E82656"/>
    <w:rsid w:val="00E8267F"/>
    <w:rsid w:val="00E828AA"/>
    <w:rsid w:val="00E829C3"/>
    <w:rsid w:val="00E82A76"/>
    <w:rsid w:val="00E82B30"/>
    <w:rsid w:val="00E82F77"/>
    <w:rsid w:val="00E833F7"/>
    <w:rsid w:val="00E834C9"/>
    <w:rsid w:val="00E8361E"/>
    <w:rsid w:val="00E83908"/>
    <w:rsid w:val="00E83BDF"/>
    <w:rsid w:val="00E84067"/>
    <w:rsid w:val="00E8464E"/>
    <w:rsid w:val="00E8522D"/>
    <w:rsid w:val="00E858AE"/>
    <w:rsid w:val="00E85CCB"/>
    <w:rsid w:val="00E85CFD"/>
    <w:rsid w:val="00E85EA3"/>
    <w:rsid w:val="00E861CA"/>
    <w:rsid w:val="00E863A1"/>
    <w:rsid w:val="00E863EC"/>
    <w:rsid w:val="00E865E5"/>
    <w:rsid w:val="00E86645"/>
    <w:rsid w:val="00E869C4"/>
    <w:rsid w:val="00E86FCC"/>
    <w:rsid w:val="00E87043"/>
    <w:rsid w:val="00E87070"/>
    <w:rsid w:val="00E8762D"/>
    <w:rsid w:val="00E87A1D"/>
    <w:rsid w:val="00E87C1E"/>
    <w:rsid w:val="00E87DB0"/>
    <w:rsid w:val="00E87E97"/>
    <w:rsid w:val="00E90217"/>
    <w:rsid w:val="00E9094A"/>
    <w:rsid w:val="00E90BF4"/>
    <w:rsid w:val="00E91D35"/>
    <w:rsid w:val="00E91E96"/>
    <w:rsid w:val="00E9210D"/>
    <w:rsid w:val="00E9217E"/>
    <w:rsid w:val="00E926A5"/>
    <w:rsid w:val="00E92920"/>
    <w:rsid w:val="00E92D43"/>
    <w:rsid w:val="00E92EFA"/>
    <w:rsid w:val="00E93172"/>
    <w:rsid w:val="00E93ADC"/>
    <w:rsid w:val="00E93AFF"/>
    <w:rsid w:val="00E943B6"/>
    <w:rsid w:val="00E944E1"/>
    <w:rsid w:val="00E946BA"/>
    <w:rsid w:val="00E94701"/>
    <w:rsid w:val="00E948F0"/>
    <w:rsid w:val="00E95BCB"/>
    <w:rsid w:val="00E95DEC"/>
    <w:rsid w:val="00E9605E"/>
    <w:rsid w:val="00E962CC"/>
    <w:rsid w:val="00E96986"/>
    <w:rsid w:val="00E96BF5"/>
    <w:rsid w:val="00E97282"/>
    <w:rsid w:val="00E97CCA"/>
    <w:rsid w:val="00E97D21"/>
    <w:rsid w:val="00E97EDE"/>
    <w:rsid w:val="00E97FB6"/>
    <w:rsid w:val="00EA0051"/>
    <w:rsid w:val="00EA0067"/>
    <w:rsid w:val="00EA0438"/>
    <w:rsid w:val="00EA093C"/>
    <w:rsid w:val="00EA097A"/>
    <w:rsid w:val="00EA0C85"/>
    <w:rsid w:val="00EA0F36"/>
    <w:rsid w:val="00EA11FD"/>
    <w:rsid w:val="00EA17C3"/>
    <w:rsid w:val="00EA1F97"/>
    <w:rsid w:val="00EA21B6"/>
    <w:rsid w:val="00EA25D2"/>
    <w:rsid w:val="00EA2BC6"/>
    <w:rsid w:val="00EA2CAA"/>
    <w:rsid w:val="00EA2E9B"/>
    <w:rsid w:val="00EA35A1"/>
    <w:rsid w:val="00EA3864"/>
    <w:rsid w:val="00EA38B9"/>
    <w:rsid w:val="00EA3A0D"/>
    <w:rsid w:val="00EA3C37"/>
    <w:rsid w:val="00EA3C6D"/>
    <w:rsid w:val="00EA3EB3"/>
    <w:rsid w:val="00EA3FEF"/>
    <w:rsid w:val="00EA4172"/>
    <w:rsid w:val="00EA4353"/>
    <w:rsid w:val="00EA4389"/>
    <w:rsid w:val="00EA4C32"/>
    <w:rsid w:val="00EA4C93"/>
    <w:rsid w:val="00EA4D4D"/>
    <w:rsid w:val="00EA504C"/>
    <w:rsid w:val="00EA509F"/>
    <w:rsid w:val="00EA543E"/>
    <w:rsid w:val="00EA5A2C"/>
    <w:rsid w:val="00EA5EB7"/>
    <w:rsid w:val="00EA60DE"/>
    <w:rsid w:val="00EA6129"/>
    <w:rsid w:val="00EA6727"/>
    <w:rsid w:val="00EA6944"/>
    <w:rsid w:val="00EA6BD3"/>
    <w:rsid w:val="00EA6E5E"/>
    <w:rsid w:val="00EA7093"/>
    <w:rsid w:val="00EA7115"/>
    <w:rsid w:val="00EA734F"/>
    <w:rsid w:val="00EA735B"/>
    <w:rsid w:val="00EA79FB"/>
    <w:rsid w:val="00EA7ABE"/>
    <w:rsid w:val="00EA7B04"/>
    <w:rsid w:val="00EA7B1E"/>
    <w:rsid w:val="00EA7E00"/>
    <w:rsid w:val="00EA7E6E"/>
    <w:rsid w:val="00EA7F1C"/>
    <w:rsid w:val="00EB025D"/>
    <w:rsid w:val="00EB065E"/>
    <w:rsid w:val="00EB07F9"/>
    <w:rsid w:val="00EB0CE2"/>
    <w:rsid w:val="00EB0FCE"/>
    <w:rsid w:val="00EB15B6"/>
    <w:rsid w:val="00EB15DE"/>
    <w:rsid w:val="00EB16D3"/>
    <w:rsid w:val="00EB1A7F"/>
    <w:rsid w:val="00EB1BCC"/>
    <w:rsid w:val="00EB1C28"/>
    <w:rsid w:val="00EB1D86"/>
    <w:rsid w:val="00EB205E"/>
    <w:rsid w:val="00EB21AC"/>
    <w:rsid w:val="00EB2F83"/>
    <w:rsid w:val="00EB39CA"/>
    <w:rsid w:val="00EB3A6A"/>
    <w:rsid w:val="00EB3ADA"/>
    <w:rsid w:val="00EB3D06"/>
    <w:rsid w:val="00EB3D09"/>
    <w:rsid w:val="00EB3EAB"/>
    <w:rsid w:val="00EB414C"/>
    <w:rsid w:val="00EB4153"/>
    <w:rsid w:val="00EB4490"/>
    <w:rsid w:val="00EB4916"/>
    <w:rsid w:val="00EB491B"/>
    <w:rsid w:val="00EB4E3D"/>
    <w:rsid w:val="00EB54F1"/>
    <w:rsid w:val="00EB56AB"/>
    <w:rsid w:val="00EB598C"/>
    <w:rsid w:val="00EB5AD8"/>
    <w:rsid w:val="00EB5C68"/>
    <w:rsid w:val="00EB5D9B"/>
    <w:rsid w:val="00EB673A"/>
    <w:rsid w:val="00EB692F"/>
    <w:rsid w:val="00EB69F2"/>
    <w:rsid w:val="00EB7078"/>
    <w:rsid w:val="00EB7303"/>
    <w:rsid w:val="00EB74E5"/>
    <w:rsid w:val="00EB756B"/>
    <w:rsid w:val="00EB7724"/>
    <w:rsid w:val="00EC00C9"/>
    <w:rsid w:val="00EC0525"/>
    <w:rsid w:val="00EC06B8"/>
    <w:rsid w:val="00EC0DD9"/>
    <w:rsid w:val="00EC1488"/>
    <w:rsid w:val="00EC2649"/>
    <w:rsid w:val="00EC2D43"/>
    <w:rsid w:val="00EC2F5C"/>
    <w:rsid w:val="00EC31ED"/>
    <w:rsid w:val="00EC3BC3"/>
    <w:rsid w:val="00EC3D9B"/>
    <w:rsid w:val="00EC3EAE"/>
    <w:rsid w:val="00EC40A1"/>
    <w:rsid w:val="00EC44E9"/>
    <w:rsid w:val="00EC48E8"/>
    <w:rsid w:val="00EC4DB4"/>
    <w:rsid w:val="00EC565C"/>
    <w:rsid w:val="00EC5836"/>
    <w:rsid w:val="00EC592F"/>
    <w:rsid w:val="00EC5D62"/>
    <w:rsid w:val="00EC5E2D"/>
    <w:rsid w:val="00EC5E55"/>
    <w:rsid w:val="00EC6481"/>
    <w:rsid w:val="00EC6589"/>
    <w:rsid w:val="00EC688C"/>
    <w:rsid w:val="00EC6A71"/>
    <w:rsid w:val="00EC7116"/>
    <w:rsid w:val="00EC71B4"/>
    <w:rsid w:val="00EC747D"/>
    <w:rsid w:val="00EC7B13"/>
    <w:rsid w:val="00EC7B6F"/>
    <w:rsid w:val="00EC7CD7"/>
    <w:rsid w:val="00EC7FE0"/>
    <w:rsid w:val="00ED0005"/>
    <w:rsid w:val="00ED0216"/>
    <w:rsid w:val="00ED02EF"/>
    <w:rsid w:val="00ED040F"/>
    <w:rsid w:val="00ED0489"/>
    <w:rsid w:val="00ED0CBB"/>
    <w:rsid w:val="00ED0D30"/>
    <w:rsid w:val="00ED1186"/>
    <w:rsid w:val="00ED12E0"/>
    <w:rsid w:val="00ED12E3"/>
    <w:rsid w:val="00ED1338"/>
    <w:rsid w:val="00ED1667"/>
    <w:rsid w:val="00ED17E6"/>
    <w:rsid w:val="00ED1FBF"/>
    <w:rsid w:val="00ED233F"/>
    <w:rsid w:val="00ED2407"/>
    <w:rsid w:val="00ED244D"/>
    <w:rsid w:val="00ED249E"/>
    <w:rsid w:val="00ED24CB"/>
    <w:rsid w:val="00ED24DF"/>
    <w:rsid w:val="00ED265B"/>
    <w:rsid w:val="00ED2B55"/>
    <w:rsid w:val="00ED2B70"/>
    <w:rsid w:val="00ED2BF4"/>
    <w:rsid w:val="00ED3050"/>
    <w:rsid w:val="00ED31E8"/>
    <w:rsid w:val="00ED358B"/>
    <w:rsid w:val="00ED39D1"/>
    <w:rsid w:val="00ED3B00"/>
    <w:rsid w:val="00ED3BDC"/>
    <w:rsid w:val="00ED3F48"/>
    <w:rsid w:val="00ED4007"/>
    <w:rsid w:val="00ED440E"/>
    <w:rsid w:val="00ED4A41"/>
    <w:rsid w:val="00ED4B04"/>
    <w:rsid w:val="00ED4BEE"/>
    <w:rsid w:val="00ED4FE0"/>
    <w:rsid w:val="00ED5057"/>
    <w:rsid w:val="00ED50A4"/>
    <w:rsid w:val="00ED5293"/>
    <w:rsid w:val="00ED57EA"/>
    <w:rsid w:val="00ED5BD4"/>
    <w:rsid w:val="00ED5E68"/>
    <w:rsid w:val="00ED60F6"/>
    <w:rsid w:val="00ED6D2B"/>
    <w:rsid w:val="00ED6EAA"/>
    <w:rsid w:val="00ED6F1C"/>
    <w:rsid w:val="00ED73E2"/>
    <w:rsid w:val="00ED76B4"/>
    <w:rsid w:val="00ED77DE"/>
    <w:rsid w:val="00ED7A2A"/>
    <w:rsid w:val="00ED7C6F"/>
    <w:rsid w:val="00ED7EA5"/>
    <w:rsid w:val="00EE008F"/>
    <w:rsid w:val="00EE017A"/>
    <w:rsid w:val="00EE03EB"/>
    <w:rsid w:val="00EE057B"/>
    <w:rsid w:val="00EE0752"/>
    <w:rsid w:val="00EE07D3"/>
    <w:rsid w:val="00EE08FC"/>
    <w:rsid w:val="00EE0963"/>
    <w:rsid w:val="00EE0A93"/>
    <w:rsid w:val="00EE0B12"/>
    <w:rsid w:val="00EE112E"/>
    <w:rsid w:val="00EE139C"/>
    <w:rsid w:val="00EE17B1"/>
    <w:rsid w:val="00EE1996"/>
    <w:rsid w:val="00EE1C01"/>
    <w:rsid w:val="00EE1C82"/>
    <w:rsid w:val="00EE1E5D"/>
    <w:rsid w:val="00EE1FCF"/>
    <w:rsid w:val="00EE2009"/>
    <w:rsid w:val="00EE22AF"/>
    <w:rsid w:val="00EE24DE"/>
    <w:rsid w:val="00EE30A6"/>
    <w:rsid w:val="00EE316A"/>
    <w:rsid w:val="00EE35B5"/>
    <w:rsid w:val="00EE36CA"/>
    <w:rsid w:val="00EE3916"/>
    <w:rsid w:val="00EE3AD9"/>
    <w:rsid w:val="00EE3D2E"/>
    <w:rsid w:val="00EE3E42"/>
    <w:rsid w:val="00EE40FA"/>
    <w:rsid w:val="00EE4265"/>
    <w:rsid w:val="00EE4576"/>
    <w:rsid w:val="00EE48E3"/>
    <w:rsid w:val="00EE495A"/>
    <w:rsid w:val="00EE5119"/>
    <w:rsid w:val="00EE5697"/>
    <w:rsid w:val="00EE5DFB"/>
    <w:rsid w:val="00EE6312"/>
    <w:rsid w:val="00EE683B"/>
    <w:rsid w:val="00EE6B38"/>
    <w:rsid w:val="00EE6D70"/>
    <w:rsid w:val="00EE6EBE"/>
    <w:rsid w:val="00EE7165"/>
    <w:rsid w:val="00EE78A0"/>
    <w:rsid w:val="00EE79BC"/>
    <w:rsid w:val="00EE7D17"/>
    <w:rsid w:val="00EE7E8F"/>
    <w:rsid w:val="00EF00F3"/>
    <w:rsid w:val="00EF0171"/>
    <w:rsid w:val="00EF075B"/>
    <w:rsid w:val="00EF0B58"/>
    <w:rsid w:val="00EF11B5"/>
    <w:rsid w:val="00EF1358"/>
    <w:rsid w:val="00EF14FA"/>
    <w:rsid w:val="00EF1514"/>
    <w:rsid w:val="00EF1532"/>
    <w:rsid w:val="00EF1B25"/>
    <w:rsid w:val="00EF1DA0"/>
    <w:rsid w:val="00EF203B"/>
    <w:rsid w:val="00EF2263"/>
    <w:rsid w:val="00EF23B8"/>
    <w:rsid w:val="00EF25FF"/>
    <w:rsid w:val="00EF26E6"/>
    <w:rsid w:val="00EF2727"/>
    <w:rsid w:val="00EF27E1"/>
    <w:rsid w:val="00EF2E50"/>
    <w:rsid w:val="00EF2E76"/>
    <w:rsid w:val="00EF310D"/>
    <w:rsid w:val="00EF3679"/>
    <w:rsid w:val="00EF36DD"/>
    <w:rsid w:val="00EF39B0"/>
    <w:rsid w:val="00EF3E05"/>
    <w:rsid w:val="00EF4090"/>
    <w:rsid w:val="00EF44D3"/>
    <w:rsid w:val="00EF4527"/>
    <w:rsid w:val="00EF4747"/>
    <w:rsid w:val="00EF49AC"/>
    <w:rsid w:val="00EF4BF8"/>
    <w:rsid w:val="00EF4E53"/>
    <w:rsid w:val="00EF52E3"/>
    <w:rsid w:val="00EF5645"/>
    <w:rsid w:val="00EF56A9"/>
    <w:rsid w:val="00EF570C"/>
    <w:rsid w:val="00EF58B9"/>
    <w:rsid w:val="00EF58E4"/>
    <w:rsid w:val="00EF5CF9"/>
    <w:rsid w:val="00EF68F5"/>
    <w:rsid w:val="00EF6C72"/>
    <w:rsid w:val="00EF6D37"/>
    <w:rsid w:val="00EF6EF6"/>
    <w:rsid w:val="00EF7498"/>
    <w:rsid w:val="00EF76E0"/>
    <w:rsid w:val="00EF7CED"/>
    <w:rsid w:val="00F00393"/>
    <w:rsid w:val="00F0048B"/>
    <w:rsid w:val="00F0093E"/>
    <w:rsid w:val="00F00CBD"/>
    <w:rsid w:val="00F01192"/>
    <w:rsid w:val="00F013AD"/>
    <w:rsid w:val="00F014B7"/>
    <w:rsid w:val="00F01679"/>
    <w:rsid w:val="00F01971"/>
    <w:rsid w:val="00F02253"/>
    <w:rsid w:val="00F022F5"/>
    <w:rsid w:val="00F02738"/>
    <w:rsid w:val="00F02B57"/>
    <w:rsid w:val="00F02C0D"/>
    <w:rsid w:val="00F032B6"/>
    <w:rsid w:val="00F03460"/>
    <w:rsid w:val="00F03C2E"/>
    <w:rsid w:val="00F03E90"/>
    <w:rsid w:val="00F03EFB"/>
    <w:rsid w:val="00F03FC0"/>
    <w:rsid w:val="00F03FCC"/>
    <w:rsid w:val="00F04473"/>
    <w:rsid w:val="00F04942"/>
    <w:rsid w:val="00F04A66"/>
    <w:rsid w:val="00F04A9D"/>
    <w:rsid w:val="00F04B4B"/>
    <w:rsid w:val="00F04DF0"/>
    <w:rsid w:val="00F04F10"/>
    <w:rsid w:val="00F05132"/>
    <w:rsid w:val="00F0516C"/>
    <w:rsid w:val="00F055C6"/>
    <w:rsid w:val="00F056DF"/>
    <w:rsid w:val="00F05765"/>
    <w:rsid w:val="00F05AA0"/>
    <w:rsid w:val="00F05AFD"/>
    <w:rsid w:val="00F05E09"/>
    <w:rsid w:val="00F05E5A"/>
    <w:rsid w:val="00F05E98"/>
    <w:rsid w:val="00F05EE1"/>
    <w:rsid w:val="00F064E8"/>
    <w:rsid w:val="00F0653B"/>
    <w:rsid w:val="00F067A2"/>
    <w:rsid w:val="00F0765F"/>
    <w:rsid w:val="00F076C8"/>
    <w:rsid w:val="00F07729"/>
    <w:rsid w:val="00F0779D"/>
    <w:rsid w:val="00F07878"/>
    <w:rsid w:val="00F078C0"/>
    <w:rsid w:val="00F07B9E"/>
    <w:rsid w:val="00F106AC"/>
    <w:rsid w:val="00F106DF"/>
    <w:rsid w:val="00F10FFC"/>
    <w:rsid w:val="00F1116F"/>
    <w:rsid w:val="00F11963"/>
    <w:rsid w:val="00F11A00"/>
    <w:rsid w:val="00F11B07"/>
    <w:rsid w:val="00F11CF4"/>
    <w:rsid w:val="00F11EB1"/>
    <w:rsid w:val="00F11F5E"/>
    <w:rsid w:val="00F11F84"/>
    <w:rsid w:val="00F1263A"/>
    <w:rsid w:val="00F12774"/>
    <w:rsid w:val="00F12BED"/>
    <w:rsid w:val="00F12DA3"/>
    <w:rsid w:val="00F13133"/>
    <w:rsid w:val="00F13178"/>
    <w:rsid w:val="00F1324B"/>
    <w:rsid w:val="00F13439"/>
    <w:rsid w:val="00F13606"/>
    <w:rsid w:val="00F139C5"/>
    <w:rsid w:val="00F13AD2"/>
    <w:rsid w:val="00F13D7C"/>
    <w:rsid w:val="00F14C6C"/>
    <w:rsid w:val="00F15B77"/>
    <w:rsid w:val="00F15D1D"/>
    <w:rsid w:val="00F16212"/>
    <w:rsid w:val="00F1637F"/>
    <w:rsid w:val="00F1642E"/>
    <w:rsid w:val="00F164A4"/>
    <w:rsid w:val="00F164C3"/>
    <w:rsid w:val="00F1650F"/>
    <w:rsid w:val="00F16585"/>
    <w:rsid w:val="00F165C6"/>
    <w:rsid w:val="00F16B3A"/>
    <w:rsid w:val="00F16C79"/>
    <w:rsid w:val="00F16E27"/>
    <w:rsid w:val="00F174B7"/>
    <w:rsid w:val="00F177C3"/>
    <w:rsid w:val="00F17CB4"/>
    <w:rsid w:val="00F17F0A"/>
    <w:rsid w:val="00F20B2C"/>
    <w:rsid w:val="00F20CCC"/>
    <w:rsid w:val="00F21074"/>
    <w:rsid w:val="00F21236"/>
    <w:rsid w:val="00F21AA1"/>
    <w:rsid w:val="00F21F5A"/>
    <w:rsid w:val="00F2207F"/>
    <w:rsid w:val="00F2226A"/>
    <w:rsid w:val="00F22484"/>
    <w:rsid w:val="00F2260E"/>
    <w:rsid w:val="00F2270E"/>
    <w:rsid w:val="00F239DF"/>
    <w:rsid w:val="00F23D23"/>
    <w:rsid w:val="00F241B5"/>
    <w:rsid w:val="00F2436E"/>
    <w:rsid w:val="00F244CA"/>
    <w:rsid w:val="00F24837"/>
    <w:rsid w:val="00F24958"/>
    <w:rsid w:val="00F24E79"/>
    <w:rsid w:val="00F254DE"/>
    <w:rsid w:val="00F2554E"/>
    <w:rsid w:val="00F2575F"/>
    <w:rsid w:val="00F25765"/>
    <w:rsid w:val="00F257CA"/>
    <w:rsid w:val="00F25FED"/>
    <w:rsid w:val="00F2675C"/>
    <w:rsid w:val="00F26914"/>
    <w:rsid w:val="00F2696F"/>
    <w:rsid w:val="00F26CE4"/>
    <w:rsid w:val="00F27565"/>
    <w:rsid w:val="00F27AAE"/>
    <w:rsid w:val="00F27C3A"/>
    <w:rsid w:val="00F27C80"/>
    <w:rsid w:val="00F30355"/>
    <w:rsid w:val="00F30554"/>
    <w:rsid w:val="00F305D1"/>
    <w:rsid w:val="00F306A4"/>
    <w:rsid w:val="00F30DBD"/>
    <w:rsid w:val="00F310D4"/>
    <w:rsid w:val="00F3170F"/>
    <w:rsid w:val="00F31C95"/>
    <w:rsid w:val="00F31D5A"/>
    <w:rsid w:val="00F320CC"/>
    <w:rsid w:val="00F3225E"/>
    <w:rsid w:val="00F322B5"/>
    <w:rsid w:val="00F324AB"/>
    <w:rsid w:val="00F32567"/>
    <w:rsid w:val="00F3297D"/>
    <w:rsid w:val="00F32B54"/>
    <w:rsid w:val="00F32D26"/>
    <w:rsid w:val="00F330E2"/>
    <w:rsid w:val="00F336F9"/>
    <w:rsid w:val="00F338CC"/>
    <w:rsid w:val="00F33909"/>
    <w:rsid w:val="00F33975"/>
    <w:rsid w:val="00F33BEC"/>
    <w:rsid w:val="00F33DE9"/>
    <w:rsid w:val="00F344C9"/>
    <w:rsid w:val="00F34C4A"/>
    <w:rsid w:val="00F35165"/>
    <w:rsid w:val="00F351AD"/>
    <w:rsid w:val="00F353CD"/>
    <w:rsid w:val="00F35B68"/>
    <w:rsid w:val="00F35BB2"/>
    <w:rsid w:val="00F35D1A"/>
    <w:rsid w:val="00F35E6D"/>
    <w:rsid w:val="00F3619A"/>
    <w:rsid w:val="00F36455"/>
    <w:rsid w:val="00F37412"/>
    <w:rsid w:val="00F374EB"/>
    <w:rsid w:val="00F37A11"/>
    <w:rsid w:val="00F37B2A"/>
    <w:rsid w:val="00F37CE5"/>
    <w:rsid w:val="00F37F02"/>
    <w:rsid w:val="00F40095"/>
    <w:rsid w:val="00F400AE"/>
    <w:rsid w:val="00F40400"/>
    <w:rsid w:val="00F407BB"/>
    <w:rsid w:val="00F408DA"/>
    <w:rsid w:val="00F40AAA"/>
    <w:rsid w:val="00F40BA7"/>
    <w:rsid w:val="00F40E87"/>
    <w:rsid w:val="00F40F9D"/>
    <w:rsid w:val="00F41034"/>
    <w:rsid w:val="00F418D0"/>
    <w:rsid w:val="00F419E2"/>
    <w:rsid w:val="00F41ACD"/>
    <w:rsid w:val="00F42AD6"/>
    <w:rsid w:val="00F42F55"/>
    <w:rsid w:val="00F43286"/>
    <w:rsid w:val="00F43734"/>
    <w:rsid w:val="00F43A15"/>
    <w:rsid w:val="00F43BA6"/>
    <w:rsid w:val="00F43D27"/>
    <w:rsid w:val="00F43D5E"/>
    <w:rsid w:val="00F447F6"/>
    <w:rsid w:val="00F44983"/>
    <w:rsid w:val="00F44F4D"/>
    <w:rsid w:val="00F450B6"/>
    <w:rsid w:val="00F45367"/>
    <w:rsid w:val="00F45A32"/>
    <w:rsid w:val="00F46745"/>
    <w:rsid w:val="00F46B92"/>
    <w:rsid w:val="00F46C33"/>
    <w:rsid w:val="00F46CA4"/>
    <w:rsid w:val="00F46CB6"/>
    <w:rsid w:val="00F4756D"/>
    <w:rsid w:val="00F47DE8"/>
    <w:rsid w:val="00F47E6C"/>
    <w:rsid w:val="00F47F1B"/>
    <w:rsid w:val="00F50015"/>
    <w:rsid w:val="00F50149"/>
    <w:rsid w:val="00F50614"/>
    <w:rsid w:val="00F50E8E"/>
    <w:rsid w:val="00F51351"/>
    <w:rsid w:val="00F51790"/>
    <w:rsid w:val="00F517D3"/>
    <w:rsid w:val="00F51EB0"/>
    <w:rsid w:val="00F52C0E"/>
    <w:rsid w:val="00F52C9C"/>
    <w:rsid w:val="00F5312E"/>
    <w:rsid w:val="00F53192"/>
    <w:rsid w:val="00F5364F"/>
    <w:rsid w:val="00F53DF6"/>
    <w:rsid w:val="00F540AF"/>
    <w:rsid w:val="00F54149"/>
    <w:rsid w:val="00F5425B"/>
    <w:rsid w:val="00F542C1"/>
    <w:rsid w:val="00F54344"/>
    <w:rsid w:val="00F543AD"/>
    <w:rsid w:val="00F5474D"/>
    <w:rsid w:val="00F54D33"/>
    <w:rsid w:val="00F550E3"/>
    <w:rsid w:val="00F5525E"/>
    <w:rsid w:val="00F55A21"/>
    <w:rsid w:val="00F55E73"/>
    <w:rsid w:val="00F55EDA"/>
    <w:rsid w:val="00F56132"/>
    <w:rsid w:val="00F56935"/>
    <w:rsid w:val="00F56C80"/>
    <w:rsid w:val="00F56D9D"/>
    <w:rsid w:val="00F56F13"/>
    <w:rsid w:val="00F5723E"/>
    <w:rsid w:val="00F5736C"/>
    <w:rsid w:val="00F57784"/>
    <w:rsid w:val="00F57ACC"/>
    <w:rsid w:val="00F57B20"/>
    <w:rsid w:val="00F57FB1"/>
    <w:rsid w:val="00F60092"/>
    <w:rsid w:val="00F602AC"/>
    <w:rsid w:val="00F60473"/>
    <w:rsid w:val="00F6064A"/>
    <w:rsid w:val="00F608B5"/>
    <w:rsid w:val="00F608C0"/>
    <w:rsid w:val="00F60A92"/>
    <w:rsid w:val="00F60AA5"/>
    <w:rsid w:val="00F6118F"/>
    <w:rsid w:val="00F611AC"/>
    <w:rsid w:val="00F615BB"/>
    <w:rsid w:val="00F619FF"/>
    <w:rsid w:val="00F61BE4"/>
    <w:rsid w:val="00F61C18"/>
    <w:rsid w:val="00F620AF"/>
    <w:rsid w:val="00F62601"/>
    <w:rsid w:val="00F627DA"/>
    <w:rsid w:val="00F62BDA"/>
    <w:rsid w:val="00F62E4E"/>
    <w:rsid w:val="00F633CA"/>
    <w:rsid w:val="00F633ED"/>
    <w:rsid w:val="00F636C8"/>
    <w:rsid w:val="00F63A00"/>
    <w:rsid w:val="00F63CCD"/>
    <w:rsid w:val="00F640BF"/>
    <w:rsid w:val="00F64580"/>
    <w:rsid w:val="00F64CB4"/>
    <w:rsid w:val="00F64E1B"/>
    <w:rsid w:val="00F64EEC"/>
    <w:rsid w:val="00F65085"/>
    <w:rsid w:val="00F65884"/>
    <w:rsid w:val="00F659F8"/>
    <w:rsid w:val="00F65A1F"/>
    <w:rsid w:val="00F65AD6"/>
    <w:rsid w:val="00F65F4B"/>
    <w:rsid w:val="00F662AA"/>
    <w:rsid w:val="00F6655A"/>
    <w:rsid w:val="00F66843"/>
    <w:rsid w:val="00F6690B"/>
    <w:rsid w:val="00F669E1"/>
    <w:rsid w:val="00F669EE"/>
    <w:rsid w:val="00F672B8"/>
    <w:rsid w:val="00F675A5"/>
    <w:rsid w:val="00F67A69"/>
    <w:rsid w:val="00F67B57"/>
    <w:rsid w:val="00F67FB5"/>
    <w:rsid w:val="00F70199"/>
    <w:rsid w:val="00F7027C"/>
    <w:rsid w:val="00F70325"/>
    <w:rsid w:val="00F7043F"/>
    <w:rsid w:val="00F70760"/>
    <w:rsid w:val="00F7079C"/>
    <w:rsid w:val="00F707BD"/>
    <w:rsid w:val="00F70B0F"/>
    <w:rsid w:val="00F70BA6"/>
    <w:rsid w:val="00F70BFF"/>
    <w:rsid w:val="00F70C9D"/>
    <w:rsid w:val="00F7103D"/>
    <w:rsid w:val="00F71435"/>
    <w:rsid w:val="00F71886"/>
    <w:rsid w:val="00F7194E"/>
    <w:rsid w:val="00F720D3"/>
    <w:rsid w:val="00F72722"/>
    <w:rsid w:val="00F72BE6"/>
    <w:rsid w:val="00F72E53"/>
    <w:rsid w:val="00F73009"/>
    <w:rsid w:val="00F7342A"/>
    <w:rsid w:val="00F73856"/>
    <w:rsid w:val="00F73E08"/>
    <w:rsid w:val="00F74567"/>
    <w:rsid w:val="00F748DB"/>
    <w:rsid w:val="00F74CD9"/>
    <w:rsid w:val="00F74E23"/>
    <w:rsid w:val="00F750C0"/>
    <w:rsid w:val="00F75E25"/>
    <w:rsid w:val="00F76987"/>
    <w:rsid w:val="00F76CC1"/>
    <w:rsid w:val="00F7748D"/>
    <w:rsid w:val="00F7751F"/>
    <w:rsid w:val="00F77597"/>
    <w:rsid w:val="00F777D0"/>
    <w:rsid w:val="00F779E6"/>
    <w:rsid w:val="00F7ED96"/>
    <w:rsid w:val="00F8025E"/>
    <w:rsid w:val="00F80895"/>
    <w:rsid w:val="00F80A7B"/>
    <w:rsid w:val="00F80E34"/>
    <w:rsid w:val="00F80E5D"/>
    <w:rsid w:val="00F81A17"/>
    <w:rsid w:val="00F81E78"/>
    <w:rsid w:val="00F8200E"/>
    <w:rsid w:val="00F82219"/>
    <w:rsid w:val="00F82306"/>
    <w:rsid w:val="00F825E0"/>
    <w:rsid w:val="00F82734"/>
    <w:rsid w:val="00F82819"/>
    <w:rsid w:val="00F82888"/>
    <w:rsid w:val="00F82AA9"/>
    <w:rsid w:val="00F82ED2"/>
    <w:rsid w:val="00F82FC0"/>
    <w:rsid w:val="00F83916"/>
    <w:rsid w:val="00F83A12"/>
    <w:rsid w:val="00F8417C"/>
    <w:rsid w:val="00F846EA"/>
    <w:rsid w:val="00F8484F"/>
    <w:rsid w:val="00F84E91"/>
    <w:rsid w:val="00F851CE"/>
    <w:rsid w:val="00F85613"/>
    <w:rsid w:val="00F85C97"/>
    <w:rsid w:val="00F85EBB"/>
    <w:rsid w:val="00F86007"/>
    <w:rsid w:val="00F86081"/>
    <w:rsid w:val="00F864B1"/>
    <w:rsid w:val="00F86580"/>
    <w:rsid w:val="00F8680C"/>
    <w:rsid w:val="00F86C9D"/>
    <w:rsid w:val="00F87363"/>
    <w:rsid w:val="00F8740D"/>
    <w:rsid w:val="00F874C7"/>
    <w:rsid w:val="00F87751"/>
    <w:rsid w:val="00F878B0"/>
    <w:rsid w:val="00F87B58"/>
    <w:rsid w:val="00F87B86"/>
    <w:rsid w:val="00F90276"/>
    <w:rsid w:val="00F9095E"/>
    <w:rsid w:val="00F90F1F"/>
    <w:rsid w:val="00F91219"/>
    <w:rsid w:val="00F915F4"/>
    <w:rsid w:val="00F91ABE"/>
    <w:rsid w:val="00F91B72"/>
    <w:rsid w:val="00F920EA"/>
    <w:rsid w:val="00F92435"/>
    <w:rsid w:val="00F92444"/>
    <w:rsid w:val="00F92701"/>
    <w:rsid w:val="00F928A6"/>
    <w:rsid w:val="00F92A1A"/>
    <w:rsid w:val="00F92AD1"/>
    <w:rsid w:val="00F92E3A"/>
    <w:rsid w:val="00F92E7E"/>
    <w:rsid w:val="00F930C4"/>
    <w:rsid w:val="00F93775"/>
    <w:rsid w:val="00F93924"/>
    <w:rsid w:val="00F9393E"/>
    <w:rsid w:val="00F93AED"/>
    <w:rsid w:val="00F9426F"/>
    <w:rsid w:val="00F942E9"/>
    <w:rsid w:val="00F94318"/>
    <w:rsid w:val="00F945EC"/>
    <w:rsid w:val="00F94600"/>
    <w:rsid w:val="00F94693"/>
    <w:rsid w:val="00F946D5"/>
    <w:rsid w:val="00F9491D"/>
    <w:rsid w:val="00F94F73"/>
    <w:rsid w:val="00F951FA"/>
    <w:rsid w:val="00F95436"/>
    <w:rsid w:val="00F957F0"/>
    <w:rsid w:val="00F96192"/>
    <w:rsid w:val="00F96247"/>
    <w:rsid w:val="00F964B2"/>
    <w:rsid w:val="00F96873"/>
    <w:rsid w:val="00F96FAF"/>
    <w:rsid w:val="00F96FD0"/>
    <w:rsid w:val="00F973DF"/>
    <w:rsid w:val="00F974DE"/>
    <w:rsid w:val="00F977E1"/>
    <w:rsid w:val="00F97A78"/>
    <w:rsid w:val="00F97C06"/>
    <w:rsid w:val="00FA00F1"/>
    <w:rsid w:val="00FA049C"/>
    <w:rsid w:val="00FA06F6"/>
    <w:rsid w:val="00FA09A4"/>
    <w:rsid w:val="00FA0B20"/>
    <w:rsid w:val="00FA0B74"/>
    <w:rsid w:val="00FA0FD9"/>
    <w:rsid w:val="00FA14E6"/>
    <w:rsid w:val="00FA1B7C"/>
    <w:rsid w:val="00FA1D61"/>
    <w:rsid w:val="00FA2445"/>
    <w:rsid w:val="00FA24E7"/>
    <w:rsid w:val="00FA2798"/>
    <w:rsid w:val="00FA297F"/>
    <w:rsid w:val="00FA2C18"/>
    <w:rsid w:val="00FA2FE8"/>
    <w:rsid w:val="00FA3143"/>
    <w:rsid w:val="00FA316B"/>
    <w:rsid w:val="00FA397C"/>
    <w:rsid w:val="00FA46DA"/>
    <w:rsid w:val="00FA48AA"/>
    <w:rsid w:val="00FA4A62"/>
    <w:rsid w:val="00FA4B35"/>
    <w:rsid w:val="00FA4E31"/>
    <w:rsid w:val="00FA589B"/>
    <w:rsid w:val="00FA5905"/>
    <w:rsid w:val="00FA5EE6"/>
    <w:rsid w:val="00FA6078"/>
    <w:rsid w:val="00FA61BC"/>
    <w:rsid w:val="00FA62B3"/>
    <w:rsid w:val="00FA6520"/>
    <w:rsid w:val="00FA6D38"/>
    <w:rsid w:val="00FA78D2"/>
    <w:rsid w:val="00FA7956"/>
    <w:rsid w:val="00FA79AF"/>
    <w:rsid w:val="00FA7C65"/>
    <w:rsid w:val="00FA7EAF"/>
    <w:rsid w:val="00FA7EED"/>
    <w:rsid w:val="00FB0081"/>
    <w:rsid w:val="00FB0824"/>
    <w:rsid w:val="00FB0A5F"/>
    <w:rsid w:val="00FB0AAE"/>
    <w:rsid w:val="00FB0D1D"/>
    <w:rsid w:val="00FB0E11"/>
    <w:rsid w:val="00FB12C4"/>
    <w:rsid w:val="00FB15A5"/>
    <w:rsid w:val="00FB18E7"/>
    <w:rsid w:val="00FB1CF4"/>
    <w:rsid w:val="00FB21AD"/>
    <w:rsid w:val="00FB2B30"/>
    <w:rsid w:val="00FB2E0D"/>
    <w:rsid w:val="00FB2FCB"/>
    <w:rsid w:val="00FB3230"/>
    <w:rsid w:val="00FB332D"/>
    <w:rsid w:val="00FB3942"/>
    <w:rsid w:val="00FB3B46"/>
    <w:rsid w:val="00FB3BE3"/>
    <w:rsid w:val="00FB3FC9"/>
    <w:rsid w:val="00FB43F8"/>
    <w:rsid w:val="00FB49A6"/>
    <w:rsid w:val="00FB4C9C"/>
    <w:rsid w:val="00FB4DCC"/>
    <w:rsid w:val="00FB4F3D"/>
    <w:rsid w:val="00FB5285"/>
    <w:rsid w:val="00FB5754"/>
    <w:rsid w:val="00FB5973"/>
    <w:rsid w:val="00FB5984"/>
    <w:rsid w:val="00FB613B"/>
    <w:rsid w:val="00FB6546"/>
    <w:rsid w:val="00FB67DF"/>
    <w:rsid w:val="00FB7084"/>
    <w:rsid w:val="00FB72E5"/>
    <w:rsid w:val="00FB7501"/>
    <w:rsid w:val="00FB755C"/>
    <w:rsid w:val="00FB76FE"/>
    <w:rsid w:val="00FB79BE"/>
    <w:rsid w:val="00FB7B8F"/>
    <w:rsid w:val="00FB7BCC"/>
    <w:rsid w:val="00FB7C55"/>
    <w:rsid w:val="00FC003F"/>
    <w:rsid w:val="00FC0065"/>
    <w:rsid w:val="00FC022B"/>
    <w:rsid w:val="00FC04D4"/>
    <w:rsid w:val="00FC0877"/>
    <w:rsid w:val="00FC09ED"/>
    <w:rsid w:val="00FC0C94"/>
    <w:rsid w:val="00FC0DE6"/>
    <w:rsid w:val="00FC1074"/>
    <w:rsid w:val="00FC10B1"/>
    <w:rsid w:val="00FC147C"/>
    <w:rsid w:val="00FC14AA"/>
    <w:rsid w:val="00FC17F5"/>
    <w:rsid w:val="00FC1871"/>
    <w:rsid w:val="00FC1884"/>
    <w:rsid w:val="00FC194E"/>
    <w:rsid w:val="00FC1E2E"/>
    <w:rsid w:val="00FC20CE"/>
    <w:rsid w:val="00FC230B"/>
    <w:rsid w:val="00FC2B19"/>
    <w:rsid w:val="00FC371D"/>
    <w:rsid w:val="00FC3C9F"/>
    <w:rsid w:val="00FC3F0E"/>
    <w:rsid w:val="00FC4683"/>
    <w:rsid w:val="00FC51C6"/>
    <w:rsid w:val="00FC5235"/>
    <w:rsid w:val="00FC5655"/>
    <w:rsid w:val="00FC5813"/>
    <w:rsid w:val="00FC5870"/>
    <w:rsid w:val="00FC58A8"/>
    <w:rsid w:val="00FC5C64"/>
    <w:rsid w:val="00FC5DFB"/>
    <w:rsid w:val="00FC5F0B"/>
    <w:rsid w:val="00FC6225"/>
    <w:rsid w:val="00FC7204"/>
    <w:rsid w:val="00FC745C"/>
    <w:rsid w:val="00FC7776"/>
    <w:rsid w:val="00FC7F91"/>
    <w:rsid w:val="00FD00B9"/>
    <w:rsid w:val="00FD00F4"/>
    <w:rsid w:val="00FD0216"/>
    <w:rsid w:val="00FD046F"/>
    <w:rsid w:val="00FD048C"/>
    <w:rsid w:val="00FD08CC"/>
    <w:rsid w:val="00FD0EF5"/>
    <w:rsid w:val="00FD1274"/>
    <w:rsid w:val="00FD1B5C"/>
    <w:rsid w:val="00FD1C2F"/>
    <w:rsid w:val="00FD2100"/>
    <w:rsid w:val="00FD227A"/>
    <w:rsid w:val="00FD2363"/>
    <w:rsid w:val="00FD29A8"/>
    <w:rsid w:val="00FD2E05"/>
    <w:rsid w:val="00FD31E4"/>
    <w:rsid w:val="00FD348D"/>
    <w:rsid w:val="00FD36F6"/>
    <w:rsid w:val="00FD3B80"/>
    <w:rsid w:val="00FD3F5D"/>
    <w:rsid w:val="00FD436C"/>
    <w:rsid w:val="00FD4420"/>
    <w:rsid w:val="00FD446D"/>
    <w:rsid w:val="00FD462B"/>
    <w:rsid w:val="00FD4E8D"/>
    <w:rsid w:val="00FD4F2C"/>
    <w:rsid w:val="00FD4FD4"/>
    <w:rsid w:val="00FD5368"/>
    <w:rsid w:val="00FD596B"/>
    <w:rsid w:val="00FD5A12"/>
    <w:rsid w:val="00FD5A3B"/>
    <w:rsid w:val="00FD5AD7"/>
    <w:rsid w:val="00FD5FE2"/>
    <w:rsid w:val="00FD619C"/>
    <w:rsid w:val="00FD6394"/>
    <w:rsid w:val="00FD662E"/>
    <w:rsid w:val="00FD7425"/>
    <w:rsid w:val="00FD7529"/>
    <w:rsid w:val="00FD7618"/>
    <w:rsid w:val="00FD7903"/>
    <w:rsid w:val="00FE0726"/>
    <w:rsid w:val="00FE0E6C"/>
    <w:rsid w:val="00FE1382"/>
    <w:rsid w:val="00FE13C2"/>
    <w:rsid w:val="00FE191D"/>
    <w:rsid w:val="00FE1AB2"/>
    <w:rsid w:val="00FE1CDC"/>
    <w:rsid w:val="00FE1EE7"/>
    <w:rsid w:val="00FE2787"/>
    <w:rsid w:val="00FE2989"/>
    <w:rsid w:val="00FE2A30"/>
    <w:rsid w:val="00FE2F70"/>
    <w:rsid w:val="00FE3078"/>
    <w:rsid w:val="00FE31F7"/>
    <w:rsid w:val="00FE3227"/>
    <w:rsid w:val="00FE327E"/>
    <w:rsid w:val="00FE3662"/>
    <w:rsid w:val="00FE37A6"/>
    <w:rsid w:val="00FE3CA1"/>
    <w:rsid w:val="00FE3F02"/>
    <w:rsid w:val="00FE4249"/>
    <w:rsid w:val="00FE44C1"/>
    <w:rsid w:val="00FE452C"/>
    <w:rsid w:val="00FE4940"/>
    <w:rsid w:val="00FE4CE3"/>
    <w:rsid w:val="00FE4D78"/>
    <w:rsid w:val="00FE4EEA"/>
    <w:rsid w:val="00FE51AD"/>
    <w:rsid w:val="00FE51DE"/>
    <w:rsid w:val="00FE5424"/>
    <w:rsid w:val="00FE5A68"/>
    <w:rsid w:val="00FE5ADF"/>
    <w:rsid w:val="00FE6427"/>
    <w:rsid w:val="00FE683C"/>
    <w:rsid w:val="00FE6878"/>
    <w:rsid w:val="00FE6A59"/>
    <w:rsid w:val="00FE6C36"/>
    <w:rsid w:val="00FE70C3"/>
    <w:rsid w:val="00FE71D1"/>
    <w:rsid w:val="00FE7332"/>
    <w:rsid w:val="00FE75DE"/>
    <w:rsid w:val="00FE7B80"/>
    <w:rsid w:val="00FE7C79"/>
    <w:rsid w:val="00FE7D66"/>
    <w:rsid w:val="00FF00B7"/>
    <w:rsid w:val="00FF0345"/>
    <w:rsid w:val="00FF195E"/>
    <w:rsid w:val="00FF19FF"/>
    <w:rsid w:val="00FF1A8B"/>
    <w:rsid w:val="00FF1AB5"/>
    <w:rsid w:val="00FF1D00"/>
    <w:rsid w:val="00FF1DF6"/>
    <w:rsid w:val="00FF20B5"/>
    <w:rsid w:val="00FF25AC"/>
    <w:rsid w:val="00FF26CA"/>
    <w:rsid w:val="00FF2AD9"/>
    <w:rsid w:val="00FF3243"/>
    <w:rsid w:val="00FF34A1"/>
    <w:rsid w:val="00FF359F"/>
    <w:rsid w:val="00FF38E6"/>
    <w:rsid w:val="00FF3DCF"/>
    <w:rsid w:val="00FF3DE9"/>
    <w:rsid w:val="00FF3F79"/>
    <w:rsid w:val="00FF44FD"/>
    <w:rsid w:val="00FF4724"/>
    <w:rsid w:val="00FF491A"/>
    <w:rsid w:val="00FF492C"/>
    <w:rsid w:val="00FF4A21"/>
    <w:rsid w:val="00FF4D51"/>
    <w:rsid w:val="00FF513F"/>
    <w:rsid w:val="00FF5463"/>
    <w:rsid w:val="00FF54A3"/>
    <w:rsid w:val="00FF56EC"/>
    <w:rsid w:val="00FF5AA3"/>
    <w:rsid w:val="00FF5ACC"/>
    <w:rsid w:val="00FF5AD8"/>
    <w:rsid w:val="00FF5AFE"/>
    <w:rsid w:val="00FF5DA5"/>
    <w:rsid w:val="00FF5FD9"/>
    <w:rsid w:val="00FF667E"/>
    <w:rsid w:val="00FF682D"/>
    <w:rsid w:val="00FF697A"/>
    <w:rsid w:val="00FF6DF2"/>
    <w:rsid w:val="00FF7939"/>
    <w:rsid w:val="00FF7D9B"/>
    <w:rsid w:val="01732A48"/>
    <w:rsid w:val="018EE63F"/>
    <w:rsid w:val="01B17262"/>
    <w:rsid w:val="0202F84E"/>
    <w:rsid w:val="02322011"/>
    <w:rsid w:val="0261C49C"/>
    <w:rsid w:val="026B5041"/>
    <w:rsid w:val="027C3215"/>
    <w:rsid w:val="02CDABF9"/>
    <w:rsid w:val="02E7F4A7"/>
    <w:rsid w:val="0315518E"/>
    <w:rsid w:val="0349488F"/>
    <w:rsid w:val="040A29E8"/>
    <w:rsid w:val="042D747D"/>
    <w:rsid w:val="04936152"/>
    <w:rsid w:val="04B0B40B"/>
    <w:rsid w:val="04D635AE"/>
    <w:rsid w:val="0594A7A1"/>
    <w:rsid w:val="05A93A96"/>
    <w:rsid w:val="05F90CD2"/>
    <w:rsid w:val="062CE134"/>
    <w:rsid w:val="06B88D1E"/>
    <w:rsid w:val="078B8C16"/>
    <w:rsid w:val="07A11B73"/>
    <w:rsid w:val="07B3B750"/>
    <w:rsid w:val="07B8CB76"/>
    <w:rsid w:val="07E440DD"/>
    <w:rsid w:val="07F318B9"/>
    <w:rsid w:val="0829E193"/>
    <w:rsid w:val="086FD6F2"/>
    <w:rsid w:val="0910F2D2"/>
    <w:rsid w:val="095C0DAD"/>
    <w:rsid w:val="095DFEE2"/>
    <w:rsid w:val="09AA1148"/>
    <w:rsid w:val="0A41DDB6"/>
    <w:rsid w:val="0A4D8CC5"/>
    <w:rsid w:val="0AEE4C2B"/>
    <w:rsid w:val="0B243980"/>
    <w:rsid w:val="0B63604F"/>
    <w:rsid w:val="0BC0BD0A"/>
    <w:rsid w:val="0BC315CA"/>
    <w:rsid w:val="0BD47D0B"/>
    <w:rsid w:val="0BD60821"/>
    <w:rsid w:val="0C15B140"/>
    <w:rsid w:val="0CA45A25"/>
    <w:rsid w:val="0CC29C4F"/>
    <w:rsid w:val="0CF28B9F"/>
    <w:rsid w:val="0D1F525E"/>
    <w:rsid w:val="0DD72985"/>
    <w:rsid w:val="0E2AFF9C"/>
    <w:rsid w:val="0E546595"/>
    <w:rsid w:val="0E720DCE"/>
    <w:rsid w:val="0EA07BB7"/>
    <w:rsid w:val="0F1D33A4"/>
    <w:rsid w:val="0FED6EE9"/>
    <w:rsid w:val="102FA30D"/>
    <w:rsid w:val="105E1560"/>
    <w:rsid w:val="1066738C"/>
    <w:rsid w:val="109916CB"/>
    <w:rsid w:val="1102B696"/>
    <w:rsid w:val="112690E9"/>
    <w:rsid w:val="11A302D0"/>
    <w:rsid w:val="11C14B47"/>
    <w:rsid w:val="11C92EAB"/>
    <w:rsid w:val="11E85747"/>
    <w:rsid w:val="11EBF31E"/>
    <w:rsid w:val="123FCA5B"/>
    <w:rsid w:val="124CE85A"/>
    <w:rsid w:val="124D23EF"/>
    <w:rsid w:val="127E2055"/>
    <w:rsid w:val="12833EC3"/>
    <w:rsid w:val="1295B499"/>
    <w:rsid w:val="12EFEA93"/>
    <w:rsid w:val="13011812"/>
    <w:rsid w:val="146D0F0D"/>
    <w:rsid w:val="14733D19"/>
    <w:rsid w:val="14C0D52F"/>
    <w:rsid w:val="150DBD4F"/>
    <w:rsid w:val="15555BB5"/>
    <w:rsid w:val="1566736A"/>
    <w:rsid w:val="15ADDD6F"/>
    <w:rsid w:val="15ED6898"/>
    <w:rsid w:val="161F3BF2"/>
    <w:rsid w:val="167B42DC"/>
    <w:rsid w:val="167FCF0F"/>
    <w:rsid w:val="173C6E9F"/>
    <w:rsid w:val="1768773D"/>
    <w:rsid w:val="183ABDDF"/>
    <w:rsid w:val="1846AF73"/>
    <w:rsid w:val="185417AC"/>
    <w:rsid w:val="185458E4"/>
    <w:rsid w:val="18F00ADF"/>
    <w:rsid w:val="1929240E"/>
    <w:rsid w:val="193CEF9C"/>
    <w:rsid w:val="194C5662"/>
    <w:rsid w:val="198F023D"/>
    <w:rsid w:val="19C75099"/>
    <w:rsid w:val="19E297F5"/>
    <w:rsid w:val="1A1EB012"/>
    <w:rsid w:val="1A56D722"/>
    <w:rsid w:val="1A58D950"/>
    <w:rsid w:val="1A785ADD"/>
    <w:rsid w:val="1ADA3FAC"/>
    <w:rsid w:val="1B38F600"/>
    <w:rsid w:val="1B478D4B"/>
    <w:rsid w:val="1BA13803"/>
    <w:rsid w:val="1BCD43D4"/>
    <w:rsid w:val="1C04EB19"/>
    <w:rsid w:val="1CA05D5C"/>
    <w:rsid w:val="1CF1333A"/>
    <w:rsid w:val="1D039D0C"/>
    <w:rsid w:val="1D35FE98"/>
    <w:rsid w:val="1D99F8C1"/>
    <w:rsid w:val="1E431A6F"/>
    <w:rsid w:val="1E6B3480"/>
    <w:rsid w:val="1E88F2DF"/>
    <w:rsid w:val="1E9061B2"/>
    <w:rsid w:val="1EF51C00"/>
    <w:rsid w:val="1F1B4E6E"/>
    <w:rsid w:val="1F2D9EAF"/>
    <w:rsid w:val="1F928AF0"/>
    <w:rsid w:val="1F931A88"/>
    <w:rsid w:val="1FA0C309"/>
    <w:rsid w:val="1FC0EC2B"/>
    <w:rsid w:val="1FC7B498"/>
    <w:rsid w:val="20239E40"/>
    <w:rsid w:val="2073EA9F"/>
    <w:rsid w:val="207A50AC"/>
    <w:rsid w:val="208FC866"/>
    <w:rsid w:val="20C5E0EF"/>
    <w:rsid w:val="2115C87A"/>
    <w:rsid w:val="2190858C"/>
    <w:rsid w:val="21E35E57"/>
    <w:rsid w:val="220E51BB"/>
    <w:rsid w:val="225BE012"/>
    <w:rsid w:val="22A44CD7"/>
    <w:rsid w:val="23221C03"/>
    <w:rsid w:val="237B14CF"/>
    <w:rsid w:val="23C9E62D"/>
    <w:rsid w:val="23F9C7CD"/>
    <w:rsid w:val="240D2741"/>
    <w:rsid w:val="244F4B04"/>
    <w:rsid w:val="24B0137B"/>
    <w:rsid w:val="24D195A1"/>
    <w:rsid w:val="2524313D"/>
    <w:rsid w:val="2543BFCE"/>
    <w:rsid w:val="25603E5D"/>
    <w:rsid w:val="256704AB"/>
    <w:rsid w:val="25A788A3"/>
    <w:rsid w:val="25ED4637"/>
    <w:rsid w:val="2604E2A1"/>
    <w:rsid w:val="2685ABCF"/>
    <w:rsid w:val="26AD2AD4"/>
    <w:rsid w:val="2743BE27"/>
    <w:rsid w:val="27A11CC7"/>
    <w:rsid w:val="27C1C9F9"/>
    <w:rsid w:val="27C6BD36"/>
    <w:rsid w:val="27CE9403"/>
    <w:rsid w:val="2885E0C1"/>
    <w:rsid w:val="2886DF9C"/>
    <w:rsid w:val="28B27B3D"/>
    <w:rsid w:val="2930EAD0"/>
    <w:rsid w:val="298688FC"/>
    <w:rsid w:val="2A08E9FD"/>
    <w:rsid w:val="2A8DE394"/>
    <w:rsid w:val="2A9F125E"/>
    <w:rsid w:val="2AA5A761"/>
    <w:rsid w:val="2AAB9FCA"/>
    <w:rsid w:val="2ABDEB7E"/>
    <w:rsid w:val="2ACE68DB"/>
    <w:rsid w:val="2B009562"/>
    <w:rsid w:val="2B68F9EE"/>
    <w:rsid w:val="2B7CFEEA"/>
    <w:rsid w:val="2BC75F3E"/>
    <w:rsid w:val="2BE53C02"/>
    <w:rsid w:val="2BF859FD"/>
    <w:rsid w:val="2C15A09E"/>
    <w:rsid w:val="2C21108E"/>
    <w:rsid w:val="2C7CB574"/>
    <w:rsid w:val="2C8D2197"/>
    <w:rsid w:val="2CF4EA7A"/>
    <w:rsid w:val="2D9A31B2"/>
    <w:rsid w:val="2DBADF7E"/>
    <w:rsid w:val="2DEB6F15"/>
    <w:rsid w:val="2DFE26DC"/>
    <w:rsid w:val="2E388826"/>
    <w:rsid w:val="2E6C4570"/>
    <w:rsid w:val="2E8ADD06"/>
    <w:rsid w:val="2E906AB9"/>
    <w:rsid w:val="2ED0F1A6"/>
    <w:rsid w:val="2F6B34F5"/>
    <w:rsid w:val="2F9F4D0C"/>
    <w:rsid w:val="2FE195D3"/>
    <w:rsid w:val="310DD2D6"/>
    <w:rsid w:val="3145B0CB"/>
    <w:rsid w:val="31C03EC6"/>
    <w:rsid w:val="326A8356"/>
    <w:rsid w:val="32E2E420"/>
    <w:rsid w:val="32EFEF8D"/>
    <w:rsid w:val="3329DF86"/>
    <w:rsid w:val="34261236"/>
    <w:rsid w:val="345C99D4"/>
    <w:rsid w:val="346BD163"/>
    <w:rsid w:val="347D30C3"/>
    <w:rsid w:val="34D51D30"/>
    <w:rsid w:val="34E13C9C"/>
    <w:rsid w:val="351839D8"/>
    <w:rsid w:val="358547AF"/>
    <w:rsid w:val="368F633C"/>
    <w:rsid w:val="369E33BE"/>
    <w:rsid w:val="36B6551C"/>
    <w:rsid w:val="36ECFC22"/>
    <w:rsid w:val="36FB68FA"/>
    <w:rsid w:val="376943D2"/>
    <w:rsid w:val="37870461"/>
    <w:rsid w:val="37A6094A"/>
    <w:rsid w:val="37C16353"/>
    <w:rsid w:val="37D724EB"/>
    <w:rsid w:val="37EE399F"/>
    <w:rsid w:val="382BDBA1"/>
    <w:rsid w:val="382E7081"/>
    <w:rsid w:val="3848DF11"/>
    <w:rsid w:val="3890D531"/>
    <w:rsid w:val="38BF0863"/>
    <w:rsid w:val="38E3FE30"/>
    <w:rsid w:val="38F261A9"/>
    <w:rsid w:val="393C3E42"/>
    <w:rsid w:val="396E5B54"/>
    <w:rsid w:val="3A6CD2E1"/>
    <w:rsid w:val="3A9695C1"/>
    <w:rsid w:val="3AA7350F"/>
    <w:rsid w:val="3B1735A5"/>
    <w:rsid w:val="3B1E9F54"/>
    <w:rsid w:val="3B2399AB"/>
    <w:rsid w:val="3B3B379F"/>
    <w:rsid w:val="3B87F100"/>
    <w:rsid w:val="3C21BEAF"/>
    <w:rsid w:val="3C52E84D"/>
    <w:rsid w:val="3C55D2A7"/>
    <w:rsid w:val="3CC78329"/>
    <w:rsid w:val="3D17BA5F"/>
    <w:rsid w:val="3D5802FB"/>
    <w:rsid w:val="3D59B250"/>
    <w:rsid w:val="3D7074EE"/>
    <w:rsid w:val="3DFF21C3"/>
    <w:rsid w:val="3E3087CB"/>
    <w:rsid w:val="3E970978"/>
    <w:rsid w:val="3F0A75FC"/>
    <w:rsid w:val="3F52441E"/>
    <w:rsid w:val="3FE11A8B"/>
    <w:rsid w:val="408FC30B"/>
    <w:rsid w:val="40DFF8A3"/>
    <w:rsid w:val="40E01424"/>
    <w:rsid w:val="40E95F30"/>
    <w:rsid w:val="4173B97F"/>
    <w:rsid w:val="418055EC"/>
    <w:rsid w:val="4184D4CF"/>
    <w:rsid w:val="429ED734"/>
    <w:rsid w:val="42E341FF"/>
    <w:rsid w:val="43A00436"/>
    <w:rsid w:val="43E6B6EE"/>
    <w:rsid w:val="447EED25"/>
    <w:rsid w:val="44811995"/>
    <w:rsid w:val="44B10137"/>
    <w:rsid w:val="44DAFC01"/>
    <w:rsid w:val="44FBCA7C"/>
    <w:rsid w:val="4511DFC0"/>
    <w:rsid w:val="453AE97F"/>
    <w:rsid w:val="458BBCE7"/>
    <w:rsid w:val="45FE953C"/>
    <w:rsid w:val="46112C70"/>
    <w:rsid w:val="463AD8B8"/>
    <w:rsid w:val="464B411B"/>
    <w:rsid w:val="46663B85"/>
    <w:rsid w:val="474EC59F"/>
    <w:rsid w:val="477E23BA"/>
    <w:rsid w:val="481BC91E"/>
    <w:rsid w:val="485D94E0"/>
    <w:rsid w:val="4899C6A1"/>
    <w:rsid w:val="489B638B"/>
    <w:rsid w:val="48AAA1EF"/>
    <w:rsid w:val="490A648D"/>
    <w:rsid w:val="4926F041"/>
    <w:rsid w:val="497DE319"/>
    <w:rsid w:val="49D0B9E2"/>
    <w:rsid w:val="4A0BF5DA"/>
    <w:rsid w:val="4A5D67E9"/>
    <w:rsid w:val="4A9EACF5"/>
    <w:rsid w:val="4AAB28B2"/>
    <w:rsid w:val="4AB4A104"/>
    <w:rsid w:val="4AB79603"/>
    <w:rsid w:val="4ABA9409"/>
    <w:rsid w:val="4B081E9B"/>
    <w:rsid w:val="4B0A0A82"/>
    <w:rsid w:val="4B14CD5A"/>
    <w:rsid w:val="4B37C531"/>
    <w:rsid w:val="4B5DF5B0"/>
    <w:rsid w:val="4B8314B5"/>
    <w:rsid w:val="4B902CD4"/>
    <w:rsid w:val="4BFFE350"/>
    <w:rsid w:val="4C39DEB3"/>
    <w:rsid w:val="4C9ECE41"/>
    <w:rsid w:val="4CD66A4B"/>
    <w:rsid w:val="4CE3520C"/>
    <w:rsid w:val="4CF71A05"/>
    <w:rsid w:val="4D2DA417"/>
    <w:rsid w:val="4D2DD4F1"/>
    <w:rsid w:val="4D589C6F"/>
    <w:rsid w:val="4D89B598"/>
    <w:rsid w:val="4DB1453D"/>
    <w:rsid w:val="4DF7FD3F"/>
    <w:rsid w:val="4DFC6AB4"/>
    <w:rsid w:val="4E6CEA9C"/>
    <w:rsid w:val="4E84CBE4"/>
    <w:rsid w:val="4EEED313"/>
    <w:rsid w:val="4F0CFC10"/>
    <w:rsid w:val="4F4CC322"/>
    <w:rsid w:val="4FB0920B"/>
    <w:rsid w:val="4FDDDA3B"/>
    <w:rsid w:val="4FF5C83B"/>
    <w:rsid w:val="5015D62A"/>
    <w:rsid w:val="50BED4DC"/>
    <w:rsid w:val="51305744"/>
    <w:rsid w:val="519E28F1"/>
    <w:rsid w:val="51F1ADF0"/>
    <w:rsid w:val="51F22027"/>
    <w:rsid w:val="523DB140"/>
    <w:rsid w:val="5286FC32"/>
    <w:rsid w:val="52BD5B0E"/>
    <w:rsid w:val="5315A40B"/>
    <w:rsid w:val="531EF36D"/>
    <w:rsid w:val="5395E3DF"/>
    <w:rsid w:val="53E36CFF"/>
    <w:rsid w:val="545C72CB"/>
    <w:rsid w:val="54AE3953"/>
    <w:rsid w:val="54FC643C"/>
    <w:rsid w:val="5551CD70"/>
    <w:rsid w:val="55687518"/>
    <w:rsid w:val="55BD3E9E"/>
    <w:rsid w:val="5613338B"/>
    <w:rsid w:val="566EE6AE"/>
    <w:rsid w:val="5741AB19"/>
    <w:rsid w:val="57915F43"/>
    <w:rsid w:val="57C5B515"/>
    <w:rsid w:val="57F4E830"/>
    <w:rsid w:val="5817E452"/>
    <w:rsid w:val="5832866F"/>
    <w:rsid w:val="58639E38"/>
    <w:rsid w:val="58ADDE18"/>
    <w:rsid w:val="58D9E6DC"/>
    <w:rsid w:val="597436D4"/>
    <w:rsid w:val="598B7153"/>
    <w:rsid w:val="59AAAC7B"/>
    <w:rsid w:val="5AC98D1E"/>
    <w:rsid w:val="5B69A92C"/>
    <w:rsid w:val="5BA643EF"/>
    <w:rsid w:val="5C4E3382"/>
    <w:rsid w:val="5C705172"/>
    <w:rsid w:val="5C8E3651"/>
    <w:rsid w:val="5CFCC7BD"/>
    <w:rsid w:val="5D401220"/>
    <w:rsid w:val="5D47366C"/>
    <w:rsid w:val="5E23A171"/>
    <w:rsid w:val="5E258529"/>
    <w:rsid w:val="5E2E7435"/>
    <w:rsid w:val="5EBB3FA2"/>
    <w:rsid w:val="5EE29DCA"/>
    <w:rsid w:val="5F3E0013"/>
    <w:rsid w:val="5F4B075E"/>
    <w:rsid w:val="5F594CBF"/>
    <w:rsid w:val="5F7A42C0"/>
    <w:rsid w:val="5F8D4E3A"/>
    <w:rsid w:val="5FE6FA94"/>
    <w:rsid w:val="6002157C"/>
    <w:rsid w:val="603ED14F"/>
    <w:rsid w:val="603FBE67"/>
    <w:rsid w:val="60695870"/>
    <w:rsid w:val="6106B274"/>
    <w:rsid w:val="616C1673"/>
    <w:rsid w:val="617689CC"/>
    <w:rsid w:val="61F02D48"/>
    <w:rsid w:val="622611B6"/>
    <w:rsid w:val="62369C2B"/>
    <w:rsid w:val="625B9E30"/>
    <w:rsid w:val="62D0B04B"/>
    <w:rsid w:val="63797712"/>
    <w:rsid w:val="63C11A86"/>
    <w:rsid w:val="63F6725E"/>
    <w:rsid w:val="643CA818"/>
    <w:rsid w:val="645A6AA0"/>
    <w:rsid w:val="6498B3AA"/>
    <w:rsid w:val="6522289C"/>
    <w:rsid w:val="6579A942"/>
    <w:rsid w:val="659483AB"/>
    <w:rsid w:val="659B76BA"/>
    <w:rsid w:val="659E8608"/>
    <w:rsid w:val="65DCE64D"/>
    <w:rsid w:val="65EA2EAD"/>
    <w:rsid w:val="65F2BA50"/>
    <w:rsid w:val="6611B0F9"/>
    <w:rsid w:val="666A5242"/>
    <w:rsid w:val="66BC43BF"/>
    <w:rsid w:val="66E41A4A"/>
    <w:rsid w:val="66EAFF25"/>
    <w:rsid w:val="674DB782"/>
    <w:rsid w:val="6782ABB1"/>
    <w:rsid w:val="679964EF"/>
    <w:rsid w:val="67D8D0D6"/>
    <w:rsid w:val="688FAF20"/>
    <w:rsid w:val="68BD2419"/>
    <w:rsid w:val="691EA0DC"/>
    <w:rsid w:val="694A92B4"/>
    <w:rsid w:val="695F7BB4"/>
    <w:rsid w:val="6A2FFF5B"/>
    <w:rsid w:val="6A33818D"/>
    <w:rsid w:val="6A7BE995"/>
    <w:rsid w:val="6A827ED9"/>
    <w:rsid w:val="6AC48A43"/>
    <w:rsid w:val="6ACD6500"/>
    <w:rsid w:val="6B1191DB"/>
    <w:rsid w:val="6B3591DA"/>
    <w:rsid w:val="6B6E8BBD"/>
    <w:rsid w:val="6B8860EF"/>
    <w:rsid w:val="6BC8F197"/>
    <w:rsid w:val="6BEED859"/>
    <w:rsid w:val="6C249AE4"/>
    <w:rsid w:val="6C3D6210"/>
    <w:rsid w:val="6C45DD0C"/>
    <w:rsid w:val="6CA47665"/>
    <w:rsid w:val="6CD7C893"/>
    <w:rsid w:val="6D3BF6A4"/>
    <w:rsid w:val="6D42A0A2"/>
    <w:rsid w:val="6D60184C"/>
    <w:rsid w:val="6D6AF364"/>
    <w:rsid w:val="6D945DFC"/>
    <w:rsid w:val="6DC8D53B"/>
    <w:rsid w:val="6DD63F7C"/>
    <w:rsid w:val="6ED9C811"/>
    <w:rsid w:val="6F0E42BC"/>
    <w:rsid w:val="6F480850"/>
    <w:rsid w:val="6FB8D8CA"/>
    <w:rsid w:val="6FBDDE9E"/>
    <w:rsid w:val="7118FD06"/>
    <w:rsid w:val="716B2292"/>
    <w:rsid w:val="7173F0DF"/>
    <w:rsid w:val="7189832F"/>
    <w:rsid w:val="721E072F"/>
    <w:rsid w:val="7226066D"/>
    <w:rsid w:val="726E9926"/>
    <w:rsid w:val="728FB59F"/>
    <w:rsid w:val="72969A07"/>
    <w:rsid w:val="72C6F898"/>
    <w:rsid w:val="72FC82A9"/>
    <w:rsid w:val="733B53AB"/>
    <w:rsid w:val="7354C6F9"/>
    <w:rsid w:val="73586364"/>
    <w:rsid w:val="73BDB590"/>
    <w:rsid w:val="73DA54A6"/>
    <w:rsid w:val="73DA5BF8"/>
    <w:rsid w:val="74064EA0"/>
    <w:rsid w:val="7425E584"/>
    <w:rsid w:val="7485E3B6"/>
    <w:rsid w:val="74D2CE2B"/>
    <w:rsid w:val="753FE17B"/>
    <w:rsid w:val="756E8921"/>
    <w:rsid w:val="75A9921C"/>
    <w:rsid w:val="75D2F003"/>
    <w:rsid w:val="75E009EE"/>
    <w:rsid w:val="75EE3720"/>
    <w:rsid w:val="761271F7"/>
    <w:rsid w:val="76243203"/>
    <w:rsid w:val="7639B98A"/>
    <w:rsid w:val="7683E787"/>
    <w:rsid w:val="7686E477"/>
    <w:rsid w:val="76C19C3E"/>
    <w:rsid w:val="76C34C26"/>
    <w:rsid w:val="76D8C8D3"/>
    <w:rsid w:val="774893B7"/>
    <w:rsid w:val="77C0C9DB"/>
    <w:rsid w:val="77CB4B5C"/>
    <w:rsid w:val="77D1F29E"/>
    <w:rsid w:val="77D817D4"/>
    <w:rsid w:val="78149E43"/>
    <w:rsid w:val="78582E63"/>
    <w:rsid w:val="785945F4"/>
    <w:rsid w:val="78B43C4F"/>
    <w:rsid w:val="78F938DF"/>
    <w:rsid w:val="7930461A"/>
    <w:rsid w:val="795CFAB6"/>
    <w:rsid w:val="7964B7B3"/>
    <w:rsid w:val="798CDC43"/>
    <w:rsid w:val="799B6D35"/>
    <w:rsid w:val="79B2853A"/>
    <w:rsid w:val="7A3EC7E9"/>
    <w:rsid w:val="7A5E4C24"/>
    <w:rsid w:val="7ADEAC43"/>
    <w:rsid w:val="7B5363A3"/>
    <w:rsid w:val="7B701BEF"/>
    <w:rsid w:val="7BA90603"/>
    <w:rsid w:val="7C0DB996"/>
    <w:rsid w:val="7C2DF4D9"/>
    <w:rsid w:val="7C5F8139"/>
    <w:rsid w:val="7CCCD68D"/>
    <w:rsid w:val="7CE5F27E"/>
    <w:rsid w:val="7D391E75"/>
    <w:rsid w:val="7D4E9C21"/>
    <w:rsid w:val="7DB00073"/>
    <w:rsid w:val="7DED35AA"/>
    <w:rsid w:val="7DEE034C"/>
    <w:rsid w:val="7EA7A217"/>
    <w:rsid w:val="7EAD368D"/>
    <w:rsid w:val="7EBE5DD3"/>
    <w:rsid w:val="7F135B4F"/>
    <w:rsid w:val="7F155AB7"/>
    <w:rsid w:val="7F74C945"/>
    <w:rsid w:val="7FD9964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02"/>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PRIMA,Caption SYNEVi,Bayer Caption,IB Caption,Medical Caption,Char,CSR Caption,Caption Char1,Caption Char Char,Char Char Char,Char Char1,Char1,Table caption,Caption 3,c,appendix,Figure caption,Figure caption1 Char Char,Bayer"/>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Caption PRIMA Char,Caption SYNEVi Char,Bayer Caption Char,IB Caption Char,Medical Caption Char,Char Char,CSR Caption Char,Caption Char1 Char,Caption Char Char Char,Char Char Char Char,Char Char1 Char,Char1 Char,Table caption Char,c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 List,Figure_name,Numbered Indented Text,Bullet- First level,List NUmber,Listenabsatz1,lp1"/>
    <w:link w:val="ListParagraphChar"/>
    <w:uiPriority w:val="34"/>
    <w:qFormat/>
    <w:rsid w:val="004C3B02"/>
    <w:pPr>
      <w:numPr>
        <w:numId w:val="4"/>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List Char,Figure_name Char,List NUmber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aliases w:val="PBAC Table Footnote"/>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YHEC table,Lash Style Table,new style,Dossier table,Section 3- footnotes,Legemiddelverket 3,HTAtableplain,Tabellengitternetz 9pt,Header Table,NICE instructions"/>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Table HEADER PBAC,-H18,Annotationmark"/>
    <w:uiPriority w:val="99"/>
    <w:qFormat/>
    <w:rsid w:val="001E30D4"/>
    <w:rPr>
      <w:rFonts w:ascii="Arial Narrow" w:hAnsi="Arial Narrow"/>
      <w:b/>
      <w:sz w:val="20"/>
      <w:szCs w:val="16"/>
    </w:rPr>
  </w:style>
  <w:style w:type="paragraph" w:customStyle="1" w:styleId="Tabletext">
    <w:name w:val="Table text"/>
    <w:basedOn w:val="Normal"/>
    <w:link w:val="TabletextChar"/>
    <w:uiPriority w:val="4"/>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4"/>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1"/>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autoRedefine/>
    <w:qFormat/>
    <w:rsid w:val="00E53675"/>
    <w:rPr>
      <w:rFonts w:ascii="Arial Narrow" w:eastAsiaTheme="majorEastAsia" w:hAnsi="Arial Narrow" w:cstheme="majorBidi"/>
      <w:bCs/>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D92D9D"/>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4C3B02"/>
    <w:pPr>
      <w:numPr>
        <w:ilvl w:val="1"/>
        <w:numId w:val="5"/>
      </w:numPr>
      <w:spacing w:before="60" w:after="6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C3B02"/>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2"/>
      </w:numPr>
      <w:contextualSpacing/>
    </w:pPr>
  </w:style>
  <w:style w:type="character" w:customStyle="1" w:styleId="TableTextChar0">
    <w:name w:val="Table Text Char"/>
    <w:basedOn w:val="DefaultParagraphFont"/>
    <w:link w:val="TableText0"/>
    <w:rsid w:val="00FC5235"/>
    <w:rPr>
      <w:rFonts w:ascii="Arial Narrow" w:eastAsiaTheme="majorEastAsia" w:hAnsi="Arial Narrow" w:cstheme="majorBidi"/>
      <w:bCs/>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3"/>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autoRedefine/>
    <w:qFormat/>
    <w:rsid w:val="00C572F6"/>
    <w:pPr>
      <w:keepLines/>
      <w:spacing w:after="120"/>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C572F6"/>
    <w:rPr>
      <w:rFonts w:ascii="Arial Narrow" w:hAnsi="Arial Narrow" w:cs="Arial"/>
      <w:snapToGrid w:val="0"/>
      <w:sz w:val="18"/>
      <w:szCs w:val="22"/>
    </w:rPr>
  </w:style>
  <w:style w:type="paragraph" w:styleId="FootnoteText">
    <w:name w:val="footnote text"/>
    <w:basedOn w:val="Normal"/>
    <w:link w:val="FootnoteTextChar"/>
    <w:uiPriority w:val="99"/>
    <w:unhideWhenUsed/>
    <w:rsid w:val="005650DD"/>
    <w:rPr>
      <w:sz w:val="20"/>
      <w:szCs w:val="20"/>
    </w:rPr>
  </w:style>
  <w:style w:type="character" w:customStyle="1" w:styleId="FootnoteTextChar">
    <w:name w:val="Footnote Text Char"/>
    <w:basedOn w:val="DefaultParagraphFont"/>
    <w:link w:val="FootnoteText"/>
    <w:uiPriority w:val="99"/>
    <w:rsid w:val="005650DD"/>
    <w:rPr>
      <w:rFonts w:ascii="Calibri" w:hAnsi="Calibri" w:cs="Arial"/>
    </w:rPr>
  </w:style>
  <w:style w:type="character" w:styleId="FootnoteReference">
    <w:name w:val="footnote reference"/>
    <w:basedOn w:val="DefaultParagraphFont"/>
    <w:uiPriority w:val="99"/>
    <w:semiHidden/>
    <w:unhideWhenUsed/>
    <w:rsid w:val="005650DD"/>
    <w:rPr>
      <w:vertAlign w:val="superscript"/>
    </w:rPr>
  </w:style>
  <w:style w:type="character" w:styleId="UnresolvedMention">
    <w:name w:val="Unresolved Mention"/>
    <w:basedOn w:val="DefaultParagraphFont"/>
    <w:uiPriority w:val="99"/>
    <w:semiHidden/>
    <w:unhideWhenUsed/>
    <w:rsid w:val="00F21074"/>
    <w:rPr>
      <w:color w:val="605E5C"/>
      <w:shd w:val="clear" w:color="auto" w:fill="E1DFDD"/>
    </w:rPr>
  </w:style>
  <w:style w:type="paragraph" w:customStyle="1" w:styleId="Dash">
    <w:name w:val="Dash"/>
    <w:basedOn w:val="bullet"/>
    <w:rsid w:val="00F96873"/>
    <w:pPr>
      <w:numPr>
        <w:numId w:val="6"/>
      </w:numPr>
      <w:spacing w:after="40"/>
      <w:ind w:left="714" w:hanging="357"/>
    </w:pPr>
    <w:rPr>
      <w:rFonts w:asciiTheme="minorHAnsi" w:eastAsiaTheme="minorHAnsi" w:hAnsiTheme="minorHAnsi"/>
      <w:i w:val="0"/>
    </w:rPr>
  </w:style>
  <w:style w:type="paragraph" w:customStyle="1" w:styleId="PBACtablecaption">
    <w:name w:val="PBAC table caption"/>
    <w:basedOn w:val="Normal"/>
    <w:link w:val="PBACtablecaptionChar"/>
    <w:rsid w:val="004B42C1"/>
    <w:pPr>
      <w:jc w:val="left"/>
    </w:pPr>
    <w:rPr>
      <w:rFonts w:ascii="Arial Narrow" w:eastAsiaTheme="minorHAnsi" w:hAnsi="Arial Narrow"/>
      <w:sz w:val="18"/>
      <w:szCs w:val="18"/>
      <w:lang w:eastAsia="en-US"/>
    </w:rPr>
  </w:style>
  <w:style w:type="character" w:customStyle="1" w:styleId="PBACtablecaptionChar">
    <w:name w:val="PBAC table caption Char"/>
    <w:basedOn w:val="DefaultParagraphFont"/>
    <w:link w:val="PBACtablecaption"/>
    <w:rsid w:val="004B42C1"/>
    <w:rPr>
      <w:rFonts w:ascii="Arial Narrow" w:eastAsiaTheme="minorHAnsi" w:hAnsi="Arial Narrow" w:cs="Arial"/>
      <w:sz w:val="18"/>
      <w:szCs w:val="18"/>
      <w:lang w:eastAsia="en-US"/>
    </w:rPr>
  </w:style>
  <w:style w:type="paragraph" w:customStyle="1" w:styleId="PBACcaption">
    <w:name w:val="PBAC caption"/>
    <w:basedOn w:val="PBACtablecaption"/>
    <w:link w:val="PBACcaptionChar"/>
    <w:qFormat/>
    <w:rsid w:val="004B42C1"/>
    <w:rPr>
      <w:rFonts w:ascii="Sabon" w:hAnsi="Sabon"/>
      <w:b/>
      <w:sz w:val="22"/>
      <w:szCs w:val="22"/>
    </w:rPr>
  </w:style>
  <w:style w:type="character" w:customStyle="1" w:styleId="PBACcaptionChar">
    <w:name w:val="PBAC caption Char"/>
    <w:basedOn w:val="PBACtablecaptionChar"/>
    <w:link w:val="PBACcaption"/>
    <w:rsid w:val="004B42C1"/>
    <w:rPr>
      <w:rFonts w:ascii="Sabon" w:eastAsiaTheme="minorHAnsi" w:hAnsi="Sabon" w:cs="Arial"/>
      <w:b/>
      <w:sz w:val="22"/>
      <w:szCs w:val="22"/>
      <w:lang w:eastAsia="en-US"/>
    </w:rPr>
  </w:style>
  <w:style w:type="table" w:customStyle="1" w:styleId="TableGrid14">
    <w:name w:val="Table Grid14"/>
    <w:basedOn w:val="TableNormal"/>
    <w:next w:val="TableGrid"/>
    <w:rsid w:val="004B42C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character" w:styleId="Mention">
    <w:name w:val="Mention"/>
    <w:basedOn w:val="DefaultParagraphFont"/>
    <w:uiPriority w:val="99"/>
    <w:unhideWhenUsed/>
    <w:rsid w:val="00B23F98"/>
    <w:rPr>
      <w:color w:val="2B579A"/>
      <w:shd w:val="clear" w:color="auto" w:fill="E1DFDD"/>
    </w:rPr>
  </w:style>
  <w:style w:type="paragraph" w:customStyle="1" w:styleId="PbacTableHeading">
    <w:name w:val="Pbac Table Heading"/>
    <w:basedOn w:val="PBACTableText"/>
    <w:qFormat/>
    <w:rsid w:val="00DA7A52"/>
    <w:pPr>
      <w:spacing w:before="0" w:after="80"/>
    </w:pPr>
    <w:rPr>
      <w:rFonts w:eastAsiaTheme="minorHAnsi" w:cs="Arial"/>
      <w:b/>
    </w:rPr>
  </w:style>
  <w:style w:type="paragraph" w:customStyle="1" w:styleId="PBACTableText">
    <w:name w:val="PBAC Table Text"/>
    <w:basedOn w:val="Normal"/>
    <w:link w:val="PBACTableTextChar"/>
    <w:qFormat/>
    <w:rsid w:val="00DA7A52"/>
    <w:pPr>
      <w:spacing w:before="40"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DA7A52"/>
    <w:rPr>
      <w:rFonts w:ascii="Arial Narrow" w:hAnsi="Arial Narrow"/>
      <w:lang w:eastAsia="en-US"/>
    </w:rPr>
  </w:style>
  <w:style w:type="table" w:customStyle="1" w:styleId="Summarybox4">
    <w:name w:val="Summary box4"/>
    <w:basedOn w:val="TableNormal"/>
    <w:next w:val="TableGrid"/>
    <w:uiPriority w:val="59"/>
    <w:rsid w:val="009E59F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ListParagraph"/>
    <w:qFormat/>
    <w:rsid w:val="009E59F0"/>
    <w:pPr>
      <w:numPr>
        <w:numId w:val="8"/>
      </w:numPr>
      <w:tabs>
        <w:tab w:val="num" w:pos="360"/>
      </w:tabs>
      <w:spacing w:after="0"/>
      <w:ind w:left="720" w:firstLine="0"/>
      <w:contextualSpacing/>
      <w:jc w:val="both"/>
    </w:pPr>
    <w:rPr>
      <w:rFonts w:ascii="Calibri" w:eastAsiaTheme="minorHAnsi" w:hAnsi="Calibri" w:cstheme="minorBidi"/>
      <w:snapToGrid/>
      <w:sz w:val="20"/>
      <w:szCs w:val="20"/>
    </w:rPr>
  </w:style>
  <w:style w:type="table" w:customStyle="1" w:styleId="Summarybox5">
    <w:name w:val="Summary box5"/>
    <w:basedOn w:val="TableNormal"/>
    <w:next w:val="TableGrid"/>
    <w:uiPriority w:val="59"/>
    <w:rsid w:val="009E59F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ection3-footnotes1">
    <w:name w:val="Section 3- footnotes1"/>
    <w:basedOn w:val="TableNormal"/>
    <w:next w:val="TableGrid"/>
    <w:uiPriority w:val="39"/>
    <w:rsid w:val="009E59F0"/>
    <w:rPr>
      <w:rFonts w:ascii="Arial" w:eastAsia="Calibri" w:hAnsi="Arial" w:cs="Arial"/>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E59F0"/>
  </w:style>
  <w:style w:type="character" w:customStyle="1" w:styleId="eop">
    <w:name w:val="eop"/>
    <w:basedOn w:val="DefaultParagraphFont"/>
    <w:rsid w:val="009E59F0"/>
  </w:style>
  <w:style w:type="table" w:customStyle="1" w:styleId="TableGrid1">
    <w:name w:val="Table Grid1"/>
    <w:basedOn w:val="TableNormal"/>
    <w:next w:val="TableGrid"/>
    <w:uiPriority w:val="59"/>
    <w:rsid w:val="00814E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Borders">
    <w:name w:val="Table No Borders"/>
    <w:basedOn w:val="TableNormal"/>
    <w:rsid w:val="00405820"/>
    <w:pPr>
      <w:spacing w:before="40" w:after="20"/>
    </w:pPr>
    <w:rPr>
      <w:rFonts w:ascii="Garamond" w:hAnsi="Garamond"/>
      <w:sz w:val="22"/>
      <w:szCs w:val="22"/>
    </w:rPr>
    <w:tblPr/>
  </w:style>
  <w:style w:type="paragraph" w:customStyle="1" w:styleId="COMH1numbered">
    <w:name w:val="COM H1 numbered"/>
    <w:next w:val="Normal"/>
    <w:qFormat/>
    <w:rsid w:val="008975CB"/>
    <w:pPr>
      <w:keepNext/>
      <w:spacing w:before="240" w:after="120"/>
      <w:ind w:left="720" w:hanging="720"/>
      <w:outlineLvl w:val="0"/>
    </w:pPr>
    <w:rPr>
      <w:rFonts w:asciiTheme="minorHAnsi" w:hAnsiTheme="minorHAnsi" w:cs="Arial"/>
      <w:b/>
      <w:snapToGrid w:val="0"/>
      <w:sz w:val="32"/>
      <w:szCs w:val="32"/>
    </w:rPr>
  </w:style>
  <w:style w:type="paragraph" w:customStyle="1" w:styleId="COMexecsumnumberedpara">
    <w:name w:val="COM exec sum numbered para"/>
    <w:basedOn w:val="ListParagraph"/>
    <w:link w:val="COMexecsumnumberedparaChar"/>
    <w:qFormat/>
    <w:rsid w:val="008975CB"/>
    <w:pPr>
      <w:numPr>
        <w:numId w:val="0"/>
      </w:numPr>
      <w:ind w:left="720" w:hanging="720"/>
      <w:jc w:val="both"/>
    </w:pPr>
  </w:style>
  <w:style w:type="character" w:customStyle="1" w:styleId="COMexecsumnumberedparaChar">
    <w:name w:val="COM exec sum numbered para Char"/>
    <w:basedOn w:val="DefaultParagraphFont"/>
    <w:link w:val="COMexecsumnumberedpara"/>
    <w:rsid w:val="008975CB"/>
    <w:rPr>
      <w:rFonts w:asciiTheme="minorHAnsi" w:hAnsiTheme="minorHAnsi" w:cs="Arial"/>
      <w:snapToGrid w:val="0"/>
      <w:sz w:val="24"/>
      <w:szCs w:val="24"/>
    </w:rPr>
  </w:style>
  <w:style w:type="paragraph" w:customStyle="1" w:styleId="TableTextCA">
    <w:name w:val="Table Text CA"/>
    <w:basedOn w:val="Normal"/>
    <w:rsid w:val="008975CB"/>
    <w:pPr>
      <w:spacing w:before="40" w:after="40"/>
      <w:jc w:val="center"/>
    </w:pPr>
    <w:rPr>
      <w:rFonts w:ascii="Arial Narrow" w:eastAsiaTheme="minorHAnsi" w:hAnsi="Arial Narrow" w:cstheme="minorBidi"/>
      <w:sz w:val="20"/>
      <w:szCs w:val="22"/>
      <w:lang w:eastAsia="en-US"/>
    </w:rPr>
  </w:style>
  <w:style w:type="character" w:customStyle="1" w:styleId="cf01">
    <w:name w:val="cf01"/>
    <w:basedOn w:val="DefaultParagraphFont"/>
    <w:rsid w:val="006F3A68"/>
    <w:rPr>
      <w:rFonts w:ascii="Segoe UI" w:hAnsi="Segoe UI" w:cs="Segoe UI" w:hint="default"/>
      <w:sz w:val="18"/>
      <w:szCs w:val="18"/>
    </w:rPr>
  </w:style>
  <w:style w:type="paragraph" w:customStyle="1" w:styleId="3-SubsectionHeading">
    <w:name w:val="3-Subsection Heading"/>
    <w:basedOn w:val="Heading2"/>
    <w:next w:val="Normal"/>
    <w:link w:val="3-SubsectionHeadingChar"/>
    <w:qFormat/>
    <w:rsid w:val="00B13D5D"/>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B13D5D"/>
    <w:rPr>
      <w:rFonts w:asciiTheme="minorHAnsi" w:eastAsiaTheme="majorEastAsia" w:hAnsiTheme="minorHAnsi" w:cstheme="majorBidi"/>
      <w:b/>
      <w:i/>
      <w:snapToGrid/>
      <w:spacing w:val="5"/>
      <w:kern w:val="28"/>
      <w:sz w:val="28"/>
      <w:szCs w:val="36"/>
      <w:lang w:eastAsia="en-US"/>
    </w:rPr>
  </w:style>
  <w:style w:type="table" w:customStyle="1" w:styleId="Summarybox72">
    <w:name w:val="Summary box72"/>
    <w:basedOn w:val="TableNormal"/>
    <w:next w:val="TableGrid"/>
    <w:uiPriority w:val="59"/>
    <w:rsid w:val="00CD2D9A"/>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A517C4"/>
    <w:pPr>
      <w:spacing w:before="100" w:beforeAutospacing="1" w:after="100" w:afterAutospacing="1"/>
      <w:jc w:val="left"/>
    </w:pPr>
    <w:rPr>
      <w:rFonts w:ascii="Times New Roman" w:hAnsi="Times New Roman" w:cs="Times New Roman"/>
    </w:rPr>
  </w:style>
  <w:style w:type="paragraph" w:customStyle="1" w:styleId="COMH1-numbered">
    <w:name w:val="COM H1 - numbered"/>
    <w:next w:val="COMexecsummnumbered"/>
    <w:qFormat/>
    <w:rsid w:val="00781777"/>
    <w:pPr>
      <w:keepNext/>
      <w:spacing w:before="240" w:after="120"/>
      <w:ind w:left="720" w:hanging="720"/>
      <w:outlineLvl w:val="0"/>
    </w:pPr>
    <w:rPr>
      <w:rFonts w:asciiTheme="minorHAnsi" w:hAnsiTheme="minorHAnsi" w:cs="Arial"/>
      <w:b/>
      <w:snapToGrid w:val="0"/>
      <w:sz w:val="32"/>
      <w:szCs w:val="32"/>
    </w:rPr>
  </w:style>
  <w:style w:type="paragraph" w:customStyle="1" w:styleId="COMexecsummnumbered">
    <w:name w:val="COM exec summ numbered"/>
    <w:qFormat/>
    <w:rsid w:val="00781777"/>
    <w:pPr>
      <w:spacing w:before="60" w:after="60"/>
      <w:ind w:left="720" w:hanging="720"/>
      <w:jc w:val="both"/>
    </w:pPr>
    <w:rPr>
      <w:rFonts w:asciiTheme="minorHAnsi" w:eastAsiaTheme="minorHAnsi" w:hAnsiTheme="minorHAnsi" w:cstheme="minorBidi"/>
      <w:sz w:val="24"/>
      <w:szCs w:val="22"/>
    </w:rPr>
  </w:style>
  <w:style w:type="numbering" w:customStyle="1" w:styleId="SectionBii1">
    <w:name w:val="Section Bii1"/>
    <w:uiPriority w:val="99"/>
    <w:rsid w:val="00781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32336432">
      <w:bodyDiv w:val="1"/>
      <w:marLeft w:val="0"/>
      <w:marRight w:val="0"/>
      <w:marTop w:val="0"/>
      <w:marBottom w:val="0"/>
      <w:divBdr>
        <w:top w:val="none" w:sz="0" w:space="0" w:color="auto"/>
        <w:left w:val="none" w:sz="0" w:space="0" w:color="auto"/>
        <w:bottom w:val="none" w:sz="0" w:space="0" w:color="auto"/>
        <w:right w:val="none" w:sz="0" w:space="0" w:color="auto"/>
      </w:divBdr>
    </w:div>
    <w:div w:id="481043486">
      <w:bodyDiv w:val="1"/>
      <w:marLeft w:val="0"/>
      <w:marRight w:val="0"/>
      <w:marTop w:val="0"/>
      <w:marBottom w:val="0"/>
      <w:divBdr>
        <w:top w:val="none" w:sz="0" w:space="0" w:color="auto"/>
        <w:left w:val="none" w:sz="0" w:space="0" w:color="auto"/>
        <w:bottom w:val="none" w:sz="0" w:space="0" w:color="auto"/>
        <w:right w:val="none" w:sz="0" w:space="0" w:color="auto"/>
      </w:divBdr>
    </w:div>
    <w:div w:id="664434896">
      <w:bodyDiv w:val="1"/>
      <w:marLeft w:val="0"/>
      <w:marRight w:val="0"/>
      <w:marTop w:val="0"/>
      <w:marBottom w:val="0"/>
      <w:divBdr>
        <w:top w:val="none" w:sz="0" w:space="0" w:color="auto"/>
        <w:left w:val="none" w:sz="0" w:space="0" w:color="auto"/>
        <w:bottom w:val="none" w:sz="0" w:space="0" w:color="auto"/>
        <w:right w:val="none" w:sz="0" w:space="0" w:color="auto"/>
      </w:divBdr>
    </w:div>
    <w:div w:id="668600027">
      <w:bodyDiv w:val="1"/>
      <w:marLeft w:val="0"/>
      <w:marRight w:val="0"/>
      <w:marTop w:val="0"/>
      <w:marBottom w:val="0"/>
      <w:divBdr>
        <w:top w:val="none" w:sz="0" w:space="0" w:color="auto"/>
        <w:left w:val="none" w:sz="0" w:space="0" w:color="auto"/>
        <w:bottom w:val="none" w:sz="0" w:space="0" w:color="auto"/>
        <w:right w:val="none" w:sz="0" w:space="0" w:color="auto"/>
      </w:divBdr>
    </w:div>
    <w:div w:id="700977259">
      <w:bodyDiv w:val="1"/>
      <w:marLeft w:val="0"/>
      <w:marRight w:val="0"/>
      <w:marTop w:val="0"/>
      <w:marBottom w:val="0"/>
      <w:divBdr>
        <w:top w:val="none" w:sz="0" w:space="0" w:color="auto"/>
        <w:left w:val="none" w:sz="0" w:space="0" w:color="auto"/>
        <w:bottom w:val="none" w:sz="0" w:space="0" w:color="auto"/>
        <w:right w:val="none" w:sz="0" w:space="0" w:color="auto"/>
      </w:divBdr>
    </w:div>
    <w:div w:id="739326670">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78668164">
      <w:bodyDiv w:val="1"/>
      <w:marLeft w:val="0"/>
      <w:marRight w:val="0"/>
      <w:marTop w:val="0"/>
      <w:marBottom w:val="0"/>
      <w:divBdr>
        <w:top w:val="none" w:sz="0" w:space="0" w:color="auto"/>
        <w:left w:val="none" w:sz="0" w:space="0" w:color="auto"/>
        <w:bottom w:val="none" w:sz="0" w:space="0" w:color="auto"/>
        <w:right w:val="none" w:sz="0" w:space="0" w:color="auto"/>
      </w:divBdr>
    </w:div>
    <w:div w:id="882861794">
      <w:bodyDiv w:val="1"/>
      <w:marLeft w:val="0"/>
      <w:marRight w:val="0"/>
      <w:marTop w:val="0"/>
      <w:marBottom w:val="0"/>
      <w:divBdr>
        <w:top w:val="none" w:sz="0" w:space="0" w:color="auto"/>
        <w:left w:val="none" w:sz="0" w:space="0" w:color="auto"/>
        <w:bottom w:val="none" w:sz="0" w:space="0" w:color="auto"/>
        <w:right w:val="none" w:sz="0" w:space="0" w:color="auto"/>
      </w:divBdr>
    </w:div>
    <w:div w:id="900755675">
      <w:bodyDiv w:val="1"/>
      <w:marLeft w:val="0"/>
      <w:marRight w:val="0"/>
      <w:marTop w:val="0"/>
      <w:marBottom w:val="0"/>
      <w:divBdr>
        <w:top w:val="none" w:sz="0" w:space="0" w:color="auto"/>
        <w:left w:val="none" w:sz="0" w:space="0" w:color="auto"/>
        <w:bottom w:val="none" w:sz="0" w:space="0" w:color="auto"/>
        <w:right w:val="none" w:sz="0" w:space="0" w:color="auto"/>
      </w:divBdr>
    </w:div>
    <w:div w:id="903688333">
      <w:bodyDiv w:val="1"/>
      <w:marLeft w:val="0"/>
      <w:marRight w:val="0"/>
      <w:marTop w:val="0"/>
      <w:marBottom w:val="0"/>
      <w:divBdr>
        <w:top w:val="none" w:sz="0" w:space="0" w:color="auto"/>
        <w:left w:val="none" w:sz="0" w:space="0" w:color="auto"/>
        <w:bottom w:val="none" w:sz="0" w:space="0" w:color="auto"/>
        <w:right w:val="none" w:sz="0" w:space="0" w:color="auto"/>
      </w:divBdr>
    </w:div>
    <w:div w:id="982391968">
      <w:bodyDiv w:val="1"/>
      <w:marLeft w:val="0"/>
      <w:marRight w:val="0"/>
      <w:marTop w:val="0"/>
      <w:marBottom w:val="0"/>
      <w:divBdr>
        <w:top w:val="none" w:sz="0" w:space="0" w:color="auto"/>
        <w:left w:val="none" w:sz="0" w:space="0" w:color="auto"/>
        <w:bottom w:val="none" w:sz="0" w:space="0" w:color="auto"/>
        <w:right w:val="none" w:sz="0" w:space="0" w:color="auto"/>
      </w:divBdr>
    </w:div>
    <w:div w:id="982779547">
      <w:bodyDiv w:val="1"/>
      <w:marLeft w:val="0"/>
      <w:marRight w:val="0"/>
      <w:marTop w:val="0"/>
      <w:marBottom w:val="0"/>
      <w:divBdr>
        <w:top w:val="none" w:sz="0" w:space="0" w:color="auto"/>
        <w:left w:val="none" w:sz="0" w:space="0" w:color="auto"/>
        <w:bottom w:val="none" w:sz="0" w:space="0" w:color="auto"/>
        <w:right w:val="none" w:sz="0" w:space="0" w:color="auto"/>
      </w:divBdr>
    </w:div>
    <w:div w:id="1031952903">
      <w:bodyDiv w:val="1"/>
      <w:marLeft w:val="0"/>
      <w:marRight w:val="0"/>
      <w:marTop w:val="0"/>
      <w:marBottom w:val="0"/>
      <w:divBdr>
        <w:top w:val="none" w:sz="0" w:space="0" w:color="auto"/>
        <w:left w:val="none" w:sz="0" w:space="0" w:color="auto"/>
        <w:bottom w:val="none" w:sz="0" w:space="0" w:color="auto"/>
        <w:right w:val="none" w:sz="0" w:space="0" w:color="auto"/>
      </w:divBdr>
    </w:div>
    <w:div w:id="1156607169">
      <w:bodyDiv w:val="1"/>
      <w:marLeft w:val="0"/>
      <w:marRight w:val="0"/>
      <w:marTop w:val="0"/>
      <w:marBottom w:val="0"/>
      <w:divBdr>
        <w:top w:val="none" w:sz="0" w:space="0" w:color="auto"/>
        <w:left w:val="none" w:sz="0" w:space="0" w:color="auto"/>
        <w:bottom w:val="none" w:sz="0" w:space="0" w:color="auto"/>
        <w:right w:val="none" w:sz="0" w:space="0" w:color="auto"/>
      </w:divBdr>
    </w:div>
    <w:div w:id="1163276664">
      <w:bodyDiv w:val="1"/>
      <w:marLeft w:val="0"/>
      <w:marRight w:val="0"/>
      <w:marTop w:val="0"/>
      <w:marBottom w:val="0"/>
      <w:divBdr>
        <w:top w:val="none" w:sz="0" w:space="0" w:color="auto"/>
        <w:left w:val="none" w:sz="0" w:space="0" w:color="auto"/>
        <w:bottom w:val="none" w:sz="0" w:space="0" w:color="auto"/>
        <w:right w:val="none" w:sz="0" w:space="0" w:color="auto"/>
      </w:divBdr>
      <w:divsChild>
        <w:div w:id="838495732">
          <w:marLeft w:val="0"/>
          <w:marRight w:val="0"/>
          <w:marTop w:val="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04506054">
      <w:bodyDiv w:val="1"/>
      <w:marLeft w:val="0"/>
      <w:marRight w:val="0"/>
      <w:marTop w:val="0"/>
      <w:marBottom w:val="0"/>
      <w:divBdr>
        <w:top w:val="none" w:sz="0" w:space="0" w:color="auto"/>
        <w:left w:val="none" w:sz="0" w:space="0" w:color="auto"/>
        <w:bottom w:val="none" w:sz="0" w:space="0" w:color="auto"/>
        <w:right w:val="none" w:sz="0" w:space="0" w:color="auto"/>
      </w:divBdr>
    </w:div>
    <w:div w:id="1439180862">
      <w:bodyDiv w:val="1"/>
      <w:marLeft w:val="0"/>
      <w:marRight w:val="0"/>
      <w:marTop w:val="0"/>
      <w:marBottom w:val="0"/>
      <w:divBdr>
        <w:top w:val="none" w:sz="0" w:space="0" w:color="auto"/>
        <w:left w:val="none" w:sz="0" w:space="0" w:color="auto"/>
        <w:bottom w:val="none" w:sz="0" w:space="0" w:color="auto"/>
        <w:right w:val="none" w:sz="0" w:space="0" w:color="auto"/>
      </w:divBdr>
    </w:div>
    <w:div w:id="1440179391">
      <w:bodyDiv w:val="1"/>
      <w:marLeft w:val="0"/>
      <w:marRight w:val="0"/>
      <w:marTop w:val="0"/>
      <w:marBottom w:val="0"/>
      <w:divBdr>
        <w:top w:val="none" w:sz="0" w:space="0" w:color="auto"/>
        <w:left w:val="none" w:sz="0" w:space="0" w:color="auto"/>
        <w:bottom w:val="none" w:sz="0" w:space="0" w:color="auto"/>
        <w:right w:val="none" w:sz="0" w:space="0" w:color="auto"/>
      </w:divBdr>
      <w:divsChild>
        <w:div w:id="1244953327">
          <w:marLeft w:val="0"/>
          <w:marRight w:val="0"/>
          <w:marTop w:val="0"/>
          <w:marBottom w:val="0"/>
          <w:divBdr>
            <w:top w:val="none" w:sz="0" w:space="0" w:color="auto"/>
            <w:left w:val="none" w:sz="0" w:space="0" w:color="auto"/>
            <w:bottom w:val="none" w:sz="0" w:space="0" w:color="auto"/>
            <w:right w:val="none" w:sz="0" w:space="0" w:color="auto"/>
          </w:divBdr>
        </w:div>
      </w:divsChild>
    </w:div>
    <w:div w:id="1616404889">
      <w:bodyDiv w:val="1"/>
      <w:marLeft w:val="0"/>
      <w:marRight w:val="0"/>
      <w:marTop w:val="0"/>
      <w:marBottom w:val="0"/>
      <w:divBdr>
        <w:top w:val="none" w:sz="0" w:space="0" w:color="auto"/>
        <w:left w:val="none" w:sz="0" w:space="0" w:color="auto"/>
        <w:bottom w:val="none" w:sz="0" w:space="0" w:color="auto"/>
        <w:right w:val="none" w:sz="0" w:space="0" w:color="auto"/>
      </w:divBdr>
    </w:div>
    <w:div w:id="1621642265">
      <w:bodyDiv w:val="1"/>
      <w:marLeft w:val="0"/>
      <w:marRight w:val="0"/>
      <w:marTop w:val="0"/>
      <w:marBottom w:val="0"/>
      <w:divBdr>
        <w:top w:val="none" w:sz="0" w:space="0" w:color="auto"/>
        <w:left w:val="none" w:sz="0" w:space="0" w:color="auto"/>
        <w:bottom w:val="none" w:sz="0" w:space="0" w:color="auto"/>
        <w:right w:val="none" w:sz="0" w:space="0" w:color="auto"/>
      </w:divBdr>
    </w:div>
    <w:div w:id="1685936728">
      <w:bodyDiv w:val="1"/>
      <w:marLeft w:val="0"/>
      <w:marRight w:val="0"/>
      <w:marTop w:val="0"/>
      <w:marBottom w:val="0"/>
      <w:divBdr>
        <w:top w:val="none" w:sz="0" w:space="0" w:color="auto"/>
        <w:left w:val="none" w:sz="0" w:space="0" w:color="auto"/>
        <w:bottom w:val="none" w:sz="0" w:space="0" w:color="auto"/>
        <w:right w:val="none" w:sz="0" w:space="0" w:color="auto"/>
      </w:divBdr>
    </w:div>
    <w:div w:id="1743987414">
      <w:bodyDiv w:val="1"/>
      <w:marLeft w:val="0"/>
      <w:marRight w:val="0"/>
      <w:marTop w:val="0"/>
      <w:marBottom w:val="0"/>
      <w:divBdr>
        <w:top w:val="none" w:sz="0" w:space="0" w:color="auto"/>
        <w:left w:val="none" w:sz="0" w:space="0" w:color="auto"/>
        <w:bottom w:val="none" w:sz="0" w:space="0" w:color="auto"/>
        <w:right w:val="none" w:sz="0" w:space="0" w:color="auto"/>
      </w:divBdr>
    </w:div>
    <w:div w:id="1886022983">
      <w:bodyDiv w:val="1"/>
      <w:marLeft w:val="0"/>
      <w:marRight w:val="0"/>
      <w:marTop w:val="0"/>
      <w:marBottom w:val="0"/>
      <w:divBdr>
        <w:top w:val="none" w:sz="0" w:space="0" w:color="auto"/>
        <w:left w:val="none" w:sz="0" w:space="0" w:color="auto"/>
        <w:bottom w:val="none" w:sz="0" w:space="0" w:color="auto"/>
        <w:right w:val="none" w:sz="0" w:space="0" w:color="auto"/>
      </w:divBdr>
    </w:div>
    <w:div w:id="1952785627">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3387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ervicesaustralia.gov.au/HPO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yperlink" Target="http://www.servicesaustralia.gov.au/HPO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servicesaustralia.gov.au/HPOS"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111/apm.13472" TargetMode="External"/><Relationship Id="rId2" Type="http://schemas.openxmlformats.org/officeDocument/2006/relationships/hyperlink" Target="https://doi.org/10.1111/apm.13472" TargetMode="External"/><Relationship Id="rId1" Type="http://schemas.openxmlformats.org/officeDocument/2006/relationships/hyperlink" Target="https://doi.org/10.1111/apm.13472" TargetMode="External"/><Relationship Id="rId4" Type="http://schemas.openxmlformats.org/officeDocument/2006/relationships/hyperlink" Target="https://doi.org/10.1097/01.HS9.0000975592.83600.c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976EF7-C970-4AC8-B68A-10985D6C1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3.xml><?xml version="1.0" encoding="utf-8"?>
<ds:datastoreItem xmlns:ds="http://schemas.openxmlformats.org/officeDocument/2006/customXml" ds:itemID="{C83B223E-72B3-43D5-91F8-485E840B986E}">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4.xml><?xml version="1.0" encoding="utf-8"?>
<ds:datastoreItem xmlns:ds="http://schemas.openxmlformats.org/officeDocument/2006/customXml" ds:itemID="{C30CDAD9-03A4-46A8-AD01-85B4239591B2}">
  <ds:schemaRefs>
    <ds:schemaRef ds:uri="http://schemas.microsoft.com/sharepoint/v3/contenttype/forms"/>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56</Pages>
  <Words>22372</Words>
  <Characters>127526</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149599</CharactersWithSpaces>
  <SharedDoc>false</SharedDoc>
  <HLinks>
    <vt:vector size="66" baseType="variant">
      <vt:variant>
        <vt:i4>7143486</vt:i4>
      </vt:variant>
      <vt:variant>
        <vt:i4>341</vt:i4>
      </vt:variant>
      <vt:variant>
        <vt:i4>0</vt:i4>
      </vt:variant>
      <vt:variant>
        <vt:i4>5</vt:i4>
      </vt:variant>
      <vt:variant>
        <vt:lpwstr>el://D19-558558/?db=A7&amp;open</vt:lpwstr>
      </vt:variant>
      <vt:variant>
        <vt:lpwstr/>
      </vt:variant>
      <vt:variant>
        <vt:i4>5832723</vt:i4>
      </vt:variant>
      <vt:variant>
        <vt:i4>338</vt:i4>
      </vt:variant>
      <vt:variant>
        <vt:i4>0</vt:i4>
      </vt:variant>
      <vt:variant>
        <vt:i4>5</vt:i4>
      </vt:variant>
      <vt:variant>
        <vt:lpwstr>https://www.pbs.gov.au/info/industry/listing/elements/pbac-meetings/pbac-outcomes/recommendations-made-by-the-pbac-july-2021</vt:lpwstr>
      </vt:variant>
      <vt:variant>
        <vt:lpwstr/>
      </vt:variant>
      <vt:variant>
        <vt:i4>1900569</vt:i4>
      </vt:variant>
      <vt:variant>
        <vt:i4>335</vt:i4>
      </vt:variant>
      <vt:variant>
        <vt:i4>0</vt:i4>
      </vt:variant>
      <vt:variant>
        <vt:i4>5</vt:i4>
      </vt:variant>
      <vt:variant>
        <vt:lpwstr>http://www.pbs.gov.au/general/independent-review/files/information-for-applicants-seeking-review.pdf</vt:lpwstr>
      </vt:variant>
      <vt:variant>
        <vt:lpwstr/>
      </vt:variant>
      <vt:variant>
        <vt:i4>1179671</vt:i4>
      </vt:variant>
      <vt:variant>
        <vt:i4>332</vt:i4>
      </vt:variant>
      <vt:variant>
        <vt:i4>0</vt:i4>
      </vt:variant>
      <vt:variant>
        <vt:i4>5</vt:i4>
      </vt:variant>
      <vt:variant>
        <vt:lpwstr>el://D20-2042413/?db=A7&amp;open</vt:lpwstr>
      </vt:variant>
      <vt:variant>
        <vt:lpwstr/>
      </vt:variant>
      <vt:variant>
        <vt:i4>6357049</vt:i4>
      </vt:variant>
      <vt:variant>
        <vt:i4>329</vt:i4>
      </vt:variant>
      <vt:variant>
        <vt:i4>0</vt:i4>
      </vt:variant>
      <vt:variant>
        <vt:i4>5</vt:i4>
      </vt:variant>
      <vt:variant>
        <vt:lpwstr>el://D19-123964/?db=A7&amp;open</vt:lpwstr>
      </vt:variant>
      <vt:variant>
        <vt:lpwstr/>
      </vt:variant>
      <vt:variant>
        <vt:i4>1048599</vt:i4>
      </vt:variant>
      <vt:variant>
        <vt:i4>326</vt:i4>
      </vt:variant>
      <vt:variant>
        <vt:i4>0</vt:i4>
      </vt:variant>
      <vt:variant>
        <vt:i4>5</vt:i4>
      </vt:variant>
      <vt:variant>
        <vt:lpwstr>el://D17-1764734/?db=A7&amp;open</vt:lpwstr>
      </vt:variant>
      <vt:variant>
        <vt:lpwstr/>
      </vt:variant>
      <vt:variant>
        <vt:i4>5505107</vt:i4>
      </vt:variant>
      <vt:variant>
        <vt:i4>323</vt:i4>
      </vt:variant>
      <vt:variant>
        <vt:i4>0</vt:i4>
      </vt:variant>
      <vt:variant>
        <vt:i4>5</vt:i4>
      </vt:variant>
      <vt:variant>
        <vt:lpwstr>https://www.pbs.gov.au/info/industry/pricing/pbs-items/therapeutic-relativity-sheets</vt:lpwstr>
      </vt:variant>
      <vt:variant>
        <vt:lpwstr/>
      </vt:variant>
      <vt:variant>
        <vt:i4>2752627</vt:i4>
      </vt:variant>
      <vt:variant>
        <vt:i4>9</vt:i4>
      </vt:variant>
      <vt:variant>
        <vt:i4>0</vt:i4>
      </vt:variant>
      <vt:variant>
        <vt:i4>5</vt:i4>
      </vt:variant>
      <vt:variant>
        <vt:lpwstr>https://doi.org/10.1097/01.HS9.0000975592.83600.cf</vt:lpwstr>
      </vt:variant>
      <vt:variant>
        <vt:lpwstr/>
      </vt:variant>
      <vt:variant>
        <vt:i4>4718675</vt:i4>
      </vt:variant>
      <vt:variant>
        <vt:i4>6</vt:i4>
      </vt:variant>
      <vt:variant>
        <vt:i4>0</vt:i4>
      </vt:variant>
      <vt:variant>
        <vt:i4>5</vt:i4>
      </vt:variant>
      <vt:variant>
        <vt:lpwstr>https://doi.org/10.1111/apm.13472</vt:lpwstr>
      </vt:variant>
      <vt:variant>
        <vt:lpwstr/>
      </vt:variant>
      <vt:variant>
        <vt:i4>4718675</vt:i4>
      </vt:variant>
      <vt:variant>
        <vt:i4>3</vt:i4>
      </vt:variant>
      <vt:variant>
        <vt:i4>0</vt:i4>
      </vt:variant>
      <vt:variant>
        <vt:i4>5</vt:i4>
      </vt:variant>
      <vt:variant>
        <vt:lpwstr>https://doi.org/10.1111/apm.13472</vt:lpwstr>
      </vt:variant>
      <vt:variant>
        <vt:lpwstr/>
      </vt:variant>
      <vt:variant>
        <vt:i4>4718675</vt:i4>
      </vt:variant>
      <vt:variant>
        <vt:i4>0</vt:i4>
      </vt:variant>
      <vt:variant>
        <vt:i4>0</vt:i4>
      </vt:variant>
      <vt:variant>
        <vt:i4>5</vt:i4>
      </vt:variant>
      <vt:variant>
        <vt:lpwstr>https://doi.org/10.1111/apm.13472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2025-07-01T01:31:00Z</dcterms:created>
  <dcterms:modified xsi:type="dcterms:W3CDTF">2025-08-28T04:36:00Z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1700</vt:r8>
  </property>
  <property fmtid="{D5CDD505-2E9C-101B-9397-08002B2CF9AE}" pid="3" name="MSIP_Label_3c9bec58-8084-492e-8360-0e1cfe36408c_ContentBits">
    <vt:lpwstr>0</vt:lpwstr>
  </property>
  <property fmtid="{D5CDD505-2E9C-101B-9397-08002B2CF9AE}" pid="4" name="xd_ProgID">
    <vt:lpwstr/>
  </property>
  <property fmtid="{D5CDD505-2E9C-101B-9397-08002B2CF9AE}" pid="5" name="MediaServiceImageTags">
    <vt:lpwstr/>
  </property>
  <property fmtid="{D5CDD505-2E9C-101B-9397-08002B2CF9AE}" pid="6" name="ContentTypeId">
    <vt:lpwstr>0x0101007FED174C5281F747A8037A05221D6DBD</vt:lpwstr>
  </property>
  <property fmtid="{D5CDD505-2E9C-101B-9397-08002B2CF9AE}" pid="7" name="MSIP_Label_3c9bec58-8084-492e-8360-0e1cfe36408c_Enabled">
    <vt:lpwstr>true</vt:lpwstr>
  </property>
  <property fmtid="{D5CDD505-2E9C-101B-9397-08002B2CF9AE}" pid="8" name="MSIP_Label_3c9bec58-8084-492e-8360-0e1cfe36408c_SiteId">
    <vt:lpwstr>f35a6974-607f-47d4-82d7-ff31d7dc53a5</vt:lpwstr>
  </property>
  <property fmtid="{D5CDD505-2E9C-101B-9397-08002B2CF9AE}" pid="9" name="MSIP_Label_3c9bec58-8084-492e-8360-0e1cfe36408c_Method">
    <vt:lpwstr>Standard</vt:lpwstr>
  </property>
  <property fmtid="{D5CDD505-2E9C-101B-9397-08002B2CF9AE}" pid="10" name="ComplianceAssetId">
    <vt:lpwstr/>
  </property>
  <property fmtid="{D5CDD505-2E9C-101B-9397-08002B2CF9AE}" pid="11" name="TemplateUrl">
    <vt:lpwstr/>
  </property>
  <property fmtid="{D5CDD505-2E9C-101B-9397-08002B2CF9AE}" pid="12" name="MSIP_Label_3c9bec58-8084-492e-8360-0e1cfe36408c_ActionId">
    <vt:lpwstr>feef1fb3-688b-4312-a436-0789c3bfa09a</vt:lpwstr>
  </property>
  <property fmtid="{D5CDD505-2E9C-101B-9397-08002B2CF9AE}" pid="13" name="MSIP_Label_3c9bec58-8084-492e-8360-0e1cfe36408c_SetDate">
    <vt:lpwstr>2025-05-26T21:07:10Z</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MSIP_Label_3c9bec58-8084-492e-8360-0e1cfe36408c_Name">
    <vt:lpwstr>Not Protected -Pilot</vt:lpwstr>
  </property>
  <property fmtid="{D5CDD505-2E9C-101B-9397-08002B2CF9AE}" pid="18" name="MSIP_Label_3c9bec58-8084-492e-8360-0e1cfe36408c_Tag">
    <vt:lpwstr>10, 3, 0, 1</vt:lpwstr>
  </property>
  <property fmtid="{D5CDD505-2E9C-101B-9397-08002B2CF9AE}" pid="19" name="ClassificationContentMarkingHeaderShapeIds">
    <vt:lpwstr>20ad5bcf,1f47351e,76f7c213</vt:lpwstr>
  </property>
  <property fmtid="{D5CDD505-2E9C-101B-9397-08002B2CF9AE}" pid="20" name="ClassificationContentMarkingHeaderFontProps">
    <vt:lpwstr>#ff0000,12,Calibri</vt:lpwstr>
  </property>
  <property fmtid="{D5CDD505-2E9C-101B-9397-08002B2CF9AE}" pid="21" name="ClassificationContentMarkingHeaderText">
    <vt:lpwstr>OFFICIAL</vt:lpwstr>
  </property>
  <property fmtid="{D5CDD505-2E9C-101B-9397-08002B2CF9AE}" pid="22" name="ClassificationContentMarkingFooterShapeIds">
    <vt:lpwstr>4433a058,7eb8b22,6e1f5bd1</vt:lpwstr>
  </property>
  <property fmtid="{D5CDD505-2E9C-101B-9397-08002B2CF9AE}" pid="23" name="ClassificationContentMarkingFooterFontProps">
    <vt:lpwstr>#ff0000,12,Calibri</vt:lpwstr>
  </property>
  <property fmtid="{D5CDD505-2E9C-101B-9397-08002B2CF9AE}" pid="24" name="ClassificationContentMarkingFooterText">
    <vt:lpwstr>OFFICIAL</vt:lpwstr>
  </property>
  <property fmtid="{D5CDD505-2E9C-101B-9397-08002B2CF9AE}" pid="25" name="MSIP_Label_7cd3e8b9-ffed-43a8-b7f4-cc2fa0382d36_Enabled">
    <vt:lpwstr>true</vt:lpwstr>
  </property>
  <property fmtid="{D5CDD505-2E9C-101B-9397-08002B2CF9AE}" pid="26" name="MSIP_Label_7cd3e8b9-ffed-43a8-b7f4-cc2fa0382d36_SetDate">
    <vt:lpwstr>2025-08-28T04:15:05Z</vt:lpwstr>
  </property>
  <property fmtid="{D5CDD505-2E9C-101B-9397-08002B2CF9AE}" pid="27" name="MSIP_Label_7cd3e8b9-ffed-43a8-b7f4-cc2fa0382d36_Method">
    <vt:lpwstr>Privileged</vt:lpwstr>
  </property>
  <property fmtid="{D5CDD505-2E9C-101B-9397-08002B2CF9AE}" pid="28" name="MSIP_Label_7cd3e8b9-ffed-43a8-b7f4-cc2fa0382d36_Name">
    <vt:lpwstr>O</vt:lpwstr>
  </property>
  <property fmtid="{D5CDD505-2E9C-101B-9397-08002B2CF9AE}" pid="29" name="MSIP_Label_7cd3e8b9-ffed-43a8-b7f4-cc2fa0382d36_SiteId">
    <vt:lpwstr>34a3929c-73cf-4954-abfe-147dc3517892</vt:lpwstr>
  </property>
  <property fmtid="{D5CDD505-2E9C-101B-9397-08002B2CF9AE}" pid="30" name="MSIP_Label_7cd3e8b9-ffed-43a8-b7f4-cc2fa0382d36_ActionId">
    <vt:lpwstr>727ed51e-2b9a-47dd-ae77-95cfdddf2fbb</vt:lpwstr>
  </property>
  <property fmtid="{D5CDD505-2E9C-101B-9397-08002B2CF9AE}" pid="31" name="MSIP_Label_7cd3e8b9-ffed-43a8-b7f4-cc2fa0382d36_ContentBits">
    <vt:lpwstr>3</vt:lpwstr>
  </property>
  <property fmtid="{D5CDD505-2E9C-101B-9397-08002B2CF9AE}" pid="32" name="MSIP_Label_7cd3e8b9-ffed-43a8-b7f4-cc2fa0382d36_Tag">
    <vt:lpwstr>10, 0, 1, 1</vt:lpwstr>
  </property>
</Properties>
</file>