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F758" w14:textId="4F1F0B11" w:rsidR="00B9402A" w:rsidRPr="00B9402A" w:rsidRDefault="00B9402A" w:rsidP="00B9402A">
      <w:pPr>
        <w:pStyle w:val="3-BodyText"/>
        <w:numPr>
          <w:ilvl w:val="0"/>
          <w:numId w:val="0"/>
        </w:numPr>
        <w:rPr>
          <w:color w:val="FF0000"/>
        </w:rPr>
      </w:pPr>
      <w:bookmarkStart w:id="0" w:name="_Toc187759705"/>
      <w:bookmarkStart w:id="1" w:name="_Toc22897637"/>
      <w:r w:rsidRPr="00B9402A">
        <w:rPr>
          <w:color w:val="FF0000"/>
        </w:rPr>
        <w:t>An addendum to th</w:t>
      </w:r>
      <w:r>
        <w:rPr>
          <w:color w:val="FF0000"/>
        </w:rPr>
        <w:t>i</w:t>
      </w:r>
      <w:r w:rsidRPr="00B9402A">
        <w:rPr>
          <w:color w:val="FF0000"/>
        </w:rPr>
        <w:t xml:space="preserve">s </w:t>
      </w:r>
      <w:r>
        <w:rPr>
          <w:color w:val="FF0000"/>
        </w:rPr>
        <w:t>public summary document</w:t>
      </w:r>
      <w:r w:rsidRPr="00B9402A">
        <w:rPr>
          <w:color w:val="FF0000"/>
        </w:rPr>
        <w:t xml:space="preserve"> has been included at the end of the document.</w:t>
      </w:r>
    </w:p>
    <w:p w14:paraId="5748115C" w14:textId="53FE2DC6" w:rsidR="004F4DE6" w:rsidRPr="005E7233" w:rsidRDefault="002E4AA5" w:rsidP="004F4DE6">
      <w:pPr>
        <w:pStyle w:val="1-MainHeading"/>
      </w:pPr>
      <w:r w:rsidRPr="005E7233">
        <w:t>5</w:t>
      </w:r>
      <w:r w:rsidR="004F4DE6" w:rsidRPr="005E7233">
        <w:t>.</w:t>
      </w:r>
      <w:r w:rsidRPr="005E7233">
        <w:t>17</w:t>
      </w:r>
      <w:r w:rsidR="004F4DE6" w:rsidRPr="005E7233">
        <w:tab/>
        <w:t>TEPROTUMUMAB,</w:t>
      </w:r>
      <w:r w:rsidR="004F4DE6" w:rsidRPr="005E7233">
        <w:br/>
        <w:t>Powder for I.V</w:t>
      </w:r>
      <w:r w:rsidR="00A81EF6" w:rsidRPr="005E7233">
        <w:t>.</w:t>
      </w:r>
      <w:r w:rsidR="004F4DE6" w:rsidRPr="005E7233">
        <w:t xml:space="preserve"> infusion</w:t>
      </w:r>
      <w:r w:rsidR="00A81EF6" w:rsidRPr="005E7233">
        <w:t xml:space="preserve"> </w:t>
      </w:r>
      <w:r w:rsidR="004F4DE6" w:rsidRPr="005E7233">
        <w:t>500</w:t>
      </w:r>
      <w:r w:rsidR="008D0950" w:rsidRPr="005E7233">
        <w:t xml:space="preserve"> </w:t>
      </w:r>
      <w:r w:rsidR="004F4DE6" w:rsidRPr="005E7233">
        <w:t>mg,</w:t>
      </w:r>
      <w:r w:rsidR="004F4DE6" w:rsidRPr="005E7233">
        <w:br/>
        <w:t>Tepezza</w:t>
      </w:r>
      <w:r w:rsidR="004F4DE6" w:rsidRPr="005E7233">
        <w:rPr>
          <w:vertAlign w:val="superscript"/>
        </w:rPr>
        <w:t>®</w:t>
      </w:r>
      <w:r w:rsidR="004F4DE6" w:rsidRPr="005E7233">
        <w:t>,</w:t>
      </w:r>
      <w:r w:rsidR="004F4DE6" w:rsidRPr="005E7233">
        <w:br/>
        <w:t>AMGEN AUSTRALIA PTY LTD.</w:t>
      </w:r>
      <w:bookmarkEnd w:id="0"/>
      <w:r w:rsidR="004F4DE6" w:rsidRPr="005E7233">
        <w:t xml:space="preserve"> </w:t>
      </w:r>
    </w:p>
    <w:p w14:paraId="67732690" w14:textId="77777777" w:rsidR="00ED4A7B" w:rsidRPr="005E7233" w:rsidRDefault="00ED4A7B" w:rsidP="00ED4A7B">
      <w:pPr>
        <w:pStyle w:val="2-SectionHeading"/>
      </w:pPr>
      <w:bookmarkStart w:id="2" w:name="_Toc187681840"/>
      <w:bookmarkStart w:id="3" w:name="_Toc187759707"/>
      <w:bookmarkEnd w:id="1"/>
      <w:r w:rsidRPr="005E7233">
        <w:t>Purpose of submission</w:t>
      </w:r>
      <w:bookmarkEnd w:id="2"/>
      <w:bookmarkEnd w:id="3"/>
    </w:p>
    <w:p w14:paraId="479B41EC" w14:textId="41FE78EF" w:rsidR="00ED4A7B" w:rsidRPr="005E7233" w:rsidRDefault="00ED4A7B" w:rsidP="00ED4A7B">
      <w:pPr>
        <w:pStyle w:val="3-BodyText"/>
      </w:pPr>
      <w:r w:rsidRPr="005E7233">
        <w:t xml:space="preserve">The Category 1 submission requested </w:t>
      </w:r>
      <w:r w:rsidR="005867B9" w:rsidRPr="005E7233">
        <w:t xml:space="preserve">a </w:t>
      </w:r>
      <w:r w:rsidRPr="005E7233">
        <w:t>Section 100</w:t>
      </w:r>
      <w:r w:rsidR="733F58E9">
        <w:t xml:space="preserve"> (Highly Specialised Drugs Program)</w:t>
      </w:r>
      <w:r>
        <w:t>,</w:t>
      </w:r>
      <w:r w:rsidRPr="005E7233">
        <w:t xml:space="preserve"> Authority Required (STREAMLINED), listing for teprotumumab for the treatment of active, moderate-to-severe (MS) thyroid eye disease (TED).</w:t>
      </w:r>
    </w:p>
    <w:p w14:paraId="2A3CCBE2" w14:textId="77777777" w:rsidR="00ED4A7B" w:rsidRPr="005E7233" w:rsidRDefault="00ED4A7B" w:rsidP="00ED4A7B">
      <w:pPr>
        <w:pStyle w:val="3-BodyText"/>
      </w:pPr>
      <w:r w:rsidRPr="005E7233">
        <w:t xml:space="preserve">Listing was requested on the basis of a cost-effectiveness analysis versus standard of care (SoC) consisting of IV methylprednisolone (IVMP) with or without mycophenolate mofetil (MMF) in the first-line (1L) setting and tocilizumab in the second-line (2L) setting. </w:t>
      </w:r>
    </w:p>
    <w:p w14:paraId="79666C13" w14:textId="3CB34B16" w:rsidR="00ED4A7B" w:rsidRPr="005E7233" w:rsidRDefault="00ED4A7B" w:rsidP="3CA04A8E">
      <w:pPr>
        <w:pStyle w:val="TableFigureHeading"/>
        <w:rPr>
          <w:rStyle w:val="CommentReference"/>
          <w:b/>
        </w:rPr>
      </w:pPr>
      <w:r w:rsidRPr="005E7233">
        <w:t xml:space="preserve">Table </w:t>
      </w:r>
      <w:r w:rsidR="00FB1BE3">
        <w:fldChar w:fldCharType="begin"/>
      </w:r>
      <w:r w:rsidR="00FB1BE3">
        <w:instrText xml:space="preserve"> SEQ Table \* ARABIC </w:instrText>
      </w:r>
      <w:r w:rsidR="00FB1BE3">
        <w:fldChar w:fldCharType="separate"/>
      </w:r>
      <w:r w:rsidR="0012101B">
        <w:rPr>
          <w:noProof/>
        </w:rPr>
        <w:t>1</w:t>
      </w:r>
      <w:r w:rsidR="00FB1BE3">
        <w:rPr>
          <w:noProof/>
        </w:rPr>
        <w:fldChar w:fldCharType="end"/>
      </w:r>
      <w:r w:rsidRPr="005E7233">
        <w:t>:</w:t>
      </w:r>
      <w:r w:rsidRPr="005E7233">
        <w:rPr>
          <w:rStyle w:val="CommentReference"/>
          <w:b/>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ED4A7B" w:rsidRPr="005E7233" w14:paraId="388648C7" w14:textId="77777777" w:rsidTr="733957FC">
        <w:tc>
          <w:tcPr>
            <w:tcW w:w="1668" w:type="dxa"/>
            <w:vAlign w:val="center"/>
          </w:tcPr>
          <w:p w14:paraId="694CFFF9" w14:textId="77777777" w:rsidR="00ED4A7B" w:rsidRPr="005E7233" w:rsidRDefault="00ED4A7B" w:rsidP="009C5765">
            <w:pPr>
              <w:pStyle w:val="In-tableHeading"/>
              <w:rPr>
                <w:szCs w:val="20"/>
                <w:lang w:val="en-AU"/>
              </w:rPr>
            </w:pPr>
            <w:r w:rsidRPr="005E7233">
              <w:rPr>
                <w:szCs w:val="20"/>
                <w:lang w:val="en-AU"/>
              </w:rPr>
              <w:t>Component</w:t>
            </w:r>
          </w:p>
        </w:tc>
        <w:tc>
          <w:tcPr>
            <w:tcW w:w="7488" w:type="dxa"/>
            <w:vAlign w:val="center"/>
          </w:tcPr>
          <w:p w14:paraId="4A04E306" w14:textId="77777777" w:rsidR="00ED4A7B" w:rsidRPr="005E7233" w:rsidRDefault="00ED4A7B" w:rsidP="009C5765">
            <w:pPr>
              <w:pStyle w:val="In-tableHeading"/>
              <w:rPr>
                <w:szCs w:val="20"/>
                <w:lang w:val="en-AU"/>
              </w:rPr>
            </w:pPr>
            <w:r w:rsidRPr="005E7233">
              <w:rPr>
                <w:szCs w:val="20"/>
                <w:lang w:val="en-AU"/>
              </w:rPr>
              <w:t>Description</w:t>
            </w:r>
          </w:p>
        </w:tc>
      </w:tr>
      <w:tr w:rsidR="00ED4A7B" w:rsidRPr="005E7233" w14:paraId="6E8D76C0" w14:textId="77777777" w:rsidTr="733957FC">
        <w:tc>
          <w:tcPr>
            <w:tcW w:w="1668" w:type="dxa"/>
          </w:tcPr>
          <w:p w14:paraId="12A2CDD7" w14:textId="77777777" w:rsidR="00ED4A7B" w:rsidRPr="005E7233" w:rsidRDefault="00ED4A7B" w:rsidP="009C5765">
            <w:pPr>
              <w:pStyle w:val="TableText0"/>
              <w:rPr>
                <w:szCs w:val="20"/>
              </w:rPr>
            </w:pPr>
            <w:r w:rsidRPr="005E7233">
              <w:rPr>
                <w:rFonts w:cstheme="minorHAnsi"/>
                <w:szCs w:val="20"/>
              </w:rPr>
              <w:t>Population</w:t>
            </w:r>
          </w:p>
        </w:tc>
        <w:tc>
          <w:tcPr>
            <w:tcW w:w="7488" w:type="dxa"/>
          </w:tcPr>
          <w:p w14:paraId="0ABF78E4" w14:textId="77777777" w:rsidR="00ED4A7B" w:rsidRPr="005E7233" w:rsidRDefault="00ED4A7B" w:rsidP="009C5765">
            <w:pPr>
              <w:pStyle w:val="TableText0"/>
              <w:rPr>
                <w:szCs w:val="20"/>
              </w:rPr>
            </w:pPr>
            <w:r w:rsidRPr="005E7233">
              <w:rPr>
                <w:rFonts w:cstheme="minorHAnsi"/>
                <w:szCs w:val="20"/>
              </w:rPr>
              <w:t>Active, moderate-to-severe thyroid eye disease (TED)</w:t>
            </w:r>
          </w:p>
        </w:tc>
      </w:tr>
      <w:tr w:rsidR="00ED4A7B" w:rsidRPr="005E7233" w14:paraId="41715C57" w14:textId="77777777" w:rsidTr="733957FC">
        <w:tc>
          <w:tcPr>
            <w:tcW w:w="1668" w:type="dxa"/>
          </w:tcPr>
          <w:p w14:paraId="44119F3B" w14:textId="77777777" w:rsidR="00ED4A7B" w:rsidRPr="005E7233" w:rsidRDefault="00ED4A7B" w:rsidP="009C5765">
            <w:pPr>
              <w:pStyle w:val="TableText0"/>
              <w:rPr>
                <w:szCs w:val="20"/>
              </w:rPr>
            </w:pPr>
            <w:r w:rsidRPr="005E7233">
              <w:rPr>
                <w:rFonts w:cstheme="minorHAnsi"/>
                <w:szCs w:val="20"/>
              </w:rPr>
              <w:t>Intervention</w:t>
            </w:r>
          </w:p>
        </w:tc>
        <w:tc>
          <w:tcPr>
            <w:tcW w:w="7488" w:type="dxa"/>
          </w:tcPr>
          <w:p w14:paraId="73168175" w14:textId="77777777" w:rsidR="00ED4A7B" w:rsidRPr="005E7233" w:rsidRDefault="00ED4A7B" w:rsidP="009C5765">
            <w:pPr>
              <w:pStyle w:val="TableText0"/>
            </w:pPr>
            <w:r w:rsidRPr="005E7233">
              <w:rPr>
                <w:rFonts w:cstheme="minorBidi"/>
              </w:rPr>
              <w:t>Teprotumumab (Tepezza); an IGF-1R inhibitor administered as an IV infusion once every 3 weeks for a total of 8 doses.</w:t>
            </w:r>
          </w:p>
        </w:tc>
      </w:tr>
      <w:tr w:rsidR="00ED4A7B" w:rsidRPr="005E7233" w14:paraId="03612403" w14:textId="77777777" w:rsidTr="733957FC">
        <w:tc>
          <w:tcPr>
            <w:tcW w:w="1668" w:type="dxa"/>
          </w:tcPr>
          <w:p w14:paraId="34F052BE" w14:textId="77777777" w:rsidR="00ED4A7B" w:rsidRPr="005E7233" w:rsidRDefault="00ED4A7B" w:rsidP="009C5765">
            <w:pPr>
              <w:pStyle w:val="TableText0"/>
              <w:rPr>
                <w:szCs w:val="20"/>
              </w:rPr>
            </w:pPr>
            <w:r w:rsidRPr="005E7233">
              <w:rPr>
                <w:rFonts w:cstheme="minorHAnsi"/>
                <w:szCs w:val="20"/>
              </w:rPr>
              <w:t>Comparator</w:t>
            </w:r>
          </w:p>
        </w:tc>
        <w:tc>
          <w:tcPr>
            <w:tcW w:w="7488" w:type="dxa"/>
          </w:tcPr>
          <w:p w14:paraId="02A31466" w14:textId="4C06EB98" w:rsidR="00ED4A7B" w:rsidRPr="005E7233" w:rsidRDefault="00ED4A7B" w:rsidP="009C5765">
            <w:pPr>
              <w:pStyle w:val="TableText0"/>
              <w:rPr>
                <w:rFonts w:cstheme="minorHAnsi"/>
                <w:szCs w:val="20"/>
              </w:rPr>
            </w:pPr>
            <w:r w:rsidRPr="005E7233">
              <w:rPr>
                <w:rFonts w:cstheme="minorHAnsi"/>
                <w:szCs w:val="20"/>
              </w:rPr>
              <w:t>Standard of care:</w:t>
            </w:r>
          </w:p>
          <w:p w14:paraId="45524A92" w14:textId="77777777" w:rsidR="00ED4A7B" w:rsidRPr="005E7233" w:rsidRDefault="00ED4A7B" w:rsidP="009C5765">
            <w:pPr>
              <w:pStyle w:val="TableText0"/>
              <w:spacing w:before="40" w:after="40"/>
              <w:contextualSpacing/>
              <w:rPr>
                <w:rFonts w:cstheme="minorHAnsi"/>
                <w:szCs w:val="20"/>
              </w:rPr>
            </w:pPr>
            <w:r w:rsidRPr="005E7233">
              <w:rPr>
                <w:rFonts w:cstheme="minorHAnsi"/>
                <w:szCs w:val="20"/>
              </w:rPr>
              <w:t>1st line: IV methylprednisolone (IVMP) with or without MMF</w:t>
            </w:r>
          </w:p>
          <w:p w14:paraId="0103A1C1" w14:textId="77777777" w:rsidR="00ED4A7B" w:rsidRPr="005E7233" w:rsidRDefault="00ED4A7B" w:rsidP="009C5765">
            <w:pPr>
              <w:pStyle w:val="TableText0"/>
              <w:rPr>
                <w:szCs w:val="20"/>
              </w:rPr>
            </w:pPr>
            <w:r w:rsidRPr="005E7233">
              <w:rPr>
                <w:rFonts w:cstheme="minorHAnsi"/>
                <w:szCs w:val="20"/>
              </w:rPr>
              <w:t>2nd line: tocilizumab</w:t>
            </w:r>
          </w:p>
        </w:tc>
      </w:tr>
      <w:tr w:rsidR="00ED4A7B" w:rsidRPr="005E7233" w14:paraId="2126FB71" w14:textId="77777777" w:rsidTr="733957FC">
        <w:tc>
          <w:tcPr>
            <w:tcW w:w="1668" w:type="dxa"/>
          </w:tcPr>
          <w:p w14:paraId="40AF31BA" w14:textId="77777777" w:rsidR="00ED4A7B" w:rsidRPr="005E7233" w:rsidRDefault="00ED4A7B" w:rsidP="009C5765">
            <w:pPr>
              <w:pStyle w:val="TableText0"/>
              <w:rPr>
                <w:szCs w:val="20"/>
              </w:rPr>
            </w:pPr>
            <w:r w:rsidRPr="005E7233">
              <w:rPr>
                <w:rFonts w:cstheme="minorHAnsi"/>
                <w:szCs w:val="20"/>
              </w:rPr>
              <w:t>Outcomes</w:t>
            </w:r>
          </w:p>
        </w:tc>
        <w:tc>
          <w:tcPr>
            <w:tcW w:w="7488" w:type="dxa"/>
          </w:tcPr>
          <w:p w14:paraId="1C13791B" w14:textId="77777777" w:rsidR="00ED4A7B" w:rsidRPr="005E7233" w:rsidRDefault="00ED4A7B" w:rsidP="00303DD3">
            <w:pPr>
              <w:pStyle w:val="TableText0"/>
              <w:keepNext w:val="0"/>
              <w:keepLines w:val="0"/>
              <w:numPr>
                <w:ilvl w:val="0"/>
                <w:numId w:val="8"/>
              </w:numPr>
              <w:ind w:left="452"/>
              <w:contextualSpacing/>
              <w:rPr>
                <w:rFonts w:cstheme="minorHAnsi"/>
                <w:bCs w:val="0"/>
                <w:szCs w:val="20"/>
              </w:rPr>
            </w:pPr>
            <w:r w:rsidRPr="005E7233">
              <w:rPr>
                <w:rFonts w:cstheme="minorHAnsi"/>
                <w:szCs w:val="20"/>
              </w:rPr>
              <w:t>Proptosis</w:t>
            </w:r>
          </w:p>
          <w:p w14:paraId="3219D4CE" w14:textId="77777777" w:rsidR="00ED4A7B" w:rsidRPr="005E7233" w:rsidRDefault="00ED4A7B" w:rsidP="00303DD3">
            <w:pPr>
              <w:pStyle w:val="TableText0"/>
              <w:keepNext w:val="0"/>
              <w:keepLines w:val="0"/>
              <w:numPr>
                <w:ilvl w:val="0"/>
                <w:numId w:val="8"/>
              </w:numPr>
              <w:ind w:left="452"/>
              <w:contextualSpacing/>
              <w:rPr>
                <w:rFonts w:cstheme="minorHAnsi"/>
                <w:bCs w:val="0"/>
                <w:szCs w:val="20"/>
              </w:rPr>
            </w:pPr>
            <w:r w:rsidRPr="005E7233">
              <w:rPr>
                <w:rFonts w:cstheme="minorHAnsi"/>
                <w:szCs w:val="20"/>
              </w:rPr>
              <w:t>Diplopia</w:t>
            </w:r>
          </w:p>
          <w:p w14:paraId="2405AE11" w14:textId="77777777" w:rsidR="00ED4A7B" w:rsidRPr="005E7233" w:rsidRDefault="00ED4A7B" w:rsidP="00303DD3">
            <w:pPr>
              <w:pStyle w:val="TableText0"/>
              <w:keepNext w:val="0"/>
              <w:keepLines w:val="0"/>
              <w:numPr>
                <w:ilvl w:val="0"/>
                <w:numId w:val="8"/>
              </w:numPr>
              <w:ind w:left="452"/>
              <w:contextualSpacing/>
              <w:rPr>
                <w:rFonts w:cstheme="minorBidi"/>
              </w:rPr>
            </w:pPr>
            <w:r w:rsidRPr="005E7233">
              <w:rPr>
                <w:rFonts w:cstheme="minorBidi"/>
              </w:rPr>
              <w:t>Overall response</w:t>
            </w:r>
            <w:r w:rsidRPr="005E7233">
              <w:rPr>
                <w:rFonts w:cstheme="minorBidi"/>
                <w:vertAlign w:val="superscript"/>
              </w:rPr>
              <w:t>a</w:t>
            </w:r>
            <w:r w:rsidRPr="005E7233">
              <w:rPr>
                <w:rFonts w:cstheme="minorBidi"/>
              </w:rPr>
              <w:t xml:space="preserve"> </w:t>
            </w:r>
          </w:p>
          <w:p w14:paraId="08F383BE" w14:textId="77777777" w:rsidR="00ED4A7B" w:rsidRPr="005E7233" w:rsidRDefault="00ED4A7B" w:rsidP="00303DD3">
            <w:pPr>
              <w:pStyle w:val="TableText0"/>
              <w:keepNext w:val="0"/>
              <w:keepLines w:val="0"/>
              <w:numPr>
                <w:ilvl w:val="0"/>
                <w:numId w:val="8"/>
              </w:numPr>
              <w:ind w:left="452"/>
              <w:contextualSpacing/>
              <w:rPr>
                <w:rFonts w:cstheme="minorHAnsi"/>
                <w:bCs w:val="0"/>
                <w:szCs w:val="20"/>
              </w:rPr>
            </w:pPr>
            <w:r w:rsidRPr="005E7233">
              <w:rPr>
                <w:rFonts w:cstheme="minorHAnsi"/>
                <w:szCs w:val="20"/>
              </w:rPr>
              <w:t>Health-related Quality of Life (GO-QoL)</w:t>
            </w:r>
          </w:p>
          <w:p w14:paraId="0111C108" w14:textId="77777777" w:rsidR="00ED4A7B" w:rsidRPr="005E7233" w:rsidRDefault="00ED4A7B" w:rsidP="00303DD3">
            <w:pPr>
              <w:pStyle w:val="TableText0"/>
              <w:keepNext w:val="0"/>
              <w:keepLines w:val="0"/>
              <w:numPr>
                <w:ilvl w:val="0"/>
                <w:numId w:val="8"/>
              </w:numPr>
              <w:ind w:left="452"/>
              <w:contextualSpacing/>
              <w:rPr>
                <w:szCs w:val="20"/>
              </w:rPr>
            </w:pPr>
            <w:r w:rsidRPr="005E7233">
              <w:rPr>
                <w:rFonts w:cstheme="minorHAnsi"/>
                <w:szCs w:val="20"/>
              </w:rPr>
              <w:t>Adverse Events</w:t>
            </w:r>
          </w:p>
        </w:tc>
      </w:tr>
      <w:tr w:rsidR="00ED4A7B" w:rsidRPr="005E7233" w14:paraId="7C7AE347" w14:textId="77777777" w:rsidTr="733957FC">
        <w:tc>
          <w:tcPr>
            <w:tcW w:w="1668" w:type="dxa"/>
          </w:tcPr>
          <w:p w14:paraId="6F88E5FB" w14:textId="77777777" w:rsidR="00ED4A7B" w:rsidRPr="005E7233" w:rsidRDefault="00ED4A7B" w:rsidP="009C5765">
            <w:pPr>
              <w:pStyle w:val="TableText0"/>
              <w:rPr>
                <w:szCs w:val="20"/>
              </w:rPr>
            </w:pPr>
            <w:r w:rsidRPr="005E7233">
              <w:rPr>
                <w:rFonts w:cstheme="minorHAnsi"/>
                <w:szCs w:val="20"/>
              </w:rPr>
              <w:t>Clinical claim</w:t>
            </w:r>
          </w:p>
        </w:tc>
        <w:tc>
          <w:tcPr>
            <w:tcW w:w="7488" w:type="dxa"/>
          </w:tcPr>
          <w:p w14:paraId="750A7E8B" w14:textId="6F0040F2" w:rsidR="00125FBE" w:rsidRPr="005E7233" w:rsidRDefault="00ED4A7B" w:rsidP="009C5765">
            <w:pPr>
              <w:pStyle w:val="TableText0"/>
              <w:rPr>
                <w:rFonts w:eastAsiaTheme="minorEastAsia" w:cstheme="minorHAnsi"/>
                <w:szCs w:val="20"/>
              </w:rPr>
            </w:pPr>
            <w:r w:rsidRPr="005E7233">
              <w:rPr>
                <w:rFonts w:eastAsiaTheme="minorEastAsia" w:cstheme="minorHAnsi"/>
                <w:szCs w:val="20"/>
              </w:rPr>
              <w:t>Teprotumumab is superior in terms of efficacy and non-inferior (with the strong possibility of superiority) in terms of safety compared to IVMP (+/-MMF) [1st line]</w:t>
            </w:r>
            <w:r w:rsidR="00125FBE" w:rsidRPr="005E7233">
              <w:rPr>
                <w:rFonts w:eastAsiaTheme="minorEastAsia" w:cstheme="minorHAnsi"/>
                <w:szCs w:val="20"/>
              </w:rPr>
              <w:t>.</w:t>
            </w:r>
          </w:p>
          <w:p w14:paraId="29C314A1" w14:textId="77777777" w:rsidR="00125FBE" w:rsidRPr="005E7233" w:rsidRDefault="00125FBE" w:rsidP="009C5765">
            <w:pPr>
              <w:pStyle w:val="TableText0"/>
              <w:rPr>
                <w:rFonts w:eastAsiaTheme="minorEastAsia" w:cstheme="minorHAnsi"/>
                <w:szCs w:val="20"/>
              </w:rPr>
            </w:pPr>
          </w:p>
          <w:p w14:paraId="472B3575" w14:textId="4E7FD1C4" w:rsidR="00125FBE" w:rsidRPr="005E7233" w:rsidRDefault="00125FBE" w:rsidP="009C5765">
            <w:pPr>
              <w:pStyle w:val="TableText0"/>
              <w:rPr>
                <w:rFonts w:eastAsiaTheme="minorEastAsia" w:cstheme="minorHAnsi"/>
                <w:szCs w:val="20"/>
              </w:rPr>
            </w:pPr>
            <w:r w:rsidRPr="005E7233">
              <w:rPr>
                <w:rFonts w:eastAsiaTheme="minorEastAsia" w:cstheme="minorHAnsi"/>
                <w:szCs w:val="20"/>
              </w:rPr>
              <w:t xml:space="preserve">Teprotumumab is </w:t>
            </w:r>
            <w:r w:rsidR="00ED4A7B" w:rsidRPr="005E7233">
              <w:rPr>
                <w:rFonts w:eastAsiaTheme="minorEastAsia" w:cstheme="minorHAnsi"/>
                <w:szCs w:val="20"/>
              </w:rPr>
              <w:t>superior in terms of efficacy and non-inferior in terms of safety compared to tocilizumab [2nd line] for the treatment of active, moderate</w:t>
            </w:r>
            <w:r w:rsidR="0049088C" w:rsidRPr="005E7233">
              <w:rPr>
                <w:rFonts w:eastAsiaTheme="minorEastAsia" w:cstheme="minorHAnsi"/>
                <w:szCs w:val="20"/>
              </w:rPr>
              <w:t>-</w:t>
            </w:r>
            <w:r w:rsidR="00ED4A7B" w:rsidRPr="005E7233">
              <w:rPr>
                <w:rFonts w:eastAsiaTheme="minorEastAsia" w:cstheme="minorHAnsi"/>
                <w:szCs w:val="20"/>
              </w:rPr>
              <w:t>to</w:t>
            </w:r>
            <w:r w:rsidR="0049088C" w:rsidRPr="005E7233">
              <w:rPr>
                <w:rFonts w:eastAsiaTheme="minorEastAsia" w:cstheme="minorHAnsi"/>
                <w:szCs w:val="20"/>
              </w:rPr>
              <w:t>-</w:t>
            </w:r>
            <w:r w:rsidR="00ED4A7B" w:rsidRPr="005E7233">
              <w:rPr>
                <w:rFonts w:eastAsiaTheme="minorEastAsia" w:cstheme="minorHAnsi"/>
                <w:szCs w:val="20"/>
              </w:rPr>
              <w:t>severe TED, based on the available evidence.</w:t>
            </w:r>
            <w:r w:rsidR="00C66969" w:rsidRPr="005E7233">
              <w:rPr>
                <w:rFonts w:eastAsiaTheme="minorEastAsia" w:cstheme="minorHAnsi"/>
                <w:szCs w:val="20"/>
              </w:rPr>
              <w:t xml:space="preserve"> </w:t>
            </w:r>
          </w:p>
          <w:p w14:paraId="3A0EBB2E" w14:textId="77777777" w:rsidR="00B13BDA" w:rsidRPr="005E7233" w:rsidRDefault="00B13BDA" w:rsidP="009C5765">
            <w:pPr>
              <w:pStyle w:val="TableText0"/>
              <w:rPr>
                <w:rFonts w:eastAsiaTheme="minorEastAsia" w:cstheme="minorHAnsi"/>
                <w:szCs w:val="20"/>
              </w:rPr>
            </w:pPr>
          </w:p>
          <w:p w14:paraId="71EBC1E8" w14:textId="3ED61930" w:rsidR="00ED4A7B" w:rsidRPr="005E7233" w:rsidRDefault="00C66969" w:rsidP="009C5765">
            <w:pPr>
              <w:pStyle w:val="TableText0"/>
              <w:rPr>
                <w:szCs w:val="20"/>
              </w:rPr>
            </w:pPr>
            <w:r w:rsidRPr="005E7233">
              <w:rPr>
                <w:rFonts w:eastAsiaTheme="minorEastAsia" w:cstheme="minorHAnsi"/>
                <w:szCs w:val="20"/>
              </w:rPr>
              <w:t xml:space="preserve">The </w:t>
            </w:r>
            <w:r w:rsidR="00053272" w:rsidRPr="005E7233">
              <w:rPr>
                <w:rFonts w:eastAsiaTheme="minorEastAsia" w:cstheme="minorHAnsi"/>
                <w:szCs w:val="20"/>
              </w:rPr>
              <w:t xml:space="preserve">Pre-Sub-Committee </w:t>
            </w:r>
            <w:r w:rsidR="00FF6825" w:rsidRPr="005E7233">
              <w:rPr>
                <w:rFonts w:eastAsiaTheme="minorEastAsia" w:cstheme="minorHAnsi"/>
                <w:szCs w:val="20"/>
              </w:rPr>
              <w:t>r</w:t>
            </w:r>
            <w:r w:rsidR="00053272" w:rsidRPr="005E7233">
              <w:rPr>
                <w:rFonts w:eastAsiaTheme="minorEastAsia" w:cstheme="minorHAnsi"/>
                <w:szCs w:val="20"/>
              </w:rPr>
              <w:t>esponse</w:t>
            </w:r>
            <w:r w:rsidR="00976D02" w:rsidRPr="005E7233">
              <w:rPr>
                <w:rFonts w:eastAsiaTheme="minorEastAsia" w:cstheme="minorHAnsi"/>
                <w:szCs w:val="20"/>
              </w:rPr>
              <w:t xml:space="preserve"> (</w:t>
            </w:r>
            <w:r w:rsidR="00B349EC" w:rsidRPr="005E7233">
              <w:rPr>
                <w:rFonts w:eastAsiaTheme="minorEastAsia" w:cstheme="minorHAnsi"/>
                <w:szCs w:val="20"/>
              </w:rPr>
              <w:t xml:space="preserve">pp3−4) </w:t>
            </w:r>
            <w:r w:rsidR="009078BD" w:rsidRPr="005E7233">
              <w:rPr>
                <w:rFonts w:eastAsiaTheme="minorEastAsia" w:cstheme="minorHAnsi"/>
                <w:szCs w:val="20"/>
              </w:rPr>
              <w:t>further clarified</w:t>
            </w:r>
            <w:r w:rsidR="00B349EC" w:rsidRPr="005E7233">
              <w:rPr>
                <w:rFonts w:eastAsiaTheme="minorEastAsia" w:cstheme="minorHAnsi"/>
                <w:szCs w:val="20"/>
              </w:rPr>
              <w:t xml:space="preserve"> that the safety profiles of teprotumumab are </w:t>
            </w:r>
            <w:r w:rsidR="00D523DF" w:rsidRPr="005E7233">
              <w:rPr>
                <w:rFonts w:eastAsiaTheme="minorEastAsia" w:cstheme="minorHAnsi"/>
                <w:szCs w:val="20"/>
              </w:rPr>
              <w:t>‘</w:t>
            </w:r>
            <w:r w:rsidR="00B349EC" w:rsidRPr="005E7233">
              <w:rPr>
                <w:rFonts w:eastAsiaTheme="minorEastAsia" w:cstheme="minorHAnsi"/>
                <w:szCs w:val="20"/>
              </w:rPr>
              <w:t>non-inferior but different</w:t>
            </w:r>
            <w:r w:rsidR="00D523DF" w:rsidRPr="005E7233">
              <w:rPr>
                <w:rFonts w:eastAsiaTheme="minorEastAsia" w:cstheme="minorHAnsi"/>
                <w:szCs w:val="20"/>
              </w:rPr>
              <w:t>’</w:t>
            </w:r>
            <w:r w:rsidR="00B349EC" w:rsidRPr="005E7233">
              <w:rPr>
                <w:rFonts w:eastAsiaTheme="minorEastAsia" w:cstheme="minorHAnsi"/>
                <w:szCs w:val="20"/>
              </w:rPr>
              <w:t>.</w:t>
            </w:r>
          </w:p>
        </w:tc>
      </w:tr>
    </w:tbl>
    <w:p w14:paraId="116E20B1" w14:textId="77777777" w:rsidR="00ED4A7B" w:rsidRPr="005E7233" w:rsidRDefault="00ED4A7B" w:rsidP="00ED4A7B">
      <w:pPr>
        <w:pStyle w:val="FooterTableFigure"/>
      </w:pPr>
      <w:r w:rsidRPr="005E7233">
        <w:t>Source: Table 1-1, p2 of the submission.</w:t>
      </w:r>
    </w:p>
    <w:p w14:paraId="48E8F08E" w14:textId="77777777" w:rsidR="00ED4A7B" w:rsidRPr="005E7233" w:rsidRDefault="00ED4A7B" w:rsidP="00ED4A7B">
      <w:pPr>
        <w:pStyle w:val="FooterTableFigure"/>
        <w:rPr>
          <w:szCs w:val="18"/>
        </w:rPr>
      </w:pPr>
      <w:r w:rsidRPr="005E7233">
        <w:rPr>
          <w:rFonts w:cstheme="minorHAnsi"/>
          <w:szCs w:val="18"/>
        </w:rPr>
        <w:t>IGF-1R = insulin-like growth factor-1 receptor; IVMP = intravenous methylprednisolone; GO-QoL = Graves’ ophthalmopathy quality of life; MMF = mycophenolate mofetil; TED = thyroid eye disease; SOC = standard of care</w:t>
      </w:r>
    </w:p>
    <w:p w14:paraId="4F8633E2" w14:textId="0D992C1D" w:rsidR="00ED4A7B" w:rsidRPr="005E7233" w:rsidRDefault="00ED4A7B" w:rsidP="00ED4A7B">
      <w:pPr>
        <w:pStyle w:val="FooterTableFigure"/>
      </w:pPr>
      <w:r w:rsidRPr="005E7233">
        <w:t>Note: IVMP is commonly dosed at 500 mg weekly for 6 weeks, then 250 mg weekly for 6 weeks and MMF is dosed at 720</w:t>
      </w:r>
      <w:r w:rsidR="00C95A04" w:rsidRPr="005E7233">
        <w:t xml:space="preserve"> </w:t>
      </w:r>
      <w:r w:rsidRPr="005E7233">
        <w:t>mg/day for 6 weeks.</w:t>
      </w:r>
    </w:p>
    <w:p w14:paraId="6A813220" w14:textId="7DE0CADD" w:rsidR="00ED4A7B" w:rsidRPr="005E7233" w:rsidRDefault="00ED4A7B" w:rsidP="00ED4A7B">
      <w:pPr>
        <w:pStyle w:val="FooterTableFigure"/>
      </w:pPr>
      <w:r w:rsidRPr="005E7233">
        <w:rPr>
          <w:rFonts w:cstheme="minorBidi"/>
          <w:vertAlign w:val="superscript"/>
        </w:rPr>
        <w:t>a</w:t>
      </w:r>
      <w:r w:rsidRPr="005E7233">
        <w:rPr>
          <w:rFonts w:cstheme="minorBidi"/>
        </w:rPr>
        <w:t>Overall response was defined as ≥2 mm reduction in proptosis AND a ≥2 point reduction in Clinical Activity Score (CAS) from Baseline in the study eye, without deterioration (≥2 mm increase in proptosis or ≥2 point increase in CAS) in the fellow eye at Week 24.</w:t>
      </w:r>
    </w:p>
    <w:p w14:paraId="796CEB56" w14:textId="77777777" w:rsidR="00ED4A7B" w:rsidRPr="005E7233" w:rsidRDefault="00ED4A7B" w:rsidP="00ED4A7B">
      <w:pPr>
        <w:pStyle w:val="2-SectionHeading"/>
      </w:pPr>
      <w:bookmarkStart w:id="4" w:name="_Toc107927619"/>
      <w:bookmarkStart w:id="5" w:name="_Toc187681841"/>
      <w:bookmarkStart w:id="6" w:name="_Toc187759708"/>
      <w:r w:rsidRPr="005E7233">
        <w:lastRenderedPageBreak/>
        <w:t>Background</w:t>
      </w:r>
      <w:bookmarkEnd w:id="4"/>
      <w:bookmarkEnd w:id="5"/>
      <w:bookmarkEnd w:id="6"/>
    </w:p>
    <w:p w14:paraId="628D29CB" w14:textId="77777777" w:rsidR="00ED4A7B" w:rsidRPr="005E7233" w:rsidRDefault="00ED4A7B" w:rsidP="00ED4A7B">
      <w:pPr>
        <w:pStyle w:val="4-SubsectionHeading"/>
      </w:pPr>
      <w:bookmarkStart w:id="7" w:name="_Toc22897638"/>
      <w:bookmarkStart w:id="8" w:name="_Toc187681842"/>
      <w:bookmarkStart w:id="9" w:name="_Toc187759709"/>
      <w:r w:rsidRPr="005E7233">
        <w:t>Registration status</w:t>
      </w:r>
      <w:bookmarkEnd w:id="7"/>
      <w:bookmarkEnd w:id="8"/>
      <w:bookmarkEnd w:id="9"/>
    </w:p>
    <w:p w14:paraId="5C892BC8" w14:textId="061AEDB8" w:rsidR="00ED4A7B" w:rsidRPr="005E7233" w:rsidRDefault="00ED4A7B" w:rsidP="00ED4A7B">
      <w:pPr>
        <w:pStyle w:val="3-BodyText"/>
      </w:pPr>
      <w:r w:rsidRPr="005E7233">
        <w:t xml:space="preserve">At the time of </w:t>
      </w:r>
      <w:r w:rsidR="00753FFE" w:rsidRPr="005E7233">
        <w:t>PBAC</w:t>
      </w:r>
      <w:r w:rsidR="008655B8" w:rsidRPr="005E7233">
        <w:t xml:space="preserve"> consideration</w:t>
      </w:r>
      <w:r w:rsidRPr="005E7233">
        <w:t xml:space="preserve">, teprotumumab was undergoing priority review by the TGA for the </w:t>
      </w:r>
      <w:r w:rsidR="009B01A4" w:rsidRPr="005E7233">
        <w:t>‘</w:t>
      </w:r>
      <w:r w:rsidRPr="005E7233">
        <w:t xml:space="preserve">treatment of </w:t>
      </w:r>
      <w:r w:rsidR="00623A72" w:rsidRPr="005E7233">
        <w:t>Thyroid Eye Disease (</w:t>
      </w:r>
      <w:r w:rsidRPr="005E7233">
        <w:t>TED</w:t>
      </w:r>
      <w:r w:rsidR="00623A72" w:rsidRPr="005E7233">
        <w:t>)</w:t>
      </w:r>
      <w:r w:rsidR="009B01A4" w:rsidRPr="005E7233">
        <w:t>’</w:t>
      </w:r>
      <w:r w:rsidRPr="005E7233">
        <w:t xml:space="preserve">. The TGA Delegate’s Overview was available. </w:t>
      </w:r>
      <w:r w:rsidR="005B33EF" w:rsidRPr="005E7233">
        <w:t xml:space="preserve">While a decision was yet to </w:t>
      </w:r>
      <w:r w:rsidR="00DC01B2" w:rsidRPr="005E7233">
        <w:t xml:space="preserve">be made, the Delegate was inclined to consider the registration of teprotumumab, if appropriate measures were in place </w:t>
      </w:r>
      <w:r w:rsidR="0017046A" w:rsidRPr="005E7233">
        <w:t>to create a favourable benefit-risk balance</w:t>
      </w:r>
      <w:r w:rsidR="00FA0AB4" w:rsidRPr="005E7233">
        <w:t>, pending Advisory Committee on Medicines (ACM) advice.</w:t>
      </w:r>
      <w:r w:rsidR="008B6A38" w:rsidRPr="005E7233">
        <w:t xml:space="preserve"> </w:t>
      </w:r>
      <w:r w:rsidR="00332452" w:rsidRPr="005E7233">
        <w:t xml:space="preserve">Were the registration supported, the Delegate </w:t>
      </w:r>
      <w:r w:rsidR="00C73BCF" w:rsidRPr="005E7233">
        <w:t xml:space="preserve">would likely propose </w:t>
      </w:r>
      <w:r w:rsidR="00B44463" w:rsidRPr="005E7233">
        <w:t>additional conditions of registration</w:t>
      </w:r>
      <w:r w:rsidR="004A71A9" w:rsidRPr="005E7233">
        <w:t>.</w:t>
      </w:r>
      <w:r w:rsidR="00C73BCF" w:rsidRPr="005E7233">
        <w:t xml:space="preserve"> </w:t>
      </w:r>
    </w:p>
    <w:p w14:paraId="12AFB0FA" w14:textId="50945427" w:rsidR="00577439" w:rsidRPr="005E7233" w:rsidRDefault="002B67C0" w:rsidP="00577439">
      <w:pPr>
        <w:pStyle w:val="3-BodyText"/>
      </w:pPr>
      <w:r w:rsidRPr="005E7233">
        <w:t>In December 2024, t</w:t>
      </w:r>
      <w:r w:rsidR="00CB3100" w:rsidRPr="005E7233">
        <w:t xml:space="preserve">he </w:t>
      </w:r>
      <w:r w:rsidR="006D183D" w:rsidRPr="005E7233">
        <w:t>A</w:t>
      </w:r>
      <w:r w:rsidR="00CB3100" w:rsidRPr="005E7233">
        <w:t xml:space="preserve">CM provided advice to the TGA Delegate. </w:t>
      </w:r>
      <w:r w:rsidR="00577439" w:rsidRPr="005E7233">
        <w:t xml:space="preserve">The ACM </w:t>
      </w:r>
      <w:r w:rsidR="00BC3467" w:rsidRPr="005E7233">
        <w:t>considered</w:t>
      </w:r>
      <w:r w:rsidR="00577439" w:rsidRPr="005E7233">
        <w:t xml:space="preserve"> that patients should be screened for hearing impairment prior to treatment, due to a noted higher level of hearing impairment for patients with pre-existing hearing loss. The ACM also suggested ongoing monitoring with serial audiograms in addition to a boxed warning explaining the risk of possible permanent hearing impairment.</w:t>
      </w:r>
      <w:r w:rsidR="00BC3467" w:rsidRPr="005E7233">
        <w:t xml:space="preserve"> </w:t>
      </w:r>
    </w:p>
    <w:p w14:paraId="15618C19" w14:textId="284CE54A" w:rsidR="00ED4A7B" w:rsidRPr="005E7233" w:rsidRDefault="00BC3467" w:rsidP="00ED4A7B">
      <w:pPr>
        <w:pStyle w:val="3-BodyText"/>
      </w:pPr>
      <w:r w:rsidRPr="005E7233">
        <w:t xml:space="preserve">The ACM </w:t>
      </w:r>
      <w:r w:rsidR="00112BA2" w:rsidRPr="005E7233">
        <w:t>also considered</w:t>
      </w:r>
      <w:r w:rsidRPr="005E7233">
        <w:t xml:space="preserve"> that it would be appropriate to limit the</w:t>
      </w:r>
      <w:r w:rsidR="00112BA2" w:rsidRPr="005E7233">
        <w:t xml:space="preserve"> TGA </w:t>
      </w:r>
      <w:r w:rsidRPr="005E7233">
        <w:t xml:space="preserve">indication to </w:t>
      </w:r>
      <w:r w:rsidR="0030758C" w:rsidRPr="005E7233">
        <w:t>MS TED</w:t>
      </w:r>
      <w:r w:rsidRPr="005E7233">
        <w:t>. Additionally, the ACM supported limiting the indication to an adult population due to the mechanism of action and effects on growth and development</w:t>
      </w:r>
      <w:r w:rsidR="00217CD3" w:rsidRPr="005E7233">
        <w:t>, and inclusion of a boxed warning for the risk of major foetal malformation</w:t>
      </w:r>
      <w:r w:rsidRPr="005E7233">
        <w:t>.</w:t>
      </w:r>
    </w:p>
    <w:p w14:paraId="5E8AE6BE" w14:textId="77777777" w:rsidR="009925B1" w:rsidRPr="005E7233" w:rsidRDefault="009925B1" w:rsidP="009925B1">
      <w:pPr>
        <w:ind w:firstLine="709"/>
        <w:rPr>
          <w:rFonts w:asciiTheme="minorHAnsi" w:hAnsiTheme="minorHAnsi"/>
          <w:i/>
        </w:rPr>
      </w:pPr>
      <w:r w:rsidRPr="005E7233">
        <w:rPr>
          <w:rFonts w:asciiTheme="minorHAnsi" w:hAnsiTheme="minorHAnsi"/>
          <w:i/>
        </w:rPr>
        <w:t>For more detail on PBAC’s view, see section 7 PBAC outcome.</w:t>
      </w:r>
    </w:p>
    <w:p w14:paraId="5A4858E6" w14:textId="77777777" w:rsidR="00ED4A7B" w:rsidRPr="005E7233" w:rsidRDefault="00ED4A7B" w:rsidP="00ED4A7B">
      <w:pPr>
        <w:pStyle w:val="2-SectionHeading"/>
      </w:pPr>
      <w:bookmarkStart w:id="10" w:name="_Toc107902078"/>
      <w:bookmarkStart w:id="11" w:name="_Toc187681843"/>
      <w:bookmarkStart w:id="12" w:name="_Toc187759710"/>
      <w:bookmarkEnd w:id="10"/>
      <w:r w:rsidRPr="005E7233">
        <w:t>Requested listing</w:t>
      </w:r>
      <w:bookmarkEnd w:id="11"/>
      <w:bookmarkEnd w:id="12"/>
    </w:p>
    <w:p w14:paraId="248743C7" w14:textId="77777777" w:rsidR="00ED4A7B" w:rsidRPr="005E7233" w:rsidRDefault="00ED4A7B" w:rsidP="00ED4A7B">
      <w:pPr>
        <w:pStyle w:val="TableText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92"/>
        <w:gridCol w:w="815"/>
        <w:gridCol w:w="814"/>
        <w:gridCol w:w="815"/>
        <w:gridCol w:w="1829"/>
      </w:tblGrid>
      <w:tr w:rsidR="004E292D" w:rsidRPr="005E7233" w14:paraId="7538AAAA" w14:textId="77777777" w:rsidTr="58254E42">
        <w:trPr>
          <w:cantSplit/>
          <w:trHeight w:val="20"/>
        </w:trPr>
        <w:tc>
          <w:tcPr>
            <w:tcW w:w="2552" w:type="dxa"/>
            <w:vAlign w:val="center"/>
          </w:tcPr>
          <w:p w14:paraId="743FE30F" w14:textId="77777777" w:rsidR="00ED4A7B" w:rsidRPr="005E7233" w:rsidRDefault="00ED4A7B" w:rsidP="009C5765">
            <w:pPr>
              <w:keepNext/>
              <w:keepLines/>
              <w:rPr>
                <w:rFonts w:ascii="Arial Narrow" w:hAnsi="Arial Narrow"/>
                <w:b/>
                <w:bCs/>
                <w:sz w:val="20"/>
                <w:szCs w:val="20"/>
              </w:rPr>
            </w:pPr>
            <w:r w:rsidRPr="005E7233">
              <w:rPr>
                <w:rFonts w:ascii="Arial Narrow" w:hAnsi="Arial Narrow"/>
                <w:b/>
                <w:bCs/>
                <w:sz w:val="20"/>
                <w:szCs w:val="20"/>
              </w:rPr>
              <w:t>MEDICINAL PRODUCT</w:t>
            </w:r>
          </w:p>
          <w:p w14:paraId="51F6B860" w14:textId="77777777" w:rsidR="00ED4A7B" w:rsidRPr="005E7233" w:rsidRDefault="00ED4A7B" w:rsidP="009C5765">
            <w:pPr>
              <w:keepNext/>
              <w:keepLines/>
              <w:rPr>
                <w:rFonts w:ascii="Arial Narrow" w:hAnsi="Arial Narrow"/>
                <w:b/>
                <w:sz w:val="20"/>
                <w:szCs w:val="20"/>
              </w:rPr>
            </w:pPr>
            <w:r w:rsidRPr="005E7233">
              <w:rPr>
                <w:rFonts w:ascii="Arial Narrow" w:hAnsi="Arial Narrow"/>
                <w:b/>
                <w:bCs/>
                <w:sz w:val="20"/>
                <w:szCs w:val="20"/>
              </w:rPr>
              <w:t>medicinal product pack</w:t>
            </w:r>
          </w:p>
        </w:tc>
        <w:tc>
          <w:tcPr>
            <w:tcW w:w="2192" w:type="dxa"/>
            <w:vAlign w:val="center"/>
          </w:tcPr>
          <w:p w14:paraId="010C1385" w14:textId="77777777" w:rsidR="00ED4A7B" w:rsidRPr="005E7233" w:rsidRDefault="00ED4A7B" w:rsidP="009C5765">
            <w:pPr>
              <w:pStyle w:val="TableText0"/>
              <w:rPr>
                <w:b/>
                <w:bCs w:val="0"/>
                <w:szCs w:val="20"/>
              </w:rPr>
            </w:pPr>
            <w:r w:rsidRPr="005E7233">
              <w:rPr>
                <w:b/>
                <w:bCs w:val="0"/>
                <w:snapToGrid w:val="0"/>
              </w:rPr>
              <w:t xml:space="preserve">Dispensed Price for Max. Qty </w:t>
            </w:r>
          </w:p>
        </w:tc>
        <w:tc>
          <w:tcPr>
            <w:tcW w:w="815" w:type="dxa"/>
            <w:vAlign w:val="center"/>
          </w:tcPr>
          <w:p w14:paraId="47558439" w14:textId="77777777" w:rsidR="00ED4A7B" w:rsidRPr="005E7233" w:rsidRDefault="00ED4A7B" w:rsidP="009C5765">
            <w:pPr>
              <w:keepNext/>
              <w:keepLines/>
              <w:jc w:val="center"/>
              <w:rPr>
                <w:rFonts w:ascii="Arial Narrow" w:hAnsi="Arial Narrow"/>
                <w:b/>
                <w:sz w:val="20"/>
                <w:szCs w:val="20"/>
              </w:rPr>
            </w:pPr>
            <w:r w:rsidRPr="005E7233">
              <w:rPr>
                <w:rFonts w:ascii="Arial Narrow" w:hAnsi="Arial Narrow"/>
                <w:b/>
                <w:sz w:val="20"/>
                <w:szCs w:val="20"/>
              </w:rPr>
              <w:t>Max. qty packs</w:t>
            </w:r>
          </w:p>
        </w:tc>
        <w:tc>
          <w:tcPr>
            <w:tcW w:w="814" w:type="dxa"/>
            <w:vAlign w:val="center"/>
          </w:tcPr>
          <w:p w14:paraId="36BE4D4F" w14:textId="77777777" w:rsidR="00ED4A7B" w:rsidRPr="005E7233" w:rsidRDefault="00ED4A7B" w:rsidP="009C5765">
            <w:pPr>
              <w:keepNext/>
              <w:keepLines/>
              <w:jc w:val="center"/>
              <w:rPr>
                <w:rFonts w:ascii="Arial Narrow" w:hAnsi="Arial Narrow"/>
                <w:b/>
                <w:sz w:val="20"/>
                <w:szCs w:val="20"/>
              </w:rPr>
            </w:pPr>
            <w:r w:rsidRPr="005E7233">
              <w:rPr>
                <w:rFonts w:ascii="Arial Narrow" w:hAnsi="Arial Narrow"/>
                <w:b/>
                <w:sz w:val="20"/>
                <w:szCs w:val="20"/>
              </w:rPr>
              <w:t>Max. qty units</w:t>
            </w:r>
          </w:p>
        </w:tc>
        <w:tc>
          <w:tcPr>
            <w:tcW w:w="815" w:type="dxa"/>
            <w:vAlign w:val="center"/>
          </w:tcPr>
          <w:p w14:paraId="3DA8A365" w14:textId="77777777" w:rsidR="00ED4A7B" w:rsidRPr="005E7233" w:rsidRDefault="00ED4A7B" w:rsidP="733957FC">
            <w:pPr>
              <w:keepNext/>
              <w:keepLines/>
              <w:jc w:val="center"/>
              <w:rPr>
                <w:rFonts w:ascii="Arial Narrow" w:hAnsi="Arial Narrow"/>
                <w:b/>
                <w:bCs/>
                <w:sz w:val="20"/>
                <w:szCs w:val="20"/>
              </w:rPr>
            </w:pPr>
            <w:r w:rsidRPr="005E7233">
              <w:rPr>
                <w:rFonts w:ascii="Arial Narrow" w:hAnsi="Arial Narrow"/>
                <w:b/>
                <w:bCs/>
                <w:sz w:val="20"/>
                <w:szCs w:val="20"/>
              </w:rPr>
              <w:t>№.of</w:t>
            </w:r>
          </w:p>
          <w:p w14:paraId="09912F6A" w14:textId="77777777" w:rsidR="00ED4A7B" w:rsidRPr="005E7233" w:rsidRDefault="00ED4A7B" w:rsidP="733957FC">
            <w:pPr>
              <w:keepNext/>
              <w:keepLines/>
              <w:jc w:val="center"/>
              <w:rPr>
                <w:rFonts w:ascii="Arial Narrow" w:hAnsi="Arial Narrow"/>
                <w:b/>
                <w:bCs/>
                <w:sz w:val="20"/>
                <w:szCs w:val="20"/>
              </w:rPr>
            </w:pPr>
            <w:r w:rsidRPr="005E7233">
              <w:rPr>
                <w:rFonts w:ascii="Arial Narrow" w:hAnsi="Arial Narrow"/>
                <w:b/>
                <w:bCs/>
                <w:sz w:val="20"/>
                <w:szCs w:val="20"/>
              </w:rPr>
              <w:t>Rpts</w:t>
            </w:r>
          </w:p>
        </w:tc>
        <w:tc>
          <w:tcPr>
            <w:tcW w:w="1829" w:type="dxa"/>
            <w:vAlign w:val="center"/>
          </w:tcPr>
          <w:p w14:paraId="21D4A131" w14:textId="77777777" w:rsidR="00ED4A7B" w:rsidRPr="005E7233" w:rsidRDefault="00ED4A7B" w:rsidP="009C5765">
            <w:pPr>
              <w:keepNext/>
              <w:keepLines/>
              <w:rPr>
                <w:rFonts w:ascii="Arial Narrow" w:hAnsi="Arial Narrow"/>
                <w:b/>
                <w:sz w:val="20"/>
                <w:szCs w:val="20"/>
              </w:rPr>
            </w:pPr>
            <w:r w:rsidRPr="005E7233">
              <w:rPr>
                <w:rFonts w:ascii="Arial Narrow" w:hAnsi="Arial Narrow"/>
                <w:b/>
                <w:sz w:val="20"/>
                <w:szCs w:val="20"/>
              </w:rPr>
              <w:t>Available brands</w:t>
            </w:r>
          </w:p>
        </w:tc>
      </w:tr>
      <w:tr w:rsidR="004E292D" w:rsidRPr="005E7233" w14:paraId="640CD382" w14:textId="77777777" w:rsidTr="58254E42">
        <w:trPr>
          <w:cantSplit/>
          <w:trHeight w:val="20"/>
        </w:trPr>
        <w:tc>
          <w:tcPr>
            <w:tcW w:w="9017" w:type="dxa"/>
            <w:gridSpan w:val="6"/>
            <w:vAlign w:val="center"/>
          </w:tcPr>
          <w:p w14:paraId="19F8421B" w14:textId="77777777" w:rsidR="00ED4A7B" w:rsidRPr="005E7233" w:rsidRDefault="00ED4A7B" w:rsidP="009C5765">
            <w:pPr>
              <w:pStyle w:val="TableText0"/>
              <w:rPr>
                <w:rFonts w:cs="Arial"/>
                <w:szCs w:val="20"/>
              </w:rPr>
            </w:pPr>
            <w:r w:rsidRPr="005E7233">
              <w:t>teprotumumab</w:t>
            </w:r>
          </w:p>
        </w:tc>
      </w:tr>
      <w:tr w:rsidR="004E292D" w:rsidRPr="005E7233" w14:paraId="3758B1EC" w14:textId="77777777" w:rsidTr="58254E42">
        <w:trPr>
          <w:cantSplit/>
          <w:trHeight w:val="20"/>
        </w:trPr>
        <w:tc>
          <w:tcPr>
            <w:tcW w:w="9017" w:type="dxa"/>
            <w:gridSpan w:val="6"/>
            <w:vAlign w:val="center"/>
          </w:tcPr>
          <w:p w14:paraId="5B1B09ED" w14:textId="77777777" w:rsidR="00ED4A7B" w:rsidRPr="005E7233" w:rsidRDefault="00ED4A7B" w:rsidP="009C5765">
            <w:pPr>
              <w:pStyle w:val="TableText0"/>
              <w:rPr>
                <w:szCs w:val="20"/>
              </w:rPr>
            </w:pPr>
            <w:r w:rsidRPr="005E7233">
              <w:rPr>
                <w:szCs w:val="20"/>
              </w:rPr>
              <w:t>Initial</w:t>
            </w:r>
          </w:p>
        </w:tc>
      </w:tr>
      <w:tr w:rsidR="004E292D" w:rsidRPr="005E7233" w14:paraId="6A17F687" w14:textId="77777777" w:rsidTr="58254E42">
        <w:trPr>
          <w:cantSplit/>
          <w:trHeight w:val="20"/>
        </w:trPr>
        <w:tc>
          <w:tcPr>
            <w:tcW w:w="2552" w:type="dxa"/>
            <w:vAlign w:val="center"/>
          </w:tcPr>
          <w:p w14:paraId="1D5C20B3" w14:textId="4DD066E5" w:rsidR="001122AC" w:rsidRPr="005E7233" w:rsidRDefault="00ED4A7B" w:rsidP="009C5765">
            <w:pPr>
              <w:pStyle w:val="TableText0"/>
              <w:rPr>
                <w:szCs w:val="20"/>
              </w:rPr>
            </w:pPr>
            <w:r w:rsidRPr="005E7233">
              <w:rPr>
                <w:szCs w:val="20"/>
              </w:rPr>
              <w:t xml:space="preserve">Teprotumumab </w:t>
            </w:r>
          </w:p>
          <w:p w14:paraId="60AE88FE" w14:textId="64A80887" w:rsidR="00ED4A7B" w:rsidRPr="005E7233" w:rsidRDefault="00ED4A7B" w:rsidP="009C5765">
            <w:pPr>
              <w:pStyle w:val="TableText0"/>
              <w:rPr>
                <w:color w:val="0066FF"/>
                <w:szCs w:val="20"/>
              </w:rPr>
            </w:pPr>
            <w:r w:rsidRPr="005E7233">
              <w:rPr>
                <w:szCs w:val="20"/>
              </w:rPr>
              <w:t>500 mg, injection, 1 vial.</w:t>
            </w:r>
          </w:p>
        </w:tc>
        <w:tc>
          <w:tcPr>
            <w:tcW w:w="2192" w:type="dxa"/>
          </w:tcPr>
          <w:p w14:paraId="22CA6572" w14:textId="77777777" w:rsidR="00ED4A7B" w:rsidRPr="005E7233" w:rsidRDefault="00ED4A7B" w:rsidP="009C5765">
            <w:pPr>
              <w:pStyle w:val="TableText0"/>
            </w:pPr>
            <w:r w:rsidRPr="005E7233">
              <w:t>Public</w:t>
            </w:r>
          </w:p>
          <w:p w14:paraId="49A292D7" w14:textId="700BB210" w:rsidR="00ED4A7B" w:rsidRPr="005E7233" w:rsidRDefault="00ED4A7B" w:rsidP="009C5765">
            <w:pPr>
              <w:pStyle w:val="TableText0"/>
            </w:pPr>
            <w:r w:rsidRPr="005E7233">
              <w:t>$</w:t>
            </w:r>
            <w:r w:rsidR="00BD0449" w:rsidRPr="00F969C2">
              <w:rPr>
                <w:color w:val="000000"/>
                <w:spacing w:val="53"/>
                <w:shd w:val="solid" w:color="000000" w:fill="000000"/>
                <w:fitText w:val="330" w:id="-694437376"/>
                <w14:textFill>
                  <w14:solidFill>
                    <w14:srgbClr w14:val="000000">
                      <w14:alpha w14:val="100000"/>
                    </w14:srgbClr>
                  </w14:solidFill>
                </w14:textFill>
              </w:rPr>
              <w:t>|||</w:t>
            </w:r>
            <w:r w:rsidR="00BD0449" w:rsidRPr="00F969C2">
              <w:rPr>
                <w:color w:val="000000"/>
                <w:spacing w:val="1"/>
                <w:shd w:val="solid" w:color="000000" w:fill="000000"/>
                <w:fitText w:val="330" w:id="-694437376"/>
                <w14:textFill>
                  <w14:solidFill>
                    <w14:srgbClr w14:val="000000">
                      <w14:alpha w14:val="100000"/>
                    </w14:srgbClr>
                  </w14:solidFill>
                </w14:textFill>
              </w:rPr>
              <w:t>|</w:t>
            </w:r>
            <w:r w:rsidRPr="005E7233">
              <w:t>published price</w:t>
            </w:r>
          </w:p>
          <w:p w14:paraId="7CE8266E" w14:textId="63686157" w:rsidR="00ED4A7B" w:rsidRPr="005E7233" w:rsidRDefault="00ED4A7B" w:rsidP="009C5765">
            <w:pPr>
              <w:pStyle w:val="TableText0"/>
            </w:pPr>
            <w:r w:rsidRPr="005E7233">
              <w:t>$</w:t>
            </w:r>
            <w:r w:rsidR="00BD0449" w:rsidRPr="00F969C2">
              <w:rPr>
                <w:color w:val="000000"/>
                <w:spacing w:val="53"/>
                <w:shd w:val="solid" w:color="000000" w:fill="000000"/>
                <w:fitText w:val="330" w:id="-694437375"/>
                <w14:textFill>
                  <w14:solidFill>
                    <w14:srgbClr w14:val="000000">
                      <w14:alpha w14:val="100000"/>
                    </w14:srgbClr>
                  </w14:solidFill>
                </w14:textFill>
              </w:rPr>
              <w:t>|||</w:t>
            </w:r>
            <w:r w:rsidR="00BD0449" w:rsidRPr="00F969C2">
              <w:rPr>
                <w:color w:val="000000"/>
                <w:spacing w:val="1"/>
                <w:shd w:val="solid" w:color="000000" w:fill="000000"/>
                <w:fitText w:val="330" w:id="-694437375"/>
                <w14:textFill>
                  <w14:solidFill>
                    <w14:srgbClr w14:val="000000">
                      <w14:alpha w14:val="100000"/>
                    </w14:srgbClr>
                  </w14:solidFill>
                </w14:textFill>
              </w:rPr>
              <w:t>|</w:t>
            </w:r>
            <w:r w:rsidRPr="005E7233">
              <w:t xml:space="preserve"> effective price</w:t>
            </w:r>
          </w:p>
          <w:p w14:paraId="7117527A" w14:textId="77777777" w:rsidR="00ED4A7B" w:rsidRPr="005E7233" w:rsidRDefault="00ED4A7B" w:rsidP="009C5765">
            <w:pPr>
              <w:pStyle w:val="TableText0"/>
            </w:pPr>
            <w:r w:rsidRPr="005E7233">
              <w:t>Private</w:t>
            </w:r>
          </w:p>
          <w:p w14:paraId="26C410BA" w14:textId="630067C7" w:rsidR="00ED4A7B" w:rsidRPr="005E7233" w:rsidRDefault="00ED4A7B" w:rsidP="009C5765">
            <w:pPr>
              <w:pStyle w:val="TableText0"/>
            </w:pPr>
            <w:r w:rsidRPr="005E7233">
              <w:t>$</w:t>
            </w:r>
            <w:r w:rsidR="00BD0449" w:rsidRPr="00F969C2">
              <w:rPr>
                <w:color w:val="000000"/>
                <w:spacing w:val="53"/>
                <w:shd w:val="solid" w:color="000000" w:fill="000000"/>
                <w:fitText w:val="330" w:id="-694437374"/>
                <w14:textFill>
                  <w14:solidFill>
                    <w14:srgbClr w14:val="000000">
                      <w14:alpha w14:val="100000"/>
                    </w14:srgbClr>
                  </w14:solidFill>
                </w14:textFill>
              </w:rPr>
              <w:t>|||</w:t>
            </w:r>
            <w:r w:rsidR="00BD0449" w:rsidRPr="00F969C2">
              <w:rPr>
                <w:color w:val="000000"/>
                <w:spacing w:val="1"/>
                <w:shd w:val="solid" w:color="000000" w:fill="000000"/>
                <w:fitText w:val="330" w:id="-694437374"/>
                <w14:textFill>
                  <w14:solidFill>
                    <w14:srgbClr w14:val="000000">
                      <w14:alpha w14:val="100000"/>
                    </w14:srgbClr>
                  </w14:solidFill>
                </w14:textFill>
              </w:rPr>
              <w:t>|</w:t>
            </w:r>
            <w:r w:rsidRPr="005E7233">
              <w:t>published price</w:t>
            </w:r>
          </w:p>
          <w:p w14:paraId="4AC27388" w14:textId="3571F729" w:rsidR="00ED4A7B" w:rsidRPr="005E7233" w:rsidRDefault="00ED4A7B" w:rsidP="009C5765">
            <w:pPr>
              <w:pStyle w:val="TableText0"/>
            </w:pPr>
            <w:r w:rsidRPr="005E7233">
              <w:t>$</w:t>
            </w:r>
            <w:r w:rsidR="00BD0449" w:rsidRPr="00F969C2">
              <w:rPr>
                <w:color w:val="000000"/>
                <w:spacing w:val="53"/>
                <w:shd w:val="solid" w:color="000000" w:fill="000000"/>
                <w:fitText w:val="330" w:id="-694437373"/>
                <w14:textFill>
                  <w14:solidFill>
                    <w14:srgbClr w14:val="000000">
                      <w14:alpha w14:val="100000"/>
                    </w14:srgbClr>
                  </w14:solidFill>
                </w14:textFill>
              </w:rPr>
              <w:t>|||</w:t>
            </w:r>
            <w:r w:rsidR="00BD0449" w:rsidRPr="00F969C2">
              <w:rPr>
                <w:color w:val="000000"/>
                <w:spacing w:val="1"/>
                <w:shd w:val="solid" w:color="000000" w:fill="000000"/>
                <w:fitText w:val="330" w:id="-694437373"/>
                <w14:textFill>
                  <w14:solidFill>
                    <w14:srgbClr w14:val="000000">
                      <w14:alpha w14:val="100000"/>
                    </w14:srgbClr>
                  </w14:solidFill>
                </w14:textFill>
              </w:rPr>
              <w:t>|</w:t>
            </w:r>
            <w:r w:rsidRPr="005E7233">
              <w:t xml:space="preserve"> effective price</w:t>
            </w:r>
          </w:p>
        </w:tc>
        <w:tc>
          <w:tcPr>
            <w:tcW w:w="815" w:type="dxa"/>
            <w:vAlign w:val="center"/>
          </w:tcPr>
          <w:p w14:paraId="20D6F895"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3</w:t>
            </w:r>
          </w:p>
        </w:tc>
        <w:tc>
          <w:tcPr>
            <w:tcW w:w="814" w:type="dxa"/>
            <w:vAlign w:val="center"/>
          </w:tcPr>
          <w:p w14:paraId="720B2D3D"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3</w:t>
            </w:r>
          </w:p>
        </w:tc>
        <w:tc>
          <w:tcPr>
            <w:tcW w:w="815" w:type="dxa"/>
            <w:vAlign w:val="center"/>
          </w:tcPr>
          <w:p w14:paraId="31D37772"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0</w:t>
            </w:r>
          </w:p>
        </w:tc>
        <w:tc>
          <w:tcPr>
            <w:tcW w:w="1829" w:type="dxa"/>
            <w:vAlign w:val="center"/>
          </w:tcPr>
          <w:p w14:paraId="189A14AD" w14:textId="77777777" w:rsidR="00ED4A7B" w:rsidRPr="005E7233" w:rsidRDefault="00ED4A7B" w:rsidP="733957FC">
            <w:pPr>
              <w:keepNext/>
              <w:keepLines/>
              <w:rPr>
                <w:rFonts w:ascii="Arial Narrow" w:hAnsi="Arial Narrow"/>
                <w:color w:val="0066FF"/>
                <w:sz w:val="20"/>
                <w:szCs w:val="20"/>
              </w:rPr>
            </w:pPr>
            <w:r w:rsidRPr="005E7233">
              <w:rPr>
                <w:rFonts w:ascii="Arial Narrow" w:hAnsi="Arial Narrow"/>
                <w:sz w:val="20"/>
                <w:szCs w:val="20"/>
              </w:rPr>
              <w:t>Tepezza</w:t>
            </w:r>
          </w:p>
        </w:tc>
      </w:tr>
      <w:tr w:rsidR="004E292D" w:rsidRPr="005E7233" w14:paraId="6BEB9C78" w14:textId="77777777" w:rsidTr="58254E42">
        <w:trPr>
          <w:cantSplit/>
          <w:trHeight w:val="20"/>
        </w:trPr>
        <w:tc>
          <w:tcPr>
            <w:tcW w:w="9017" w:type="dxa"/>
            <w:gridSpan w:val="6"/>
            <w:vAlign w:val="center"/>
          </w:tcPr>
          <w:p w14:paraId="34599666" w14:textId="77777777" w:rsidR="00ED4A7B" w:rsidRPr="005E7233" w:rsidRDefault="00ED4A7B" w:rsidP="009C5765">
            <w:pPr>
              <w:keepNext/>
              <w:keepLines/>
              <w:rPr>
                <w:rFonts w:ascii="Arial Narrow" w:hAnsi="Arial Narrow"/>
                <w:sz w:val="20"/>
                <w:szCs w:val="20"/>
              </w:rPr>
            </w:pPr>
            <w:r w:rsidRPr="005E7233">
              <w:rPr>
                <w:rFonts w:ascii="Arial Narrow" w:hAnsi="Arial Narrow"/>
                <w:sz w:val="20"/>
                <w:szCs w:val="20"/>
              </w:rPr>
              <w:t>Continuing</w:t>
            </w:r>
          </w:p>
        </w:tc>
      </w:tr>
      <w:tr w:rsidR="004E292D" w:rsidRPr="005E7233" w14:paraId="62B22F57" w14:textId="77777777" w:rsidTr="58254E42">
        <w:trPr>
          <w:cantSplit/>
          <w:trHeight w:val="20"/>
        </w:trPr>
        <w:tc>
          <w:tcPr>
            <w:tcW w:w="2552" w:type="dxa"/>
            <w:vAlign w:val="center"/>
          </w:tcPr>
          <w:p w14:paraId="48DEAA7E" w14:textId="4F082D57" w:rsidR="00ED4A7B" w:rsidRPr="005E7233" w:rsidRDefault="00ED4A7B" w:rsidP="009C5765">
            <w:pPr>
              <w:pStyle w:val="TableText0"/>
              <w:rPr>
                <w:szCs w:val="20"/>
              </w:rPr>
            </w:pPr>
            <w:r w:rsidRPr="005E7233">
              <w:rPr>
                <w:szCs w:val="20"/>
              </w:rPr>
              <w:t>Teprotumumab</w:t>
            </w:r>
          </w:p>
          <w:p w14:paraId="213F8A34" w14:textId="77777777" w:rsidR="00ED4A7B" w:rsidRPr="005E7233" w:rsidRDefault="00ED4A7B" w:rsidP="009C5765">
            <w:pPr>
              <w:keepNext/>
              <w:keepLines/>
              <w:rPr>
                <w:rFonts w:ascii="Arial Narrow" w:hAnsi="Arial Narrow"/>
                <w:color w:val="0066FF"/>
                <w:sz w:val="20"/>
                <w:szCs w:val="20"/>
              </w:rPr>
            </w:pPr>
            <w:r w:rsidRPr="005E7233">
              <w:rPr>
                <w:rFonts w:ascii="Arial Narrow" w:hAnsi="Arial Narrow"/>
                <w:sz w:val="20"/>
                <w:szCs w:val="20"/>
              </w:rPr>
              <w:t>500 mg, injection, 1 vial</w:t>
            </w:r>
          </w:p>
        </w:tc>
        <w:tc>
          <w:tcPr>
            <w:tcW w:w="2192" w:type="dxa"/>
          </w:tcPr>
          <w:p w14:paraId="1DA5ABFC" w14:textId="77777777" w:rsidR="00ED4A7B" w:rsidRPr="005E7233" w:rsidRDefault="00ED4A7B" w:rsidP="009C5765">
            <w:pPr>
              <w:pStyle w:val="TableText0"/>
            </w:pPr>
            <w:r w:rsidRPr="005E7233">
              <w:t>Public</w:t>
            </w:r>
          </w:p>
          <w:p w14:paraId="77C393C6" w14:textId="32AF90EF" w:rsidR="00ED4A7B" w:rsidRPr="005E7233" w:rsidRDefault="00ED4A7B" w:rsidP="009C5765">
            <w:pPr>
              <w:pStyle w:val="TableText0"/>
            </w:pPr>
            <w:r w:rsidRPr="005E7233">
              <w:t>$</w:t>
            </w:r>
            <w:r w:rsidR="00BD0449" w:rsidRPr="00F969C2">
              <w:rPr>
                <w:color w:val="000000"/>
                <w:spacing w:val="53"/>
                <w:shd w:val="solid" w:color="000000" w:fill="000000"/>
                <w:fitText w:val="330" w:id="-694437372"/>
                <w14:textFill>
                  <w14:solidFill>
                    <w14:srgbClr w14:val="000000">
                      <w14:alpha w14:val="100000"/>
                    </w14:srgbClr>
                  </w14:solidFill>
                </w14:textFill>
              </w:rPr>
              <w:t>|||</w:t>
            </w:r>
            <w:r w:rsidR="00BD0449" w:rsidRPr="00F969C2">
              <w:rPr>
                <w:color w:val="000000"/>
                <w:spacing w:val="1"/>
                <w:shd w:val="solid" w:color="000000" w:fill="000000"/>
                <w:fitText w:val="330" w:id="-694437372"/>
                <w14:textFill>
                  <w14:solidFill>
                    <w14:srgbClr w14:val="000000">
                      <w14:alpha w14:val="100000"/>
                    </w14:srgbClr>
                  </w14:solidFill>
                </w14:textFill>
              </w:rPr>
              <w:t>|</w:t>
            </w:r>
            <w:r w:rsidRPr="005E7233">
              <w:t>published price</w:t>
            </w:r>
          </w:p>
          <w:p w14:paraId="2508F9BC" w14:textId="58281A10" w:rsidR="00ED4A7B" w:rsidRPr="005E7233" w:rsidRDefault="00ED4A7B" w:rsidP="009C5765">
            <w:pPr>
              <w:pStyle w:val="TableText0"/>
            </w:pPr>
            <w:r w:rsidRPr="005E7233">
              <w:t>$</w:t>
            </w:r>
            <w:r w:rsidR="00BD0449" w:rsidRPr="00F969C2">
              <w:rPr>
                <w:color w:val="000000"/>
                <w:spacing w:val="53"/>
                <w:shd w:val="solid" w:color="000000" w:fill="000000"/>
                <w:fitText w:val="330" w:id="-694437371"/>
                <w14:textFill>
                  <w14:solidFill>
                    <w14:srgbClr w14:val="000000">
                      <w14:alpha w14:val="100000"/>
                    </w14:srgbClr>
                  </w14:solidFill>
                </w14:textFill>
              </w:rPr>
              <w:t>|||</w:t>
            </w:r>
            <w:r w:rsidR="00BD0449" w:rsidRPr="00F969C2">
              <w:rPr>
                <w:color w:val="000000"/>
                <w:spacing w:val="1"/>
                <w:shd w:val="solid" w:color="000000" w:fill="000000"/>
                <w:fitText w:val="330" w:id="-694437371"/>
                <w14:textFill>
                  <w14:solidFill>
                    <w14:srgbClr w14:val="000000">
                      <w14:alpha w14:val="100000"/>
                    </w14:srgbClr>
                  </w14:solidFill>
                </w14:textFill>
              </w:rPr>
              <w:t>|</w:t>
            </w:r>
            <w:r w:rsidRPr="005E7233">
              <w:t xml:space="preserve"> effective price</w:t>
            </w:r>
          </w:p>
          <w:p w14:paraId="64615CDD" w14:textId="77777777" w:rsidR="00ED4A7B" w:rsidRPr="005E7233" w:rsidRDefault="00ED4A7B" w:rsidP="009C5765">
            <w:pPr>
              <w:pStyle w:val="TableText0"/>
            </w:pPr>
            <w:r w:rsidRPr="005E7233">
              <w:t>Private</w:t>
            </w:r>
          </w:p>
          <w:p w14:paraId="063473A3" w14:textId="2F9C6C96" w:rsidR="00ED4A7B" w:rsidRPr="005E7233" w:rsidRDefault="00ED4A7B" w:rsidP="009C5765">
            <w:pPr>
              <w:pStyle w:val="TableText0"/>
            </w:pPr>
            <w:r w:rsidRPr="005E7233">
              <w:t>$</w:t>
            </w:r>
            <w:r w:rsidR="00BD0449" w:rsidRPr="00F969C2">
              <w:rPr>
                <w:color w:val="000000"/>
                <w:spacing w:val="53"/>
                <w:shd w:val="solid" w:color="000000" w:fill="000000"/>
                <w:fitText w:val="330" w:id="-694437370"/>
                <w14:textFill>
                  <w14:solidFill>
                    <w14:srgbClr w14:val="000000">
                      <w14:alpha w14:val="100000"/>
                    </w14:srgbClr>
                  </w14:solidFill>
                </w14:textFill>
              </w:rPr>
              <w:t>|||</w:t>
            </w:r>
            <w:r w:rsidR="00BD0449" w:rsidRPr="00F969C2">
              <w:rPr>
                <w:color w:val="000000"/>
                <w:spacing w:val="1"/>
                <w:shd w:val="solid" w:color="000000" w:fill="000000"/>
                <w:fitText w:val="330" w:id="-694437370"/>
                <w14:textFill>
                  <w14:solidFill>
                    <w14:srgbClr w14:val="000000">
                      <w14:alpha w14:val="100000"/>
                    </w14:srgbClr>
                  </w14:solidFill>
                </w14:textFill>
              </w:rPr>
              <w:t>|</w:t>
            </w:r>
            <w:r w:rsidRPr="005E7233">
              <w:t>published price</w:t>
            </w:r>
          </w:p>
          <w:p w14:paraId="2544F687" w14:textId="3B6459DB" w:rsidR="00ED4A7B" w:rsidRPr="005E7233" w:rsidRDefault="00ED4A7B" w:rsidP="009C5765">
            <w:pPr>
              <w:pStyle w:val="TableText0"/>
              <w:rPr>
                <w:szCs w:val="20"/>
              </w:rPr>
            </w:pPr>
            <w:r w:rsidRPr="005E7233">
              <w:t>$</w:t>
            </w:r>
            <w:r w:rsidR="00BD0449" w:rsidRPr="00F969C2">
              <w:rPr>
                <w:color w:val="000000"/>
                <w:spacing w:val="53"/>
                <w:shd w:val="solid" w:color="000000" w:fill="000000"/>
                <w:fitText w:val="330" w:id="-694437369"/>
                <w14:textFill>
                  <w14:solidFill>
                    <w14:srgbClr w14:val="000000">
                      <w14:alpha w14:val="100000"/>
                    </w14:srgbClr>
                  </w14:solidFill>
                </w14:textFill>
              </w:rPr>
              <w:t>|||</w:t>
            </w:r>
            <w:r w:rsidR="00BD0449" w:rsidRPr="00F969C2">
              <w:rPr>
                <w:color w:val="000000"/>
                <w:spacing w:val="1"/>
                <w:shd w:val="solid" w:color="000000" w:fill="000000"/>
                <w:fitText w:val="330" w:id="-694437369"/>
                <w14:textFill>
                  <w14:solidFill>
                    <w14:srgbClr w14:val="000000">
                      <w14:alpha w14:val="100000"/>
                    </w14:srgbClr>
                  </w14:solidFill>
                </w14:textFill>
              </w:rPr>
              <w:t>|</w:t>
            </w:r>
            <w:r w:rsidR="00E75E1C" w:rsidRPr="00E75E1C">
              <w:t xml:space="preserve"> </w:t>
            </w:r>
            <w:r w:rsidRPr="00E75E1C">
              <w:t>effective</w:t>
            </w:r>
            <w:r w:rsidRPr="005E7233">
              <w:t xml:space="preserve"> price</w:t>
            </w:r>
          </w:p>
        </w:tc>
        <w:tc>
          <w:tcPr>
            <w:tcW w:w="815" w:type="dxa"/>
            <w:vAlign w:val="center"/>
          </w:tcPr>
          <w:p w14:paraId="61B2695D"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6</w:t>
            </w:r>
          </w:p>
        </w:tc>
        <w:tc>
          <w:tcPr>
            <w:tcW w:w="814" w:type="dxa"/>
            <w:vAlign w:val="center"/>
          </w:tcPr>
          <w:p w14:paraId="14810A33"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6</w:t>
            </w:r>
          </w:p>
        </w:tc>
        <w:tc>
          <w:tcPr>
            <w:tcW w:w="815" w:type="dxa"/>
            <w:vAlign w:val="center"/>
          </w:tcPr>
          <w:p w14:paraId="35711235"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6</w:t>
            </w:r>
          </w:p>
        </w:tc>
        <w:tc>
          <w:tcPr>
            <w:tcW w:w="1829" w:type="dxa"/>
            <w:vAlign w:val="center"/>
          </w:tcPr>
          <w:p w14:paraId="4DD44043" w14:textId="77777777" w:rsidR="00ED4A7B" w:rsidRPr="005E7233" w:rsidRDefault="00ED4A7B" w:rsidP="3CA04A8E">
            <w:pPr>
              <w:keepNext/>
              <w:keepLines/>
              <w:rPr>
                <w:rFonts w:ascii="Arial Narrow" w:hAnsi="Arial Narrow"/>
                <w:color w:val="0066FF"/>
                <w:sz w:val="20"/>
                <w:szCs w:val="20"/>
              </w:rPr>
            </w:pPr>
            <w:r w:rsidRPr="005E7233">
              <w:rPr>
                <w:rFonts w:ascii="Arial Narrow" w:hAnsi="Arial Narrow"/>
                <w:sz w:val="20"/>
                <w:szCs w:val="20"/>
              </w:rPr>
              <w:t>Tepezza</w:t>
            </w:r>
          </w:p>
        </w:tc>
      </w:tr>
    </w:tbl>
    <w:p w14:paraId="68CF171C" w14:textId="77777777" w:rsidR="00ED4A7B" w:rsidRPr="005E7233" w:rsidRDefault="00ED4A7B" w:rsidP="00ED4A7B">
      <w:bookmarkStart w:id="13" w:name="_Hlk1048090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ED4A7B" w:rsidRPr="005E7233" w14:paraId="55408EB6" w14:textId="77777777" w:rsidTr="009C5765">
        <w:trPr>
          <w:cantSplit/>
          <w:trHeight w:val="20"/>
        </w:trPr>
        <w:tc>
          <w:tcPr>
            <w:tcW w:w="5000" w:type="pct"/>
          </w:tcPr>
          <w:bookmarkEnd w:id="13"/>
          <w:p w14:paraId="6BB68CB3" w14:textId="77777777" w:rsidR="00ED4A7B" w:rsidRPr="005E7233" w:rsidRDefault="00ED4A7B" w:rsidP="009C5765">
            <w:pPr>
              <w:pStyle w:val="TableText0"/>
            </w:pPr>
            <w:r w:rsidRPr="005E7233">
              <w:rPr>
                <w:b/>
              </w:rPr>
              <w:lastRenderedPageBreak/>
              <w:t xml:space="preserve">Category / Program: </w:t>
            </w:r>
            <w:r w:rsidRPr="005E7233">
              <w:t>Section 100</w:t>
            </w:r>
          </w:p>
        </w:tc>
      </w:tr>
      <w:tr w:rsidR="00ED4A7B" w:rsidRPr="005E7233" w14:paraId="77A50C85" w14:textId="77777777" w:rsidTr="009C5765">
        <w:trPr>
          <w:cantSplit/>
          <w:trHeight w:val="20"/>
        </w:trPr>
        <w:tc>
          <w:tcPr>
            <w:tcW w:w="5000" w:type="pct"/>
          </w:tcPr>
          <w:p w14:paraId="28AFB44F" w14:textId="77777777" w:rsidR="00ED4A7B" w:rsidRPr="005E7233" w:rsidRDefault="00ED4A7B" w:rsidP="009C5765">
            <w:pPr>
              <w:pStyle w:val="TableText0"/>
              <w:rPr>
                <w:b/>
              </w:rPr>
            </w:pPr>
            <w:r w:rsidRPr="005E7233">
              <w:rPr>
                <w:b/>
              </w:rPr>
              <w:t xml:space="preserve">Prescriber type: </w:t>
            </w:r>
            <w:r w:rsidRPr="005E7233">
              <w:fldChar w:fldCharType="begin">
                <w:ffData>
                  <w:name w:val=""/>
                  <w:enabled/>
                  <w:calcOnExit w:val="0"/>
                  <w:checkBox>
                    <w:sizeAuto/>
                    <w:default w:val="1"/>
                  </w:checkBox>
                </w:ffData>
              </w:fldChar>
            </w:r>
            <w:r w:rsidRPr="005E7233">
              <w:instrText xml:space="preserve"> FORMCHECKBOX </w:instrText>
            </w:r>
            <w:r w:rsidRPr="005E7233">
              <w:fldChar w:fldCharType="separate"/>
            </w:r>
            <w:r w:rsidRPr="005E7233">
              <w:fldChar w:fldCharType="end"/>
            </w:r>
            <w:r w:rsidRPr="005E7233">
              <w:t>Medical Practitioners</w:t>
            </w:r>
          </w:p>
        </w:tc>
      </w:tr>
      <w:tr w:rsidR="00ED4A7B" w:rsidRPr="005E7233" w14:paraId="14234D01" w14:textId="77777777" w:rsidTr="009C5765">
        <w:trPr>
          <w:cantSplit/>
          <w:trHeight w:val="20"/>
        </w:trPr>
        <w:tc>
          <w:tcPr>
            <w:tcW w:w="5000" w:type="pct"/>
          </w:tcPr>
          <w:p w14:paraId="11DE31A5" w14:textId="77777777" w:rsidR="00ED4A7B" w:rsidRPr="005E7233" w:rsidRDefault="00ED4A7B" w:rsidP="009C5765">
            <w:pPr>
              <w:pStyle w:val="TableText0"/>
            </w:pPr>
            <w:r w:rsidRPr="005E7233">
              <w:rPr>
                <w:b/>
              </w:rPr>
              <w:t xml:space="preserve">Restriction type: </w:t>
            </w:r>
            <w:r w:rsidRPr="005E7233">
              <w:fldChar w:fldCharType="begin">
                <w:ffData>
                  <w:name w:val=""/>
                  <w:enabled/>
                  <w:calcOnExit w:val="0"/>
                  <w:checkBox>
                    <w:sizeAuto/>
                    <w:default w:val="1"/>
                  </w:checkBox>
                </w:ffData>
              </w:fldChar>
            </w:r>
            <w:r w:rsidRPr="005E7233">
              <w:instrText xml:space="preserve"> FORMCHECKBOX </w:instrText>
            </w:r>
            <w:r w:rsidRPr="005E7233">
              <w:fldChar w:fldCharType="separate"/>
            </w:r>
            <w:r w:rsidRPr="005E7233">
              <w:fldChar w:fldCharType="end"/>
            </w:r>
            <w:r w:rsidRPr="005E7233">
              <w:t xml:space="preserve">Authority Required (STREAMLINED) </w:t>
            </w:r>
          </w:p>
        </w:tc>
      </w:tr>
      <w:tr w:rsidR="00ED4A7B" w:rsidRPr="005E7233" w14:paraId="1C6BD301" w14:textId="77777777" w:rsidTr="009C5765">
        <w:trPr>
          <w:cantSplit/>
          <w:trHeight w:val="20"/>
        </w:trPr>
        <w:tc>
          <w:tcPr>
            <w:tcW w:w="5000" w:type="pct"/>
            <w:vAlign w:val="center"/>
          </w:tcPr>
          <w:p w14:paraId="294DCC79" w14:textId="77777777" w:rsidR="00ED4A7B" w:rsidRPr="005E7233" w:rsidRDefault="00ED4A7B" w:rsidP="009C5765">
            <w:pPr>
              <w:pStyle w:val="TableText0"/>
            </w:pPr>
            <w:r w:rsidRPr="005E7233">
              <w:rPr>
                <w:b/>
              </w:rPr>
              <w:t xml:space="preserve">Administrative Advice: </w:t>
            </w:r>
            <w:r w:rsidRPr="005E7233">
              <w:t>No increase in the maximum number of repeats may be authorised.</w:t>
            </w:r>
          </w:p>
          <w:p w14:paraId="28A9FEC6" w14:textId="77777777" w:rsidR="00ED4A7B" w:rsidRPr="005E7233" w:rsidRDefault="00ED4A7B" w:rsidP="009C5765">
            <w:pPr>
              <w:pStyle w:val="TableText0"/>
            </w:pPr>
          </w:p>
          <w:p w14:paraId="1C9FA9FB" w14:textId="77777777" w:rsidR="00ED4A7B" w:rsidRPr="005E7233" w:rsidRDefault="00ED4A7B" w:rsidP="009C5765">
            <w:pPr>
              <w:pStyle w:val="TableText0"/>
            </w:pPr>
            <w:r w:rsidRPr="005E7233">
              <w:t>Increased maximum quantity will be authorised where a patient's weight is greater than 150 kg.</w:t>
            </w:r>
          </w:p>
          <w:p w14:paraId="3448B091" w14:textId="77777777" w:rsidR="00ED4A7B" w:rsidRPr="005E7233" w:rsidRDefault="00ED4A7B" w:rsidP="009C5765">
            <w:pPr>
              <w:pStyle w:val="TableText0"/>
            </w:pPr>
          </w:p>
          <w:p w14:paraId="63AA6EDC" w14:textId="77777777" w:rsidR="00ED4A7B" w:rsidRPr="005E7233" w:rsidRDefault="00ED4A7B" w:rsidP="009C5765">
            <w:pPr>
              <w:pStyle w:val="TableText0"/>
              <w:rPr>
                <w:b/>
              </w:rPr>
            </w:pPr>
            <w:r w:rsidRPr="005E7233">
              <w:t>Authority applications for increased quantities/ repeats (where relevant) may be made by telephone to Services Australia on 1800 700 270 (hours of operation 8 a.m. to 5 p.m. Monday to Friday).</w:t>
            </w:r>
          </w:p>
        </w:tc>
      </w:tr>
      <w:tr w:rsidR="00ED4A7B" w:rsidRPr="005E7233" w14:paraId="2FAE6795" w14:textId="77777777" w:rsidTr="009C5765">
        <w:trPr>
          <w:cantSplit/>
          <w:trHeight w:val="20"/>
        </w:trPr>
        <w:tc>
          <w:tcPr>
            <w:tcW w:w="5000" w:type="pct"/>
            <w:vAlign w:val="center"/>
          </w:tcPr>
          <w:p w14:paraId="6F8A821C" w14:textId="77777777" w:rsidR="00ED4A7B" w:rsidRPr="005E7233" w:rsidRDefault="00ED4A7B" w:rsidP="009C5765">
            <w:pPr>
              <w:pStyle w:val="TableText0"/>
              <w:rPr>
                <w:b/>
              </w:rPr>
            </w:pPr>
            <w:r w:rsidRPr="005E7233">
              <w:rPr>
                <w:b/>
              </w:rPr>
              <w:t xml:space="preserve">Severity: </w:t>
            </w:r>
            <w:r w:rsidRPr="005E7233">
              <w:rPr>
                <w:bCs w:val="0"/>
              </w:rPr>
              <w:t>moderate to severe</w:t>
            </w:r>
          </w:p>
        </w:tc>
      </w:tr>
      <w:tr w:rsidR="00ED4A7B" w:rsidRPr="005E7233" w14:paraId="35D2EB1E" w14:textId="77777777" w:rsidTr="009C5765">
        <w:trPr>
          <w:cantSplit/>
          <w:trHeight w:val="20"/>
        </w:trPr>
        <w:tc>
          <w:tcPr>
            <w:tcW w:w="5000" w:type="pct"/>
            <w:vAlign w:val="center"/>
          </w:tcPr>
          <w:p w14:paraId="50C878E6" w14:textId="77777777" w:rsidR="00ED4A7B" w:rsidRPr="005E7233" w:rsidRDefault="00ED4A7B" w:rsidP="009C5765">
            <w:pPr>
              <w:pStyle w:val="TableText0"/>
              <w:rPr>
                <w:b/>
              </w:rPr>
            </w:pPr>
            <w:r w:rsidRPr="005E7233">
              <w:rPr>
                <w:b/>
              </w:rPr>
              <w:t xml:space="preserve">Condition: </w:t>
            </w:r>
            <w:r w:rsidRPr="005E7233">
              <w:rPr>
                <w:bCs w:val="0"/>
              </w:rPr>
              <w:t>Thyroid eye disease</w:t>
            </w:r>
            <w:r w:rsidRPr="005E7233">
              <w:t xml:space="preserve"> </w:t>
            </w:r>
          </w:p>
        </w:tc>
      </w:tr>
      <w:tr w:rsidR="00ED4A7B" w:rsidRPr="005E7233" w14:paraId="526BE1A9" w14:textId="77777777" w:rsidTr="009C5765">
        <w:trPr>
          <w:cantSplit/>
          <w:trHeight w:val="20"/>
        </w:trPr>
        <w:tc>
          <w:tcPr>
            <w:tcW w:w="5000" w:type="pct"/>
            <w:vAlign w:val="center"/>
            <w:hideMark/>
          </w:tcPr>
          <w:p w14:paraId="7792B663" w14:textId="77777777" w:rsidR="00ED4A7B" w:rsidRPr="005E7233" w:rsidRDefault="00ED4A7B" w:rsidP="009C5765">
            <w:pPr>
              <w:pStyle w:val="TableText0"/>
            </w:pPr>
            <w:r w:rsidRPr="005E7233">
              <w:rPr>
                <w:b/>
              </w:rPr>
              <w:t>Indication:</w:t>
            </w:r>
            <w:r w:rsidRPr="005E7233">
              <w:t xml:space="preserve"> </w:t>
            </w:r>
            <w:r w:rsidRPr="005E7233">
              <w:rPr>
                <w:rFonts w:eastAsia="Times New Roman" w:cstheme="minorHAnsi"/>
                <w:color w:val="333333"/>
                <w:kern w:val="2"/>
                <w:szCs w:val="18"/>
                <w14:ligatures w14:val="standardContextual"/>
              </w:rPr>
              <w:t>Active, moderate-to-severe thyroid eye disease</w:t>
            </w:r>
          </w:p>
        </w:tc>
      </w:tr>
      <w:tr w:rsidR="00ED4A7B" w:rsidRPr="005E7233" w14:paraId="5CFFD6A4" w14:textId="77777777" w:rsidTr="009C5765">
        <w:trPr>
          <w:cantSplit/>
          <w:trHeight w:val="20"/>
        </w:trPr>
        <w:tc>
          <w:tcPr>
            <w:tcW w:w="5000" w:type="pct"/>
            <w:vAlign w:val="center"/>
            <w:hideMark/>
          </w:tcPr>
          <w:p w14:paraId="0FBCE73D" w14:textId="77777777" w:rsidR="00ED4A7B" w:rsidRPr="005E7233" w:rsidRDefault="00ED4A7B" w:rsidP="009C5765">
            <w:pPr>
              <w:pStyle w:val="TableText0"/>
            </w:pPr>
            <w:r w:rsidRPr="005E7233">
              <w:rPr>
                <w:b/>
              </w:rPr>
              <w:t>Treatment Phase:</w:t>
            </w:r>
            <w:r w:rsidRPr="005E7233">
              <w:t xml:space="preserve"> Initial</w:t>
            </w:r>
          </w:p>
        </w:tc>
      </w:tr>
      <w:tr w:rsidR="00ED4A7B" w:rsidRPr="005E7233" w14:paraId="176426AA" w14:textId="77777777" w:rsidTr="009C5765">
        <w:trPr>
          <w:cantSplit/>
          <w:trHeight w:val="20"/>
        </w:trPr>
        <w:tc>
          <w:tcPr>
            <w:tcW w:w="5000" w:type="pct"/>
            <w:vAlign w:val="center"/>
            <w:hideMark/>
          </w:tcPr>
          <w:p w14:paraId="5DDA365B" w14:textId="77777777" w:rsidR="00ED4A7B" w:rsidRPr="005E7233" w:rsidRDefault="00ED4A7B" w:rsidP="009C5765">
            <w:pPr>
              <w:pStyle w:val="TableText0"/>
              <w:rPr>
                <w:b/>
                <w:bCs w:val="0"/>
              </w:rPr>
            </w:pPr>
            <w:r w:rsidRPr="005E7233">
              <w:rPr>
                <w:b/>
                <w:bCs w:val="0"/>
              </w:rPr>
              <w:t>Clinical criteria:</w:t>
            </w:r>
          </w:p>
        </w:tc>
      </w:tr>
      <w:tr w:rsidR="00ED4A7B" w:rsidRPr="005E7233" w14:paraId="4C126A4B" w14:textId="77777777" w:rsidTr="009C5765">
        <w:trPr>
          <w:cantSplit/>
          <w:trHeight w:val="20"/>
        </w:trPr>
        <w:tc>
          <w:tcPr>
            <w:tcW w:w="5000" w:type="pct"/>
            <w:vAlign w:val="center"/>
            <w:hideMark/>
          </w:tcPr>
          <w:p w14:paraId="782C06EB" w14:textId="77777777" w:rsidR="00ED4A7B" w:rsidRPr="005E7233" w:rsidRDefault="00ED4A7B" w:rsidP="009C5765">
            <w:pPr>
              <w:rPr>
                <w:rFonts w:ascii="Arial Narrow" w:eastAsiaTheme="majorEastAsia" w:hAnsi="Arial Narrow" w:cstheme="majorBidi"/>
                <w:bCs/>
                <w:sz w:val="20"/>
              </w:rPr>
            </w:pPr>
            <w:r w:rsidRPr="005E7233">
              <w:rPr>
                <w:rFonts w:ascii="Arial Narrow" w:eastAsiaTheme="majorEastAsia" w:hAnsi="Arial Narrow" w:cstheme="majorBidi"/>
                <w:bCs/>
                <w:sz w:val="20"/>
              </w:rPr>
              <w:t>Patient must have a clinical activity score (CAS) of three or more for the most severely affected eye,</w:t>
            </w:r>
          </w:p>
        </w:tc>
      </w:tr>
      <w:tr w:rsidR="00ED4A7B" w:rsidRPr="005E7233" w14:paraId="704AA324" w14:textId="77777777" w:rsidTr="009C5765">
        <w:trPr>
          <w:cantSplit/>
          <w:trHeight w:val="20"/>
        </w:trPr>
        <w:tc>
          <w:tcPr>
            <w:tcW w:w="5000" w:type="pct"/>
            <w:vAlign w:val="center"/>
            <w:hideMark/>
          </w:tcPr>
          <w:p w14:paraId="7984A213" w14:textId="77777777" w:rsidR="00ED4A7B" w:rsidRPr="005E7233" w:rsidRDefault="00ED4A7B" w:rsidP="009C5765">
            <w:pPr>
              <w:pStyle w:val="TableText0"/>
              <w:rPr>
                <w:b/>
                <w:bCs w:val="0"/>
              </w:rPr>
            </w:pPr>
            <w:r w:rsidRPr="005E7233">
              <w:rPr>
                <w:b/>
                <w:bCs w:val="0"/>
              </w:rPr>
              <w:t>AND</w:t>
            </w:r>
          </w:p>
        </w:tc>
      </w:tr>
      <w:tr w:rsidR="00ED4A7B" w:rsidRPr="005E7233" w14:paraId="0E4AC12E" w14:textId="77777777" w:rsidTr="009C5765">
        <w:trPr>
          <w:cantSplit/>
          <w:trHeight w:val="20"/>
        </w:trPr>
        <w:tc>
          <w:tcPr>
            <w:tcW w:w="5000" w:type="pct"/>
            <w:vAlign w:val="center"/>
            <w:hideMark/>
          </w:tcPr>
          <w:p w14:paraId="7A61A02C" w14:textId="77777777" w:rsidR="00ED4A7B" w:rsidRPr="005E7233" w:rsidRDefault="00ED4A7B" w:rsidP="009C5765">
            <w:pPr>
              <w:pStyle w:val="TableText0"/>
              <w:rPr>
                <w:b/>
                <w:bCs w:val="0"/>
              </w:rPr>
            </w:pPr>
            <w:r w:rsidRPr="005E7233">
              <w:rPr>
                <w:b/>
                <w:bCs w:val="0"/>
              </w:rPr>
              <w:t>Clinical criteria:</w:t>
            </w:r>
          </w:p>
        </w:tc>
      </w:tr>
      <w:tr w:rsidR="00ED4A7B" w:rsidRPr="005E7233" w14:paraId="31D65A60" w14:textId="77777777" w:rsidTr="009C5765">
        <w:trPr>
          <w:cantSplit/>
          <w:trHeight w:val="20"/>
        </w:trPr>
        <w:tc>
          <w:tcPr>
            <w:tcW w:w="5000" w:type="pct"/>
            <w:vAlign w:val="center"/>
            <w:hideMark/>
          </w:tcPr>
          <w:p w14:paraId="64E1CBAA" w14:textId="77777777" w:rsidR="00ED4A7B" w:rsidRPr="005E7233" w:rsidRDefault="00ED4A7B" w:rsidP="009C5765">
            <w:pPr>
              <w:pStyle w:val="TableText0"/>
            </w:pPr>
            <w:r w:rsidRPr="005E7233">
              <w:t>Patient must have two or more of the following:</w:t>
            </w:r>
          </w:p>
          <w:p w14:paraId="454F1D50" w14:textId="77777777" w:rsidR="00ED4A7B" w:rsidRPr="005E7233" w:rsidRDefault="00ED4A7B" w:rsidP="009C5765">
            <w:pPr>
              <w:pStyle w:val="TableText0"/>
            </w:pPr>
            <w:r w:rsidRPr="005E7233">
              <w:t>-</w:t>
            </w:r>
            <w:r w:rsidRPr="005E7233">
              <w:tab/>
              <w:t>Proptosis ≥3 or mm above normal for race and gender</w:t>
            </w:r>
          </w:p>
          <w:p w14:paraId="072456C4" w14:textId="77777777" w:rsidR="00ED4A7B" w:rsidRPr="005E7233" w:rsidRDefault="00ED4A7B" w:rsidP="009C5765">
            <w:pPr>
              <w:pStyle w:val="TableText0"/>
            </w:pPr>
            <w:r w:rsidRPr="005E7233">
              <w:t>-</w:t>
            </w:r>
            <w:r w:rsidRPr="005E7233">
              <w:tab/>
              <w:t>Lid retraction ≥2mm</w:t>
            </w:r>
          </w:p>
          <w:p w14:paraId="1821425F" w14:textId="77777777" w:rsidR="00ED4A7B" w:rsidRPr="005E7233" w:rsidRDefault="00ED4A7B" w:rsidP="009C5765">
            <w:pPr>
              <w:pStyle w:val="TableText0"/>
            </w:pPr>
            <w:r w:rsidRPr="005E7233">
              <w:t>-</w:t>
            </w:r>
            <w:r w:rsidRPr="005E7233">
              <w:tab/>
              <w:t>Moderate–to–severe soft-tissue involvement</w:t>
            </w:r>
          </w:p>
          <w:p w14:paraId="4EFBED95" w14:textId="77777777" w:rsidR="00ED4A7B" w:rsidRPr="005E7233" w:rsidRDefault="00ED4A7B" w:rsidP="009C5765">
            <w:pPr>
              <w:pStyle w:val="TableText0"/>
            </w:pPr>
            <w:r w:rsidRPr="005E7233">
              <w:t>-</w:t>
            </w:r>
            <w:r w:rsidRPr="005E7233">
              <w:tab/>
              <w:t>Inconstant or constant diplopia</w:t>
            </w:r>
          </w:p>
        </w:tc>
      </w:tr>
      <w:tr w:rsidR="00ED4A7B" w:rsidRPr="005E7233" w14:paraId="05BC7F47" w14:textId="77777777" w:rsidTr="009C5765">
        <w:trPr>
          <w:cantSplit/>
          <w:trHeight w:val="20"/>
        </w:trPr>
        <w:tc>
          <w:tcPr>
            <w:tcW w:w="5000" w:type="pct"/>
            <w:vAlign w:val="center"/>
            <w:hideMark/>
          </w:tcPr>
          <w:p w14:paraId="0755E846" w14:textId="77777777" w:rsidR="00ED4A7B" w:rsidRPr="005E7233" w:rsidRDefault="00ED4A7B" w:rsidP="009C5765">
            <w:pPr>
              <w:pStyle w:val="TableText0"/>
              <w:rPr>
                <w:b/>
                <w:bCs w:val="0"/>
              </w:rPr>
            </w:pPr>
            <w:r w:rsidRPr="005E7233">
              <w:rPr>
                <w:b/>
                <w:bCs w:val="0"/>
              </w:rPr>
              <w:t>Treatment criteria:</w:t>
            </w:r>
          </w:p>
        </w:tc>
      </w:tr>
      <w:tr w:rsidR="00ED4A7B" w:rsidRPr="005E7233" w14:paraId="568BEBBC" w14:textId="77777777" w:rsidTr="009C5765">
        <w:trPr>
          <w:cantSplit/>
          <w:trHeight w:val="20"/>
        </w:trPr>
        <w:tc>
          <w:tcPr>
            <w:tcW w:w="5000" w:type="pct"/>
            <w:vAlign w:val="center"/>
            <w:hideMark/>
          </w:tcPr>
          <w:p w14:paraId="2B6B82F6" w14:textId="77777777" w:rsidR="00ED4A7B" w:rsidRPr="005E7233" w:rsidRDefault="00ED4A7B" w:rsidP="009C5765">
            <w:pPr>
              <w:pStyle w:val="TableText0"/>
              <w:rPr>
                <w:i/>
                <w:iCs/>
              </w:rPr>
            </w:pPr>
            <w:r w:rsidRPr="005E7233">
              <w:t>Must be treated by a specialist physician experienced in the treatment of thyroid eye disease</w:t>
            </w:r>
          </w:p>
        </w:tc>
      </w:tr>
    </w:tbl>
    <w:p w14:paraId="50DF795E" w14:textId="77777777" w:rsidR="00ED4A7B" w:rsidRPr="005E7233" w:rsidRDefault="00ED4A7B" w:rsidP="00ED4A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ED4A7B" w:rsidRPr="005E7233" w14:paraId="35467AD6" w14:textId="77777777" w:rsidTr="009C5765">
        <w:trPr>
          <w:cantSplit/>
          <w:trHeight w:val="20"/>
        </w:trPr>
        <w:tc>
          <w:tcPr>
            <w:tcW w:w="5000" w:type="pct"/>
          </w:tcPr>
          <w:p w14:paraId="283FDE78" w14:textId="77777777" w:rsidR="00ED4A7B" w:rsidRPr="005E7233" w:rsidRDefault="00ED4A7B" w:rsidP="009C5765">
            <w:pPr>
              <w:pStyle w:val="TableText0"/>
            </w:pPr>
            <w:r w:rsidRPr="005E7233">
              <w:rPr>
                <w:b/>
              </w:rPr>
              <w:t xml:space="preserve">Category / Program: </w:t>
            </w:r>
            <w:r w:rsidRPr="005E7233">
              <w:t>Section 100</w:t>
            </w:r>
          </w:p>
        </w:tc>
      </w:tr>
      <w:tr w:rsidR="00ED4A7B" w:rsidRPr="005E7233" w14:paraId="03EA1AE8" w14:textId="77777777" w:rsidTr="009C5765">
        <w:trPr>
          <w:cantSplit/>
          <w:trHeight w:val="20"/>
        </w:trPr>
        <w:tc>
          <w:tcPr>
            <w:tcW w:w="5000" w:type="pct"/>
          </w:tcPr>
          <w:p w14:paraId="6BE32407" w14:textId="77777777" w:rsidR="00ED4A7B" w:rsidRPr="005E7233" w:rsidRDefault="00ED4A7B" w:rsidP="009C5765">
            <w:pPr>
              <w:pStyle w:val="TableText0"/>
              <w:rPr>
                <w:b/>
              </w:rPr>
            </w:pPr>
            <w:r w:rsidRPr="005E7233">
              <w:rPr>
                <w:b/>
              </w:rPr>
              <w:t xml:space="preserve">Prescriber type: </w:t>
            </w:r>
            <w:r w:rsidRPr="005E7233">
              <w:fldChar w:fldCharType="begin">
                <w:ffData>
                  <w:name w:val=""/>
                  <w:enabled/>
                  <w:calcOnExit w:val="0"/>
                  <w:checkBox>
                    <w:sizeAuto/>
                    <w:default w:val="1"/>
                  </w:checkBox>
                </w:ffData>
              </w:fldChar>
            </w:r>
            <w:r w:rsidRPr="005E7233">
              <w:instrText xml:space="preserve"> FORMCHECKBOX </w:instrText>
            </w:r>
            <w:r w:rsidRPr="005E7233">
              <w:fldChar w:fldCharType="separate"/>
            </w:r>
            <w:r w:rsidRPr="005E7233">
              <w:fldChar w:fldCharType="end"/>
            </w:r>
            <w:r w:rsidRPr="005E7233">
              <w:t>Medical Practitioners</w:t>
            </w:r>
          </w:p>
        </w:tc>
      </w:tr>
      <w:tr w:rsidR="00ED4A7B" w:rsidRPr="005E7233" w14:paraId="52E4E23D" w14:textId="77777777" w:rsidTr="009C5765">
        <w:trPr>
          <w:cantSplit/>
          <w:trHeight w:val="20"/>
        </w:trPr>
        <w:tc>
          <w:tcPr>
            <w:tcW w:w="5000" w:type="pct"/>
          </w:tcPr>
          <w:p w14:paraId="4716DB39" w14:textId="77777777" w:rsidR="00ED4A7B" w:rsidRPr="005E7233" w:rsidRDefault="00ED4A7B" w:rsidP="009C5765">
            <w:pPr>
              <w:pStyle w:val="TableText0"/>
            </w:pPr>
            <w:r w:rsidRPr="005E7233">
              <w:rPr>
                <w:b/>
              </w:rPr>
              <w:t xml:space="preserve">Restriction type: </w:t>
            </w:r>
            <w:r w:rsidRPr="005E7233">
              <w:fldChar w:fldCharType="begin">
                <w:ffData>
                  <w:name w:val=""/>
                  <w:enabled/>
                  <w:calcOnExit w:val="0"/>
                  <w:checkBox>
                    <w:sizeAuto/>
                    <w:default w:val="1"/>
                  </w:checkBox>
                </w:ffData>
              </w:fldChar>
            </w:r>
            <w:r w:rsidRPr="005E7233">
              <w:instrText xml:space="preserve"> FORMCHECKBOX </w:instrText>
            </w:r>
            <w:r w:rsidRPr="005E7233">
              <w:fldChar w:fldCharType="separate"/>
            </w:r>
            <w:r w:rsidRPr="005E7233">
              <w:fldChar w:fldCharType="end"/>
            </w:r>
            <w:r w:rsidRPr="005E7233">
              <w:t xml:space="preserve">Authority Required (STREAMLINED) </w:t>
            </w:r>
          </w:p>
        </w:tc>
      </w:tr>
      <w:tr w:rsidR="00ED4A7B" w:rsidRPr="005E7233" w14:paraId="52132D3D" w14:textId="77777777" w:rsidTr="009C5765">
        <w:trPr>
          <w:cantSplit/>
          <w:trHeight w:val="20"/>
        </w:trPr>
        <w:tc>
          <w:tcPr>
            <w:tcW w:w="5000" w:type="pct"/>
            <w:vAlign w:val="center"/>
          </w:tcPr>
          <w:p w14:paraId="31C81168" w14:textId="77777777" w:rsidR="00ED4A7B" w:rsidRPr="005E7233" w:rsidRDefault="00ED4A7B" w:rsidP="009C5765">
            <w:pPr>
              <w:pStyle w:val="TableText0"/>
            </w:pPr>
            <w:r w:rsidRPr="005E7233">
              <w:rPr>
                <w:b/>
              </w:rPr>
              <w:t xml:space="preserve">Administrative Advice: </w:t>
            </w:r>
            <w:r w:rsidRPr="005E7233">
              <w:t>No increase in the maximum number of repeats may be authorised.</w:t>
            </w:r>
          </w:p>
          <w:p w14:paraId="6350950D" w14:textId="77777777" w:rsidR="00ED4A7B" w:rsidRPr="005E7233" w:rsidRDefault="00ED4A7B" w:rsidP="009C5765">
            <w:pPr>
              <w:pStyle w:val="TableText0"/>
            </w:pPr>
          </w:p>
          <w:p w14:paraId="2572FE7F" w14:textId="77777777" w:rsidR="00ED4A7B" w:rsidRPr="005E7233" w:rsidRDefault="00ED4A7B" w:rsidP="009C5765">
            <w:pPr>
              <w:pStyle w:val="TableText0"/>
            </w:pPr>
            <w:r w:rsidRPr="005E7233">
              <w:t>Increased maximum quantity will be authorised where a patient's weight is greater than 150 kg.</w:t>
            </w:r>
          </w:p>
          <w:p w14:paraId="479A21C2" w14:textId="77777777" w:rsidR="00ED4A7B" w:rsidRPr="005E7233" w:rsidRDefault="00ED4A7B" w:rsidP="009C5765">
            <w:pPr>
              <w:pStyle w:val="TableText0"/>
            </w:pPr>
          </w:p>
          <w:p w14:paraId="7F0DDE39" w14:textId="77777777" w:rsidR="00ED4A7B" w:rsidRPr="005E7233" w:rsidRDefault="00ED4A7B" w:rsidP="009C5765">
            <w:pPr>
              <w:pStyle w:val="TableText0"/>
              <w:rPr>
                <w:b/>
              </w:rPr>
            </w:pPr>
            <w:r w:rsidRPr="005E7233">
              <w:t>Authority applications for increased quantities/ repeats (where relevant) may be made by telephone to Services Australia on 1800 700 270 (hours of operation 8 a.m. to 5 p.m. Monday to Friday).</w:t>
            </w:r>
          </w:p>
        </w:tc>
      </w:tr>
      <w:tr w:rsidR="00ED4A7B" w:rsidRPr="005E7233" w14:paraId="616473EA" w14:textId="77777777" w:rsidTr="009C5765">
        <w:trPr>
          <w:cantSplit/>
          <w:trHeight w:val="20"/>
        </w:trPr>
        <w:tc>
          <w:tcPr>
            <w:tcW w:w="5000" w:type="pct"/>
            <w:vAlign w:val="center"/>
          </w:tcPr>
          <w:p w14:paraId="44BB52CE" w14:textId="77777777" w:rsidR="00ED4A7B" w:rsidRPr="005E7233" w:rsidRDefault="00ED4A7B" w:rsidP="009C5765">
            <w:pPr>
              <w:pStyle w:val="TableText0"/>
              <w:rPr>
                <w:b/>
              </w:rPr>
            </w:pPr>
            <w:r w:rsidRPr="005E7233">
              <w:rPr>
                <w:b/>
              </w:rPr>
              <w:t xml:space="preserve">Severity: </w:t>
            </w:r>
            <w:r w:rsidRPr="005E7233">
              <w:rPr>
                <w:bCs w:val="0"/>
              </w:rPr>
              <w:t>moderate to severe</w:t>
            </w:r>
          </w:p>
        </w:tc>
      </w:tr>
      <w:tr w:rsidR="00ED4A7B" w:rsidRPr="005E7233" w14:paraId="061C6340" w14:textId="77777777" w:rsidTr="009C5765">
        <w:trPr>
          <w:cantSplit/>
          <w:trHeight w:val="20"/>
        </w:trPr>
        <w:tc>
          <w:tcPr>
            <w:tcW w:w="5000" w:type="pct"/>
            <w:vAlign w:val="center"/>
          </w:tcPr>
          <w:p w14:paraId="65BFB1FF" w14:textId="77777777" w:rsidR="00ED4A7B" w:rsidRPr="005E7233" w:rsidRDefault="00ED4A7B" w:rsidP="009C5765">
            <w:pPr>
              <w:pStyle w:val="TableText0"/>
              <w:rPr>
                <w:b/>
              </w:rPr>
            </w:pPr>
            <w:r w:rsidRPr="005E7233">
              <w:rPr>
                <w:b/>
              </w:rPr>
              <w:t xml:space="preserve">Condition: </w:t>
            </w:r>
            <w:r w:rsidRPr="005E7233">
              <w:rPr>
                <w:bCs w:val="0"/>
              </w:rPr>
              <w:t>Thyroid eye disease</w:t>
            </w:r>
            <w:r w:rsidRPr="005E7233">
              <w:t xml:space="preserve"> </w:t>
            </w:r>
          </w:p>
        </w:tc>
      </w:tr>
      <w:tr w:rsidR="00ED4A7B" w:rsidRPr="005E7233" w14:paraId="5E50DD3E" w14:textId="77777777" w:rsidTr="009C5765">
        <w:trPr>
          <w:cantSplit/>
          <w:trHeight w:val="20"/>
        </w:trPr>
        <w:tc>
          <w:tcPr>
            <w:tcW w:w="5000" w:type="pct"/>
            <w:vAlign w:val="center"/>
            <w:hideMark/>
          </w:tcPr>
          <w:p w14:paraId="0A18390A" w14:textId="77777777" w:rsidR="00ED4A7B" w:rsidRPr="005E7233" w:rsidRDefault="00ED4A7B" w:rsidP="009C5765">
            <w:pPr>
              <w:pStyle w:val="TableText0"/>
            </w:pPr>
            <w:r w:rsidRPr="005E7233">
              <w:rPr>
                <w:b/>
              </w:rPr>
              <w:t>Indication:</w:t>
            </w:r>
            <w:r w:rsidRPr="005E7233">
              <w:t xml:space="preserve"> </w:t>
            </w:r>
            <w:r w:rsidRPr="005E7233">
              <w:rPr>
                <w:rFonts w:eastAsia="Times New Roman" w:cstheme="minorHAnsi"/>
                <w:color w:val="333333"/>
                <w:kern w:val="2"/>
                <w:szCs w:val="18"/>
                <w14:ligatures w14:val="standardContextual"/>
              </w:rPr>
              <w:t>Active, moderate-to-severe thyroid eye disease</w:t>
            </w:r>
          </w:p>
        </w:tc>
      </w:tr>
      <w:tr w:rsidR="00ED4A7B" w:rsidRPr="005E7233" w14:paraId="61B97CB6" w14:textId="77777777" w:rsidTr="009C5765">
        <w:trPr>
          <w:cantSplit/>
          <w:trHeight w:val="20"/>
        </w:trPr>
        <w:tc>
          <w:tcPr>
            <w:tcW w:w="5000" w:type="pct"/>
            <w:vAlign w:val="center"/>
            <w:hideMark/>
          </w:tcPr>
          <w:p w14:paraId="5F447E98" w14:textId="77777777" w:rsidR="00ED4A7B" w:rsidRPr="005E7233" w:rsidRDefault="00ED4A7B" w:rsidP="009C5765">
            <w:pPr>
              <w:pStyle w:val="TableText0"/>
            </w:pPr>
            <w:r w:rsidRPr="005E7233">
              <w:rPr>
                <w:b/>
              </w:rPr>
              <w:t>Treatment Phase:</w:t>
            </w:r>
            <w:r w:rsidRPr="005E7233">
              <w:t xml:space="preserve"> Continuing</w:t>
            </w:r>
          </w:p>
        </w:tc>
      </w:tr>
      <w:tr w:rsidR="00ED4A7B" w:rsidRPr="005E7233" w14:paraId="1E2B150E" w14:textId="77777777" w:rsidTr="009C5765">
        <w:trPr>
          <w:cantSplit/>
          <w:trHeight w:val="20"/>
        </w:trPr>
        <w:tc>
          <w:tcPr>
            <w:tcW w:w="5000" w:type="pct"/>
            <w:vAlign w:val="center"/>
            <w:hideMark/>
          </w:tcPr>
          <w:p w14:paraId="23F236BF" w14:textId="77777777" w:rsidR="00ED4A7B" w:rsidRPr="005E7233" w:rsidRDefault="00ED4A7B" w:rsidP="009C5765">
            <w:pPr>
              <w:pStyle w:val="TableText0"/>
              <w:rPr>
                <w:b/>
                <w:bCs w:val="0"/>
              </w:rPr>
            </w:pPr>
            <w:r w:rsidRPr="005E7233">
              <w:rPr>
                <w:b/>
                <w:bCs w:val="0"/>
              </w:rPr>
              <w:t>Clinical criteria:</w:t>
            </w:r>
          </w:p>
        </w:tc>
      </w:tr>
      <w:tr w:rsidR="00ED4A7B" w:rsidRPr="005E7233" w14:paraId="4E1B9C95" w14:textId="77777777" w:rsidTr="009C5765">
        <w:trPr>
          <w:cantSplit/>
          <w:trHeight w:val="20"/>
        </w:trPr>
        <w:tc>
          <w:tcPr>
            <w:tcW w:w="5000" w:type="pct"/>
            <w:vAlign w:val="center"/>
            <w:hideMark/>
          </w:tcPr>
          <w:p w14:paraId="75D3817D" w14:textId="77777777" w:rsidR="00ED4A7B" w:rsidRPr="005E7233" w:rsidRDefault="00ED4A7B" w:rsidP="009C5765">
            <w:pPr>
              <w:rPr>
                <w:rFonts w:ascii="Arial Narrow" w:eastAsiaTheme="majorEastAsia" w:hAnsi="Arial Narrow" w:cstheme="majorBidi"/>
                <w:bCs/>
                <w:sz w:val="20"/>
              </w:rPr>
            </w:pPr>
            <w:r w:rsidRPr="005E7233">
              <w:rPr>
                <w:rFonts w:ascii="Arial Narrow" w:eastAsiaTheme="majorEastAsia" w:hAnsi="Arial Narrow" w:cstheme="majorBidi"/>
                <w:bCs/>
                <w:sz w:val="20"/>
              </w:rPr>
              <w:t>Patient must have previously received PBS-subsidised treatment with this drug for this condition</w:t>
            </w:r>
          </w:p>
        </w:tc>
      </w:tr>
      <w:tr w:rsidR="00ED4A7B" w:rsidRPr="005E7233" w14:paraId="4BE23559" w14:textId="77777777" w:rsidTr="009C5765">
        <w:trPr>
          <w:cantSplit/>
          <w:trHeight w:val="20"/>
        </w:trPr>
        <w:tc>
          <w:tcPr>
            <w:tcW w:w="5000" w:type="pct"/>
            <w:vAlign w:val="center"/>
            <w:hideMark/>
          </w:tcPr>
          <w:p w14:paraId="1452E9DB" w14:textId="77777777" w:rsidR="00ED4A7B" w:rsidRPr="005E7233" w:rsidRDefault="00ED4A7B" w:rsidP="009C5765">
            <w:pPr>
              <w:pStyle w:val="TableText0"/>
              <w:rPr>
                <w:b/>
                <w:bCs w:val="0"/>
              </w:rPr>
            </w:pPr>
            <w:r w:rsidRPr="005E7233">
              <w:rPr>
                <w:b/>
                <w:bCs w:val="0"/>
              </w:rPr>
              <w:t>Treatment criteria:</w:t>
            </w:r>
          </w:p>
        </w:tc>
      </w:tr>
      <w:tr w:rsidR="00ED4A7B" w:rsidRPr="005E7233" w14:paraId="78AFA86D" w14:textId="77777777" w:rsidTr="009C5765">
        <w:trPr>
          <w:cantSplit/>
          <w:trHeight w:val="20"/>
        </w:trPr>
        <w:tc>
          <w:tcPr>
            <w:tcW w:w="5000" w:type="pct"/>
            <w:vAlign w:val="center"/>
            <w:hideMark/>
          </w:tcPr>
          <w:p w14:paraId="4025796A" w14:textId="77777777" w:rsidR="00ED4A7B" w:rsidRPr="005E7233" w:rsidRDefault="00ED4A7B" w:rsidP="009C5765">
            <w:pPr>
              <w:pStyle w:val="TableText0"/>
              <w:rPr>
                <w:i/>
                <w:iCs/>
              </w:rPr>
            </w:pPr>
            <w:r w:rsidRPr="005E7233">
              <w:t>Must be treated by a specialist physician experienced in the treatment of thyroid eye disease</w:t>
            </w:r>
          </w:p>
        </w:tc>
      </w:tr>
    </w:tbl>
    <w:p w14:paraId="440DD214" w14:textId="4D9585DC" w:rsidR="00ED4A7B" w:rsidRPr="005E7233" w:rsidRDefault="00E34594" w:rsidP="00062EDE">
      <w:pPr>
        <w:pStyle w:val="3-BodyText"/>
      </w:pPr>
      <w:r w:rsidRPr="005E7233">
        <w:t>The submission proposed a</w:t>
      </w:r>
      <w:r w:rsidR="00ED4A7B" w:rsidRPr="005E7233">
        <w:t xml:space="preserve"> special pricing arrangement (SPA)</w:t>
      </w:r>
      <w:r w:rsidRPr="005E7233">
        <w:t>,</w:t>
      </w:r>
      <w:r w:rsidR="00ED4A7B" w:rsidRPr="005E7233">
        <w:t xml:space="preserve"> with a published ex-manufacturer price (EMP) of $</w:t>
      </w:r>
      <w:r w:rsidR="00BD0449" w:rsidRPr="00D90272">
        <w:rPr>
          <w:color w:val="000000"/>
          <w:w w:val="60"/>
          <w:shd w:val="solid" w:color="000000" w:fill="000000"/>
          <w:fitText w:val="470" w:id="-694437368"/>
          <w14:textFill>
            <w14:solidFill>
              <w14:srgbClr w14:val="000000">
                <w14:alpha w14:val="100000"/>
              </w14:srgbClr>
            </w14:solidFill>
          </w14:textFill>
        </w:rPr>
        <w:t>|||  ||</w:t>
      </w:r>
      <w:r w:rsidR="00BD0449" w:rsidRPr="00D90272">
        <w:rPr>
          <w:color w:val="000000"/>
          <w:spacing w:val="6"/>
          <w:w w:val="60"/>
          <w:shd w:val="solid" w:color="000000" w:fill="000000"/>
          <w:fitText w:val="470" w:id="-694437368"/>
          <w14:textFill>
            <w14:solidFill>
              <w14:srgbClr w14:val="000000">
                <w14:alpha w14:val="100000"/>
              </w14:srgbClr>
            </w14:solidFill>
          </w14:textFill>
        </w:rPr>
        <w:t>|</w:t>
      </w:r>
      <w:r w:rsidR="00ED4A7B" w:rsidRPr="005E7233">
        <w:t>and an effective EMP of $</w:t>
      </w:r>
      <w:r w:rsidR="00BD0449" w:rsidRPr="00D90272">
        <w:rPr>
          <w:color w:val="000000"/>
          <w:w w:val="60"/>
          <w:shd w:val="solid" w:color="000000" w:fill="000000"/>
          <w:fitText w:val="470" w:id="-694437367"/>
          <w14:textFill>
            <w14:solidFill>
              <w14:srgbClr w14:val="000000">
                <w14:alpha w14:val="100000"/>
              </w14:srgbClr>
            </w14:solidFill>
          </w14:textFill>
        </w:rPr>
        <w:t>|||  |||</w:t>
      </w:r>
      <w:r w:rsidR="00ED4A7B" w:rsidRPr="005E7233">
        <w:t xml:space="preserve"> per vial.</w:t>
      </w:r>
    </w:p>
    <w:p w14:paraId="1D81B6BD" w14:textId="3F11C859" w:rsidR="00ED4A7B" w:rsidRPr="005E7233" w:rsidRDefault="00ED4A7B" w:rsidP="009C5765">
      <w:pPr>
        <w:pStyle w:val="3-BodyText"/>
      </w:pPr>
      <w:r w:rsidRPr="005E7233">
        <w:rPr>
          <w:iCs/>
        </w:rPr>
        <w:t xml:space="preserve">The proposed PBS restriction is narrower than the proposed TGA indication. The </w:t>
      </w:r>
      <w:r w:rsidR="00C213A5" w:rsidRPr="005E7233">
        <w:rPr>
          <w:iCs/>
        </w:rPr>
        <w:t xml:space="preserve">proposed TGA indication </w:t>
      </w:r>
      <w:r w:rsidR="00063D9C" w:rsidRPr="005E7233">
        <w:rPr>
          <w:iCs/>
        </w:rPr>
        <w:t xml:space="preserve">for </w:t>
      </w:r>
      <w:r w:rsidR="00552DC5" w:rsidRPr="005E7233">
        <w:rPr>
          <w:iCs/>
        </w:rPr>
        <w:t>teprotumumab</w:t>
      </w:r>
      <w:r w:rsidR="00063D9C" w:rsidRPr="005E7233">
        <w:rPr>
          <w:iCs/>
        </w:rPr>
        <w:t xml:space="preserve"> is for the treatment of TED, whereas th</w:t>
      </w:r>
      <w:r w:rsidR="008603C0" w:rsidRPr="005E7233">
        <w:rPr>
          <w:iCs/>
        </w:rPr>
        <w:t>e</w:t>
      </w:r>
      <w:r w:rsidR="00063D9C" w:rsidRPr="005E7233">
        <w:rPr>
          <w:iCs/>
        </w:rPr>
        <w:t xml:space="preserve"> </w:t>
      </w:r>
      <w:r w:rsidRPr="005E7233">
        <w:rPr>
          <w:iCs/>
        </w:rPr>
        <w:lastRenderedPageBreak/>
        <w:t xml:space="preserve">proposed PBS listing </w:t>
      </w:r>
      <w:r w:rsidR="00597B8F" w:rsidRPr="005E7233">
        <w:rPr>
          <w:iCs/>
        </w:rPr>
        <w:t>restricts treatment to</w:t>
      </w:r>
      <w:r w:rsidRPr="005E7233">
        <w:rPr>
          <w:iCs/>
        </w:rPr>
        <w:t xml:space="preserve"> moderate-to-severe TED. </w:t>
      </w:r>
      <w:r w:rsidR="00063D9C" w:rsidRPr="005E7233">
        <w:rPr>
          <w:iCs/>
        </w:rPr>
        <w:t xml:space="preserve">The proposed </w:t>
      </w:r>
      <w:r w:rsidR="00552DC5" w:rsidRPr="005E7233">
        <w:rPr>
          <w:iCs/>
        </w:rPr>
        <w:t xml:space="preserve">PBS listing </w:t>
      </w:r>
      <w:r w:rsidRPr="005E7233">
        <w:rPr>
          <w:iCs/>
        </w:rPr>
        <w:t>also requires a minimum clinical activity score (CAS).</w:t>
      </w:r>
    </w:p>
    <w:p w14:paraId="144C2EEE" w14:textId="0896D8D5" w:rsidR="00ED4A7B" w:rsidRPr="005E7233" w:rsidRDefault="00ED4A7B" w:rsidP="00ED4A7B">
      <w:pPr>
        <w:pStyle w:val="3-BodyText"/>
        <w:rPr>
          <w:iCs/>
        </w:rPr>
      </w:pPr>
      <w:bookmarkStart w:id="14" w:name="_Ref195350749"/>
      <w:r w:rsidRPr="005E7233">
        <w:rPr>
          <w:iCs/>
        </w:rPr>
        <w:t xml:space="preserve">The proposed CAS of </w:t>
      </w:r>
      <w:r w:rsidRPr="005E7233">
        <w:rPr>
          <w:rFonts w:cstheme="minorHAnsi"/>
          <w:iCs/>
        </w:rPr>
        <w:t>≥</w:t>
      </w:r>
      <w:r w:rsidRPr="005E7233">
        <w:rPr>
          <w:iCs/>
        </w:rPr>
        <w:t xml:space="preserve"> 3 for the most severely affected eye </w:t>
      </w:r>
      <w:r w:rsidR="007C6FAE" w:rsidRPr="005E7233">
        <w:rPr>
          <w:iCs/>
        </w:rPr>
        <w:t xml:space="preserve">was lower than </w:t>
      </w:r>
      <w:r w:rsidRPr="005E7233">
        <w:rPr>
          <w:iCs/>
        </w:rPr>
        <w:t xml:space="preserve">the inclusion criteria for the key teprotumumab trials where patients must have had a CAS of </w:t>
      </w:r>
      <w:r w:rsidRPr="005E7233">
        <w:rPr>
          <w:rFonts w:cstheme="minorHAnsi"/>
          <w:iCs/>
        </w:rPr>
        <w:t>≥</w:t>
      </w:r>
      <w:r w:rsidRPr="005E7233">
        <w:rPr>
          <w:iCs/>
        </w:rPr>
        <w:t xml:space="preserve"> 4. The submission justified this by noting that the definition of active TED is a CAS of </w:t>
      </w:r>
      <w:r w:rsidRPr="005E7233">
        <w:rPr>
          <w:rFonts w:cstheme="minorHAnsi"/>
          <w:iCs/>
        </w:rPr>
        <w:t>≥</w:t>
      </w:r>
      <w:r w:rsidRPr="005E7233">
        <w:rPr>
          <w:iCs/>
        </w:rPr>
        <w:t xml:space="preserve"> 3. </w:t>
      </w:r>
      <w:r w:rsidR="006F285D" w:rsidRPr="005E7233">
        <w:rPr>
          <w:iCs/>
        </w:rPr>
        <w:t xml:space="preserve">The ESC considered that </w:t>
      </w:r>
      <w:r w:rsidR="00055BBC" w:rsidRPr="005E7233">
        <w:rPr>
          <w:iCs/>
        </w:rPr>
        <w:t xml:space="preserve">the </w:t>
      </w:r>
      <w:r w:rsidR="00AD0449" w:rsidRPr="005E7233">
        <w:rPr>
          <w:iCs/>
        </w:rPr>
        <w:t>proposed CAS threshold</w:t>
      </w:r>
      <w:r w:rsidR="00203D58" w:rsidRPr="005E7233">
        <w:rPr>
          <w:iCs/>
        </w:rPr>
        <w:t xml:space="preserve"> was</w:t>
      </w:r>
      <w:r w:rsidR="00462DBB" w:rsidRPr="005E7233">
        <w:rPr>
          <w:iCs/>
        </w:rPr>
        <w:t xml:space="preserve"> likely</w:t>
      </w:r>
      <w:r w:rsidR="00055BBC" w:rsidRPr="005E7233">
        <w:rPr>
          <w:iCs/>
        </w:rPr>
        <w:t xml:space="preserve"> reasonable, noting th</w:t>
      </w:r>
      <w:r w:rsidR="00593B9B" w:rsidRPr="005E7233">
        <w:rPr>
          <w:iCs/>
        </w:rPr>
        <w:t xml:space="preserve">at optimal </w:t>
      </w:r>
      <w:r w:rsidR="00DC2880" w:rsidRPr="005E7233">
        <w:rPr>
          <w:iCs/>
        </w:rPr>
        <w:t xml:space="preserve">treatment outcomes were contingent on administration within a </w:t>
      </w:r>
      <w:r w:rsidR="008F0BC3" w:rsidRPr="005E7233">
        <w:rPr>
          <w:iCs/>
        </w:rPr>
        <w:t xml:space="preserve">critical therapeutic window </w:t>
      </w:r>
      <w:r w:rsidR="00F7294C" w:rsidRPr="005E7233">
        <w:rPr>
          <w:iCs/>
        </w:rPr>
        <w:t xml:space="preserve">and that </w:t>
      </w:r>
      <w:r w:rsidR="00B93EA7" w:rsidRPr="005E7233">
        <w:rPr>
          <w:iCs/>
        </w:rPr>
        <w:t xml:space="preserve">the classification of </w:t>
      </w:r>
      <w:r w:rsidR="00C0043D" w:rsidRPr="005E7233">
        <w:rPr>
          <w:iCs/>
        </w:rPr>
        <w:t xml:space="preserve">the </w:t>
      </w:r>
      <w:r w:rsidR="00B93EA7" w:rsidRPr="005E7233">
        <w:rPr>
          <w:iCs/>
        </w:rPr>
        <w:t xml:space="preserve">severity of TED (as reported in the 2021 </w:t>
      </w:r>
      <w:r w:rsidR="00517E9A" w:rsidRPr="005E7233">
        <w:t>European Group on Graves' Orbitopathy [</w:t>
      </w:r>
      <w:r w:rsidR="00B93EA7" w:rsidRPr="005E7233">
        <w:rPr>
          <w:iCs/>
        </w:rPr>
        <w:t>EUGOGO</w:t>
      </w:r>
      <w:r w:rsidR="00517E9A" w:rsidRPr="005E7233">
        <w:rPr>
          <w:iCs/>
        </w:rPr>
        <w:t>]</w:t>
      </w:r>
      <w:r w:rsidR="00B93EA7" w:rsidRPr="005E7233">
        <w:rPr>
          <w:iCs/>
        </w:rPr>
        <w:t xml:space="preserve"> guidelines) was included as </w:t>
      </w:r>
      <w:r w:rsidR="002327EC" w:rsidRPr="005E7233">
        <w:rPr>
          <w:iCs/>
        </w:rPr>
        <w:t xml:space="preserve">a separate clinical criterion and would </w:t>
      </w:r>
      <w:r w:rsidR="005629BE" w:rsidRPr="005E7233">
        <w:rPr>
          <w:iCs/>
        </w:rPr>
        <w:t xml:space="preserve">likely </w:t>
      </w:r>
      <w:r w:rsidR="002327EC" w:rsidRPr="005E7233">
        <w:rPr>
          <w:iCs/>
        </w:rPr>
        <w:t xml:space="preserve">ensure </w:t>
      </w:r>
      <w:r w:rsidR="009C3B11" w:rsidRPr="005E7233">
        <w:rPr>
          <w:iCs/>
        </w:rPr>
        <w:t>that only patients with</w:t>
      </w:r>
      <w:r w:rsidR="002327EC" w:rsidRPr="005E7233">
        <w:rPr>
          <w:iCs/>
        </w:rPr>
        <w:t xml:space="preserve"> moderate-to-severe </w:t>
      </w:r>
      <w:r w:rsidR="00AA749A" w:rsidRPr="005E7233">
        <w:rPr>
          <w:iCs/>
        </w:rPr>
        <w:t>TED</w:t>
      </w:r>
      <w:r w:rsidR="00A053EF" w:rsidRPr="005E7233">
        <w:rPr>
          <w:iCs/>
        </w:rPr>
        <w:t xml:space="preserve"> access treatment</w:t>
      </w:r>
      <w:r w:rsidR="00AC6AB4" w:rsidRPr="005E7233">
        <w:rPr>
          <w:iCs/>
        </w:rPr>
        <w:t>.</w:t>
      </w:r>
      <w:bookmarkEnd w:id="14"/>
    </w:p>
    <w:p w14:paraId="49B111C3" w14:textId="007E3493" w:rsidR="00ED4A7B" w:rsidRPr="005E7233" w:rsidRDefault="00ED4A7B" w:rsidP="00ED4A7B">
      <w:pPr>
        <w:pStyle w:val="3-BodyText"/>
        <w:rPr>
          <w:iCs/>
        </w:rPr>
      </w:pPr>
      <w:bookmarkStart w:id="15" w:name="_Ref195352785"/>
      <w:r w:rsidRPr="005E7233">
        <w:rPr>
          <w:iCs/>
        </w:rPr>
        <w:t xml:space="preserve">The proposed listing does not include a requirement for a diagnosis of a thyroid related disorder. The inclusion criteria for the key teprotumumab trials required that patients have a diagnosis of Graves’ disease (GD), the most common cause of TED. The submission noted that restricting teprotumumab to patients with GD would exclude approximately 10% of patients with TED. </w:t>
      </w:r>
      <w:r w:rsidR="005B7183">
        <w:rPr>
          <w:iCs/>
        </w:rPr>
        <w:t>D</w:t>
      </w:r>
      <w:r w:rsidR="00DE4269">
        <w:rPr>
          <w:iCs/>
        </w:rPr>
        <w:t>at</w:t>
      </w:r>
      <w:r w:rsidR="006B1917">
        <w:rPr>
          <w:iCs/>
        </w:rPr>
        <w:t xml:space="preserve">a </w:t>
      </w:r>
      <w:r w:rsidR="00D106E7" w:rsidRPr="005E7233">
        <w:rPr>
          <w:iCs/>
        </w:rPr>
        <w:t>for these patient</w:t>
      </w:r>
      <w:r w:rsidR="006B1917">
        <w:rPr>
          <w:iCs/>
        </w:rPr>
        <w:t>s</w:t>
      </w:r>
      <w:r w:rsidRPr="005E7233">
        <w:rPr>
          <w:iCs/>
        </w:rPr>
        <w:t xml:space="preserve"> </w:t>
      </w:r>
      <w:r w:rsidR="00D106E7" w:rsidRPr="005E7233">
        <w:rPr>
          <w:iCs/>
        </w:rPr>
        <w:t xml:space="preserve">were </w:t>
      </w:r>
      <w:r w:rsidRPr="005E7233">
        <w:rPr>
          <w:iCs/>
        </w:rPr>
        <w:t>not included in the submission</w:t>
      </w:r>
      <w:r w:rsidR="00DE4269">
        <w:rPr>
          <w:iCs/>
        </w:rPr>
        <w:t xml:space="preserve">, </w:t>
      </w:r>
      <w:r w:rsidR="005B7183">
        <w:rPr>
          <w:iCs/>
        </w:rPr>
        <w:t xml:space="preserve">however </w:t>
      </w:r>
      <w:r w:rsidR="00DE4269">
        <w:rPr>
          <w:iCs/>
        </w:rPr>
        <w:t>the</w:t>
      </w:r>
      <w:r w:rsidR="00F26FAC">
        <w:rPr>
          <w:iCs/>
        </w:rPr>
        <w:t xml:space="preserve"> DUSC considered that it was appropriate to not limit treatment to patients with GD</w:t>
      </w:r>
      <w:r w:rsidR="00DE4269">
        <w:rPr>
          <w:iCs/>
        </w:rPr>
        <w:t>.</w:t>
      </w:r>
      <w:bookmarkEnd w:id="15"/>
    </w:p>
    <w:p w14:paraId="2C8D0A63" w14:textId="02DB57C3" w:rsidR="00A30BD2" w:rsidRPr="005E7233" w:rsidRDefault="00A30BD2" w:rsidP="000B491C">
      <w:pPr>
        <w:pStyle w:val="3-BodyText"/>
        <w:rPr>
          <w:iCs/>
        </w:rPr>
      </w:pPr>
      <w:bookmarkStart w:id="16" w:name="_Ref191268370"/>
      <w:r w:rsidRPr="005E7233">
        <w:rPr>
          <w:iCs/>
        </w:rPr>
        <w:t>The ESC</w:t>
      </w:r>
      <w:r w:rsidR="008115C7" w:rsidRPr="005E7233">
        <w:rPr>
          <w:iCs/>
        </w:rPr>
        <w:t xml:space="preserve"> </w:t>
      </w:r>
      <w:r w:rsidR="00DF538E" w:rsidRPr="005E7233">
        <w:rPr>
          <w:iCs/>
        </w:rPr>
        <w:t xml:space="preserve">noted </w:t>
      </w:r>
      <w:r w:rsidR="008115C7" w:rsidRPr="005E7233">
        <w:rPr>
          <w:iCs/>
        </w:rPr>
        <w:t>that the submission requested a line agnostic listing for teprotumumab. However, the key teprotumumab trials only enrolled patients in the 1L setting.</w:t>
      </w:r>
      <w:r w:rsidR="00643A73" w:rsidRPr="005E7233">
        <w:rPr>
          <w:iCs/>
        </w:rPr>
        <w:t xml:space="preserve"> </w:t>
      </w:r>
      <w:r w:rsidR="00C37F80" w:rsidRPr="005E7233">
        <w:rPr>
          <w:iCs/>
        </w:rPr>
        <w:t xml:space="preserve">The submission </w:t>
      </w:r>
      <w:r w:rsidR="004A523E" w:rsidRPr="005E7233">
        <w:rPr>
          <w:iCs/>
        </w:rPr>
        <w:t xml:space="preserve">provided </w:t>
      </w:r>
      <w:r w:rsidR="004D40B5" w:rsidRPr="005E7233">
        <w:rPr>
          <w:iCs/>
        </w:rPr>
        <w:t xml:space="preserve">two references to studies </w:t>
      </w:r>
      <w:r w:rsidR="00D24C6B" w:rsidRPr="005E7233">
        <w:rPr>
          <w:iCs/>
        </w:rPr>
        <w:t>in</w:t>
      </w:r>
      <w:r w:rsidR="00483893" w:rsidRPr="005E7233">
        <w:rPr>
          <w:iCs/>
        </w:rPr>
        <w:t xml:space="preserve"> support </w:t>
      </w:r>
      <w:r w:rsidR="00D24C6B" w:rsidRPr="005E7233">
        <w:rPr>
          <w:iCs/>
        </w:rPr>
        <w:t xml:space="preserve">of </w:t>
      </w:r>
      <w:r w:rsidR="00483893" w:rsidRPr="005E7233">
        <w:rPr>
          <w:iCs/>
        </w:rPr>
        <w:t>teprotumumab use in</w:t>
      </w:r>
      <w:r w:rsidR="002B4FBE" w:rsidRPr="005E7233">
        <w:rPr>
          <w:iCs/>
        </w:rPr>
        <w:t xml:space="preserve"> steroid-resistant MS TED patients</w:t>
      </w:r>
      <w:r w:rsidR="00483893" w:rsidRPr="005E7233">
        <w:rPr>
          <w:iCs/>
        </w:rPr>
        <w:t xml:space="preserve">: </w:t>
      </w:r>
      <w:r w:rsidRPr="005E7233">
        <w:rPr>
          <w:iCs/>
        </w:rPr>
        <w:t>a case control study</w:t>
      </w:r>
      <w:r w:rsidR="00935844" w:rsidRPr="005E7233">
        <w:rPr>
          <w:iCs/>
        </w:rPr>
        <w:t xml:space="preserve"> (N=31)</w:t>
      </w:r>
      <w:r w:rsidRPr="005E7233">
        <w:rPr>
          <w:iCs/>
        </w:rPr>
        <w:t xml:space="preserve"> (Toro Tobon et al. 2023)</w:t>
      </w:r>
      <w:r w:rsidRPr="005E7233">
        <w:rPr>
          <w:rStyle w:val="FootnoteReference"/>
          <w:iCs/>
        </w:rPr>
        <w:footnoteReference w:id="2"/>
      </w:r>
      <w:r w:rsidR="00AE0754" w:rsidRPr="005E7233">
        <w:rPr>
          <w:iCs/>
        </w:rPr>
        <w:t xml:space="preserve"> and</w:t>
      </w:r>
      <w:r w:rsidR="0035617D" w:rsidRPr="005E7233">
        <w:rPr>
          <w:iCs/>
        </w:rPr>
        <w:t xml:space="preserve"> a retrospective study</w:t>
      </w:r>
      <w:r w:rsidR="0039347E" w:rsidRPr="005E7233">
        <w:rPr>
          <w:iCs/>
        </w:rPr>
        <w:t xml:space="preserve"> (N=76)</w:t>
      </w:r>
      <w:r w:rsidR="00A33A32" w:rsidRPr="005E7233">
        <w:rPr>
          <w:iCs/>
        </w:rPr>
        <w:t xml:space="preserve"> </w:t>
      </w:r>
      <w:r w:rsidR="00643A73" w:rsidRPr="005E7233">
        <w:rPr>
          <w:iCs/>
        </w:rPr>
        <w:t>(</w:t>
      </w:r>
      <w:r w:rsidR="00D52457" w:rsidRPr="005E7233">
        <w:rPr>
          <w:iCs/>
        </w:rPr>
        <w:t>Men et al. 2024</w:t>
      </w:r>
      <w:r w:rsidR="00643A73" w:rsidRPr="005E7233">
        <w:rPr>
          <w:iCs/>
        </w:rPr>
        <w:t>)</w:t>
      </w:r>
      <w:r w:rsidR="00D52457" w:rsidRPr="005E7233">
        <w:rPr>
          <w:rStyle w:val="FootnoteReference"/>
          <w:iCs/>
        </w:rPr>
        <w:footnoteReference w:id="3"/>
      </w:r>
      <w:r w:rsidRPr="005E7233">
        <w:rPr>
          <w:iCs/>
        </w:rPr>
        <w:t xml:space="preserve">. </w:t>
      </w:r>
      <w:r w:rsidR="00D24C6B" w:rsidRPr="005E7233">
        <w:rPr>
          <w:iCs/>
        </w:rPr>
        <w:t xml:space="preserve">Both studies </w:t>
      </w:r>
      <w:r w:rsidR="00BE336D" w:rsidRPr="005E7233">
        <w:rPr>
          <w:iCs/>
        </w:rPr>
        <w:t>report</w:t>
      </w:r>
      <w:r w:rsidR="00D24C6B" w:rsidRPr="005E7233">
        <w:rPr>
          <w:iCs/>
        </w:rPr>
        <w:t xml:space="preserve"> </w:t>
      </w:r>
      <w:r w:rsidR="00362F4B" w:rsidRPr="005E7233">
        <w:rPr>
          <w:iCs/>
        </w:rPr>
        <w:t>a clinical response</w:t>
      </w:r>
      <w:r w:rsidR="00D24C6B" w:rsidRPr="005E7233">
        <w:rPr>
          <w:iCs/>
        </w:rPr>
        <w:t xml:space="preserve"> after teprotumumab</w:t>
      </w:r>
      <w:r w:rsidR="00B5649C" w:rsidRPr="005E7233">
        <w:rPr>
          <w:iCs/>
        </w:rPr>
        <w:t xml:space="preserve"> use in treatment experienced patients</w:t>
      </w:r>
      <w:r w:rsidR="001C12BC" w:rsidRPr="005E7233">
        <w:rPr>
          <w:iCs/>
        </w:rPr>
        <w:t xml:space="preserve"> (discussed further in paragraph</w:t>
      </w:r>
      <w:r w:rsidR="00D04ACC" w:rsidRPr="005E7233">
        <w:rPr>
          <w:iCs/>
        </w:rPr>
        <w:t xml:space="preserve"> </w:t>
      </w:r>
      <w:r w:rsidR="004A3AC0" w:rsidRPr="005E7233">
        <w:rPr>
          <w:iCs/>
        </w:rPr>
        <w:fldChar w:fldCharType="begin"/>
      </w:r>
      <w:r w:rsidR="004A3AC0" w:rsidRPr="005E7233">
        <w:rPr>
          <w:iCs/>
        </w:rPr>
        <w:instrText xml:space="preserve"> REF _Ref191268488 \r \h </w:instrText>
      </w:r>
      <w:r w:rsidR="004A3AC0" w:rsidRPr="005E7233">
        <w:rPr>
          <w:iCs/>
        </w:rPr>
      </w:r>
      <w:r w:rsidR="004A3AC0" w:rsidRPr="005E7233">
        <w:rPr>
          <w:iCs/>
        </w:rPr>
        <w:fldChar w:fldCharType="separate"/>
      </w:r>
      <w:r w:rsidR="0012101B">
        <w:rPr>
          <w:iCs/>
        </w:rPr>
        <w:t>6.56</w:t>
      </w:r>
      <w:r w:rsidR="004A3AC0" w:rsidRPr="005E7233">
        <w:rPr>
          <w:iCs/>
        </w:rPr>
        <w:fldChar w:fldCharType="end"/>
      </w:r>
      <w:r w:rsidR="001C12BC" w:rsidRPr="005E7233">
        <w:rPr>
          <w:iCs/>
        </w:rPr>
        <w:t>)</w:t>
      </w:r>
      <w:r w:rsidR="00362F4B" w:rsidRPr="005E7233">
        <w:rPr>
          <w:iCs/>
        </w:rPr>
        <w:t>.</w:t>
      </w:r>
      <w:r w:rsidR="00712716" w:rsidRPr="005E7233">
        <w:rPr>
          <w:iCs/>
        </w:rPr>
        <w:t xml:space="preserve"> </w:t>
      </w:r>
      <w:r w:rsidR="00A85F9B" w:rsidRPr="005E7233">
        <w:rPr>
          <w:iCs/>
        </w:rPr>
        <w:t>T</w:t>
      </w:r>
      <w:r w:rsidRPr="005E7233">
        <w:rPr>
          <w:iCs/>
        </w:rPr>
        <w:t xml:space="preserve">he Pre-Sub-Committee Response (PSCR) </w:t>
      </w:r>
      <w:r w:rsidR="00A649A8" w:rsidRPr="005E7233">
        <w:rPr>
          <w:iCs/>
        </w:rPr>
        <w:t>maintained</w:t>
      </w:r>
      <w:r w:rsidR="00F67563" w:rsidRPr="005E7233">
        <w:rPr>
          <w:iCs/>
        </w:rPr>
        <w:t xml:space="preserve"> that a line</w:t>
      </w:r>
      <w:r w:rsidR="00D04776" w:rsidRPr="005E7233">
        <w:rPr>
          <w:iCs/>
        </w:rPr>
        <w:t xml:space="preserve"> </w:t>
      </w:r>
      <w:r w:rsidR="00F67563" w:rsidRPr="005E7233">
        <w:rPr>
          <w:iCs/>
        </w:rPr>
        <w:t>agnostic listing was</w:t>
      </w:r>
      <w:r w:rsidR="00A649A8" w:rsidRPr="005E7233">
        <w:rPr>
          <w:iCs/>
        </w:rPr>
        <w:t xml:space="preserve"> appropriate and was</w:t>
      </w:r>
      <w:r w:rsidR="00F67563" w:rsidRPr="005E7233">
        <w:rPr>
          <w:iCs/>
        </w:rPr>
        <w:t xml:space="preserve"> supported by local clinical expert</w:t>
      </w:r>
      <w:r w:rsidR="005C22F4" w:rsidRPr="005E7233">
        <w:rPr>
          <w:iCs/>
        </w:rPr>
        <w:t xml:space="preserve">s and the </w:t>
      </w:r>
      <w:r w:rsidR="00F45E5C" w:rsidRPr="005E7233">
        <w:rPr>
          <w:iCs/>
        </w:rPr>
        <w:t>previously noted studies.</w:t>
      </w:r>
      <w:r w:rsidRPr="005E7233">
        <w:rPr>
          <w:iCs/>
        </w:rPr>
        <w:t xml:space="preserve"> </w:t>
      </w:r>
      <w:r w:rsidR="00FC0995" w:rsidRPr="005E7233">
        <w:rPr>
          <w:iCs/>
        </w:rPr>
        <w:t>T</w:t>
      </w:r>
      <w:r w:rsidRPr="005E7233">
        <w:rPr>
          <w:iCs/>
        </w:rPr>
        <w:t>he ESC</w:t>
      </w:r>
      <w:r w:rsidR="00C95156" w:rsidRPr="005E7233">
        <w:rPr>
          <w:iCs/>
        </w:rPr>
        <w:t xml:space="preserve"> </w:t>
      </w:r>
      <w:r w:rsidR="003357D2" w:rsidRPr="005E7233">
        <w:rPr>
          <w:iCs/>
        </w:rPr>
        <w:t xml:space="preserve">considered </w:t>
      </w:r>
      <w:r w:rsidR="00656A28" w:rsidRPr="005E7233">
        <w:rPr>
          <w:iCs/>
        </w:rPr>
        <w:t>that based on the available evidence</w:t>
      </w:r>
      <w:r w:rsidR="00211B48" w:rsidRPr="005E7233">
        <w:rPr>
          <w:iCs/>
        </w:rPr>
        <w:t>,</w:t>
      </w:r>
      <w:r w:rsidR="00656A28" w:rsidRPr="005E7233">
        <w:rPr>
          <w:iCs/>
        </w:rPr>
        <w:t xml:space="preserve"> it was uncertain whether </w:t>
      </w:r>
      <w:r w:rsidR="003357D2" w:rsidRPr="005E7233">
        <w:rPr>
          <w:iCs/>
        </w:rPr>
        <w:t>a line</w:t>
      </w:r>
      <w:r w:rsidR="00211B48" w:rsidRPr="005E7233">
        <w:rPr>
          <w:iCs/>
        </w:rPr>
        <w:t xml:space="preserve"> </w:t>
      </w:r>
      <w:r w:rsidR="003357D2" w:rsidRPr="005E7233">
        <w:rPr>
          <w:iCs/>
        </w:rPr>
        <w:t xml:space="preserve">agnostic listing was </w:t>
      </w:r>
      <w:r w:rsidR="00211B48" w:rsidRPr="005E7233">
        <w:rPr>
          <w:iCs/>
        </w:rPr>
        <w:t>appropriate</w:t>
      </w:r>
      <w:r w:rsidR="006E2754" w:rsidRPr="005E7233">
        <w:rPr>
          <w:iCs/>
        </w:rPr>
        <w:t xml:space="preserve">, particularly without further criteria in the setting of retreatment (see </w:t>
      </w:r>
      <w:r w:rsidR="0065744F" w:rsidRPr="005E7233">
        <w:rPr>
          <w:iCs/>
        </w:rPr>
        <w:t xml:space="preserve">paragraph </w:t>
      </w:r>
      <w:r w:rsidR="0065744F" w:rsidRPr="005E7233">
        <w:rPr>
          <w:iCs/>
        </w:rPr>
        <w:fldChar w:fldCharType="begin"/>
      </w:r>
      <w:r w:rsidR="0065744F" w:rsidRPr="005E7233">
        <w:rPr>
          <w:iCs/>
        </w:rPr>
        <w:instrText xml:space="preserve"> REF _Ref191459507 \r \h </w:instrText>
      </w:r>
      <w:r w:rsidR="005712EC" w:rsidRPr="005E7233">
        <w:rPr>
          <w:iCs/>
        </w:rPr>
        <w:instrText xml:space="preserve"> \* MERGEFORMAT </w:instrText>
      </w:r>
      <w:r w:rsidR="0065744F" w:rsidRPr="005E7233">
        <w:rPr>
          <w:iCs/>
        </w:rPr>
      </w:r>
      <w:r w:rsidR="0065744F" w:rsidRPr="005E7233">
        <w:rPr>
          <w:iCs/>
        </w:rPr>
        <w:fldChar w:fldCharType="separate"/>
      </w:r>
      <w:r w:rsidR="0012101B">
        <w:rPr>
          <w:iCs/>
        </w:rPr>
        <w:t>3.6</w:t>
      </w:r>
      <w:r w:rsidR="0065744F" w:rsidRPr="005E7233">
        <w:rPr>
          <w:iCs/>
        </w:rPr>
        <w:fldChar w:fldCharType="end"/>
      </w:r>
      <w:r w:rsidR="006E2754" w:rsidRPr="005E7233">
        <w:rPr>
          <w:iCs/>
        </w:rPr>
        <w:t xml:space="preserve"> below)</w:t>
      </w:r>
      <w:r w:rsidRPr="005E7233">
        <w:rPr>
          <w:iCs/>
        </w:rPr>
        <w:t xml:space="preserve">. </w:t>
      </w:r>
      <w:bookmarkEnd w:id="16"/>
    </w:p>
    <w:p w14:paraId="721139E0" w14:textId="298EF947" w:rsidR="006864FA" w:rsidRDefault="00ED4A7B" w:rsidP="006864FA">
      <w:pPr>
        <w:pStyle w:val="3-BodyText"/>
        <w:rPr>
          <w:iCs/>
        </w:rPr>
      </w:pPr>
      <w:bookmarkStart w:id="17" w:name="_Ref191459507"/>
      <w:r w:rsidRPr="005E7233">
        <w:rPr>
          <w:iCs/>
        </w:rPr>
        <w:t xml:space="preserve">The </w:t>
      </w:r>
      <w:r w:rsidR="000C6532" w:rsidRPr="005E7233">
        <w:rPr>
          <w:iCs/>
        </w:rPr>
        <w:t xml:space="preserve">ESC noted that the </w:t>
      </w:r>
      <w:r w:rsidRPr="005E7233">
        <w:rPr>
          <w:iCs/>
        </w:rPr>
        <w:t xml:space="preserve">proposed listing does not place any restrictions on when or under what circumstances retreatment may occur. The </w:t>
      </w:r>
      <w:r w:rsidR="00117290" w:rsidRPr="005E7233">
        <w:rPr>
          <w:iCs/>
        </w:rPr>
        <w:t>draft</w:t>
      </w:r>
      <w:r w:rsidRPr="005E7233">
        <w:rPr>
          <w:iCs/>
        </w:rPr>
        <w:t xml:space="preserve"> </w:t>
      </w:r>
      <w:r w:rsidR="004D7FAE" w:rsidRPr="005E7233">
        <w:rPr>
          <w:iCs/>
        </w:rPr>
        <w:t>Product I</w:t>
      </w:r>
      <w:r w:rsidRPr="005E7233">
        <w:rPr>
          <w:iCs/>
        </w:rPr>
        <w:t xml:space="preserve">nformation and the requested listing </w:t>
      </w:r>
      <w:r w:rsidR="00561A75" w:rsidRPr="005E7233">
        <w:rPr>
          <w:iCs/>
        </w:rPr>
        <w:t xml:space="preserve">allow </w:t>
      </w:r>
      <w:r w:rsidRPr="005E7233">
        <w:rPr>
          <w:iCs/>
        </w:rPr>
        <w:t xml:space="preserve">for an infusion every 3 weeks for a total of 8 infusions. No information is given for time between courses if retreatment were to be initiated. In the extension trial, OPTIC-X, retreatment was given to proptosis non-responders from </w:t>
      </w:r>
      <w:r w:rsidR="00231A3D" w:rsidRPr="005E7233">
        <w:rPr>
          <w:iCs/>
        </w:rPr>
        <w:t xml:space="preserve">the </w:t>
      </w:r>
      <w:r w:rsidRPr="005E7233">
        <w:rPr>
          <w:iCs/>
        </w:rPr>
        <w:t>OPTIC</w:t>
      </w:r>
      <w:r w:rsidR="00231A3D" w:rsidRPr="005E7233">
        <w:rPr>
          <w:iCs/>
        </w:rPr>
        <w:t xml:space="preserve"> trial</w:t>
      </w:r>
      <w:r w:rsidRPr="005E7233">
        <w:rPr>
          <w:iCs/>
        </w:rPr>
        <w:t xml:space="preserve"> who completed the month 12 visit and proptosis responders who </w:t>
      </w:r>
      <w:r w:rsidRPr="005E7233">
        <w:rPr>
          <w:iCs/>
        </w:rPr>
        <w:lastRenderedPageBreak/>
        <w:t xml:space="preserve">relapsed during the follow-up period of </w:t>
      </w:r>
      <w:r w:rsidR="00231A3D" w:rsidRPr="005E7233">
        <w:rPr>
          <w:iCs/>
        </w:rPr>
        <w:t xml:space="preserve">the </w:t>
      </w:r>
      <w:r w:rsidRPr="005E7233">
        <w:rPr>
          <w:iCs/>
        </w:rPr>
        <w:t xml:space="preserve">OPTIC </w:t>
      </w:r>
      <w:r w:rsidR="00231A3D" w:rsidRPr="005E7233">
        <w:rPr>
          <w:iCs/>
        </w:rPr>
        <w:t xml:space="preserve">trial </w:t>
      </w:r>
      <w:r w:rsidRPr="005E7233">
        <w:rPr>
          <w:iCs/>
        </w:rPr>
        <w:t xml:space="preserve">and completed the Week 24 visit. </w:t>
      </w:r>
      <w:r w:rsidR="00214E5A" w:rsidRPr="005E7233">
        <w:rPr>
          <w:iCs/>
        </w:rPr>
        <w:t xml:space="preserve">The ESC </w:t>
      </w:r>
      <w:r w:rsidR="00E11F18" w:rsidRPr="005E7233">
        <w:rPr>
          <w:iCs/>
        </w:rPr>
        <w:t>note</w:t>
      </w:r>
      <w:r w:rsidR="00214E5A" w:rsidRPr="005E7233">
        <w:rPr>
          <w:iCs/>
        </w:rPr>
        <w:t xml:space="preserve">d that </w:t>
      </w:r>
      <w:r w:rsidR="000610D7" w:rsidRPr="005E7233">
        <w:rPr>
          <w:iCs/>
        </w:rPr>
        <w:t>ophthalmologists</w:t>
      </w:r>
      <w:r w:rsidR="00214E5A" w:rsidRPr="005E7233">
        <w:rPr>
          <w:iCs/>
        </w:rPr>
        <w:t xml:space="preserve"> would likely retreat</w:t>
      </w:r>
      <w:r w:rsidR="000610D7" w:rsidRPr="005E7233">
        <w:rPr>
          <w:iCs/>
        </w:rPr>
        <w:t xml:space="preserve"> patients as required to avoid </w:t>
      </w:r>
      <w:r w:rsidR="00AA1EEF" w:rsidRPr="005E7233">
        <w:rPr>
          <w:iCs/>
        </w:rPr>
        <w:t>surgery and</w:t>
      </w:r>
      <w:r w:rsidR="00E11F18" w:rsidRPr="005E7233">
        <w:rPr>
          <w:iCs/>
        </w:rPr>
        <w:t xml:space="preserve"> considered that retreatment </w:t>
      </w:r>
      <w:r w:rsidR="00955BE8" w:rsidRPr="005E7233">
        <w:rPr>
          <w:iCs/>
        </w:rPr>
        <w:t xml:space="preserve">may be </w:t>
      </w:r>
      <w:r w:rsidR="009D3613" w:rsidRPr="005E7233">
        <w:rPr>
          <w:iCs/>
        </w:rPr>
        <w:t>appropriate</w:t>
      </w:r>
      <w:r w:rsidR="00955BE8" w:rsidRPr="005E7233">
        <w:rPr>
          <w:iCs/>
        </w:rPr>
        <w:t xml:space="preserve"> for subsequent episodes of active MS TED, but </w:t>
      </w:r>
      <w:r w:rsidR="009D3613" w:rsidRPr="005E7233">
        <w:rPr>
          <w:iCs/>
        </w:rPr>
        <w:t>not</w:t>
      </w:r>
      <w:r w:rsidR="00663FF4" w:rsidRPr="005E7233">
        <w:rPr>
          <w:iCs/>
        </w:rPr>
        <w:t xml:space="preserve"> </w:t>
      </w:r>
      <w:r w:rsidR="009D3613" w:rsidRPr="005E7233">
        <w:rPr>
          <w:iCs/>
        </w:rPr>
        <w:t>for episodes that occur due to</w:t>
      </w:r>
      <w:r w:rsidR="00663FF4" w:rsidRPr="005E7233">
        <w:rPr>
          <w:iCs/>
        </w:rPr>
        <w:t xml:space="preserve"> lack of response to 1L treatment</w:t>
      </w:r>
      <w:r w:rsidR="000610D7" w:rsidRPr="005E7233">
        <w:rPr>
          <w:iCs/>
        </w:rPr>
        <w:t>.</w:t>
      </w:r>
      <w:bookmarkEnd w:id="17"/>
      <w:r w:rsidR="00BD083E" w:rsidRPr="00BD083E">
        <w:rPr>
          <w:i/>
          <w:iCs/>
        </w:rPr>
        <w:t xml:space="preserve"> </w:t>
      </w:r>
      <w:r w:rsidR="00BE1C98" w:rsidRPr="00F55277">
        <w:t xml:space="preserve">The pre-PBAC </w:t>
      </w:r>
      <w:r w:rsidR="00FD5083">
        <w:t>R</w:t>
      </w:r>
      <w:r w:rsidR="00BE1C98" w:rsidRPr="00F55277">
        <w:t xml:space="preserve">esponse noted that </w:t>
      </w:r>
      <w:r w:rsidR="00F55277" w:rsidRPr="00F55277">
        <w:t xml:space="preserve">the proposed restriction limits access to patients who meet both the disease severity and activity requirements. Therefore, </w:t>
      </w:r>
      <w:r w:rsidR="00107FA4">
        <w:t xml:space="preserve">the restriction </w:t>
      </w:r>
      <w:r w:rsidR="00F55277" w:rsidRPr="00F55277">
        <w:t>preludes access to patients with chronic (inactive) TED (defined by CAS&lt;3).</w:t>
      </w:r>
      <w:r w:rsidR="001E25FB">
        <w:t xml:space="preserve"> The Response considered </w:t>
      </w:r>
      <w:r w:rsidR="005700FC">
        <w:t xml:space="preserve">that </w:t>
      </w:r>
      <w:r w:rsidR="001E25FB">
        <w:rPr>
          <w:rFonts w:cstheme="minorHAnsi"/>
          <w:iCs/>
          <w:color w:val="000000" w:themeColor="text1"/>
        </w:rPr>
        <w:t>t</w:t>
      </w:r>
      <w:r w:rsidR="001E25FB" w:rsidRPr="008577E6">
        <w:rPr>
          <w:rFonts w:cstheme="minorHAnsi"/>
          <w:iCs/>
          <w:color w:val="000000" w:themeColor="text1"/>
        </w:rPr>
        <w:t>he majority of patients that require retreatment are identified early in the disease course while in the active phase. In these situations</w:t>
      </w:r>
      <w:r w:rsidR="006644CC">
        <w:rPr>
          <w:rFonts w:cstheme="minorHAnsi"/>
          <w:iCs/>
          <w:color w:val="000000" w:themeColor="text1"/>
        </w:rPr>
        <w:t>,</w:t>
      </w:r>
      <w:r w:rsidR="001E25FB" w:rsidRPr="008577E6">
        <w:rPr>
          <w:rFonts w:cstheme="minorHAnsi"/>
          <w:iCs/>
          <w:color w:val="000000" w:themeColor="text1"/>
        </w:rPr>
        <w:t xml:space="preserve"> </w:t>
      </w:r>
      <w:r w:rsidR="00CA29DC">
        <w:rPr>
          <w:rFonts w:cstheme="minorHAnsi"/>
          <w:iCs/>
          <w:color w:val="000000" w:themeColor="text1"/>
        </w:rPr>
        <w:t>clinicians</w:t>
      </w:r>
      <w:r w:rsidR="001E25FB" w:rsidRPr="008577E6">
        <w:rPr>
          <w:rFonts w:cstheme="minorHAnsi"/>
          <w:iCs/>
          <w:color w:val="000000" w:themeColor="text1"/>
        </w:rPr>
        <w:t xml:space="preserve"> have stated they would </w:t>
      </w:r>
      <w:r w:rsidR="00DA64A0">
        <w:rPr>
          <w:rFonts w:cstheme="minorHAnsi"/>
          <w:iCs/>
          <w:color w:val="000000" w:themeColor="text1"/>
        </w:rPr>
        <w:t xml:space="preserve">likely </w:t>
      </w:r>
      <w:r w:rsidR="001E25FB" w:rsidRPr="008577E6">
        <w:rPr>
          <w:rFonts w:cstheme="minorHAnsi"/>
          <w:iCs/>
          <w:color w:val="000000" w:themeColor="text1"/>
        </w:rPr>
        <w:t xml:space="preserve">switch treatment rather than retreat with the same agent. </w:t>
      </w:r>
      <w:r w:rsidR="001E25FB">
        <w:rPr>
          <w:rFonts w:cstheme="minorHAnsi"/>
          <w:iCs/>
          <w:color w:val="000000" w:themeColor="text1"/>
        </w:rPr>
        <w:t>However</w:t>
      </w:r>
      <w:r w:rsidR="001E25FB" w:rsidRPr="008577E6">
        <w:rPr>
          <w:rFonts w:cstheme="minorHAnsi"/>
          <w:iCs/>
          <w:color w:val="000000" w:themeColor="text1"/>
        </w:rPr>
        <w:t>, there may be situations where re</w:t>
      </w:r>
      <w:r w:rsidR="001E25FB">
        <w:rPr>
          <w:rFonts w:cstheme="minorHAnsi"/>
          <w:iCs/>
          <w:color w:val="000000" w:themeColor="text1"/>
        </w:rPr>
        <w:t xml:space="preserve">treatment </w:t>
      </w:r>
      <w:r w:rsidR="001E25FB" w:rsidRPr="008577E6">
        <w:rPr>
          <w:rFonts w:cstheme="minorHAnsi"/>
          <w:iCs/>
          <w:color w:val="000000" w:themeColor="text1"/>
        </w:rPr>
        <w:t xml:space="preserve">is clinically warranted, and </w:t>
      </w:r>
      <w:r w:rsidR="00D064D8">
        <w:rPr>
          <w:rFonts w:cstheme="minorHAnsi"/>
          <w:iCs/>
          <w:color w:val="000000" w:themeColor="text1"/>
        </w:rPr>
        <w:t xml:space="preserve">the Response noted that the </w:t>
      </w:r>
      <w:r w:rsidR="001E2669">
        <w:rPr>
          <w:rFonts w:cstheme="minorHAnsi"/>
          <w:iCs/>
          <w:color w:val="000000" w:themeColor="text1"/>
        </w:rPr>
        <w:t>s</w:t>
      </w:r>
      <w:r w:rsidR="00D064D8">
        <w:rPr>
          <w:rFonts w:cstheme="minorHAnsi"/>
          <w:iCs/>
          <w:color w:val="000000" w:themeColor="text1"/>
        </w:rPr>
        <w:t>ponsor would be</w:t>
      </w:r>
      <w:r w:rsidR="001E25FB" w:rsidRPr="008577E6">
        <w:rPr>
          <w:rFonts w:cstheme="minorHAnsi"/>
          <w:iCs/>
          <w:color w:val="000000" w:themeColor="text1"/>
        </w:rPr>
        <w:t xml:space="preserve"> supportive of the inclusion of </w:t>
      </w:r>
      <w:r w:rsidR="00D064D8">
        <w:rPr>
          <w:rFonts w:cstheme="minorHAnsi"/>
          <w:iCs/>
          <w:color w:val="000000" w:themeColor="text1"/>
        </w:rPr>
        <w:t xml:space="preserve">a </w:t>
      </w:r>
      <w:r w:rsidR="001E25FB" w:rsidRPr="008577E6">
        <w:rPr>
          <w:rFonts w:cstheme="minorHAnsi"/>
          <w:iCs/>
          <w:color w:val="000000" w:themeColor="text1"/>
        </w:rPr>
        <w:t>retreatment criteri</w:t>
      </w:r>
      <w:r w:rsidR="00D064D8">
        <w:rPr>
          <w:rFonts w:cstheme="minorHAnsi"/>
          <w:iCs/>
          <w:color w:val="000000" w:themeColor="text1"/>
        </w:rPr>
        <w:t>on</w:t>
      </w:r>
      <w:r w:rsidR="001E25FB" w:rsidRPr="008577E6">
        <w:rPr>
          <w:rFonts w:cstheme="minorHAnsi"/>
          <w:iCs/>
          <w:color w:val="000000" w:themeColor="text1"/>
        </w:rPr>
        <w:t>.</w:t>
      </w:r>
      <w:r w:rsidR="001E25FB">
        <w:rPr>
          <w:rFonts w:cstheme="minorHAnsi"/>
          <w:iCs/>
          <w:color w:val="000000" w:themeColor="text1"/>
        </w:rPr>
        <w:t xml:space="preserve"> </w:t>
      </w:r>
    </w:p>
    <w:p w14:paraId="6C01BABE" w14:textId="20016F22" w:rsidR="002F5753" w:rsidRPr="006864FA" w:rsidRDefault="00ED4A7B" w:rsidP="006864FA">
      <w:pPr>
        <w:pStyle w:val="3-BodyText"/>
        <w:rPr>
          <w:iCs/>
        </w:rPr>
      </w:pPr>
      <w:r w:rsidRPr="006864FA">
        <w:rPr>
          <w:iCs/>
        </w:rPr>
        <w:t xml:space="preserve">The requested listing </w:t>
      </w:r>
      <w:r w:rsidR="00683952" w:rsidRPr="006864FA">
        <w:rPr>
          <w:iCs/>
        </w:rPr>
        <w:t xml:space="preserve">did </w:t>
      </w:r>
      <w:r w:rsidRPr="006864FA">
        <w:rPr>
          <w:iCs/>
        </w:rPr>
        <w:t xml:space="preserve">not include any stopping or continuation criteria. The key teprotumumab trials had stopping criteria based on adverse events (AEs), lack of efficacy, non-compliance, loss to follow-up, and pregnancy. </w:t>
      </w:r>
      <w:r w:rsidR="00971BAD" w:rsidRPr="00971BAD">
        <w:t xml:space="preserve">The DUSC considered that </w:t>
      </w:r>
      <w:r w:rsidR="0074372F">
        <w:t xml:space="preserve">while </w:t>
      </w:r>
      <w:r w:rsidR="00971BAD" w:rsidRPr="00971BAD">
        <w:t>it was appropriate for the continuing treatment phase to</w:t>
      </w:r>
      <w:r w:rsidR="000C3C4D">
        <w:t xml:space="preserve"> not</w:t>
      </w:r>
      <w:r w:rsidR="00971BAD" w:rsidRPr="00971BAD">
        <w:t xml:space="preserve"> include a </w:t>
      </w:r>
      <w:r w:rsidR="007E0FE8" w:rsidRPr="00971BAD">
        <w:t>response criterion</w:t>
      </w:r>
      <w:r w:rsidR="00971BAD" w:rsidRPr="00971BAD">
        <w:t>, a stopping rule should be considered.</w:t>
      </w:r>
      <w:r w:rsidR="000B5518">
        <w:t xml:space="preserve"> The </w:t>
      </w:r>
      <w:r w:rsidR="000B5518" w:rsidRPr="000B5518">
        <w:t xml:space="preserve">DUSC </w:t>
      </w:r>
      <w:r w:rsidR="002F5753">
        <w:t xml:space="preserve">also </w:t>
      </w:r>
      <w:r w:rsidR="000B5518" w:rsidRPr="000B5518">
        <w:t xml:space="preserve">considered that continuing scripts should be prescribed by </w:t>
      </w:r>
      <w:r w:rsidR="000B5518">
        <w:t xml:space="preserve">a </w:t>
      </w:r>
      <w:r w:rsidR="000B5518" w:rsidRPr="000B5518">
        <w:t>medical practitioner in consultation with a specialist physician experienced in the management of thyroid eye disease to improve access and logistics for patients, particularly in rural and remote patients.</w:t>
      </w:r>
    </w:p>
    <w:p w14:paraId="24AB8AEC" w14:textId="3C4F774F" w:rsidR="00DF2C7D" w:rsidRPr="00DF2C7D" w:rsidRDefault="00DF2C7D" w:rsidP="00DF2C7D">
      <w:pPr>
        <w:pStyle w:val="3-BodyText"/>
        <w:rPr>
          <w:iCs/>
        </w:rPr>
      </w:pPr>
      <w:r w:rsidRPr="00DF2C7D">
        <w:rPr>
          <w:iCs/>
        </w:rPr>
        <w:t xml:space="preserve">The submission requested a Section 100 listing, with Authority Required (Written) for the initial restriction and Authority Required (streamlined) for the continuing restriction. The </w:t>
      </w:r>
      <w:r>
        <w:rPr>
          <w:iCs/>
        </w:rPr>
        <w:t>DUSC considered that</w:t>
      </w:r>
      <w:r w:rsidRPr="00DF2C7D">
        <w:rPr>
          <w:iCs/>
        </w:rPr>
        <w:t xml:space="preserve"> an Authority Required (telephone/online) immediate assessment (no human operator) </w:t>
      </w:r>
      <w:r w:rsidR="007F4F25">
        <w:rPr>
          <w:iCs/>
        </w:rPr>
        <w:t>was</w:t>
      </w:r>
      <w:r w:rsidRPr="00DF2C7D">
        <w:rPr>
          <w:iCs/>
        </w:rPr>
        <w:t xml:space="preserve"> more suitable for the initial restriction. </w:t>
      </w:r>
    </w:p>
    <w:p w14:paraId="7ECC4CB2" w14:textId="2E1672E7" w:rsidR="00DB486B" w:rsidRDefault="00A90865" w:rsidP="00ED4A7B">
      <w:pPr>
        <w:pStyle w:val="3-BodyText"/>
        <w:rPr>
          <w:iCs/>
        </w:rPr>
      </w:pPr>
      <w:r>
        <w:rPr>
          <w:iCs/>
        </w:rPr>
        <w:t xml:space="preserve">The </w:t>
      </w:r>
      <w:r w:rsidRPr="00A90865">
        <w:rPr>
          <w:iCs/>
        </w:rPr>
        <w:t>DUSC considered that treatment should be restricted to adults 18 years of age or older due to the mechanism of action and effects on growth and development.</w:t>
      </w:r>
    </w:p>
    <w:p w14:paraId="3F947BBC" w14:textId="0B67A1BE" w:rsidR="00814293" w:rsidRPr="005E7233" w:rsidRDefault="00814293" w:rsidP="00ED4A7B">
      <w:pPr>
        <w:pStyle w:val="3-BodyText"/>
        <w:rPr>
          <w:iCs/>
        </w:rPr>
      </w:pPr>
      <w:r>
        <w:t>The</w:t>
      </w:r>
      <w:r w:rsidRPr="005E7233">
        <w:t xml:space="preserve"> DUSC considered that due to the unknown mechanism of action of the hearing loss </w:t>
      </w:r>
      <w:r>
        <w:t xml:space="preserve">associated with teprotumumab </w:t>
      </w:r>
      <w:r w:rsidRPr="005E7233">
        <w:t xml:space="preserve">and higher rates in real world studies, it would be appropriate to include </w:t>
      </w:r>
      <w:r w:rsidR="00301B3C">
        <w:t>a requirement in the restriction for</w:t>
      </w:r>
      <w:r w:rsidRPr="005E7233">
        <w:t xml:space="preserve"> audiology review and surveillance </w:t>
      </w:r>
      <w:r w:rsidR="00301B3C">
        <w:t>prior to</w:t>
      </w:r>
      <w:r w:rsidRPr="005E7233">
        <w:t xml:space="preserve"> and during treatment with teprotumumab.</w:t>
      </w:r>
      <w:r w:rsidR="00FC0ABE" w:rsidRPr="00FC0ABE">
        <w:t xml:space="preserve"> </w:t>
      </w:r>
      <w:r w:rsidR="00FC0ABE">
        <w:t xml:space="preserve">The pre-PBAC acknowledged that hearing impairment </w:t>
      </w:r>
      <w:r w:rsidR="006C521D">
        <w:t>wa</w:t>
      </w:r>
      <w:r w:rsidR="00FC0ABE">
        <w:t>s an important risk associated with teprotumumab</w:t>
      </w:r>
      <w:r w:rsidR="000357A9">
        <w:t xml:space="preserve"> and agreed with the proposed amendment to the restriction</w:t>
      </w:r>
      <w:r w:rsidR="00FC0ABE">
        <w:t>.</w:t>
      </w:r>
    </w:p>
    <w:p w14:paraId="7ED31EB2" w14:textId="77777777" w:rsidR="009925B1" w:rsidRPr="005E7233" w:rsidRDefault="009925B1" w:rsidP="006C7E49">
      <w:pPr>
        <w:spacing w:before="120"/>
        <w:ind w:firstLine="709"/>
        <w:rPr>
          <w:rFonts w:asciiTheme="minorHAnsi" w:hAnsiTheme="minorHAnsi"/>
          <w:i/>
        </w:rPr>
      </w:pPr>
      <w:r w:rsidRPr="005E7233">
        <w:rPr>
          <w:rFonts w:asciiTheme="minorHAnsi" w:hAnsiTheme="minorHAnsi"/>
          <w:i/>
        </w:rPr>
        <w:t>For more detail on PBAC’s view, see section 7 PBAC outcome.</w:t>
      </w:r>
    </w:p>
    <w:p w14:paraId="6D610968" w14:textId="77777777" w:rsidR="00ED4A7B" w:rsidRPr="005E7233" w:rsidDel="00195452" w:rsidRDefault="00ED4A7B" w:rsidP="00ED4A7B">
      <w:pPr>
        <w:pStyle w:val="2-SectionHeading"/>
      </w:pPr>
      <w:bookmarkStart w:id="18" w:name="_Toc187681844"/>
      <w:bookmarkStart w:id="19" w:name="_Toc187759711"/>
      <w:r w:rsidRPr="005E7233" w:rsidDel="00195452">
        <w:lastRenderedPageBreak/>
        <w:t>Population and disease</w:t>
      </w:r>
      <w:bookmarkEnd w:id="18"/>
      <w:bookmarkEnd w:id="19"/>
    </w:p>
    <w:p w14:paraId="3EB2C003" w14:textId="3DFB362D" w:rsidR="00ED4A7B" w:rsidRPr="005E7233" w:rsidRDefault="00ED4A7B" w:rsidP="00ED4A7B">
      <w:pPr>
        <w:pStyle w:val="3-BodyText"/>
      </w:pPr>
      <w:r w:rsidRPr="005E7233">
        <w:t>TED is an autoimmune inflammatory disorder that primarily affects the orbit and periorbital tissues</w:t>
      </w:r>
      <w:r w:rsidRPr="005E7233">
        <w:rPr>
          <w:rStyle w:val="FootnoteReference"/>
        </w:rPr>
        <w:footnoteReference w:id="4"/>
      </w:r>
      <w:r w:rsidRPr="005E7233">
        <w:t>. It is most commonly associated with GD but can also occur in other thyroid conditions, such as Hashimoto's thyroiditis</w:t>
      </w:r>
      <w:r w:rsidRPr="005E7233">
        <w:rPr>
          <w:rStyle w:val="FootnoteReference"/>
        </w:rPr>
        <w:footnoteReference w:id="5"/>
      </w:r>
      <w:r w:rsidRPr="005E7233">
        <w:t>. TED significantly impacts patients' quality of life (Q</w:t>
      </w:r>
      <w:r w:rsidR="00E76506" w:rsidRPr="005E7233">
        <w:t>o</w:t>
      </w:r>
      <w:r w:rsidRPr="005E7233">
        <w:t>L) due to its ocular manifestations, which can range from mild discomfort to vision-threatening complications</w:t>
      </w:r>
      <w:r w:rsidRPr="005E7233">
        <w:rPr>
          <w:rStyle w:val="FootnoteReference"/>
        </w:rPr>
        <w:footnoteReference w:id="6"/>
      </w:r>
      <w:r w:rsidRPr="005E7233">
        <w:t>.</w:t>
      </w:r>
      <w:r w:rsidRPr="005E7233" w:rsidDel="00195452">
        <w:t xml:space="preserve"> </w:t>
      </w:r>
    </w:p>
    <w:p w14:paraId="6A7CF5D9" w14:textId="77777777" w:rsidR="00ED4A7B" w:rsidRPr="005E7233" w:rsidRDefault="00ED4A7B" w:rsidP="00ED4A7B">
      <w:pPr>
        <w:pStyle w:val="3-BodyText"/>
      </w:pPr>
      <w:r w:rsidRPr="005E7233">
        <w:t>Clinically, TED presents with a wide spectrum of signs and symptoms. The most common is eyelid retraction. Proptosis, or forward protrusion of the eyeball, periorbital oedema and conjunctival redness are frequently observed due to inflammation of the orbital tissues. Patients often report double vision (diplopia), which arises from the involvement of the extraocular muscles. Severe cases may lead to optic neuropathy, where compression of the optic nerve results in progressive vision loss. Exposure keratopathy, caused by incomplete eyelid closure, can further exacerbate ocular morbidity</w:t>
      </w:r>
      <w:r w:rsidRPr="005E7233">
        <w:rPr>
          <w:vertAlign w:val="superscript"/>
        </w:rPr>
        <w:t>2</w:t>
      </w:r>
      <w:r w:rsidRPr="005E7233">
        <w:t>.</w:t>
      </w:r>
    </w:p>
    <w:p w14:paraId="56F07FF7" w14:textId="11FACC2F" w:rsidR="00ED4A7B" w:rsidRPr="005E7233" w:rsidRDefault="00ED4A7B" w:rsidP="00ED4A7B">
      <w:pPr>
        <w:pStyle w:val="3-BodyText"/>
      </w:pPr>
      <w:r w:rsidRPr="005E7233">
        <w:t>Assessment of TED involves evaluating disease activity and severity. The CAS (</w:t>
      </w:r>
      <w:r w:rsidRPr="005E7233">
        <w:fldChar w:fldCharType="begin"/>
      </w:r>
      <w:r w:rsidRPr="005E7233">
        <w:instrText xml:space="preserve"> REF _Ref185330429 \h </w:instrText>
      </w:r>
      <w:r w:rsidRPr="005E7233">
        <w:fldChar w:fldCharType="separate"/>
      </w:r>
      <w:r w:rsidR="0012101B" w:rsidRPr="005E7233">
        <w:t xml:space="preserve">Table </w:t>
      </w:r>
      <w:r w:rsidR="0012101B">
        <w:rPr>
          <w:noProof/>
        </w:rPr>
        <w:t>2</w:t>
      </w:r>
      <w:r w:rsidRPr="005E7233">
        <w:fldChar w:fldCharType="end"/>
      </w:r>
      <w:r w:rsidRPr="005E7233">
        <w:t>) is commonly used to distinguish between the active (inflammatory) and inactive (fibrotic) phases of the disease. CAS evaluates signs of inflammation, such as pain, redness, and swelling</w:t>
      </w:r>
      <w:bookmarkStart w:id="20" w:name="_Ref187678931"/>
      <w:r w:rsidRPr="005E7233">
        <w:rPr>
          <w:rStyle w:val="FootnoteReference"/>
        </w:rPr>
        <w:footnoteReference w:id="7"/>
      </w:r>
      <w:bookmarkEnd w:id="20"/>
      <w:r w:rsidRPr="005E7233">
        <w:t>. Each positive symptom contributes 1 point with a CAS of ≥ 3 indicating active TED.</w:t>
      </w:r>
    </w:p>
    <w:p w14:paraId="636A036A" w14:textId="64A40C38" w:rsidR="00ED4A7B" w:rsidRPr="005E7233" w:rsidRDefault="00ED4A7B" w:rsidP="00ED4A7B">
      <w:pPr>
        <w:pStyle w:val="Caption"/>
      </w:pPr>
      <w:bookmarkStart w:id="21" w:name="_Ref185330429"/>
      <w:r w:rsidRPr="005E7233">
        <w:t xml:space="preserve">Table </w:t>
      </w:r>
      <w:r w:rsidR="00FB1BE3">
        <w:fldChar w:fldCharType="begin"/>
      </w:r>
      <w:r w:rsidR="00FB1BE3">
        <w:instrText xml:space="preserve"> SEQ Table \* ARABIC </w:instrText>
      </w:r>
      <w:r w:rsidR="00FB1BE3">
        <w:fldChar w:fldCharType="separate"/>
      </w:r>
      <w:r w:rsidR="0012101B">
        <w:rPr>
          <w:noProof/>
        </w:rPr>
        <w:t>2</w:t>
      </w:r>
      <w:r w:rsidR="00FB1BE3">
        <w:rPr>
          <w:noProof/>
        </w:rPr>
        <w:fldChar w:fldCharType="end"/>
      </w:r>
      <w:bookmarkEnd w:id="21"/>
      <w:r w:rsidRPr="005E7233">
        <w:t>: Assessment of thyroid eye disease by the clinical activity score (CAS)</w:t>
      </w:r>
    </w:p>
    <w:tbl>
      <w:tblPr>
        <w:tblStyle w:val="Submissionstandard"/>
        <w:tblW w:w="5000" w:type="pct"/>
        <w:tblLook w:val="04A0" w:firstRow="1" w:lastRow="0" w:firstColumn="1" w:lastColumn="0" w:noHBand="0" w:noVBand="1"/>
      </w:tblPr>
      <w:tblGrid>
        <w:gridCol w:w="822"/>
        <w:gridCol w:w="8195"/>
      </w:tblGrid>
      <w:tr w:rsidR="00ED4A7B" w:rsidRPr="005E7233" w14:paraId="655B363B" w14:textId="77777777" w:rsidTr="009C5765">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vAlign w:val="center"/>
          </w:tcPr>
          <w:p w14:paraId="7511EDCB" w14:textId="77777777" w:rsidR="00ED4A7B" w:rsidRPr="005E7233" w:rsidRDefault="00ED4A7B" w:rsidP="009C5765">
            <w:pPr>
              <w:keepNext/>
              <w:rPr>
                <w:rFonts w:ascii="Arial Narrow" w:hAnsi="Arial Narrow" w:cstheme="minorHAnsi"/>
                <w:b w:val="0"/>
                <w:bCs/>
                <w:sz w:val="20"/>
                <w:lang w:val="en-AU"/>
              </w:rPr>
            </w:pPr>
          </w:p>
        </w:tc>
        <w:tc>
          <w:tcPr>
            <w:tcW w:w="0" w:type="auto"/>
            <w:shd w:val="clear" w:color="auto" w:fill="auto"/>
            <w:vAlign w:val="center"/>
          </w:tcPr>
          <w:p w14:paraId="4BDC815A" w14:textId="77777777" w:rsidR="00ED4A7B" w:rsidRPr="005E7233" w:rsidRDefault="00ED4A7B" w:rsidP="009C5765">
            <w:pPr>
              <w:keepNext/>
              <w:rPr>
                <w:rFonts w:ascii="Arial Narrow" w:hAnsi="Arial Narrow" w:cstheme="minorHAnsi"/>
                <w:sz w:val="20"/>
                <w:lang w:val="en-AU"/>
              </w:rPr>
            </w:pPr>
            <w:r w:rsidRPr="005E7233">
              <w:rPr>
                <w:rFonts w:ascii="Arial Narrow" w:hAnsi="Arial Narrow" w:cstheme="minorHAnsi"/>
                <w:sz w:val="20"/>
                <w:lang w:val="en-AU"/>
              </w:rPr>
              <w:t>Assessment of activity</w:t>
            </w:r>
          </w:p>
        </w:tc>
      </w:tr>
      <w:tr w:rsidR="00ED4A7B" w:rsidRPr="005E7233" w14:paraId="6DDE8CA6" w14:textId="77777777" w:rsidTr="009C5765">
        <w:tc>
          <w:tcPr>
            <w:tcW w:w="0" w:type="auto"/>
            <w:shd w:val="clear" w:color="auto" w:fill="auto"/>
            <w:vAlign w:val="center"/>
          </w:tcPr>
          <w:p w14:paraId="773C5BC8"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 xml:space="preserve">1. </w:t>
            </w:r>
          </w:p>
        </w:tc>
        <w:tc>
          <w:tcPr>
            <w:tcW w:w="0" w:type="auto"/>
            <w:shd w:val="clear" w:color="auto" w:fill="auto"/>
            <w:vAlign w:val="center"/>
          </w:tcPr>
          <w:p w14:paraId="619A0C81"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Spontaneous retrobulbar pain</w:t>
            </w:r>
          </w:p>
        </w:tc>
      </w:tr>
      <w:tr w:rsidR="00ED4A7B" w:rsidRPr="005E7233" w14:paraId="6FFEB663" w14:textId="77777777" w:rsidTr="009C5765">
        <w:tc>
          <w:tcPr>
            <w:tcW w:w="0" w:type="auto"/>
            <w:shd w:val="clear" w:color="auto" w:fill="auto"/>
            <w:vAlign w:val="center"/>
          </w:tcPr>
          <w:p w14:paraId="0DC6A9B4"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2.</w:t>
            </w:r>
          </w:p>
        </w:tc>
        <w:tc>
          <w:tcPr>
            <w:tcW w:w="0" w:type="auto"/>
            <w:shd w:val="clear" w:color="auto" w:fill="auto"/>
            <w:vAlign w:val="center"/>
          </w:tcPr>
          <w:p w14:paraId="1969195D"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Pain on attempted upward or downward gaze</w:t>
            </w:r>
          </w:p>
        </w:tc>
      </w:tr>
      <w:tr w:rsidR="00ED4A7B" w:rsidRPr="005E7233" w14:paraId="36E337B6" w14:textId="77777777" w:rsidTr="009C5765">
        <w:tc>
          <w:tcPr>
            <w:tcW w:w="0" w:type="auto"/>
            <w:shd w:val="clear" w:color="auto" w:fill="auto"/>
            <w:vAlign w:val="center"/>
          </w:tcPr>
          <w:p w14:paraId="19A7D73F"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3.</w:t>
            </w:r>
          </w:p>
        </w:tc>
        <w:tc>
          <w:tcPr>
            <w:tcW w:w="0" w:type="auto"/>
            <w:shd w:val="clear" w:color="auto" w:fill="auto"/>
            <w:vAlign w:val="center"/>
          </w:tcPr>
          <w:p w14:paraId="56F95949"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Redness of eyelids</w:t>
            </w:r>
          </w:p>
        </w:tc>
      </w:tr>
      <w:tr w:rsidR="00ED4A7B" w:rsidRPr="005E7233" w14:paraId="31D28A4C" w14:textId="77777777" w:rsidTr="009C5765">
        <w:tc>
          <w:tcPr>
            <w:tcW w:w="0" w:type="auto"/>
            <w:shd w:val="clear" w:color="auto" w:fill="auto"/>
            <w:vAlign w:val="center"/>
          </w:tcPr>
          <w:p w14:paraId="45DD1410"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4.</w:t>
            </w:r>
          </w:p>
        </w:tc>
        <w:tc>
          <w:tcPr>
            <w:tcW w:w="0" w:type="auto"/>
            <w:shd w:val="clear" w:color="auto" w:fill="auto"/>
            <w:vAlign w:val="center"/>
          </w:tcPr>
          <w:p w14:paraId="4D578693"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 xml:space="preserve">Redness of conjunctiva </w:t>
            </w:r>
          </w:p>
        </w:tc>
      </w:tr>
      <w:tr w:rsidR="00ED4A7B" w:rsidRPr="005E7233" w14:paraId="6D9FCA80" w14:textId="77777777" w:rsidTr="009C5765">
        <w:tc>
          <w:tcPr>
            <w:tcW w:w="0" w:type="auto"/>
            <w:shd w:val="clear" w:color="auto" w:fill="auto"/>
            <w:vAlign w:val="center"/>
          </w:tcPr>
          <w:p w14:paraId="751057BA"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5.</w:t>
            </w:r>
          </w:p>
        </w:tc>
        <w:tc>
          <w:tcPr>
            <w:tcW w:w="0" w:type="auto"/>
            <w:shd w:val="clear" w:color="auto" w:fill="auto"/>
            <w:vAlign w:val="center"/>
          </w:tcPr>
          <w:p w14:paraId="0F027DC6"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Swelling of caruncle or plica</w:t>
            </w:r>
          </w:p>
        </w:tc>
      </w:tr>
      <w:tr w:rsidR="00ED4A7B" w:rsidRPr="005E7233" w14:paraId="38F3EB0D" w14:textId="77777777" w:rsidTr="009C5765">
        <w:tc>
          <w:tcPr>
            <w:tcW w:w="0" w:type="auto"/>
            <w:shd w:val="clear" w:color="auto" w:fill="auto"/>
            <w:vAlign w:val="center"/>
          </w:tcPr>
          <w:p w14:paraId="26288BD5"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6.</w:t>
            </w:r>
          </w:p>
        </w:tc>
        <w:tc>
          <w:tcPr>
            <w:tcW w:w="0" w:type="auto"/>
            <w:shd w:val="clear" w:color="auto" w:fill="auto"/>
            <w:vAlign w:val="center"/>
          </w:tcPr>
          <w:p w14:paraId="7C89439D"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Swelling of eyelids</w:t>
            </w:r>
          </w:p>
        </w:tc>
      </w:tr>
      <w:tr w:rsidR="00ED4A7B" w:rsidRPr="005E7233" w14:paraId="115DA140" w14:textId="77777777" w:rsidTr="009C5765">
        <w:tc>
          <w:tcPr>
            <w:tcW w:w="0" w:type="auto"/>
            <w:shd w:val="clear" w:color="auto" w:fill="auto"/>
            <w:vAlign w:val="center"/>
          </w:tcPr>
          <w:p w14:paraId="008D25DF"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7.</w:t>
            </w:r>
          </w:p>
        </w:tc>
        <w:tc>
          <w:tcPr>
            <w:tcW w:w="0" w:type="auto"/>
            <w:shd w:val="clear" w:color="auto" w:fill="auto"/>
            <w:vAlign w:val="center"/>
          </w:tcPr>
          <w:p w14:paraId="41F28ED0"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Swelling of conjunctiva (chemosis)</w:t>
            </w:r>
          </w:p>
        </w:tc>
      </w:tr>
    </w:tbl>
    <w:p w14:paraId="4FFFD177" w14:textId="77777777" w:rsidR="00ED4A7B" w:rsidRPr="005E7233" w:rsidRDefault="00ED4A7B" w:rsidP="00ED4A7B">
      <w:pPr>
        <w:pStyle w:val="3-BodyText"/>
        <w:numPr>
          <w:ilvl w:val="0"/>
          <w:numId w:val="0"/>
        </w:numPr>
        <w:spacing w:before="0"/>
        <w:ind w:left="720" w:hanging="720"/>
        <w:rPr>
          <w:rFonts w:ascii="Arial Narrow" w:hAnsi="Arial Narrow"/>
          <w:sz w:val="18"/>
          <w:szCs w:val="18"/>
        </w:rPr>
      </w:pPr>
      <w:r w:rsidRPr="005E7233">
        <w:rPr>
          <w:rFonts w:ascii="Arial Narrow" w:hAnsi="Arial Narrow"/>
          <w:sz w:val="18"/>
          <w:szCs w:val="18"/>
        </w:rPr>
        <w:t>Source: Table 1-2, p8 of the submission</w:t>
      </w:r>
    </w:p>
    <w:p w14:paraId="2413AB6F" w14:textId="422C6636" w:rsidR="00ED4A7B" w:rsidRPr="005E7233" w:rsidRDefault="00ED4A7B" w:rsidP="00ED4A7B">
      <w:pPr>
        <w:pStyle w:val="3-BodyText"/>
      </w:pPr>
      <w:r w:rsidRPr="005E7233">
        <w:t>The EUGOGO has established a severity scale to classify TED into mild, moderate-to-severe, and sight-threatening categories (</w:t>
      </w:r>
      <w:r w:rsidRPr="005E7233">
        <w:fldChar w:fldCharType="begin"/>
      </w:r>
      <w:r w:rsidRPr="005E7233">
        <w:instrText xml:space="preserve"> REF _Ref185330447 \h </w:instrText>
      </w:r>
      <w:r w:rsidRPr="005E7233">
        <w:fldChar w:fldCharType="separate"/>
      </w:r>
      <w:r w:rsidR="0012101B" w:rsidRPr="005E7233">
        <w:t xml:space="preserve">Table </w:t>
      </w:r>
      <w:r w:rsidR="0012101B">
        <w:rPr>
          <w:noProof/>
        </w:rPr>
        <w:t>3</w:t>
      </w:r>
      <w:r w:rsidRPr="005E7233">
        <w:fldChar w:fldCharType="end"/>
      </w:r>
      <w:r w:rsidRPr="005E7233">
        <w:t>). This classification is based on clinical features such as proptosis, diplopia, and corneal exposure</w:t>
      </w:r>
      <w:r w:rsidRPr="005E7233">
        <w:rPr>
          <w:rStyle w:val="FootnoteReference"/>
        </w:rPr>
        <w:footnoteReference w:id="8"/>
      </w:r>
      <w:r w:rsidRPr="005E7233">
        <w:t>.</w:t>
      </w:r>
    </w:p>
    <w:p w14:paraId="21A475B4" w14:textId="2E20E2AE" w:rsidR="00ED4A7B" w:rsidRPr="005E7233" w:rsidRDefault="00ED4A7B" w:rsidP="00ED4A7B">
      <w:pPr>
        <w:pStyle w:val="Caption"/>
      </w:pPr>
      <w:bookmarkStart w:id="22" w:name="_Ref185330447"/>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3</w:t>
      </w:r>
      <w:r w:rsidR="00FB1BE3">
        <w:rPr>
          <w:noProof/>
        </w:rPr>
        <w:fldChar w:fldCharType="end"/>
      </w:r>
      <w:bookmarkEnd w:id="22"/>
      <w:r w:rsidRPr="005E7233">
        <w:t>: Classification of severity of TED (as reported in the 2021 EUGOGO guidelines)</w:t>
      </w:r>
    </w:p>
    <w:tbl>
      <w:tblPr>
        <w:tblStyle w:val="Submissionstandard"/>
        <w:tblW w:w="5000" w:type="pct"/>
        <w:tblLook w:val="04A0" w:firstRow="1" w:lastRow="0" w:firstColumn="1" w:lastColumn="0" w:noHBand="0" w:noVBand="1"/>
      </w:tblPr>
      <w:tblGrid>
        <w:gridCol w:w="1730"/>
        <w:gridCol w:w="7287"/>
      </w:tblGrid>
      <w:tr w:rsidR="00ED4A7B" w:rsidRPr="005E7233" w14:paraId="022E6E0B" w14:textId="77777777" w:rsidTr="009C5765">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auto"/>
          </w:tcPr>
          <w:p w14:paraId="3D442C98" w14:textId="77777777" w:rsidR="00ED4A7B" w:rsidRPr="005E7233" w:rsidRDefault="00ED4A7B" w:rsidP="009C5765">
            <w:pPr>
              <w:spacing w:after="40"/>
              <w:rPr>
                <w:rFonts w:ascii="Arial Narrow" w:hAnsi="Arial Narrow" w:cstheme="minorHAnsi"/>
                <w:sz w:val="20"/>
                <w:szCs w:val="20"/>
                <w:lang w:val="en-AU"/>
              </w:rPr>
            </w:pPr>
            <w:r w:rsidRPr="005E7233">
              <w:rPr>
                <w:rFonts w:ascii="Arial Narrow" w:hAnsi="Arial Narrow" w:cstheme="minorHAnsi"/>
                <w:sz w:val="20"/>
                <w:szCs w:val="20"/>
                <w:lang w:val="en-AU"/>
              </w:rPr>
              <w:t>Classification</w:t>
            </w:r>
          </w:p>
        </w:tc>
        <w:tc>
          <w:tcPr>
            <w:tcW w:w="0" w:type="auto"/>
            <w:shd w:val="clear" w:color="auto" w:fill="auto"/>
          </w:tcPr>
          <w:p w14:paraId="7B6F9184" w14:textId="77777777" w:rsidR="00ED4A7B" w:rsidRPr="005E7233" w:rsidRDefault="00ED4A7B" w:rsidP="009C5765">
            <w:pPr>
              <w:spacing w:after="40"/>
              <w:rPr>
                <w:rFonts w:ascii="Arial Narrow" w:hAnsi="Arial Narrow" w:cstheme="minorHAnsi"/>
                <w:sz w:val="20"/>
                <w:szCs w:val="20"/>
                <w:lang w:val="en-AU"/>
              </w:rPr>
            </w:pPr>
            <w:r w:rsidRPr="005E7233">
              <w:rPr>
                <w:rFonts w:ascii="Arial Narrow" w:hAnsi="Arial Narrow" w:cstheme="minorHAnsi"/>
                <w:sz w:val="20"/>
                <w:szCs w:val="20"/>
                <w:lang w:val="en-AU"/>
              </w:rPr>
              <w:t>Features</w:t>
            </w:r>
          </w:p>
        </w:tc>
      </w:tr>
      <w:tr w:rsidR="00ED4A7B" w:rsidRPr="005E7233" w14:paraId="71F83C45" w14:textId="77777777" w:rsidTr="009C5765">
        <w:trPr>
          <w:cantSplit/>
        </w:trPr>
        <w:tc>
          <w:tcPr>
            <w:tcW w:w="0" w:type="auto"/>
            <w:shd w:val="clear" w:color="auto" w:fill="auto"/>
          </w:tcPr>
          <w:p w14:paraId="4A403D7D"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sz w:val="20"/>
                <w:szCs w:val="20"/>
                <w:lang w:val="en-AU"/>
              </w:rPr>
              <w:t>Mild</w:t>
            </w:r>
          </w:p>
        </w:tc>
        <w:tc>
          <w:tcPr>
            <w:tcW w:w="0" w:type="auto"/>
            <w:shd w:val="clear" w:color="auto" w:fill="auto"/>
          </w:tcPr>
          <w:p w14:paraId="1D83C5AC" w14:textId="77777777" w:rsidR="00ED4A7B" w:rsidRPr="005E7233" w:rsidRDefault="00ED4A7B" w:rsidP="009C5765">
            <w:pPr>
              <w:pStyle w:val="TableText0"/>
              <w:rPr>
                <w:rFonts w:cstheme="minorHAnsi"/>
                <w:bCs w:val="0"/>
                <w:sz w:val="20"/>
                <w:szCs w:val="20"/>
                <w:lang w:val="en-AU"/>
              </w:rPr>
            </w:pPr>
            <w:r w:rsidRPr="005E7233">
              <w:rPr>
                <w:rFonts w:cstheme="minorHAnsi"/>
                <w:sz w:val="20"/>
                <w:szCs w:val="20"/>
                <w:lang w:val="en-AU"/>
              </w:rPr>
              <w:t>Patients whose features of GO have only a minor impact on daily life that have insufficient impact to justify immunomodulation or surgical treatment. They usually have one or more of the following:</w:t>
            </w:r>
          </w:p>
          <w:p w14:paraId="6343191F"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minor lid retraction (&lt;2 mm)</w:t>
            </w:r>
          </w:p>
          <w:p w14:paraId="20279899"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mild soft-tissue involvement</w:t>
            </w:r>
          </w:p>
          <w:p w14:paraId="2A15F35C"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exophthalmos &lt;3 mm above normal for race and gender</w:t>
            </w:r>
          </w:p>
          <w:p w14:paraId="2725D8BB"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bCs/>
                <w:iCs/>
                <w:sz w:val="20"/>
                <w:szCs w:val="20"/>
                <w:lang w:val="en-AU"/>
              </w:rPr>
              <w:t>• no or intermittent diplopia and corneal exposure responsive to lubricants</w:t>
            </w:r>
          </w:p>
        </w:tc>
      </w:tr>
      <w:tr w:rsidR="00ED4A7B" w:rsidRPr="005E7233" w14:paraId="1134C0F2" w14:textId="77777777" w:rsidTr="009C5765">
        <w:trPr>
          <w:cantSplit/>
        </w:trPr>
        <w:tc>
          <w:tcPr>
            <w:tcW w:w="0" w:type="auto"/>
            <w:shd w:val="clear" w:color="auto" w:fill="auto"/>
          </w:tcPr>
          <w:p w14:paraId="5B2D2810"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sz w:val="20"/>
                <w:szCs w:val="20"/>
                <w:lang w:val="en-AU"/>
              </w:rPr>
              <w:t>Moderate-to-severe</w:t>
            </w:r>
          </w:p>
        </w:tc>
        <w:tc>
          <w:tcPr>
            <w:tcW w:w="0" w:type="auto"/>
            <w:shd w:val="clear" w:color="auto" w:fill="auto"/>
          </w:tcPr>
          <w:p w14:paraId="6E66D789" w14:textId="77777777" w:rsidR="00ED4A7B" w:rsidRPr="005E7233" w:rsidRDefault="00ED4A7B" w:rsidP="009C5765">
            <w:pPr>
              <w:pStyle w:val="TableText0"/>
              <w:rPr>
                <w:rFonts w:cstheme="minorHAnsi"/>
                <w:bCs w:val="0"/>
                <w:sz w:val="20"/>
                <w:szCs w:val="20"/>
                <w:lang w:val="en-AU"/>
              </w:rPr>
            </w:pPr>
            <w:r w:rsidRPr="005E7233">
              <w:rPr>
                <w:rFonts w:cstheme="minorHAnsi"/>
                <w:sz w:val="20"/>
                <w:szCs w:val="20"/>
                <w:lang w:val="en-AU"/>
              </w:rPr>
              <w:t>Patients without sight-threatening GO whose eye disease has sufficient impact on daily life to justify the risks of immunosuppression (if active) or surgical intervention (if inactive). They usually have two or more of the following:</w:t>
            </w:r>
          </w:p>
          <w:p w14:paraId="7A6787EB"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lid retraction ≥ 2 mm</w:t>
            </w:r>
          </w:p>
          <w:p w14:paraId="70D64AF6"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moderate or severe soft-tissue involvement</w:t>
            </w:r>
          </w:p>
          <w:p w14:paraId="6806C4AA"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exophthalmos ≥ 3 mm above normal for race and gender</w:t>
            </w:r>
          </w:p>
          <w:p w14:paraId="66B38CFD"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bCs/>
                <w:iCs/>
                <w:sz w:val="20"/>
                <w:szCs w:val="20"/>
                <w:lang w:val="en-AU"/>
              </w:rPr>
              <w:t>• inconstant or constant diplopia</w:t>
            </w:r>
          </w:p>
        </w:tc>
      </w:tr>
      <w:tr w:rsidR="00ED4A7B" w:rsidRPr="005E7233" w14:paraId="2951242D" w14:textId="77777777" w:rsidTr="009C5765">
        <w:trPr>
          <w:cantSplit/>
        </w:trPr>
        <w:tc>
          <w:tcPr>
            <w:tcW w:w="0" w:type="auto"/>
            <w:shd w:val="clear" w:color="auto" w:fill="auto"/>
          </w:tcPr>
          <w:p w14:paraId="2FDAC122"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sz w:val="20"/>
                <w:szCs w:val="20"/>
                <w:lang w:val="en-AU"/>
              </w:rPr>
              <w:t>Sight-threatening (very severe)</w:t>
            </w:r>
          </w:p>
        </w:tc>
        <w:tc>
          <w:tcPr>
            <w:tcW w:w="0" w:type="auto"/>
            <w:shd w:val="clear" w:color="auto" w:fill="auto"/>
          </w:tcPr>
          <w:p w14:paraId="762FF82F"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bCs/>
                <w:sz w:val="20"/>
                <w:szCs w:val="20"/>
                <w:lang w:val="en-AU"/>
              </w:rPr>
              <w:t>Patients with dysthyroid optic neuropathy (DON) and/or corneal breakdown</w:t>
            </w:r>
          </w:p>
        </w:tc>
      </w:tr>
    </w:tbl>
    <w:p w14:paraId="28E5AAFD" w14:textId="77777777" w:rsidR="00ED4A7B" w:rsidRPr="005E7233" w:rsidRDefault="00ED4A7B" w:rsidP="00ED4A7B">
      <w:pPr>
        <w:rPr>
          <w:rFonts w:ascii="Arial Narrow" w:hAnsi="Arial Narrow"/>
          <w:sz w:val="18"/>
          <w:szCs w:val="18"/>
        </w:rPr>
      </w:pPr>
      <w:r w:rsidRPr="005E7233">
        <w:rPr>
          <w:rFonts w:ascii="Arial Narrow" w:hAnsi="Arial Narrow"/>
          <w:sz w:val="18"/>
          <w:szCs w:val="18"/>
        </w:rPr>
        <w:t>Source: Table 1-3, pp8-9 of the submission.</w:t>
      </w:r>
    </w:p>
    <w:p w14:paraId="0DDD812F" w14:textId="77777777" w:rsidR="00ED4A7B" w:rsidRPr="005E7233" w:rsidRDefault="00ED4A7B" w:rsidP="00ED4A7B">
      <w:pPr>
        <w:rPr>
          <w:rFonts w:ascii="Arial Narrow" w:hAnsi="Arial Narrow"/>
          <w:sz w:val="18"/>
          <w:szCs w:val="18"/>
        </w:rPr>
      </w:pPr>
      <w:r w:rsidRPr="005E7233">
        <w:rPr>
          <w:rFonts w:ascii="Arial Narrow" w:hAnsi="Arial Narrow"/>
          <w:sz w:val="18"/>
          <w:szCs w:val="18"/>
        </w:rPr>
        <w:t>EUGOGO = European group on Graves’ orbitopathy; GO = Graves’ orbitopathy; TED = thyroid eye disease.</w:t>
      </w:r>
    </w:p>
    <w:p w14:paraId="05B19051" w14:textId="39E089C8" w:rsidR="00ED4A7B" w:rsidRPr="005E7233" w:rsidDel="00195452" w:rsidRDefault="00ED4A7B" w:rsidP="00ED4A7B">
      <w:pPr>
        <w:pStyle w:val="3-BodyText"/>
      </w:pPr>
      <w:r w:rsidRPr="005E7233">
        <w:t>The two main outcomes measured in the key teprotumumab trials, proptosis (also called exophthalmos) and diplopia, are important features in the EUGOGO guidelines</w:t>
      </w:r>
      <w:r w:rsidR="00D90587" w:rsidRPr="005E7233">
        <w:t>,</w:t>
      </w:r>
      <w:r w:rsidRPr="005E7233">
        <w:t xml:space="preserve"> </w:t>
      </w:r>
      <w:r w:rsidR="00D90587" w:rsidRPr="005E7233">
        <w:t>w</w:t>
      </w:r>
      <w:r w:rsidRPr="005E7233">
        <w:t>ith proptosis of ≥ 3mm above normal for a patient</w:t>
      </w:r>
      <w:r w:rsidR="00D90587" w:rsidRPr="005E7233">
        <w:t>’</w:t>
      </w:r>
      <w:r w:rsidRPr="005E7233">
        <w:t xml:space="preserve">s race and inconstant or constant diplopia being indications of MS TED. </w:t>
      </w:r>
    </w:p>
    <w:p w14:paraId="07FA154C" w14:textId="652B2BD8" w:rsidR="00ED4A7B" w:rsidRPr="005E7233" w:rsidRDefault="00ED4A7B" w:rsidP="00ED4A7B">
      <w:pPr>
        <w:pStyle w:val="3-BodyText"/>
      </w:pPr>
      <w:r w:rsidRPr="005E7233">
        <w:t>The natural history of TED typically follows a biphasic course. The active phase, lasting 1 to 3 years, is characterised by progressive inflammation and tissue remodelling</w:t>
      </w:r>
      <w:r w:rsidRPr="005E7233">
        <w:rPr>
          <w:rStyle w:val="FootnoteReference"/>
        </w:rPr>
        <w:footnoteReference w:id="9"/>
      </w:r>
      <w:r w:rsidRPr="005E7233">
        <w:t>. Early intervention during this phase is crucial to prevent irreversible damage. The disease eventually stabili</w:t>
      </w:r>
      <w:r w:rsidR="00847267" w:rsidRPr="005E7233">
        <w:t>s</w:t>
      </w:r>
      <w:r w:rsidRPr="005E7233">
        <w:t>es, transitioning into the inactive phase, where inflammation subsides but residual fibrosis may result in persistent symptoms, such as restricted eye movements or cosmetic disfigurement</w:t>
      </w:r>
      <w:r w:rsidRPr="005E7233">
        <w:rPr>
          <w:vertAlign w:val="superscript"/>
        </w:rPr>
        <w:fldChar w:fldCharType="begin"/>
      </w:r>
      <w:r w:rsidRPr="005E7233">
        <w:rPr>
          <w:vertAlign w:val="superscript"/>
        </w:rPr>
        <w:instrText xml:space="preserve"> NOTEREF _Ref187678931 \h  \* MERGEFORMAT </w:instrText>
      </w:r>
      <w:r w:rsidRPr="005E7233">
        <w:rPr>
          <w:vertAlign w:val="superscript"/>
        </w:rPr>
      </w:r>
      <w:r w:rsidRPr="005E7233">
        <w:rPr>
          <w:vertAlign w:val="superscript"/>
        </w:rPr>
        <w:fldChar w:fldCharType="separate"/>
      </w:r>
      <w:r w:rsidR="0012101B">
        <w:rPr>
          <w:vertAlign w:val="superscript"/>
        </w:rPr>
        <w:t>6</w:t>
      </w:r>
      <w:r w:rsidRPr="005E7233">
        <w:rPr>
          <w:vertAlign w:val="superscript"/>
        </w:rPr>
        <w:fldChar w:fldCharType="end"/>
      </w:r>
      <w:r w:rsidRPr="005E7233">
        <w:t>.</w:t>
      </w:r>
    </w:p>
    <w:p w14:paraId="200FBBFC" w14:textId="201C4028" w:rsidR="00ED4A7B" w:rsidRPr="005E7233" w:rsidRDefault="00ED4A7B" w:rsidP="00ED4A7B">
      <w:pPr>
        <w:pStyle w:val="3-BodyText"/>
      </w:pPr>
      <w:r w:rsidRPr="005E7233">
        <w:t>The submission has requested a line agnostic listing for teprotumumab for the treatment of active MS TED</w:t>
      </w:r>
      <w:r w:rsidRPr="005E7233">
        <w:rPr>
          <w:rStyle w:val="FootnoteReference"/>
        </w:rPr>
        <w:footnoteReference w:id="10"/>
      </w:r>
      <w:r w:rsidRPr="005E7233">
        <w:t xml:space="preserve">. Currently, active MS TED is treated using IVMP with or without MMF. </w:t>
      </w:r>
      <w:r w:rsidRPr="005E7233">
        <w:rPr>
          <w:iCs/>
        </w:rPr>
        <w:t>Although the submission has placed tocilizumab in the 2L setting of the current clinical management algorithm,</w:t>
      </w:r>
      <w:r w:rsidR="00BB0898" w:rsidRPr="005E7233">
        <w:rPr>
          <w:iCs/>
        </w:rPr>
        <w:t xml:space="preserve"> the evaluation considered that</w:t>
      </w:r>
      <w:r w:rsidRPr="005E7233">
        <w:rPr>
          <w:iCs/>
        </w:rPr>
        <w:t xml:space="preserve"> it </w:t>
      </w:r>
      <w:r w:rsidR="00EE330A" w:rsidRPr="005E7233">
        <w:rPr>
          <w:iCs/>
        </w:rPr>
        <w:t>wa</w:t>
      </w:r>
      <w:r w:rsidRPr="005E7233">
        <w:rPr>
          <w:iCs/>
        </w:rPr>
        <w:t xml:space="preserve">s uncertain to what extent it </w:t>
      </w:r>
      <w:r w:rsidR="00EE330A" w:rsidRPr="005E7233">
        <w:rPr>
          <w:iCs/>
        </w:rPr>
        <w:t xml:space="preserve">was </w:t>
      </w:r>
      <w:r w:rsidRPr="005E7233">
        <w:rPr>
          <w:iCs/>
        </w:rPr>
        <w:t>used in Australia as it does not currently have a PBS listing for use in TED with access relying on special or compassionate access schemes</w:t>
      </w:r>
      <w:r w:rsidRPr="005E7233">
        <w:t xml:space="preserve">. </w:t>
      </w:r>
      <w:r w:rsidR="004A799B" w:rsidRPr="005E7233">
        <w:t xml:space="preserve">The ESC considered that rituximab may also be used </w:t>
      </w:r>
      <w:r w:rsidR="00CC567E" w:rsidRPr="005E7233">
        <w:t xml:space="preserve">in the </w:t>
      </w:r>
      <w:r w:rsidR="004A799B" w:rsidRPr="005E7233">
        <w:t>2L</w:t>
      </w:r>
      <w:r w:rsidR="00CC567E" w:rsidRPr="005E7233">
        <w:t xml:space="preserve"> setting</w:t>
      </w:r>
      <w:r w:rsidR="004A799B" w:rsidRPr="005E7233">
        <w:t>.</w:t>
      </w:r>
    </w:p>
    <w:p w14:paraId="16AB6EF1" w14:textId="76D61359" w:rsidR="00ED4A7B" w:rsidRPr="005E7233" w:rsidRDefault="00ED4A7B" w:rsidP="00ED4A7B">
      <w:pPr>
        <w:pStyle w:val="3-BodyText"/>
      </w:pPr>
      <w:r w:rsidRPr="005E7233">
        <w:t xml:space="preserve">Teprotumumab is a fully human monoclonal antibody that targets the insulin-like growth factor 1 receptor (IGF-1R), an important pathway in the pathogenesis of TED. By inhibiting IGF-1R, teprotumumab disrupts the interaction between IGF-1R and the thyroid-stimulating hormone receptor (TSHR), which drives the autoimmune and </w:t>
      </w:r>
      <w:r w:rsidRPr="005E7233">
        <w:lastRenderedPageBreak/>
        <w:t>inflammatory processes underlying TED. This mechanism helps reduce fibroblast activation, tissue inflammation, and orbital remodelling, directly addressing the underlying causes of the disease</w:t>
      </w:r>
      <w:r w:rsidRPr="005E7233">
        <w:rPr>
          <w:rStyle w:val="FootnoteReference"/>
        </w:rPr>
        <w:footnoteReference w:id="11"/>
      </w:r>
      <w:r w:rsidRPr="005E7233">
        <w:t>.</w:t>
      </w:r>
    </w:p>
    <w:p w14:paraId="7DEE79C3" w14:textId="77777777" w:rsidR="009925B1" w:rsidRPr="005E7233" w:rsidRDefault="009925B1" w:rsidP="009925B1">
      <w:pPr>
        <w:ind w:firstLine="709"/>
        <w:rPr>
          <w:rFonts w:asciiTheme="minorHAnsi" w:hAnsiTheme="minorHAnsi"/>
          <w:i/>
        </w:rPr>
      </w:pPr>
      <w:r w:rsidRPr="005E7233">
        <w:rPr>
          <w:rFonts w:asciiTheme="minorHAnsi" w:hAnsiTheme="minorHAnsi"/>
          <w:i/>
        </w:rPr>
        <w:t>For more detail on PBAC’s view, see section 7 PBAC outcome.</w:t>
      </w:r>
    </w:p>
    <w:p w14:paraId="49CBD676" w14:textId="77777777" w:rsidR="00ED4A7B" w:rsidRPr="005E7233" w:rsidRDefault="00ED4A7B" w:rsidP="00ED4A7B">
      <w:pPr>
        <w:pStyle w:val="2-SectionHeading"/>
      </w:pPr>
      <w:bookmarkStart w:id="23" w:name="_Toc187681845"/>
      <w:bookmarkStart w:id="24" w:name="_Toc187759712"/>
      <w:r w:rsidRPr="005E7233">
        <w:t>Comparator</w:t>
      </w:r>
      <w:bookmarkEnd w:id="23"/>
      <w:bookmarkEnd w:id="24"/>
    </w:p>
    <w:p w14:paraId="2BEF4E93" w14:textId="615F1BDD" w:rsidR="00ED4A7B" w:rsidRPr="005E7233" w:rsidRDefault="00ED4A7B" w:rsidP="00ED4A7B">
      <w:pPr>
        <w:pStyle w:val="3-BodyText"/>
      </w:pPr>
      <w:r w:rsidRPr="005E7233">
        <w:t xml:space="preserve">The submission nominated SoC consisting of IVMP with or without MMF as the main comparator. The main </w:t>
      </w:r>
      <w:r w:rsidR="00EE45F2" w:rsidRPr="005E7233">
        <w:t xml:space="preserve">reasons </w:t>
      </w:r>
      <w:r w:rsidRPr="005E7233">
        <w:t xml:space="preserve">provided in support of this nomination were that IVMP with or without MMF is recommended by both local and international guidelines as the </w:t>
      </w:r>
      <w:r w:rsidR="000466D8" w:rsidRPr="005E7233">
        <w:t>1L</w:t>
      </w:r>
      <w:r w:rsidRPr="005E7233">
        <w:t xml:space="preserve"> treatment for active MS TED</w:t>
      </w:r>
      <w:bookmarkStart w:id="25" w:name="_Ref187682944"/>
      <w:r w:rsidRPr="005E7233">
        <w:rPr>
          <w:rStyle w:val="FootnoteReference"/>
        </w:rPr>
        <w:footnoteReference w:id="12"/>
      </w:r>
      <w:bookmarkEnd w:id="25"/>
      <w:r w:rsidR="00EE45F2" w:rsidRPr="005E7233">
        <w:rPr>
          <w:vertAlign w:val="superscript"/>
        </w:rPr>
        <w:t>,</w:t>
      </w:r>
      <w:r w:rsidR="00E14406" w:rsidRPr="005E7233">
        <w:rPr>
          <w:rStyle w:val="FootnoteReference"/>
        </w:rPr>
        <w:footnoteReference w:id="13"/>
      </w:r>
      <w:r w:rsidRPr="005E7233">
        <w:t xml:space="preserve">. </w:t>
      </w:r>
      <w:r w:rsidR="00E14406" w:rsidRPr="005E7233">
        <w:t xml:space="preserve">The ESC considered </w:t>
      </w:r>
      <w:r w:rsidRPr="005E7233">
        <w:t xml:space="preserve">IVMP with or without MMF </w:t>
      </w:r>
      <w:r w:rsidR="00E14406" w:rsidRPr="005E7233">
        <w:t>was an appropriate</w:t>
      </w:r>
      <w:r w:rsidRPr="005E7233">
        <w:t xml:space="preserve"> comparator for teprotumumab in the 1L setting. </w:t>
      </w:r>
    </w:p>
    <w:p w14:paraId="16A631D9" w14:textId="6CFDD70E" w:rsidR="00ED4A7B" w:rsidRPr="005E7233" w:rsidRDefault="00ED4A7B" w:rsidP="00ED4A7B">
      <w:pPr>
        <w:pStyle w:val="3-BodyText"/>
      </w:pPr>
      <w:r w:rsidRPr="005E7233">
        <w:t>The submission nominated tocilizumab as a comparator for the second-line treatment of TED. The submission based this on local opinion leader input and international recommendations. It is uncertain to what extent tocilizumab is used in Australia to treat TED. Tocilizumab does not currently have registration by the TGA or PBS for this indication. The Royal Victorian Ear and Eye Hospital guidelines note that access to tocilizumab is dependent upon special or compassionate access.</w:t>
      </w:r>
      <w:r w:rsidR="003B1A6E" w:rsidRPr="005E7233">
        <w:t xml:space="preserve"> The PSCR </w:t>
      </w:r>
      <w:r w:rsidR="00EE64EA" w:rsidRPr="005E7233">
        <w:t>considered tocilizumab had</w:t>
      </w:r>
      <w:r w:rsidR="003B1A6E" w:rsidRPr="005E7233">
        <w:t xml:space="preserve"> the </w:t>
      </w:r>
      <w:r w:rsidR="00CF4F55" w:rsidRPr="005E7233">
        <w:t>strongest supporting</w:t>
      </w:r>
      <w:r w:rsidR="003B1A6E" w:rsidRPr="005E7233">
        <w:t xml:space="preserve"> evidence in </w:t>
      </w:r>
      <w:r w:rsidR="00C63884" w:rsidRPr="005E7233">
        <w:t xml:space="preserve">the </w:t>
      </w:r>
      <w:r w:rsidR="003B1A6E" w:rsidRPr="005E7233">
        <w:t>2L</w:t>
      </w:r>
      <w:r w:rsidR="00C63884" w:rsidRPr="005E7233">
        <w:t xml:space="preserve"> setting</w:t>
      </w:r>
      <w:r w:rsidR="00EE64EA" w:rsidRPr="005E7233">
        <w:t xml:space="preserve"> and maintained that it was the appropriate comparator</w:t>
      </w:r>
      <w:r w:rsidR="00176375" w:rsidRPr="005E7233">
        <w:t xml:space="preserve">. The PSCR </w:t>
      </w:r>
      <w:r w:rsidR="00E9706D" w:rsidRPr="005E7233">
        <w:t>acknowledged</w:t>
      </w:r>
      <w:r w:rsidR="00176375" w:rsidRPr="005E7233">
        <w:t xml:space="preserve"> that </w:t>
      </w:r>
      <w:r w:rsidR="003B1A6E" w:rsidRPr="005E7233">
        <w:t>patient access is challenging and involve</w:t>
      </w:r>
      <w:r w:rsidR="00213388" w:rsidRPr="005E7233">
        <w:t>s</w:t>
      </w:r>
      <w:r w:rsidR="003B1A6E" w:rsidRPr="005E7233">
        <w:t xml:space="preserve"> named patient compassionate access in the public system as well as private (off-label) use</w:t>
      </w:r>
      <w:r w:rsidR="00C63884" w:rsidRPr="005E7233">
        <w:t>.</w:t>
      </w:r>
      <w:r w:rsidR="003B1A6E" w:rsidRPr="005E7233">
        <w:t xml:space="preserve"> </w:t>
      </w:r>
      <w:r w:rsidR="00552F6B" w:rsidRPr="005E7233">
        <w:t>The ESC</w:t>
      </w:r>
      <w:r w:rsidR="00036D86" w:rsidRPr="005E7233">
        <w:t xml:space="preserve"> noted that</w:t>
      </w:r>
      <w:r w:rsidR="00FB262A" w:rsidRPr="005E7233">
        <w:t xml:space="preserve"> the</w:t>
      </w:r>
      <w:r w:rsidR="00036D86" w:rsidRPr="005E7233">
        <w:t xml:space="preserve"> </w:t>
      </w:r>
      <w:r w:rsidR="007C2D78" w:rsidRPr="005E7233">
        <w:t>2L</w:t>
      </w:r>
      <w:r w:rsidR="00257D7E" w:rsidRPr="005E7233">
        <w:t xml:space="preserve"> treatment of MS</w:t>
      </w:r>
      <w:r w:rsidR="001F2884" w:rsidRPr="005E7233">
        <w:t xml:space="preserve"> </w:t>
      </w:r>
      <w:r w:rsidR="00257D7E" w:rsidRPr="005E7233">
        <w:t>TED was not well defined, however</w:t>
      </w:r>
      <w:r w:rsidR="00552F6B" w:rsidRPr="005E7233">
        <w:t xml:space="preserve"> considered that rituximab </w:t>
      </w:r>
      <w:r w:rsidR="006D563F" w:rsidRPr="005E7233">
        <w:t xml:space="preserve">may </w:t>
      </w:r>
      <w:r w:rsidR="003D6A92" w:rsidRPr="005E7233">
        <w:t>also be a relevant</w:t>
      </w:r>
      <w:r w:rsidR="00552F6B" w:rsidRPr="005E7233">
        <w:t xml:space="preserve"> comparator in the 2L setting, noting that it has an unrestricted PBS listing.</w:t>
      </w:r>
    </w:p>
    <w:p w14:paraId="2577C86D" w14:textId="77777777" w:rsidR="009925B1" w:rsidRPr="005E7233" w:rsidRDefault="009925B1" w:rsidP="009925B1">
      <w:pPr>
        <w:ind w:firstLine="709"/>
        <w:rPr>
          <w:rFonts w:asciiTheme="minorHAnsi" w:hAnsiTheme="minorHAnsi"/>
          <w:i/>
        </w:rPr>
      </w:pPr>
      <w:bookmarkStart w:id="26" w:name="_Hlk76375324"/>
      <w:r w:rsidRPr="005E7233">
        <w:rPr>
          <w:rFonts w:asciiTheme="minorHAnsi" w:hAnsiTheme="minorHAnsi"/>
          <w:i/>
        </w:rPr>
        <w:t>For more detail on PBAC’s view, see section 7 PBAC outcome.</w:t>
      </w:r>
    </w:p>
    <w:p w14:paraId="3E92EA6D" w14:textId="77777777" w:rsidR="00ED4A7B" w:rsidRPr="005E7233" w:rsidRDefault="00ED4A7B" w:rsidP="00ED4A7B">
      <w:pPr>
        <w:pStyle w:val="2-SectionHeading"/>
        <w:numPr>
          <w:ilvl w:val="0"/>
          <w:numId w:val="1"/>
        </w:numPr>
      </w:pPr>
      <w:bookmarkStart w:id="27" w:name="_Toc187681846"/>
      <w:bookmarkStart w:id="28" w:name="_Toc187759713"/>
      <w:bookmarkStart w:id="29" w:name="_Toc22897640"/>
      <w:bookmarkEnd w:id="26"/>
      <w:r w:rsidRPr="005E7233">
        <w:t>Consideration of the evidence</w:t>
      </w:r>
      <w:bookmarkEnd w:id="27"/>
      <w:bookmarkEnd w:id="28"/>
    </w:p>
    <w:p w14:paraId="0F835750" w14:textId="77777777" w:rsidR="00AE70AE" w:rsidRPr="00E84B7D" w:rsidRDefault="00AE70AE" w:rsidP="00E84B7D">
      <w:pPr>
        <w:pStyle w:val="4-SubsectionHeading"/>
      </w:pPr>
      <w:bookmarkStart w:id="30" w:name="_Hlk76375935"/>
      <w:bookmarkStart w:id="31" w:name="_Toc187681847"/>
      <w:bookmarkStart w:id="32" w:name="_Toc187759714"/>
      <w:r w:rsidRPr="00E84B7D">
        <w:t>Sponsor hearing</w:t>
      </w:r>
    </w:p>
    <w:p w14:paraId="3CB94C10" w14:textId="10FF7075" w:rsidR="00AE70AE" w:rsidRPr="005E7233" w:rsidRDefault="00AE70AE" w:rsidP="001E3A17">
      <w:pPr>
        <w:widowControl w:val="0"/>
        <w:numPr>
          <w:ilvl w:val="1"/>
          <w:numId w:val="1"/>
        </w:numPr>
        <w:spacing w:after="120"/>
        <w:rPr>
          <w:rFonts w:asciiTheme="minorHAnsi" w:hAnsiTheme="minorHAnsi"/>
          <w:bCs/>
          <w:snapToGrid w:val="0"/>
        </w:rPr>
      </w:pPr>
      <w:bookmarkStart w:id="33" w:name="_Hlk76382586"/>
      <w:r w:rsidRPr="005E7233">
        <w:rPr>
          <w:rFonts w:asciiTheme="minorHAnsi" w:hAnsiTheme="minorHAnsi"/>
          <w:bCs/>
          <w:snapToGrid w:val="0"/>
        </w:rPr>
        <w:t xml:space="preserve">The sponsor requested a hearing for this item. </w:t>
      </w:r>
      <w:r w:rsidRPr="005E7233">
        <w:rPr>
          <w:rFonts w:asciiTheme="minorHAnsi" w:hAnsiTheme="minorHAnsi"/>
        </w:rPr>
        <w:t xml:space="preserve">The </w:t>
      </w:r>
      <w:r w:rsidR="00A363C5" w:rsidRPr="005E7233">
        <w:rPr>
          <w:rFonts w:asciiTheme="minorHAnsi" w:hAnsiTheme="minorHAnsi"/>
        </w:rPr>
        <w:t xml:space="preserve">first </w:t>
      </w:r>
      <w:r w:rsidRPr="005E7233">
        <w:rPr>
          <w:rFonts w:asciiTheme="minorHAnsi" w:hAnsiTheme="minorHAnsi"/>
          <w:bCs/>
          <w:snapToGrid w:val="0"/>
        </w:rPr>
        <w:t xml:space="preserve">clinician </w:t>
      </w:r>
      <w:r w:rsidRPr="005E7233">
        <w:rPr>
          <w:rFonts w:asciiTheme="minorHAnsi" w:hAnsiTheme="minorHAnsi"/>
        </w:rPr>
        <w:t xml:space="preserve">discussed the natural history of </w:t>
      </w:r>
      <w:r w:rsidR="00894332" w:rsidRPr="005E7233">
        <w:rPr>
          <w:rFonts w:asciiTheme="minorHAnsi" w:hAnsiTheme="minorHAnsi"/>
          <w:bCs/>
          <w:snapToGrid w:val="0"/>
        </w:rPr>
        <w:t>M</w:t>
      </w:r>
      <w:r w:rsidR="002009C4" w:rsidRPr="005E7233">
        <w:rPr>
          <w:rFonts w:asciiTheme="minorHAnsi" w:hAnsiTheme="minorHAnsi"/>
          <w:bCs/>
          <w:snapToGrid w:val="0"/>
        </w:rPr>
        <w:t>S</w:t>
      </w:r>
      <w:r w:rsidR="00894332" w:rsidRPr="005E7233">
        <w:rPr>
          <w:rFonts w:asciiTheme="minorHAnsi" w:hAnsiTheme="minorHAnsi"/>
          <w:bCs/>
          <w:snapToGrid w:val="0"/>
        </w:rPr>
        <w:t xml:space="preserve"> TED</w:t>
      </w:r>
      <w:r w:rsidR="009569D1" w:rsidRPr="005E7233">
        <w:rPr>
          <w:rFonts w:asciiTheme="minorHAnsi" w:hAnsiTheme="minorHAnsi"/>
          <w:bCs/>
          <w:snapToGrid w:val="0"/>
        </w:rPr>
        <w:t xml:space="preserve">, </w:t>
      </w:r>
      <w:r w:rsidR="00305173" w:rsidRPr="005E7233">
        <w:rPr>
          <w:rFonts w:asciiTheme="minorHAnsi" w:hAnsiTheme="minorHAnsi"/>
          <w:bCs/>
          <w:snapToGrid w:val="0"/>
        </w:rPr>
        <w:t>highlighting</w:t>
      </w:r>
      <w:r w:rsidR="009569D1" w:rsidRPr="005E7233">
        <w:rPr>
          <w:rFonts w:asciiTheme="minorHAnsi" w:hAnsiTheme="minorHAnsi"/>
          <w:bCs/>
          <w:snapToGrid w:val="0"/>
        </w:rPr>
        <w:t xml:space="preserve"> </w:t>
      </w:r>
      <w:r w:rsidR="008D7D14" w:rsidRPr="005E7233">
        <w:rPr>
          <w:rFonts w:asciiTheme="minorHAnsi" w:hAnsiTheme="minorHAnsi"/>
          <w:bCs/>
          <w:snapToGrid w:val="0"/>
        </w:rPr>
        <w:t>that TED is characterised by progressive inflammation, eye protrusion, debilitating double vision</w:t>
      </w:r>
      <w:r w:rsidR="00F51CBD" w:rsidRPr="005E7233">
        <w:rPr>
          <w:rFonts w:asciiTheme="minorHAnsi" w:hAnsiTheme="minorHAnsi"/>
          <w:bCs/>
          <w:snapToGrid w:val="0"/>
        </w:rPr>
        <w:t xml:space="preserve"> and is vision threatening. </w:t>
      </w:r>
      <w:r w:rsidR="006B68A9" w:rsidRPr="005E7233">
        <w:rPr>
          <w:rFonts w:asciiTheme="minorHAnsi" w:hAnsiTheme="minorHAnsi"/>
          <w:bCs/>
          <w:snapToGrid w:val="0"/>
        </w:rPr>
        <w:t xml:space="preserve">The clinician </w:t>
      </w:r>
      <w:r w:rsidR="000A267C" w:rsidRPr="005E7233">
        <w:rPr>
          <w:rFonts w:asciiTheme="minorHAnsi" w:hAnsiTheme="minorHAnsi"/>
          <w:bCs/>
          <w:snapToGrid w:val="0"/>
        </w:rPr>
        <w:t xml:space="preserve">noted the high and unmet clinical need for alternative therapies, </w:t>
      </w:r>
      <w:r w:rsidR="006B68A9" w:rsidRPr="005E7233">
        <w:rPr>
          <w:rFonts w:asciiTheme="minorHAnsi" w:hAnsiTheme="minorHAnsi"/>
          <w:bCs/>
          <w:snapToGrid w:val="0"/>
        </w:rPr>
        <w:t>outlin</w:t>
      </w:r>
      <w:r w:rsidR="000A267C" w:rsidRPr="005E7233">
        <w:rPr>
          <w:rFonts w:asciiTheme="minorHAnsi" w:hAnsiTheme="minorHAnsi"/>
          <w:bCs/>
          <w:snapToGrid w:val="0"/>
        </w:rPr>
        <w:t xml:space="preserve">ing </w:t>
      </w:r>
      <w:r w:rsidR="006B68A9" w:rsidRPr="005E7233">
        <w:rPr>
          <w:rFonts w:asciiTheme="minorHAnsi" w:hAnsiTheme="minorHAnsi"/>
          <w:bCs/>
          <w:snapToGrid w:val="0"/>
        </w:rPr>
        <w:t>current Australian clinical practice and the typical outcomes for patients</w:t>
      </w:r>
      <w:r w:rsidR="000A267C" w:rsidRPr="005E7233">
        <w:rPr>
          <w:rFonts w:asciiTheme="minorHAnsi" w:hAnsiTheme="minorHAnsi"/>
          <w:bCs/>
          <w:snapToGrid w:val="0"/>
        </w:rPr>
        <w:t>. The clinician</w:t>
      </w:r>
      <w:r w:rsidR="006B68A9" w:rsidRPr="005E7233">
        <w:rPr>
          <w:rFonts w:asciiTheme="minorHAnsi" w:hAnsiTheme="minorHAnsi"/>
          <w:bCs/>
          <w:snapToGrid w:val="0"/>
        </w:rPr>
        <w:t xml:space="preserve"> </w:t>
      </w:r>
      <w:r w:rsidR="0057026B" w:rsidRPr="005E7233">
        <w:rPr>
          <w:rFonts w:asciiTheme="minorHAnsi" w:hAnsiTheme="minorHAnsi"/>
          <w:bCs/>
          <w:snapToGrid w:val="0"/>
        </w:rPr>
        <w:t>emphasis</w:t>
      </w:r>
      <w:r w:rsidR="000A267C" w:rsidRPr="005E7233">
        <w:rPr>
          <w:rFonts w:asciiTheme="minorHAnsi" w:hAnsiTheme="minorHAnsi"/>
          <w:bCs/>
          <w:snapToGrid w:val="0"/>
        </w:rPr>
        <w:t>ed</w:t>
      </w:r>
      <w:r w:rsidR="006B68A9" w:rsidRPr="005E7233">
        <w:rPr>
          <w:rFonts w:asciiTheme="minorHAnsi" w:hAnsiTheme="minorHAnsi"/>
          <w:bCs/>
          <w:snapToGrid w:val="0"/>
        </w:rPr>
        <w:t xml:space="preserve"> that</w:t>
      </w:r>
      <w:r w:rsidR="00D2600D" w:rsidRPr="005E7233">
        <w:rPr>
          <w:rFonts w:asciiTheme="minorHAnsi" w:hAnsiTheme="minorHAnsi"/>
          <w:bCs/>
          <w:snapToGrid w:val="0"/>
        </w:rPr>
        <w:t xml:space="preserve"> current first-line treatment options</w:t>
      </w:r>
      <w:r w:rsidR="006B68A9" w:rsidRPr="005E7233">
        <w:rPr>
          <w:rFonts w:asciiTheme="minorHAnsi" w:hAnsiTheme="minorHAnsi"/>
          <w:bCs/>
          <w:snapToGrid w:val="0"/>
        </w:rPr>
        <w:t xml:space="preserve"> </w:t>
      </w:r>
      <w:r w:rsidR="00D2600D" w:rsidRPr="005E7233">
        <w:rPr>
          <w:rFonts w:asciiTheme="minorHAnsi" w:hAnsiTheme="minorHAnsi"/>
          <w:bCs/>
          <w:snapToGrid w:val="0"/>
        </w:rPr>
        <w:t>(</w:t>
      </w:r>
      <w:r w:rsidR="0057026B" w:rsidRPr="005E7233">
        <w:rPr>
          <w:rFonts w:asciiTheme="minorHAnsi" w:hAnsiTheme="minorHAnsi"/>
          <w:bCs/>
          <w:snapToGrid w:val="0"/>
        </w:rPr>
        <w:t>intravenous corticosteroids</w:t>
      </w:r>
      <w:r w:rsidR="00D2600D" w:rsidRPr="005E7233">
        <w:rPr>
          <w:rFonts w:asciiTheme="minorHAnsi" w:hAnsiTheme="minorHAnsi"/>
          <w:bCs/>
          <w:snapToGrid w:val="0"/>
        </w:rPr>
        <w:t xml:space="preserve">) are </w:t>
      </w:r>
      <w:r w:rsidR="0017701B" w:rsidRPr="005E7233">
        <w:rPr>
          <w:rFonts w:asciiTheme="minorHAnsi" w:hAnsiTheme="minorHAnsi"/>
          <w:bCs/>
          <w:snapToGrid w:val="0"/>
        </w:rPr>
        <w:t xml:space="preserve">non-specific and </w:t>
      </w:r>
      <w:r w:rsidR="0017701B" w:rsidRPr="005E7233">
        <w:rPr>
          <w:rFonts w:asciiTheme="minorHAnsi" w:hAnsiTheme="minorHAnsi"/>
          <w:bCs/>
          <w:snapToGrid w:val="0"/>
        </w:rPr>
        <w:lastRenderedPageBreak/>
        <w:t>have minimal impact on the severity of diseas</w:t>
      </w:r>
      <w:r w:rsidR="00C33B29" w:rsidRPr="005E7233">
        <w:rPr>
          <w:rFonts w:asciiTheme="minorHAnsi" w:hAnsiTheme="minorHAnsi"/>
          <w:bCs/>
          <w:snapToGrid w:val="0"/>
        </w:rPr>
        <w:t xml:space="preserve">e, with a high proportion of patients experiencing disease progression and relapse within </w:t>
      </w:r>
      <w:r w:rsidR="0099607B" w:rsidRPr="005E7233">
        <w:rPr>
          <w:rFonts w:asciiTheme="minorHAnsi" w:hAnsiTheme="minorHAnsi"/>
          <w:bCs/>
          <w:snapToGrid w:val="0"/>
        </w:rPr>
        <w:t>6 months.</w:t>
      </w:r>
      <w:r w:rsidR="0057026B" w:rsidRPr="005E7233">
        <w:rPr>
          <w:rFonts w:asciiTheme="minorHAnsi" w:hAnsiTheme="minorHAnsi"/>
          <w:bCs/>
          <w:snapToGrid w:val="0"/>
        </w:rPr>
        <w:t xml:space="preserve"> </w:t>
      </w:r>
      <w:r w:rsidR="0057489F" w:rsidRPr="005E7233">
        <w:rPr>
          <w:rFonts w:asciiTheme="minorHAnsi" w:hAnsiTheme="minorHAnsi"/>
          <w:bCs/>
          <w:snapToGrid w:val="0"/>
        </w:rPr>
        <w:t xml:space="preserve">The clinician considered that </w:t>
      </w:r>
      <w:r w:rsidR="00E75E2C">
        <w:rPr>
          <w:rFonts w:asciiTheme="minorHAnsi" w:hAnsiTheme="minorHAnsi"/>
          <w:bCs/>
          <w:snapToGrid w:val="0"/>
        </w:rPr>
        <w:t xml:space="preserve">it </w:t>
      </w:r>
      <w:r w:rsidR="00C87806" w:rsidRPr="005E7233">
        <w:rPr>
          <w:rFonts w:asciiTheme="minorHAnsi" w:hAnsiTheme="minorHAnsi"/>
          <w:bCs/>
          <w:snapToGrid w:val="0"/>
        </w:rPr>
        <w:t>was appropriate for the PBS restriction to be based on the OPTIC trial criteria</w:t>
      </w:r>
      <w:r w:rsidR="00D100A4" w:rsidRPr="005E7233">
        <w:rPr>
          <w:rFonts w:asciiTheme="minorHAnsi" w:hAnsiTheme="minorHAnsi"/>
          <w:bCs/>
          <w:snapToGrid w:val="0"/>
        </w:rPr>
        <w:t xml:space="preserve"> and </w:t>
      </w:r>
      <w:r w:rsidR="005760E7" w:rsidRPr="005E7233">
        <w:rPr>
          <w:rFonts w:asciiTheme="minorHAnsi" w:hAnsiTheme="minorHAnsi"/>
          <w:bCs/>
          <w:snapToGrid w:val="0"/>
        </w:rPr>
        <w:t xml:space="preserve">that expected use would predominately </w:t>
      </w:r>
      <w:r w:rsidR="00BC02B9" w:rsidRPr="005E7233">
        <w:rPr>
          <w:rFonts w:asciiTheme="minorHAnsi" w:hAnsiTheme="minorHAnsi"/>
          <w:bCs/>
          <w:snapToGrid w:val="0"/>
        </w:rPr>
        <w:t xml:space="preserve">be </w:t>
      </w:r>
      <w:r w:rsidR="005760E7" w:rsidRPr="005E7233">
        <w:rPr>
          <w:rFonts w:asciiTheme="minorHAnsi" w:hAnsiTheme="minorHAnsi"/>
          <w:bCs/>
          <w:snapToGrid w:val="0"/>
        </w:rPr>
        <w:t>as first-line treatment.</w:t>
      </w:r>
      <w:r w:rsidR="004E3149" w:rsidRPr="005E7233">
        <w:rPr>
          <w:rFonts w:asciiTheme="minorHAnsi" w:hAnsiTheme="minorHAnsi"/>
          <w:bCs/>
          <w:snapToGrid w:val="0"/>
        </w:rPr>
        <w:t xml:space="preserve"> </w:t>
      </w:r>
      <w:r w:rsidR="0020463D" w:rsidRPr="005E7233">
        <w:rPr>
          <w:rFonts w:asciiTheme="minorHAnsi" w:hAnsiTheme="minorHAnsi"/>
          <w:bCs/>
          <w:snapToGrid w:val="0"/>
        </w:rPr>
        <w:t>The</w:t>
      </w:r>
      <w:r w:rsidR="004E3149" w:rsidRPr="005E7233">
        <w:rPr>
          <w:rFonts w:asciiTheme="minorHAnsi" w:hAnsiTheme="minorHAnsi"/>
          <w:bCs/>
          <w:snapToGrid w:val="0"/>
        </w:rPr>
        <w:t xml:space="preserve"> second</w:t>
      </w:r>
      <w:r w:rsidR="0020463D" w:rsidRPr="005E7233">
        <w:rPr>
          <w:rFonts w:asciiTheme="minorHAnsi" w:hAnsiTheme="minorHAnsi"/>
          <w:bCs/>
          <w:snapToGrid w:val="0"/>
        </w:rPr>
        <w:t xml:space="preserve"> </w:t>
      </w:r>
      <w:r w:rsidR="004E3149" w:rsidRPr="005E7233">
        <w:rPr>
          <w:rFonts w:asciiTheme="minorHAnsi" w:hAnsiTheme="minorHAnsi"/>
          <w:bCs/>
          <w:snapToGrid w:val="0"/>
        </w:rPr>
        <w:t xml:space="preserve">clinician </w:t>
      </w:r>
      <w:r w:rsidR="00EA5A49" w:rsidRPr="005E7233">
        <w:rPr>
          <w:rFonts w:asciiTheme="minorHAnsi" w:hAnsiTheme="minorHAnsi"/>
          <w:bCs/>
          <w:snapToGrid w:val="0"/>
        </w:rPr>
        <w:t xml:space="preserve">stated that treatment with </w:t>
      </w:r>
      <w:r w:rsidR="001E270B" w:rsidRPr="005E7233">
        <w:rPr>
          <w:rFonts w:asciiTheme="minorHAnsi" w:hAnsiTheme="minorHAnsi"/>
          <w:bCs/>
          <w:snapToGrid w:val="0"/>
        </w:rPr>
        <w:t>teprotumumab</w:t>
      </w:r>
      <w:r w:rsidR="00EA5A49" w:rsidRPr="005E7233">
        <w:rPr>
          <w:rFonts w:asciiTheme="minorHAnsi" w:hAnsiTheme="minorHAnsi"/>
          <w:bCs/>
          <w:snapToGrid w:val="0"/>
        </w:rPr>
        <w:t xml:space="preserve"> led to predictable proptosis reduction,</w:t>
      </w:r>
      <w:r w:rsidR="00B37315" w:rsidRPr="005E7233">
        <w:rPr>
          <w:rFonts w:asciiTheme="minorHAnsi" w:hAnsiTheme="minorHAnsi"/>
          <w:bCs/>
          <w:snapToGrid w:val="0"/>
        </w:rPr>
        <w:t xml:space="preserve"> </w:t>
      </w:r>
      <w:r w:rsidR="00EA5A49" w:rsidRPr="005E7233">
        <w:rPr>
          <w:rFonts w:asciiTheme="minorHAnsi" w:hAnsiTheme="minorHAnsi"/>
          <w:bCs/>
          <w:snapToGrid w:val="0"/>
        </w:rPr>
        <w:t xml:space="preserve">improved extraocular motility, reduced soft tissue inflammation, </w:t>
      </w:r>
      <w:r w:rsidR="00B37315" w:rsidRPr="005E7233">
        <w:rPr>
          <w:rFonts w:asciiTheme="minorHAnsi" w:hAnsiTheme="minorHAnsi"/>
          <w:bCs/>
          <w:snapToGrid w:val="0"/>
        </w:rPr>
        <w:t>improved quality of life</w:t>
      </w:r>
      <w:r w:rsidR="00D7407C" w:rsidRPr="005E7233">
        <w:rPr>
          <w:rFonts w:asciiTheme="minorHAnsi" w:hAnsiTheme="minorHAnsi"/>
          <w:bCs/>
          <w:snapToGrid w:val="0"/>
        </w:rPr>
        <w:t xml:space="preserve"> and </w:t>
      </w:r>
      <w:r w:rsidR="008E71EA" w:rsidRPr="005E7233">
        <w:rPr>
          <w:rFonts w:asciiTheme="minorHAnsi" w:hAnsiTheme="minorHAnsi"/>
          <w:bCs/>
          <w:snapToGrid w:val="0"/>
        </w:rPr>
        <w:t xml:space="preserve">considered the </w:t>
      </w:r>
      <w:r w:rsidR="00D7407C" w:rsidRPr="005E7233">
        <w:rPr>
          <w:rFonts w:asciiTheme="minorHAnsi" w:hAnsiTheme="minorHAnsi"/>
          <w:bCs/>
          <w:snapToGrid w:val="0"/>
        </w:rPr>
        <w:t>side effect profile</w:t>
      </w:r>
      <w:r w:rsidR="008E71EA" w:rsidRPr="005E7233">
        <w:rPr>
          <w:rFonts w:asciiTheme="minorHAnsi" w:hAnsiTheme="minorHAnsi"/>
          <w:bCs/>
          <w:snapToGrid w:val="0"/>
        </w:rPr>
        <w:t xml:space="preserve"> to be manageable</w:t>
      </w:r>
      <w:r w:rsidR="00D7407C" w:rsidRPr="005E7233">
        <w:rPr>
          <w:rFonts w:asciiTheme="minorHAnsi" w:hAnsiTheme="minorHAnsi"/>
          <w:bCs/>
          <w:snapToGrid w:val="0"/>
        </w:rPr>
        <w:t xml:space="preserve">. </w:t>
      </w:r>
      <w:r w:rsidR="007519DF" w:rsidRPr="005E7233">
        <w:rPr>
          <w:rFonts w:asciiTheme="minorHAnsi" w:hAnsiTheme="minorHAnsi"/>
          <w:bCs/>
          <w:snapToGrid w:val="0"/>
        </w:rPr>
        <w:t>The clinician outline</w:t>
      </w:r>
      <w:r w:rsidR="00884800" w:rsidRPr="005E7233">
        <w:rPr>
          <w:rFonts w:asciiTheme="minorHAnsi" w:hAnsiTheme="minorHAnsi"/>
          <w:bCs/>
          <w:snapToGrid w:val="0"/>
        </w:rPr>
        <w:t>d</w:t>
      </w:r>
      <w:r w:rsidR="008E71EA" w:rsidRPr="005E7233">
        <w:rPr>
          <w:rFonts w:asciiTheme="minorHAnsi" w:hAnsiTheme="minorHAnsi"/>
          <w:bCs/>
          <w:snapToGrid w:val="0"/>
        </w:rPr>
        <w:t xml:space="preserve"> their experience and</w:t>
      </w:r>
      <w:r w:rsidR="007519DF" w:rsidRPr="005E7233">
        <w:rPr>
          <w:rFonts w:asciiTheme="minorHAnsi" w:hAnsiTheme="minorHAnsi"/>
          <w:bCs/>
          <w:snapToGrid w:val="0"/>
        </w:rPr>
        <w:t xml:space="preserve"> </w:t>
      </w:r>
      <w:r w:rsidR="00D23865" w:rsidRPr="005E7233">
        <w:rPr>
          <w:rFonts w:asciiTheme="minorHAnsi" w:hAnsiTheme="minorHAnsi"/>
          <w:bCs/>
          <w:snapToGrid w:val="0"/>
        </w:rPr>
        <w:t>potential side effect</w:t>
      </w:r>
      <w:r w:rsidR="00884800" w:rsidRPr="005E7233">
        <w:rPr>
          <w:rFonts w:asciiTheme="minorHAnsi" w:hAnsiTheme="minorHAnsi"/>
          <w:bCs/>
          <w:snapToGrid w:val="0"/>
        </w:rPr>
        <w:t>s from treatment with teprotumumab</w:t>
      </w:r>
      <w:r w:rsidR="00D23865" w:rsidRPr="005E7233">
        <w:rPr>
          <w:rFonts w:asciiTheme="minorHAnsi" w:hAnsiTheme="minorHAnsi"/>
          <w:bCs/>
          <w:snapToGrid w:val="0"/>
        </w:rPr>
        <w:t xml:space="preserve">, noting the importance of </w:t>
      </w:r>
      <w:r w:rsidR="004D0D89" w:rsidRPr="005E7233">
        <w:rPr>
          <w:rFonts w:asciiTheme="minorHAnsi" w:hAnsiTheme="minorHAnsi"/>
          <w:bCs/>
          <w:snapToGrid w:val="0"/>
        </w:rPr>
        <w:t xml:space="preserve">a baseline </w:t>
      </w:r>
      <w:r w:rsidR="00D23865" w:rsidRPr="005E7233">
        <w:rPr>
          <w:rFonts w:asciiTheme="minorHAnsi" w:hAnsiTheme="minorHAnsi"/>
          <w:bCs/>
          <w:snapToGrid w:val="0"/>
        </w:rPr>
        <w:t xml:space="preserve">audiogram </w:t>
      </w:r>
      <w:r w:rsidR="004D0D89" w:rsidRPr="005E7233">
        <w:rPr>
          <w:rFonts w:asciiTheme="minorHAnsi" w:hAnsiTheme="minorHAnsi"/>
          <w:bCs/>
          <w:snapToGrid w:val="0"/>
        </w:rPr>
        <w:t xml:space="preserve">for all patients prior to treatment, and continuous monitoring </w:t>
      </w:r>
      <w:r w:rsidR="005F2B47" w:rsidRPr="005E7233">
        <w:rPr>
          <w:rFonts w:asciiTheme="minorHAnsi" w:hAnsiTheme="minorHAnsi"/>
          <w:bCs/>
          <w:snapToGrid w:val="0"/>
        </w:rPr>
        <w:t xml:space="preserve">for hearing loss </w:t>
      </w:r>
      <w:r w:rsidR="00475A8F" w:rsidRPr="005E7233">
        <w:rPr>
          <w:rFonts w:asciiTheme="minorHAnsi" w:hAnsiTheme="minorHAnsi"/>
          <w:bCs/>
          <w:snapToGrid w:val="0"/>
        </w:rPr>
        <w:t xml:space="preserve">during and at the conclusion of treatment. </w:t>
      </w:r>
      <w:r w:rsidR="001E3A17" w:rsidRPr="005E7233">
        <w:rPr>
          <w:rFonts w:asciiTheme="minorHAnsi" w:hAnsiTheme="minorHAnsi"/>
          <w:bCs/>
          <w:snapToGrid w:val="0"/>
        </w:rPr>
        <w:t xml:space="preserve">The clinician noted that immediate infusion reactions were rare and </w:t>
      </w:r>
      <w:r w:rsidR="006C4C45" w:rsidRPr="005E7233">
        <w:rPr>
          <w:rFonts w:asciiTheme="minorHAnsi" w:hAnsiTheme="minorHAnsi"/>
          <w:bCs/>
          <w:snapToGrid w:val="0"/>
        </w:rPr>
        <w:t>that</w:t>
      </w:r>
      <w:r w:rsidR="00E82B98" w:rsidRPr="005E7233">
        <w:rPr>
          <w:rFonts w:asciiTheme="minorHAnsi" w:hAnsiTheme="minorHAnsi"/>
          <w:bCs/>
          <w:snapToGrid w:val="0"/>
        </w:rPr>
        <w:t xml:space="preserve"> less than 5% of patients </w:t>
      </w:r>
      <w:r w:rsidR="001E3A17" w:rsidRPr="005E7233">
        <w:rPr>
          <w:rFonts w:asciiTheme="minorHAnsi" w:hAnsiTheme="minorHAnsi"/>
          <w:bCs/>
          <w:snapToGrid w:val="0"/>
        </w:rPr>
        <w:t xml:space="preserve">discontinued </w:t>
      </w:r>
      <w:r w:rsidR="00CB3319" w:rsidRPr="005E7233">
        <w:rPr>
          <w:rFonts w:asciiTheme="minorHAnsi" w:hAnsiTheme="minorHAnsi"/>
          <w:bCs/>
          <w:snapToGrid w:val="0"/>
        </w:rPr>
        <w:t>teprotumumab</w:t>
      </w:r>
      <w:r w:rsidR="00E82B98" w:rsidRPr="005E7233">
        <w:rPr>
          <w:rFonts w:asciiTheme="minorHAnsi" w:hAnsiTheme="minorHAnsi"/>
          <w:bCs/>
          <w:snapToGrid w:val="0"/>
        </w:rPr>
        <w:t xml:space="preserve"> due to </w:t>
      </w:r>
      <w:r w:rsidR="00305B42" w:rsidRPr="005E7233">
        <w:rPr>
          <w:rFonts w:asciiTheme="minorHAnsi" w:hAnsiTheme="minorHAnsi"/>
          <w:bCs/>
          <w:snapToGrid w:val="0"/>
        </w:rPr>
        <w:t xml:space="preserve">serious </w:t>
      </w:r>
      <w:r w:rsidR="00E82B98" w:rsidRPr="005E7233">
        <w:rPr>
          <w:rFonts w:asciiTheme="minorHAnsi" w:hAnsiTheme="minorHAnsi"/>
          <w:bCs/>
          <w:snapToGrid w:val="0"/>
        </w:rPr>
        <w:t>adverse events</w:t>
      </w:r>
      <w:r w:rsidR="00646345" w:rsidRPr="005E7233">
        <w:rPr>
          <w:rFonts w:asciiTheme="minorHAnsi" w:hAnsiTheme="minorHAnsi"/>
          <w:bCs/>
          <w:snapToGrid w:val="0"/>
        </w:rPr>
        <w:t xml:space="preserve">. The clinician stated </w:t>
      </w:r>
      <w:r w:rsidR="00DA20A2" w:rsidRPr="005E7233">
        <w:rPr>
          <w:rFonts w:asciiTheme="minorHAnsi" w:hAnsiTheme="minorHAnsi"/>
          <w:bCs/>
          <w:snapToGrid w:val="0"/>
        </w:rPr>
        <w:t xml:space="preserve">that treatment with teprotumumab </w:t>
      </w:r>
      <w:r w:rsidR="005E475C">
        <w:rPr>
          <w:rFonts w:asciiTheme="minorHAnsi" w:hAnsiTheme="minorHAnsi"/>
          <w:bCs/>
          <w:snapToGrid w:val="0"/>
        </w:rPr>
        <w:t xml:space="preserve">also </w:t>
      </w:r>
      <w:r w:rsidR="00DA20A2" w:rsidRPr="005E7233">
        <w:rPr>
          <w:rFonts w:asciiTheme="minorHAnsi" w:hAnsiTheme="minorHAnsi"/>
          <w:bCs/>
          <w:snapToGrid w:val="0"/>
        </w:rPr>
        <w:t xml:space="preserve">reduced the </w:t>
      </w:r>
      <w:r w:rsidR="00A60EBE" w:rsidRPr="005E7233">
        <w:rPr>
          <w:rFonts w:asciiTheme="minorHAnsi" w:hAnsiTheme="minorHAnsi"/>
          <w:bCs/>
          <w:snapToGrid w:val="0"/>
        </w:rPr>
        <w:t>amount and degree of</w:t>
      </w:r>
      <w:r w:rsidR="00DA20A2" w:rsidRPr="005E7233">
        <w:rPr>
          <w:rFonts w:asciiTheme="minorHAnsi" w:hAnsiTheme="minorHAnsi"/>
          <w:bCs/>
          <w:snapToGrid w:val="0"/>
        </w:rPr>
        <w:t xml:space="preserve"> surgery </w:t>
      </w:r>
      <w:r w:rsidR="00A60EBE" w:rsidRPr="005E7233">
        <w:rPr>
          <w:rFonts w:asciiTheme="minorHAnsi" w:hAnsiTheme="minorHAnsi"/>
          <w:bCs/>
          <w:snapToGrid w:val="0"/>
        </w:rPr>
        <w:t xml:space="preserve">required </w:t>
      </w:r>
      <w:r w:rsidR="00247B98" w:rsidRPr="005E7233">
        <w:rPr>
          <w:rFonts w:asciiTheme="minorHAnsi" w:hAnsiTheme="minorHAnsi"/>
          <w:bCs/>
          <w:snapToGrid w:val="0"/>
        </w:rPr>
        <w:t>for their patients</w:t>
      </w:r>
      <w:r w:rsidR="0068079B" w:rsidRPr="005E7233">
        <w:rPr>
          <w:rFonts w:asciiTheme="minorHAnsi" w:hAnsiTheme="minorHAnsi"/>
          <w:bCs/>
          <w:snapToGrid w:val="0"/>
        </w:rPr>
        <w:t>.</w:t>
      </w:r>
      <w:r w:rsidR="00247B98" w:rsidRPr="005E7233">
        <w:rPr>
          <w:rFonts w:asciiTheme="minorHAnsi" w:hAnsiTheme="minorHAnsi"/>
          <w:bCs/>
          <w:snapToGrid w:val="0"/>
        </w:rPr>
        <w:t xml:space="preserve"> </w:t>
      </w:r>
      <w:r w:rsidR="009C4BB8" w:rsidRPr="005E7233">
        <w:rPr>
          <w:rFonts w:asciiTheme="minorHAnsi" w:hAnsiTheme="minorHAnsi"/>
          <w:bCs/>
          <w:snapToGrid w:val="0"/>
        </w:rPr>
        <w:t xml:space="preserve">The clinician stated that </w:t>
      </w:r>
      <w:r w:rsidR="00837550" w:rsidRPr="005E7233">
        <w:rPr>
          <w:rFonts w:asciiTheme="minorHAnsi" w:hAnsiTheme="minorHAnsi"/>
          <w:bCs/>
          <w:snapToGrid w:val="0"/>
        </w:rPr>
        <w:t xml:space="preserve">clinical </w:t>
      </w:r>
      <w:r w:rsidR="00F141F5" w:rsidRPr="005E7233">
        <w:rPr>
          <w:rFonts w:asciiTheme="minorHAnsi" w:hAnsiTheme="minorHAnsi"/>
          <w:bCs/>
          <w:snapToGrid w:val="0"/>
        </w:rPr>
        <w:t xml:space="preserve">regression </w:t>
      </w:r>
      <w:r w:rsidR="002C015A" w:rsidRPr="005E7233">
        <w:rPr>
          <w:rFonts w:asciiTheme="minorHAnsi" w:hAnsiTheme="minorHAnsi"/>
          <w:bCs/>
          <w:snapToGrid w:val="0"/>
        </w:rPr>
        <w:t xml:space="preserve">may occur for some patients </w:t>
      </w:r>
      <w:r w:rsidR="00926E25" w:rsidRPr="005E7233">
        <w:rPr>
          <w:rFonts w:asciiTheme="minorHAnsi" w:hAnsiTheme="minorHAnsi"/>
          <w:bCs/>
          <w:snapToGrid w:val="0"/>
        </w:rPr>
        <w:t xml:space="preserve">treated with teprotumumab </w:t>
      </w:r>
      <w:r w:rsidR="00F141F5" w:rsidRPr="005E7233">
        <w:rPr>
          <w:rFonts w:asciiTheme="minorHAnsi" w:hAnsiTheme="minorHAnsi"/>
          <w:bCs/>
          <w:snapToGrid w:val="0"/>
        </w:rPr>
        <w:t xml:space="preserve">and </w:t>
      </w:r>
      <w:r w:rsidR="00247B98" w:rsidRPr="005E7233">
        <w:rPr>
          <w:rFonts w:asciiTheme="minorHAnsi" w:hAnsiTheme="minorHAnsi"/>
          <w:bCs/>
          <w:snapToGrid w:val="0"/>
        </w:rPr>
        <w:t xml:space="preserve">some patients </w:t>
      </w:r>
      <w:r w:rsidR="00926E25" w:rsidRPr="005E7233">
        <w:rPr>
          <w:rFonts w:asciiTheme="minorHAnsi" w:hAnsiTheme="minorHAnsi"/>
          <w:bCs/>
          <w:snapToGrid w:val="0"/>
        </w:rPr>
        <w:t>may</w:t>
      </w:r>
      <w:r w:rsidR="00C73CF1" w:rsidRPr="005E7233">
        <w:rPr>
          <w:rFonts w:asciiTheme="minorHAnsi" w:hAnsiTheme="minorHAnsi"/>
          <w:bCs/>
          <w:snapToGrid w:val="0"/>
        </w:rPr>
        <w:t xml:space="preserve"> </w:t>
      </w:r>
      <w:r w:rsidR="00247B98" w:rsidRPr="005E7233">
        <w:rPr>
          <w:rFonts w:asciiTheme="minorHAnsi" w:hAnsiTheme="minorHAnsi"/>
          <w:bCs/>
          <w:snapToGrid w:val="0"/>
        </w:rPr>
        <w:t>experience a disease flare</w:t>
      </w:r>
      <w:r w:rsidR="00926E25" w:rsidRPr="005E7233">
        <w:rPr>
          <w:rFonts w:asciiTheme="minorHAnsi" w:hAnsiTheme="minorHAnsi"/>
          <w:bCs/>
          <w:snapToGrid w:val="0"/>
        </w:rPr>
        <w:t xml:space="preserve">. The clinician noted that </w:t>
      </w:r>
      <w:r w:rsidR="002C015A" w:rsidRPr="005E7233">
        <w:rPr>
          <w:rFonts w:asciiTheme="minorHAnsi" w:hAnsiTheme="minorHAnsi"/>
          <w:bCs/>
          <w:snapToGrid w:val="0"/>
        </w:rPr>
        <w:t xml:space="preserve">of </w:t>
      </w:r>
      <w:r w:rsidR="00FF4C27" w:rsidRPr="005E7233">
        <w:rPr>
          <w:rFonts w:asciiTheme="minorHAnsi" w:hAnsiTheme="minorHAnsi"/>
          <w:bCs/>
          <w:snapToGrid w:val="0"/>
        </w:rPr>
        <w:t>approximately 200</w:t>
      </w:r>
      <w:r w:rsidR="00421F9F">
        <w:rPr>
          <w:rFonts w:asciiTheme="minorHAnsi" w:hAnsiTheme="minorHAnsi"/>
          <w:bCs/>
          <w:snapToGrid w:val="0"/>
        </w:rPr>
        <w:t> </w:t>
      </w:r>
      <w:r w:rsidR="00FF4C27" w:rsidRPr="005E7233">
        <w:rPr>
          <w:rFonts w:asciiTheme="minorHAnsi" w:hAnsiTheme="minorHAnsi"/>
          <w:bCs/>
          <w:snapToGrid w:val="0"/>
        </w:rPr>
        <w:t>patients</w:t>
      </w:r>
      <w:r w:rsidR="002D3916" w:rsidRPr="005E7233">
        <w:rPr>
          <w:rFonts w:asciiTheme="minorHAnsi" w:hAnsiTheme="minorHAnsi"/>
          <w:bCs/>
          <w:snapToGrid w:val="0"/>
        </w:rPr>
        <w:t xml:space="preserve"> they had treated with teprotumumab</w:t>
      </w:r>
      <w:r w:rsidR="00FF4C27" w:rsidRPr="005E7233">
        <w:rPr>
          <w:rFonts w:asciiTheme="minorHAnsi" w:hAnsiTheme="minorHAnsi"/>
          <w:bCs/>
          <w:snapToGrid w:val="0"/>
        </w:rPr>
        <w:t>, 5</w:t>
      </w:r>
      <w:r w:rsidR="00FF4C27" w:rsidRPr="005E7233">
        <w:rPr>
          <w:rFonts w:asciiTheme="minorHAnsi" w:hAnsiTheme="minorHAnsi" w:cstheme="minorHAnsi"/>
          <w:bCs/>
          <w:snapToGrid w:val="0"/>
        </w:rPr>
        <w:t>−</w:t>
      </w:r>
      <w:r w:rsidR="00FF4C27" w:rsidRPr="005E7233">
        <w:rPr>
          <w:rFonts w:asciiTheme="minorHAnsi" w:hAnsiTheme="minorHAnsi"/>
          <w:bCs/>
          <w:snapToGrid w:val="0"/>
        </w:rPr>
        <w:t xml:space="preserve">10 patients had </w:t>
      </w:r>
      <w:r w:rsidR="002D3916" w:rsidRPr="005E7233">
        <w:rPr>
          <w:rFonts w:asciiTheme="minorHAnsi" w:hAnsiTheme="minorHAnsi"/>
          <w:bCs/>
          <w:snapToGrid w:val="0"/>
        </w:rPr>
        <w:t>required</w:t>
      </w:r>
      <w:r w:rsidR="00FF4C27" w:rsidRPr="005E7233">
        <w:rPr>
          <w:rFonts w:asciiTheme="minorHAnsi" w:hAnsiTheme="minorHAnsi"/>
          <w:bCs/>
          <w:snapToGrid w:val="0"/>
        </w:rPr>
        <w:t xml:space="preserve"> retreat</w:t>
      </w:r>
      <w:r w:rsidR="002D3916" w:rsidRPr="005E7233">
        <w:rPr>
          <w:rFonts w:asciiTheme="minorHAnsi" w:hAnsiTheme="minorHAnsi"/>
          <w:bCs/>
          <w:snapToGrid w:val="0"/>
        </w:rPr>
        <w:t>ment</w:t>
      </w:r>
      <w:r w:rsidRPr="005E7233">
        <w:rPr>
          <w:rFonts w:asciiTheme="minorHAnsi" w:hAnsiTheme="minorHAnsi"/>
          <w:bCs/>
          <w:snapToGrid w:val="0"/>
        </w:rPr>
        <w:t>.</w:t>
      </w:r>
      <w:r w:rsidR="003D31E2" w:rsidRPr="005E7233">
        <w:rPr>
          <w:rFonts w:asciiTheme="minorHAnsi" w:hAnsiTheme="minorHAnsi"/>
          <w:bCs/>
          <w:snapToGrid w:val="0"/>
        </w:rPr>
        <w:t xml:space="preserve"> </w:t>
      </w:r>
      <w:r w:rsidRPr="005E7233">
        <w:rPr>
          <w:rFonts w:asciiTheme="minorHAnsi" w:hAnsiTheme="minorHAnsi"/>
        </w:rPr>
        <w:t>The PBAC considered that the hearing was informative as it provided a clinical perspective on treating this uncommon disease</w:t>
      </w:r>
      <w:r w:rsidRPr="005E7233">
        <w:rPr>
          <w:rFonts w:asciiTheme="minorHAnsi" w:hAnsiTheme="minorHAnsi"/>
          <w:bCs/>
          <w:snapToGrid w:val="0"/>
        </w:rPr>
        <w:t>.</w:t>
      </w:r>
    </w:p>
    <w:bookmarkEnd w:id="33"/>
    <w:p w14:paraId="1AA3B6B8" w14:textId="77777777" w:rsidR="00AE70AE" w:rsidRPr="005E7233" w:rsidRDefault="00AE70AE" w:rsidP="00E84B7D">
      <w:pPr>
        <w:pStyle w:val="4-SubsectionHeading"/>
      </w:pPr>
      <w:r w:rsidRPr="005E7233">
        <w:t>Consumer comments</w:t>
      </w:r>
    </w:p>
    <w:p w14:paraId="686F2DE6" w14:textId="3289FDE3" w:rsidR="009023C6" w:rsidRPr="005E7233" w:rsidRDefault="00AE70AE">
      <w:pPr>
        <w:pStyle w:val="3-BodyText"/>
        <w:rPr>
          <w:snapToGrid w:val="0"/>
        </w:rPr>
      </w:pPr>
      <w:bookmarkStart w:id="34" w:name="_Hlk76382618"/>
      <w:r w:rsidRPr="005E7233">
        <w:rPr>
          <w:snapToGrid w:val="0"/>
        </w:rPr>
        <w:t>The PBAC noted and welcomed the input from individuals (</w:t>
      </w:r>
      <w:r w:rsidR="003B64FD" w:rsidRPr="005E7233">
        <w:rPr>
          <w:snapToGrid w:val="0"/>
        </w:rPr>
        <w:t>11</w:t>
      </w:r>
      <w:r w:rsidRPr="005E7233">
        <w:rPr>
          <w:snapToGrid w:val="0"/>
        </w:rPr>
        <w:t>), health care professionals (1</w:t>
      </w:r>
      <w:r w:rsidR="003B64FD" w:rsidRPr="005E7233">
        <w:rPr>
          <w:snapToGrid w:val="0"/>
        </w:rPr>
        <w:t>4</w:t>
      </w:r>
      <w:r w:rsidRPr="005E7233">
        <w:rPr>
          <w:snapToGrid w:val="0"/>
        </w:rPr>
        <w:t>) and organisations (</w:t>
      </w:r>
      <w:r w:rsidR="00E33B80" w:rsidRPr="005E7233">
        <w:rPr>
          <w:snapToGrid w:val="0"/>
        </w:rPr>
        <w:t xml:space="preserve">5) </w:t>
      </w:r>
      <w:r w:rsidRPr="005E7233">
        <w:rPr>
          <w:snapToGrid w:val="0"/>
        </w:rPr>
        <w:t>via the Consumer Comments facility on the PBS website.</w:t>
      </w:r>
    </w:p>
    <w:p w14:paraId="4EAB6519" w14:textId="33B2BD79" w:rsidR="007F7736" w:rsidRPr="005E7233" w:rsidRDefault="00AE70AE">
      <w:pPr>
        <w:pStyle w:val="3-BodyText"/>
        <w:rPr>
          <w:snapToGrid w:val="0"/>
        </w:rPr>
      </w:pPr>
      <w:r w:rsidRPr="005E7233">
        <w:rPr>
          <w:snapToGrid w:val="0"/>
        </w:rPr>
        <w:t xml:space="preserve">The </w:t>
      </w:r>
      <w:r w:rsidR="00594B02" w:rsidRPr="005E7233">
        <w:rPr>
          <w:snapToGrid w:val="0"/>
        </w:rPr>
        <w:t xml:space="preserve">health </w:t>
      </w:r>
      <w:r w:rsidR="00B076FE" w:rsidRPr="005E7233">
        <w:rPr>
          <w:snapToGrid w:val="0"/>
        </w:rPr>
        <w:t xml:space="preserve">care </w:t>
      </w:r>
      <w:r w:rsidR="00594B02" w:rsidRPr="005E7233">
        <w:rPr>
          <w:snapToGrid w:val="0"/>
        </w:rPr>
        <w:t>professionals</w:t>
      </w:r>
      <w:r w:rsidR="00EA3510" w:rsidRPr="005E7233">
        <w:rPr>
          <w:snapToGrid w:val="0"/>
        </w:rPr>
        <w:t xml:space="preserve"> </w:t>
      </w:r>
      <w:r w:rsidR="00B076FE" w:rsidRPr="005E7233">
        <w:rPr>
          <w:snapToGrid w:val="0"/>
        </w:rPr>
        <w:t xml:space="preserve">(HCPs) </w:t>
      </w:r>
      <w:r w:rsidR="00CD0F5F" w:rsidRPr="005E7233">
        <w:rPr>
          <w:snapToGrid w:val="0"/>
        </w:rPr>
        <w:t xml:space="preserve">noted there was an unmet </w:t>
      </w:r>
      <w:r w:rsidR="00C76904" w:rsidRPr="005E7233">
        <w:rPr>
          <w:snapToGrid w:val="0"/>
        </w:rPr>
        <w:t>clinical</w:t>
      </w:r>
      <w:r w:rsidR="00CD0F5F" w:rsidRPr="005E7233">
        <w:rPr>
          <w:snapToGrid w:val="0"/>
        </w:rPr>
        <w:t xml:space="preserve"> need for </w:t>
      </w:r>
      <w:r w:rsidR="00811F36" w:rsidRPr="005E7233">
        <w:rPr>
          <w:snapToGrid w:val="0"/>
        </w:rPr>
        <w:t xml:space="preserve">effective and </w:t>
      </w:r>
      <w:r w:rsidR="00C76904" w:rsidRPr="005E7233">
        <w:rPr>
          <w:snapToGrid w:val="0"/>
        </w:rPr>
        <w:t>disease specific</w:t>
      </w:r>
      <w:r w:rsidR="00D01542" w:rsidRPr="005E7233">
        <w:rPr>
          <w:snapToGrid w:val="0"/>
        </w:rPr>
        <w:t xml:space="preserve"> therapies for patients with TED in Australia. The HCPs </w:t>
      </w:r>
      <w:r w:rsidR="00B076FE" w:rsidRPr="005E7233">
        <w:rPr>
          <w:snapToGrid w:val="0"/>
        </w:rPr>
        <w:t xml:space="preserve">commented on the clinical benefits associated with </w:t>
      </w:r>
      <w:r w:rsidR="00D53767" w:rsidRPr="005E7233">
        <w:rPr>
          <w:snapToGrid w:val="0"/>
        </w:rPr>
        <w:t xml:space="preserve">teprotumumab over current </w:t>
      </w:r>
      <w:r w:rsidR="00206C5D" w:rsidRPr="005E7233">
        <w:rPr>
          <w:snapToGrid w:val="0"/>
        </w:rPr>
        <w:t>SOC</w:t>
      </w:r>
      <w:r w:rsidR="009629F4" w:rsidRPr="005E7233">
        <w:rPr>
          <w:snapToGrid w:val="0"/>
        </w:rPr>
        <w:t xml:space="preserve">, noting that teprotumumab targeted the underlying </w:t>
      </w:r>
      <w:r w:rsidR="00C7459C" w:rsidRPr="005E7233">
        <w:rPr>
          <w:snapToGrid w:val="0"/>
        </w:rPr>
        <w:t>pathophysiology</w:t>
      </w:r>
      <w:r w:rsidR="009629F4" w:rsidRPr="005E7233">
        <w:rPr>
          <w:snapToGrid w:val="0"/>
        </w:rPr>
        <w:t xml:space="preserve"> of TED</w:t>
      </w:r>
      <w:r w:rsidR="00317589" w:rsidRPr="005E7233">
        <w:rPr>
          <w:snapToGrid w:val="0"/>
        </w:rPr>
        <w:t>, and that</w:t>
      </w:r>
      <w:r w:rsidR="00146C16" w:rsidRPr="005E7233">
        <w:rPr>
          <w:snapToGrid w:val="0"/>
        </w:rPr>
        <w:t xml:space="preserve"> </w:t>
      </w:r>
      <w:r w:rsidR="001D09D1" w:rsidRPr="005E7233">
        <w:rPr>
          <w:snapToGrid w:val="0"/>
        </w:rPr>
        <w:t xml:space="preserve">based on the clinical trial evidence, </w:t>
      </w:r>
      <w:r w:rsidR="00146C16" w:rsidRPr="005E7233">
        <w:rPr>
          <w:snapToGrid w:val="0"/>
        </w:rPr>
        <w:t xml:space="preserve">teprotumumab </w:t>
      </w:r>
      <w:r w:rsidR="00C7459C" w:rsidRPr="005E7233">
        <w:rPr>
          <w:snapToGrid w:val="0"/>
        </w:rPr>
        <w:t xml:space="preserve">was </w:t>
      </w:r>
      <w:r w:rsidR="006C4CAD" w:rsidRPr="005E7233">
        <w:rPr>
          <w:snapToGrid w:val="0"/>
        </w:rPr>
        <w:t>associated with</w:t>
      </w:r>
      <w:r w:rsidR="001616F1" w:rsidRPr="005E7233">
        <w:rPr>
          <w:snapToGrid w:val="0"/>
        </w:rPr>
        <w:t xml:space="preserve"> </w:t>
      </w:r>
      <w:r w:rsidR="00A56FD5" w:rsidRPr="005E7233">
        <w:rPr>
          <w:snapToGrid w:val="0"/>
        </w:rPr>
        <w:t xml:space="preserve">significant improvements in CAS, </w:t>
      </w:r>
      <w:r w:rsidR="006C4CAD" w:rsidRPr="005E7233">
        <w:rPr>
          <w:snapToGrid w:val="0"/>
        </w:rPr>
        <w:t>proptosis</w:t>
      </w:r>
      <w:r w:rsidR="00A56FD5" w:rsidRPr="005E7233">
        <w:rPr>
          <w:snapToGrid w:val="0"/>
        </w:rPr>
        <w:t>,</w:t>
      </w:r>
      <w:r w:rsidR="006C4CAD" w:rsidRPr="005E7233">
        <w:rPr>
          <w:snapToGrid w:val="0"/>
        </w:rPr>
        <w:t xml:space="preserve"> and diplopia</w:t>
      </w:r>
      <w:r w:rsidR="00A56FD5" w:rsidRPr="005E7233">
        <w:rPr>
          <w:snapToGrid w:val="0"/>
        </w:rPr>
        <w:t xml:space="preserve"> versus SOC</w:t>
      </w:r>
      <w:r w:rsidR="00146C16" w:rsidRPr="005E7233">
        <w:rPr>
          <w:snapToGrid w:val="0"/>
        </w:rPr>
        <w:t xml:space="preserve"> and would likely lead to a reduction in</w:t>
      </w:r>
      <w:r w:rsidR="002D7845" w:rsidRPr="005E7233">
        <w:rPr>
          <w:snapToGrid w:val="0"/>
        </w:rPr>
        <w:t xml:space="preserve"> vision loss and</w:t>
      </w:r>
      <w:r w:rsidR="00146C16" w:rsidRPr="005E7233">
        <w:rPr>
          <w:snapToGrid w:val="0"/>
        </w:rPr>
        <w:t xml:space="preserve"> the need for</w:t>
      </w:r>
      <w:r w:rsidR="00683929" w:rsidRPr="005E7233">
        <w:rPr>
          <w:snapToGrid w:val="0"/>
        </w:rPr>
        <w:t xml:space="preserve"> continuous steroid use and</w:t>
      </w:r>
      <w:r w:rsidR="00146C16" w:rsidRPr="005E7233">
        <w:rPr>
          <w:snapToGrid w:val="0"/>
        </w:rPr>
        <w:t xml:space="preserve"> </w:t>
      </w:r>
      <w:r w:rsidR="00317589" w:rsidRPr="005E7233">
        <w:rPr>
          <w:snapToGrid w:val="0"/>
        </w:rPr>
        <w:t xml:space="preserve">invasive </w:t>
      </w:r>
      <w:r w:rsidR="00146C16" w:rsidRPr="005E7233">
        <w:rPr>
          <w:snapToGrid w:val="0"/>
        </w:rPr>
        <w:t>surger</w:t>
      </w:r>
      <w:r w:rsidR="00317589" w:rsidRPr="005E7233">
        <w:rPr>
          <w:snapToGrid w:val="0"/>
        </w:rPr>
        <w:t>ies</w:t>
      </w:r>
      <w:r w:rsidR="006C4CAD" w:rsidRPr="005E7233">
        <w:rPr>
          <w:snapToGrid w:val="0"/>
        </w:rPr>
        <w:t>.</w:t>
      </w:r>
      <w:r w:rsidR="000337CF" w:rsidRPr="005E7233">
        <w:rPr>
          <w:snapToGrid w:val="0"/>
        </w:rPr>
        <w:t xml:space="preserve"> </w:t>
      </w:r>
      <w:r w:rsidR="00AF7131" w:rsidRPr="005E7233">
        <w:rPr>
          <w:snapToGrid w:val="0"/>
        </w:rPr>
        <w:t xml:space="preserve">The HCPs also </w:t>
      </w:r>
      <w:r w:rsidR="000F1248" w:rsidRPr="005E7233">
        <w:rPr>
          <w:snapToGrid w:val="0"/>
        </w:rPr>
        <w:t>considered treatment with teprotumumab would be associated with</w:t>
      </w:r>
      <w:r w:rsidR="0020358B" w:rsidRPr="005E7233">
        <w:rPr>
          <w:snapToGrid w:val="0"/>
        </w:rPr>
        <w:t xml:space="preserve"> a number of</w:t>
      </w:r>
      <w:r w:rsidR="00AF7131" w:rsidRPr="005E7233">
        <w:rPr>
          <w:snapToGrid w:val="0"/>
        </w:rPr>
        <w:t xml:space="preserve"> </w:t>
      </w:r>
      <w:r w:rsidR="00410479" w:rsidRPr="005E7233">
        <w:rPr>
          <w:snapToGrid w:val="0"/>
        </w:rPr>
        <w:t>quality-of-life</w:t>
      </w:r>
      <w:r w:rsidR="00AF7131" w:rsidRPr="005E7233">
        <w:rPr>
          <w:snapToGrid w:val="0"/>
        </w:rPr>
        <w:t xml:space="preserve"> benefits</w:t>
      </w:r>
      <w:r w:rsidR="00AA6CBE" w:rsidRPr="005E7233">
        <w:rPr>
          <w:snapToGrid w:val="0"/>
        </w:rPr>
        <w:t xml:space="preserve"> and</w:t>
      </w:r>
      <w:r w:rsidR="0008331B" w:rsidRPr="005E7233">
        <w:rPr>
          <w:snapToGrid w:val="0"/>
        </w:rPr>
        <w:t xml:space="preserve"> </w:t>
      </w:r>
      <w:r w:rsidR="00F666C9" w:rsidRPr="005E7233">
        <w:rPr>
          <w:snapToGrid w:val="0"/>
        </w:rPr>
        <w:t>enabl</w:t>
      </w:r>
      <w:r w:rsidR="00AA6CBE" w:rsidRPr="005E7233">
        <w:rPr>
          <w:snapToGrid w:val="0"/>
        </w:rPr>
        <w:t>e</w:t>
      </w:r>
      <w:r w:rsidR="00F666C9" w:rsidRPr="005E7233">
        <w:rPr>
          <w:snapToGrid w:val="0"/>
        </w:rPr>
        <w:t xml:space="preserve"> </w:t>
      </w:r>
      <w:r w:rsidR="000F1248" w:rsidRPr="005E7233">
        <w:rPr>
          <w:snapToGrid w:val="0"/>
        </w:rPr>
        <w:t xml:space="preserve">patients to </w:t>
      </w:r>
      <w:r w:rsidR="00AA6CBE" w:rsidRPr="005E7233">
        <w:rPr>
          <w:snapToGrid w:val="0"/>
        </w:rPr>
        <w:t xml:space="preserve">better </w:t>
      </w:r>
      <w:r w:rsidR="0008331B" w:rsidRPr="005E7233">
        <w:rPr>
          <w:snapToGrid w:val="0"/>
        </w:rPr>
        <w:t xml:space="preserve">engage </w:t>
      </w:r>
      <w:r w:rsidR="008D4A58" w:rsidRPr="005E7233">
        <w:rPr>
          <w:snapToGrid w:val="0"/>
        </w:rPr>
        <w:t xml:space="preserve">in their </w:t>
      </w:r>
      <w:r w:rsidR="0008331B" w:rsidRPr="005E7233">
        <w:rPr>
          <w:snapToGrid w:val="0"/>
        </w:rPr>
        <w:t>routine</w:t>
      </w:r>
      <w:r w:rsidR="008D4A58" w:rsidRPr="005E7233">
        <w:rPr>
          <w:snapToGrid w:val="0"/>
        </w:rPr>
        <w:t xml:space="preserve"> daily activities. </w:t>
      </w:r>
      <w:r w:rsidR="000337CF" w:rsidRPr="005E7233">
        <w:rPr>
          <w:snapToGrid w:val="0"/>
        </w:rPr>
        <w:t xml:space="preserve">The HCPs </w:t>
      </w:r>
      <w:r w:rsidR="00F84182" w:rsidRPr="005E7233">
        <w:rPr>
          <w:snapToGrid w:val="0"/>
        </w:rPr>
        <w:t xml:space="preserve">noted that teprotumumab was </w:t>
      </w:r>
      <w:r w:rsidR="00F51D45" w:rsidRPr="005E7233">
        <w:rPr>
          <w:snapToGrid w:val="0"/>
        </w:rPr>
        <w:t>generally well-tolerated</w:t>
      </w:r>
      <w:r w:rsidR="00F84182" w:rsidRPr="005E7233">
        <w:rPr>
          <w:snapToGrid w:val="0"/>
        </w:rPr>
        <w:t xml:space="preserve"> </w:t>
      </w:r>
      <w:r w:rsidR="003C0DF6" w:rsidRPr="005E7233">
        <w:rPr>
          <w:snapToGrid w:val="0"/>
        </w:rPr>
        <w:t>and considered th</w:t>
      </w:r>
      <w:r w:rsidR="00FB084B" w:rsidRPr="005E7233">
        <w:rPr>
          <w:snapToGrid w:val="0"/>
        </w:rPr>
        <w:t xml:space="preserve">at </w:t>
      </w:r>
      <w:r w:rsidR="006904D3" w:rsidRPr="005E7233">
        <w:rPr>
          <w:snapToGrid w:val="0"/>
        </w:rPr>
        <w:t>side effects</w:t>
      </w:r>
      <w:r w:rsidR="00383537" w:rsidRPr="005E7233">
        <w:rPr>
          <w:snapToGrid w:val="0"/>
        </w:rPr>
        <w:t xml:space="preserve"> </w:t>
      </w:r>
      <w:r w:rsidR="00035A9A" w:rsidRPr="005E7233">
        <w:rPr>
          <w:snapToGrid w:val="0"/>
        </w:rPr>
        <w:t>could</w:t>
      </w:r>
      <w:r w:rsidR="00FD144F" w:rsidRPr="005E7233">
        <w:rPr>
          <w:snapToGrid w:val="0"/>
        </w:rPr>
        <w:t xml:space="preserve"> be</w:t>
      </w:r>
      <w:r w:rsidR="006904D3" w:rsidRPr="005E7233">
        <w:rPr>
          <w:snapToGrid w:val="0"/>
        </w:rPr>
        <w:t xml:space="preserve"> </w:t>
      </w:r>
      <w:r w:rsidR="00BF204E" w:rsidRPr="005E7233">
        <w:rPr>
          <w:snapToGrid w:val="0"/>
        </w:rPr>
        <w:t>managed</w:t>
      </w:r>
      <w:r w:rsidR="006904D3" w:rsidRPr="005E7233">
        <w:rPr>
          <w:snapToGrid w:val="0"/>
        </w:rPr>
        <w:t xml:space="preserve"> </w:t>
      </w:r>
      <w:r w:rsidR="00BF204E" w:rsidRPr="005E7233">
        <w:rPr>
          <w:snapToGrid w:val="0"/>
        </w:rPr>
        <w:t>through</w:t>
      </w:r>
      <w:r w:rsidR="006904D3" w:rsidRPr="005E7233">
        <w:rPr>
          <w:snapToGrid w:val="0"/>
        </w:rPr>
        <w:t xml:space="preserve"> careful screening and monitoring. </w:t>
      </w:r>
    </w:p>
    <w:p w14:paraId="1912A963" w14:textId="4C9C72AD" w:rsidR="00831912" w:rsidRPr="005E7233" w:rsidRDefault="00424685" w:rsidP="00243ED8">
      <w:pPr>
        <w:pStyle w:val="3-BodyText"/>
        <w:rPr>
          <w:snapToGrid w:val="0"/>
        </w:rPr>
      </w:pPr>
      <w:r w:rsidRPr="005E7233">
        <w:rPr>
          <w:snapToGrid w:val="0"/>
        </w:rPr>
        <w:t xml:space="preserve">The individuals who commented comprised of </w:t>
      </w:r>
      <w:r w:rsidR="00717F82" w:rsidRPr="005E7233">
        <w:rPr>
          <w:snapToGrid w:val="0"/>
        </w:rPr>
        <w:t>TED patients</w:t>
      </w:r>
      <w:r w:rsidR="00EF6BDE" w:rsidRPr="005E7233">
        <w:rPr>
          <w:snapToGrid w:val="0"/>
        </w:rPr>
        <w:t xml:space="preserve"> who would like access to teprotumumab (10) and </w:t>
      </w:r>
      <w:r w:rsidR="0089262C" w:rsidRPr="005E7233">
        <w:rPr>
          <w:snapToGrid w:val="0"/>
        </w:rPr>
        <w:t>1 other interested individual.</w:t>
      </w:r>
      <w:r w:rsidRPr="005E7233">
        <w:rPr>
          <w:snapToGrid w:val="0"/>
        </w:rPr>
        <w:t xml:space="preserve"> </w:t>
      </w:r>
      <w:r w:rsidR="00BB1370" w:rsidRPr="005E7233">
        <w:rPr>
          <w:snapToGrid w:val="0"/>
        </w:rPr>
        <w:t xml:space="preserve">The comments from individuals </w:t>
      </w:r>
      <w:r w:rsidR="003C3186" w:rsidRPr="005E7233">
        <w:rPr>
          <w:snapToGrid w:val="0"/>
        </w:rPr>
        <w:t>emphasised</w:t>
      </w:r>
      <w:r w:rsidR="00F730CA" w:rsidRPr="005E7233">
        <w:rPr>
          <w:snapToGrid w:val="0"/>
        </w:rPr>
        <w:t xml:space="preserve"> the high burden of disease and suffering associated with TED. </w:t>
      </w:r>
      <w:r w:rsidR="009F2F7A" w:rsidRPr="005E7233">
        <w:rPr>
          <w:snapToGrid w:val="0"/>
        </w:rPr>
        <w:t>The comments</w:t>
      </w:r>
      <w:r w:rsidR="00832E30" w:rsidRPr="005E7233">
        <w:rPr>
          <w:snapToGrid w:val="0"/>
        </w:rPr>
        <w:t xml:space="preserve"> </w:t>
      </w:r>
      <w:r w:rsidR="008E2510" w:rsidRPr="005E7233">
        <w:rPr>
          <w:snapToGrid w:val="0"/>
        </w:rPr>
        <w:t>described</w:t>
      </w:r>
      <w:r w:rsidR="000D6F04" w:rsidRPr="005E7233">
        <w:rPr>
          <w:snapToGrid w:val="0"/>
        </w:rPr>
        <w:t xml:space="preserve"> the</w:t>
      </w:r>
      <w:r w:rsidR="00D645D5" w:rsidRPr="005E7233">
        <w:rPr>
          <w:snapToGrid w:val="0"/>
        </w:rPr>
        <w:t xml:space="preserve"> </w:t>
      </w:r>
      <w:r w:rsidR="009F2F7A" w:rsidRPr="005E7233">
        <w:rPr>
          <w:snapToGrid w:val="0"/>
        </w:rPr>
        <w:t>symptoms experienced</w:t>
      </w:r>
      <w:r w:rsidR="000D6F04" w:rsidRPr="005E7233">
        <w:rPr>
          <w:snapToGrid w:val="0"/>
        </w:rPr>
        <w:t xml:space="preserve"> and how it impacted on their daily lives</w:t>
      </w:r>
      <w:r w:rsidR="008E2510" w:rsidRPr="005E7233">
        <w:rPr>
          <w:snapToGrid w:val="0"/>
        </w:rPr>
        <w:t>,</w:t>
      </w:r>
      <w:r w:rsidR="00D72C98" w:rsidRPr="005E7233">
        <w:rPr>
          <w:snapToGrid w:val="0"/>
        </w:rPr>
        <w:t xml:space="preserve"> </w:t>
      </w:r>
      <w:r w:rsidR="00412E49" w:rsidRPr="005E7233">
        <w:rPr>
          <w:snapToGrid w:val="0"/>
        </w:rPr>
        <w:t xml:space="preserve">including ocular motility issues and double vision prevention the ability to work </w:t>
      </w:r>
      <w:r w:rsidR="000D6F04" w:rsidRPr="005E7233">
        <w:rPr>
          <w:snapToGrid w:val="0"/>
        </w:rPr>
        <w:t xml:space="preserve">effectively, particularly </w:t>
      </w:r>
      <w:r w:rsidR="00412E49" w:rsidRPr="005E7233">
        <w:rPr>
          <w:snapToGrid w:val="0"/>
        </w:rPr>
        <w:t xml:space="preserve">on screens, and </w:t>
      </w:r>
      <w:r w:rsidR="000870C5" w:rsidRPr="005E7233">
        <w:rPr>
          <w:snapToGrid w:val="0"/>
        </w:rPr>
        <w:t xml:space="preserve">lid retraction, proptosis and dry eye </w:t>
      </w:r>
      <w:r w:rsidR="000870C5" w:rsidRPr="005E7233">
        <w:rPr>
          <w:snapToGrid w:val="0"/>
        </w:rPr>
        <w:lastRenderedPageBreak/>
        <w:t xml:space="preserve">preventing individuals from keeping </w:t>
      </w:r>
      <w:r w:rsidR="00741BDB" w:rsidRPr="005E7233">
        <w:rPr>
          <w:snapToGrid w:val="0"/>
        </w:rPr>
        <w:t>their eyes open for extended periods without pain and watering.</w:t>
      </w:r>
      <w:r w:rsidR="00290AC2" w:rsidRPr="005E7233">
        <w:rPr>
          <w:snapToGrid w:val="0"/>
        </w:rPr>
        <w:t xml:space="preserve"> Individuals </w:t>
      </w:r>
      <w:r w:rsidR="003374E3" w:rsidRPr="005E7233">
        <w:rPr>
          <w:snapToGrid w:val="0"/>
        </w:rPr>
        <w:t xml:space="preserve">emphasised </w:t>
      </w:r>
      <w:r w:rsidR="000E6A8B" w:rsidRPr="005E7233">
        <w:rPr>
          <w:snapToGrid w:val="0"/>
        </w:rPr>
        <w:t xml:space="preserve">that the </w:t>
      </w:r>
      <w:r w:rsidR="0091350F" w:rsidRPr="005E7233">
        <w:rPr>
          <w:snapToGrid w:val="0"/>
        </w:rPr>
        <w:t xml:space="preserve">symptoms experienced severely impacted on </w:t>
      </w:r>
      <w:r w:rsidR="00A442B6" w:rsidRPr="005E7233">
        <w:rPr>
          <w:snapToGrid w:val="0"/>
        </w:rPr>
        <w:t>their</w:t>
      </w:r>
      <w:r w:rsidR="0091350F" w:rsidRPr="005E7233">
        <w:rPr>
          <w:snapToGrid w:val="0"/>
        </w:rPr>
        <w:t xml:space="preserve"> ability to work</w:t>
      </w:r>
      <w:r w:rsidR="00A442B6" w:rsidRPr="005E7233">
        <w:rPr>
          <w:snapToGrid w:val="0"/>
        </w:rPr>
        <w:t>,</w:t>
      </w:r>
      <w:r w:rsidR="0091350F" w:rsidRPr="005E7233">
        <w:rPr>
          <w:snapToGrid w:val="0"/>
        </w:rPr>
        <w:t xml:space="preserve"> </w:t>
      </w:r>
      <w:r w:rsidR="001D5CD4" w:rsidRPr="005E7233">
        <w:rPr>
          <w:snapToGrid w:val="0"/>
        </w:rPr>
        <w:t xml:space="preserve">exercise, </w:t>
      </w:r>
      <w:r w:rsidR="0091350F" w:rsidRPr="005E7233">
        <w:rPr>
          <w:snapToGrid w:val="0"/>
        </w:rPr>
        <w:t xml:space="preserve">socialise, </w:t>
      </w:r>
      <w:r w:rsidR="00B60034" w:rsidRPr="005E7233">
        <w:rPr>
          <w:snapToGrid w:val="0"/>
        </w:rPr>
        <w:t xml:space="preserve">and partake in their usual </w:t>
      </w:r>
      <w:r w:rsidR="000B1815" w:rsidRPr="005E7233">
        <w:rPr>
          <w:snapToGrid w:val="0"/>
        </w:rPr>
        <w:t xml:space="preserve">activities and </w:t>
      </w:r>
      <w:r w:rsidR="00B60034" w:rsidRPr="005E7233">
        <w:rPr>
          <w:snapToGrid w:val="0"/>
        </w:rPr>
        <w:t xml:space="preserve">hobbies, </w:t>
      </w:r>
      <w:r w:rsidR="0091350F" w:rsidRPr="005E7233">
        <w:rPr>
          <w:snapToGrid w:val="0"/>
        </w:rPr>
        <w:t xml:space="preserve">which severely affected </w:t>
      </w:r>
      <w:r w:rsidR="007D70C1" w:rsidRPr="005E7233">
        <w:rPr>
          <w:snapToGrid w:val="0"/>
        </w:rPr>
        <w:t>their psychological wellbeing.</w:t>
      </w:r>
      <w:r w:rsidR="00B01C78" w:rsidRPr="005E7233">
        <w:rPr>
          <w:snapToGrid w:val="0"/>
        </w:rPr>
        <w:t xml:space="preserve"> </w:t>
      </w:r>
      <w:r w:rsidR="008D79E3" w:rsidRPr="005E7233">
        <w:rPr>
          <w:snapToGrid w:val="0"/>
        </w:rPr>
        <w:t xml:space="preserve">Individuals also noted they required </w:t>
      </w:r>
      <w:r w:rsidR="00FF7D29" w:rsidRPr="005E7233">
        <w:rPr>
          <w:snapToGrid w:val="0"/>
        </w:rPr>
        <w:t xml:space="preserve">assistance </w:t>
      </w:r>
      <w:r w:rsidR="00527399" w:rsidRPr="005E7233">
        <w:rPr>
          <w:snapToGrid w:val="0"/>
        </w:rPr>
        <w:t xml:space="preserve">with </w:t>
      </w:r>
      <w:r w:rsidR="00C63ED4" w:rsidRPr="005E7233">
        <w:rPr>
          <w:snapToGrid w:val="0"/>
        </w:rPr>
        <w:t xml:space="preserve">essential </w:t>
      </w:r>
      <w:r w:rsidR="00527399" w:rsidRPr="005E7233">
        <w:rPr>
          <w:snapToGrid w:val="0"/>
        </w:rPr>
        <w:t xml:space="preserve">everyday activities, such as reading, </w:t>
      </w:r>
      <w:r w:rsidR="000B1815" w:rsidRPr="005E7233">
        <w:rPr>
          <w:snapToGrid w:val="0"/>
        </w:rPr>
        <w:t xml:space="preserve">driving, </w:t>
      </w:r>
      <w:r w:rsidR="00527399" w:rsidRPr="005E7233">
        <w:rPr>
          <w:snapToGrid w:val="0"/>
        </w:rPr>
        <w:t>shopping, and cooking.</w:t>
      </w:r>
      <w:r w:rsidR="007D70C1" w:rsidRPr="005E7233">
        <w:rPr>
          <w:snapToGrid w:val="0"/>
        </w:rPr>
        <w:t xml:space="preserve"> </w:t>
      </w:r>
      <w:r w:rsidR="00FB6291" w:rsidRPr="005E7233">
        <w:rPr>
          <w:snapToGrid w:val="0"/>
        </w:rPr>
        <w:t xml:space="preserve">Individuals </w:t>
      </w:r>
      <w:r w:rsidR="00527399" w:rsidRPr="005E7233">
        <w:rPr>
          <w:snapToGrid w:val="0"/>
        </w:rPr>
        <w:t xml:space="preserve">also </w:t>
      </w:r>
      <w:r w:rsidR="007D22C0" w:rsidRPr="005E7233">
        <w:rPr>
          <w:snapToGrid w:val="0"/>
        </w:rPr>
        <w:t>noted the challenges posed</w:t>
      </w:r>
      <w:r w:rsidR="00FB6291" w:rsidRPr="005E7233">
        <w:rPr>
          <w:snapToGrid w:val="0"/>
        </w:rPr>
        <w:t xml:space="preserve"> </w:t>
      </w:r>
      <w:r w:rsidR="00D6249C" w:rsidRPr="005E7233">
        <w:rPr>
          <w:snapToGrid w:val="0"/>
        </w:rPr>
        <w:t xml:space="preserve">by what was </w:t>
      </w:r>
      <w:r w:rsidR="000E283D" w:rsidRPr="005E7233">
        <w:rPr>
          <w:snapToGrid w:val="0"/>
        </w:rPr>
        <w:t>described as a fragmented</w:t>
      </w:r>
      <w:r w:rsidR="00D6249C" w:rsidRPr="005E7233">
        <w:rPr>
          <w:snapToGrid w:val="0"/>
        </w:rPr>
        <w:t xml:space="preserve"> </w:t>
      </w:r>
      <w:r w:rsidR="00DE5A09" w:rsidRPr="005E7233">
        <w:rPr>
          <w:snapToGrid w:val="0"/>
        </w:rPr>
        <w:t xml:space="preserve">treatment </w:t>
      </w:r>
      <w:r w:rsidR="002C116F" w:rsidRPr="005E7233">
        <w:rPr>
          <w:snapToGrid w:val="0"/>
        </w:rPr>
        <w:t>landscape</w:t>
      </w:r>
      <w:r w:rsidR="00DE5A09" w:rsidRPr="005E7233">
        <w:rPr>
          <w:snapToGrid w:val="0"/>
        </w:rPr>
        <w:t xml:space="preserve"> in Australia, </w:t>
      </w:r>
      <w:r w:rsidR="00D6249C" w:rsidRPr="005E7233">
        <w:rPr>
          <w:snapToGrid w:val="0"/>
        </w:rPr>
        <w:t xml:space="preserve">noting that </w:t>
      </w:r>
      <w:r w:rsidR="00401A0D" w:rsidRPr="005E7233">
        <w:rPr>
          <w:snapToGrid w:val="0"/>
        </w:rPr>
        <w:t xml:space="preserve">consultations with multiple medical </w:t>
      </w:r>
      <w:r w:rsidR="001C5B6E" w:rsidRPr="005E7233">
        <w:rPr>
          <w:snapToGrid w:val="0"/>
        </w:rPr>
        <w:t>professionals</w:t>
      </w:r>
      <w:r w:rsidR="00401A0D" w:rsidRPr="005E7233">
        <w:rPr>
          <w:snapToGrid w:val="0"/>
        </w:rPr>
        <w:t xml:space="preserve"> had led to </w:t>
      </w:r>
      <w:r w:rsidR="00456FB9" w:rsidRPr="005E7233">
        <w:rPr>
          <w:snapToGrid w:val="0"/>
        </w:rPr>
        <w:t xml:space="preserve">a </w:t>
      </w:r>
      <w:r w:rsidR="00EC1523" w:rsidRPr="005E7233">
        <w:rPr>
          <w:snapToGrid w:val="0"/>
        </w:rPr>
        <w:t>differen</w:t>
      </w:r>
      <w:r w:rsidR="00456FB9" w:rsidRPr="005E7233">
        <w:rPr>
          <w:snapToGrid w:val="0"/>
        </w:rPr>
        <w:t>ce in</w:t>
      </w:r>
      <w:r w:rsidR="00EC1523" w:rsidRPr="005E7233">
        <w:rPr>
          <w:snapToGrid w:val="0"/>
        </w:rPr>
        <w:t xml:space="preserve"> opinion and </w:t>
      </w:r>
      <w:r w:rsidR="001C5B6E" w:rsidRPr="005E7233">
        <w:rPr>
          <w:snapToGrid w:val="0"/>
        </w:rPr>
        <w:t xml:space="preserve">suboptimal outcomes. </w:t>
      </w:r>
      <w:r w:rsidR="00723942" w:rsidRPr="005E7233">
        <w:rPr>
          <w:snapToGrid w:val="0"/>
        </w:rPr>
        <w:t>Individuals also noted that the cost of teprotumumab was currently a significant barrier to treatment and considered that the listing of teprotumumab on the PBS would ensure equitable access to treatment.</w:t>
      </w:r>
    </w:p>
    <w:p w14:paraId="22172D9C" w14:textId="77777777" w:rsidR="005B3972" w:rsidRPr="005E7233" w:rsidRDefault="00E25113" w:rsidP="005B3972">
      <w:pPr>
        <w:pStyle w:val="3-BodyText"/>
        <w:rPr>
          <w:snapToGrid w:val="0"/>
        </w:rPr>
      </w:pPr>
      <w:r w:rsidRPr="005E7233">
        <w:rPr>
          <w:snapToGrid w:val="0"/>
        </w:rPr>
        <w:t xml:space="preserve">The PBAC noted </w:t>
      </w:r>
      <w:r w:rsidR="00A753D6" w:rsidRPr="005E7233">
        <w:rPr>
          <w:snapToGrid w:val="0"/>
        </w:rPr>
        <w:t xml:space="preserve">advice received from the Australian and New Zealand Strabismus Society (ANZSS), the Australia and New Zealand Society of Ophthalmic Plastic Surgeons </w:t>
      </w:r>
      <w:r w:rsidR="009558A0" w:rsidRPr="005E7233">
        <w:rPr>
          <w:snapToGrid w:val="0"/>
        </w:rPr>
        <w:t>(</w:t>
      </w:r>
      <w:r w:rsidR="00A753D6" w:rsidRPr="005E7233">
        <w:rPr>
          <w:snapToGrid w:val="0"/>
        </w:rPr>
        <w:t>ANZSOPS</w:t>
      </w:r>
      <w:r w:rsidR="009558A0" w:rsidRPr="005E7233">
        <w:rPr>
          <w:snapToGrid w:val="0"/>
        </w:rPr>
        <w:t>)</w:t>
      </w:r>
      <w:r w:rsidR="00A753D6" w:rsidRPr="005E7233">
        <w:rPr>
          <w:snapToGrid w:val="0"/>
        </w:rPr>
        <w:t xml:space="preserve">, </w:t>
      </w:r>
      <w:r w:rsidR="009558A0" w:rsidRPr="005E7233">
        <w:rPr>
          <w:snapToGrid w:val="0"/>
        </w:rPr>
        <w:t xml:space="preserve">the </w:t>
      </w:r>
      <w:r w:rsidR="00A753D6" w:rsidRPr="005E7233">
        <w:rPr>
          <w:snapToGrid w:val="0"/>
        </w:rPr>
        <w:t xml:space="preserve">International Thyroid Eye Disease Society, </w:t>
      </w:r>
      <w:r w:rsidR="009558A0" w:rsidRPr="005E7233">
        <w:rPr>
          <w:snapToGrid w:val="0"/>
        </w:rPr>
        <w:t xml:space="preserve">the </w:t>
      </w:r>
      <w:r w:rsidR="00A753D6" w:rsidRPr="005E7233">
        <w:rPr>
          <w:snapToGrid w:val="0"/>
        </w:rPr>
        <w:t xml:space="preserve">Global Healthy Living Foundation Australia, and </w:t>
      </w:r>
      <w:r w:rsidR="009558A0" w:rsidRPr="005E7233">
        <w:rPr>
          <w:snapToGrid w:val="0"/>
        </w:rPr>
        <w:t xml:space="preserve">the </w:t>
      </w:r>
      <w:r w:rsidR="00A753D6" w:rsidRPr="005E7233">
        <w:rPr>
          <w:snapToGrid w:val="0"/>
        </w:rPr>
        <w:t>Australian Thyroid Foundation</w:t>
      </w:r>
      <w:r w:rsidR="00501207" w:rsidRPr="005E7233">
        <w:rPr>
          <w:snapToGrid w:val="0"/>
        </w:rPr>
        <w:t xml:space="preserve">, </w:t>
      </w:r>
      <w:r w:rsidR="00BC0E64" w:rsidRPr="005E7233">
        <w:rPr>
          <w:snapToGrid w:val="0"/>
        </w:rPr>
        <w:t>support</w:t>
      </w:r>
      <w:r w:rsidR="005B3972" w:rsidRPr="005E7233">
        <w:rPr>
          <w:snapToGrid w:val="0"/>
        </w:rPr>
        <w:t>ing</w:t>
      </w:r>
      <w:r w:rsidR="00BC0E64" w:rsidRPr="005E7233">
        <w:rPr>
          <w:snapToGrid w:val="0"/>
        </w:rPr>
        <w:t xml:space="preserve"> the PBS listing of teprotumu</w:t>
      </w:r>
      <w:r w:rsidR="008B5C21" w:rsidRPr="005E7233">
        <w:rPr>
          <w:snapToGrid w:val="0"/>
        </w:rPr>
        <w:t>m</w:t>
      </w:r>
      <w:r w:rsidR="00BC0E64" w:rsidRPr="005E7233">
        <w:rPr>
          <w:snapToGrid w:val="0"/>
        </w:rPr>
        <w:t>a</w:t>
      </w:r>
      <w:r w:rsidR="008B5C21" w:rsidRPr="005E7233">
        <w:rPr>
          <w:snapToGrid w:val="0"/>
        </w:rPr>
        <w:t>b</w:t>
      </w:r>
      <w:r w:rsidR="00BC0E64" w:rsidRPr="005E7233">
        <w:rPr>
          <w:snapToGrid w:val="0"/>
        </w:rPr>
        <w:t xml:space="preserve"> for the treatment of </w:t>
      </w:r>
      <w:r w:rsidR="00CF69FE" w:rsidRPr="005E7233">
        <w:rPr>
          <w:snapToGrid w:val="0"/>
        </w:rPr>
        <w:t xml:space="preserve">active </w:t>
      </w:r>
      <w:r w:rsidR="00BC0E64" w:rsidRPr="005E7233">
        <w:rPr>
          <w:snapToGrid w:val="0"/>
        </w:rPr>
        <w:t>MS TED</w:t>
      </w:r>
      <w:r w:rsidR="009558A0" w:rsidRPr="005E7233">
        <w:rPr>
          <w:snapToGrid w:val="0"/>
        </w:rPr>
        <w:t>.</w:t>
      </w:r>
    </w:p>
    <w:p w14:paraId="29977148" w14:textId="279CF0E6" w:rsidR="00DA7A5B" w:rsidRPr="005E7233" w:rsidRDefault="00570929" w:rsidP="005B3972">
      <w:pPr>
        <w:pStyle w:val="3-BodyText"/>
        <w:rPr>
          <w:snapToGrid w:val="0"/>
        </w:rPr>
      </w:pPr>
      <w:r w:rsidRPr="005E7233">
        <w:rPr>
          <w:snapToGrid w:val="0"/>
        </w:rPr>
        <w:t xml:space="preserve">The input from organisations noted that there is currently an unmet clinical need for effective and disease specific therapies for patients with active TED in Australia. Current SoC primarily focuses on the management of symptoms associated with TED; however, these therapies often yield limited clinical response, with minimal improvement in proptosis and diplopia. The input emphasised that TED is a debilitating disorder, which can lead to facial disfigurement and impaired vision, which often leads to a loss of social confidence, an inability to </w:t>
      </w:r>
      <w:r w:rsidR="00073104" w:rsidRPr="005E7233">
        <w:rPr>
          <w:snapToGrid w:val="0"/>
        </w:rPr>
        <w:t xml:space="preserve">participate in daily activities </w:t>
      </w:r>
      <w:r w:rsidRPr="005E7233">
        <w:rPr>
          <w:snapToGrid w:val="0"/>
        </w:rPr>
        <w:t xml:space="preserve">and </w:t>
      </w:r>
      <w:r w:rsidR="003E429A" w:rsidRPr="005E7233">
        <w:rPr>
          <w:snapToGrid w:val="0"/>
        </w:rPr>
        <w:t xml:space="preserve">can </w:t>
      </w:r>
      <w:r w:rsidR="00073104" w:rsidRPr="005E7233">
        <w:rPr>
          <w:snapToGrid w:val="0"/>
        </w:rPr>
        <w:t>ultimately le</w:t>
      </w:r>
      <w:r w:rsidR="003E429A" w:rsidRPr="005E7233">
        <w:rPr>
          <w:snapToGrid w:val="0"/>
        </w:rPr>
        <w:t>a</w:t>
      </w:r>
      <w:r w:rsidR="00073104" w:rsidRPr="005E7233">
        <w:rPr>
          <w:snapToGrid w:val="0"/>
        </w:rPr>
        <w:t xml:space="preserve">d to </w:t>
      </w:r>
      <w:r w:rsidRPr="005E7233">
        <w:rPr>
          <w:snapToGrid w:val="0"/>
        </w:rPr>
        <w:t xml:space="preserve">social isolation. These effects can lead to a significantly reduced quality of life and have a severe impact on the mental health of affected individuals. Input from organisations noted that based on the clinical trial evidence, treatment with teprotumumab was associated with a significant reduction in proptosis and diplopia and improvement in CAS and quality of life metrics compared to placebo, with patients reporting less eye pain, reduced double vision, and improved visual functioning. </w:t>
      </w:r>
      <w:r w:rsidR="003430A6" w:rsidRPr="005E7233">
        <w:rPr>
          <w:snapToGrid w:val="0"/>
        </w:rPr>
        <w:t xml:space="preserve">Organisations emphasised that </w:t>
      </w:r>
      <w:r w:rsidR="00A91C70" w:rsidRPr="005E7233">
        <w:rPr>
          <w:snapToGrid w:val="0"/>
        </w:rPr>
        <w:t>teprotumumab</w:t>
      </w:r>
      <w:r w:rsidR="003430A6" w:rsidRPr="005E7233">
        <w:rPr>
          <w:snapToGrid w:val="0"/>
        </w:rPr>
        <w:t xml:space="preserve"> would be a valued addition to treatment options </w:t>
      </w:r>
      <w:r w:rsidR="00A91C70" w:rsidRPr="005E7233">
        <w:rPr>
          <w:snapToGrid w:val="0"/>
        </w:rPr>
        <w:t xml:space="preserve">for TED </w:t>
      </w:r>
      <w:r w:rsidR="003430A6" w:rsidRPr="005E7233">
        <w:rPr>
          <w:snapToGrid w:val="0"/>
        </w:rPr>
        <w:t>in Australia</w:t>
      </w:r>
      <w:r w:rsidR="00A91C70" w:rsidRPr="005E7233">
        <w:rPr>
          <w:snapToGrid w:val="0"/>
        </w:rPr>
        <w:t xml:space="preserve"> and would likely represent a major step forward in delivering effective and disease-</w:t>
      </w:r>
      <w:r w:rsidR="00265917" w:rsidRPr="005E7233">
        <w:rPr>
          <w:snapToGrid w:val="0"/>
        </w:rPr>
        <w:t>modifying</w:t>
      </w:r>
      <w:r w:rsidR="00A91C70" w:rsidRPr="005E7233">
        <w:rPr>
          <w:snapToGrid w:val="0"/>
        </w:rPr>
        <w:t xml:space="preserve"> care.</w:t>
      </w:r>
    </w:p>
    <w:bookmarkEnd w:id="30"/>
    <w:bookmarkEnd w:id="34"/>
    <w:p w14:paraId="25383137" w14:textId="77777777" w:rsidR="00ED4A7B" w:rsidRPr="005E7233" w:rsidRDefault="00ED4A7B" w:rsidP="00ED4A7B">
      <w:pPr>
        <w:pStyle w:val="4-SubsectionHeading"/>
        <w:rPr>
          <w:i w:val="0"/>
        </w:rPr>
      </w:pPr>
      <w:r w:rsidRPr="005E7233">
        <w:rPr>
          <w:i w:val="0"/>
        </w:rPr>
        <w:t>Clinical studies</w:t>
      </w:r>
      <w:bookmarkEnd w:id="29"/>
      <w:bookmarkEnd w:id="31"/>
      <w:bookmarkEnd w:id="32"/>
    </w:p>
    <w:p w14:paraId="77C4D335" w14:textId="25FB7B35" w:rsidR="00ED4A7B" w:rsidRPr="005E7233" w:rsidRDefault="00ED4A7B" w:rsidP="00ED4A7B">
      <w:pPr>
        <w:pStyle w:val="3-BodyText"/>
        <w:rPr>
          <w:color w:val="0066FF"/>
        </w:rPr>
      </w:pPr>
      <w:r w:rsidRPr="005E7233">
        <w:t>The submission</w:t>
      </w:r>
      <w:r w:rsidR="00BD4194" w:rsidRPr="005E7233">
        <w:t xml:space="preserve"> </w:t>
      </w:r>
      <w:r w:rsidRPr="005E7233">
        <w:t>was based on two head-to-head trials</w:t>
      </w:r>
      <w:r w:rsidRPr="005E7233">
        <w:rPr>
          <w:color w:val="0066FF"/>
        </w:rPr>
        <w:t xml:space="preserve"> </w:t>
      </w:r>
      <w:r w:rsidRPr="005E7233">
        <w:t>comparing teprotumumab to placebo</w:t>
      </w:r>
      <w:r w:rsidR="00B7520C" w:rsidRPr="005E7233">
        <w:t>, in addition to background medication for TED</w:t>
      </w:r>
      <w:r w:rsidRPr="005E7233">
        <w:t xml:space="preserve">. TEDRV01 (n=88) enrolled patients with Graves’ disease associated with active TED. OPTIC (n=83) enrolled patients with Graves’ disease associated with active MS TED. Additionally, the OPTIC-X trial (n=51) enrolled patients who completed the 24-week double-masked treatment period of </w:t>
      </w:r>
      <w:r w:rsidR="00A02A6C" w:rsidRPr="005E7233">
        <w:t xml:space="preserve">the </w:t>
      </w:r>
      <w:r w:rsidRPr="005E7233">
        <w:t xml:space="preserve">OPTIC </w:t>
      </w:r>
      <w:r w:rsidR="00A02A6C" w:rsidRPr="005E7233">
        <w:t xml:space="preserve">trial </w:t>
      </w:r>
      <w:r w:rsidR="00BD79EE" w:rsidRPr="005E7233">
        <w:t xml:space="preserve">who </w:t>
      </w:r>
      <w:r w:rsidRPr="005E7233">
        <w:t>were either proptosis non-responders at week 24 or had relapsed during the OPTIC follow-up period. This trial was provided as supporting evidence for retreatment with teprotumumab.</w:t>
      </w:r>
    </w:p>
    <w:p w14:paraId="54E79C5A" w14:textId="16E39C0F" w:rsidR="00ED4A7B" w:rsidRPr="005E7233" w:rsidRDefault="00E91B9D" w:rsidP="00ED4A7B">
      <w:pPr>
        <w:pStyle w:val="3-BodyText"/>
        <w:rPr>
          <w:color w:val="0066FF"/>
        </w:rPr>
      </w:pPr>
      <w:r w:rsidRPr="005E7233">
        <w:lastRenderedPageBreak/>
        <w:t>A</w:t>
      </w:r>
      <w:r w:rsidR="00ED4A7B" w:rsidRPr="005E7233">
        <w:t xml:space="preserve">n unanchored matching adjusted indirect comparison (MAIC) </w:t>
      </w:r>
      <w:r w:rsidRPr="005E7233">
        <w:t xml:space="preserve">was referenced to inform the comparison </w:t>
      </w:r>
      <w:r w:rsidR="00E01E34" w:rsidRPr="005E7233">
        <w:t>o</w:t>
      </w:r>
      <w:r w:rsidR="009A73C0" w:rsidRPr="005E7233">
        <w:t>f teprotumumab to</w:t>
      </w:r>
      <w:r w:rsidRPr="005E7233">
        <w:t xml:space="preserve"> IVMP in the 1L setting</w:t>
      </w:r>
      <w:r w:rsidR="00ED4A7B" w:rsidRPr="005E7233">
        <w:rPr>
          <w:vertAlign w:val="superscript"/>
        </w:rPr>
        <w:fldChar w:fldCharType="begin"/>
      </w:r>
      <w:r w:rsidR="00ED4A7B" w:rsidRPr="005E7233">
        <w:rPr>
          <w:vertAlign w:val="superscript"/>
        </w:rPr>
        <w:instrText xml:space="preserve"> NOTEREF _Ref187679202 \h  \* MERGEFORMAT </w:instrText>
      </w:r>
      <w:r w:rsidR="00ED4A7B" w:rsidRPr="005E7233">
        <w:rPr>
          <w:vertAlign w:val="superscript"/>
        </w:rPr>
      </w:r>
      <w:r w:rsidR="00ED4A7B" w:rsidRPr="005E7233">
        <w:rPr>
          <w:vertAlign w:val="superscript"/>
        </w:rPr>
        <w:fldChar w:fldCharType="separate"/>
      </w:r>
      <w:r w:rsidR="0012101B">
        <w:rPr>
          <w:vertAlign w:val="superscript"/>
        </w:rPr>
        <w:t>14</w:t>
      </w:r>
      <w:r w:rsidR="00ED4A7B" w:rsidRPr="005E7233">
        <w:rPr>
          <w:vertAlign w:val="superscript"/>
        </w:rPr>
        <w:fldChar w:fldCharType="end"/>
      </w:r>
      <w:r w:rsidR="00ED4A7B" w:rsidRPr="005E7233">
        <w:t>. This MAIC pooled patient data from TEDRV01 and OPTIC and compared it to aggregate data from IVMP studies, adjusting for baseline differences in age, sex, and smoking status. The analysis focused on changes in proptosis and diplopia at 24 weeks for teprotumumab and 12 weeks for IVMP.</w:t>
      </w:r>
    </w:p>
    <w:p w14:paraId="0995FE85" w14:textId="134777A6" w:rsidR="00EF025D" w:rsidRPr="005E7233" w:rsidRDefault="00E927B3" w:rsidP="733957FC">
      <w:pPr>
        <w:pStyle w:val="3-BodyText"/>
        <w:rPr>
          <w:color w:val="0066FF"/>
        </w:rPr>
      </w:pPr>
      <w:r w:rsidRPr="005E7233">
        <w:t xml:space="preserve">A </w:t>
      </w:r>
      <w:r w:rsidR="00ED4A7B" w:rsidRPr="005E7233">
        <w:t>Bucher</w:t>
      </w:r>
      <w:r w:rsidRPr="005E7233">
        <w:t xml:space="preserve"> indirect treatment comparison</w:t>
      </w:r>
      <w:r w:rsidR="00ED4A7B" w:rsidRPr="005E7233">
        <w:t xml:space="preserve"> </w:t>
      </w:r>
      <w:r w:rsidRPr="005E7233">
        <w:t>(</w:t>
      </w:r>
      <w:r w:rsidR="00ED4A7B" w:rsidRPr="005E7233">
        <w:t>ITC</w:t>
      </w:r>
      <w:r w:rsidRPr="005E7233">
        <w:t>)</w:t>
      </w:r>
      <w:r w:rsidR="00ED4A7B" w:rsidRPr="005E7233">
        <w:t xml:space="preserve"> was </w:t>
      </w:r>
      <w:r w:rsidR="00E01E34" w:rsidRPr="005E7233">
        <w:t xml:space="preserve">conducted to inform the comparison of teprotumumab to </w:t>
      </w:r>
      <w:r w:rsidR="004107EB" w:rsidRPr="005E7233">
        <w:t>tocilizumab in the 2L setting</w:t>
      </w:r>
      <w:r w:rsidR="00ED4A7B" w:rsidRPr="005E7233">
        <w:t>. The submission used pooled data from the TEDRV01 and OPTIC studies and compared it to the results reported by Perez-Moreiras et al., 2018</w:t>
      </w:r>
      <w:bookmarkStart w:id="35" w:name="_Ref187679184"/>
      <w:r w:rsidR="00ED4A7B" w:rsidRPr="005E7233">
        <w:rPr>
          <w:rStyle w:val="FootnoteReference"/>
        </w:rPr>
        <w:footnoteReference w:id="14"/>
      </w:r>
      <w:bookmarkEnd w:id="35"/>
      <w:r w:rsidR="00ED4A7B" w:rsidRPr="005E7233">
        <w:t xml:space="preserve"> (n=32) using placebo as a common comparator</w:t>
      </w:r>
      <w:r w:rsidR="00EF025D" w:rsidRPr="005E7233">
        <w:t xml:space="preserve">. </w:t>
      </w:r>
    </w:p>
    <w:p w14:paraId="7A41D91B" w14:textId="77777777" w:rsidR="0012101B" w:rsidRPr="0091037A" w:rsidRDefault="00ED4A7B" w:rsidP="00702E51">
      <w:pPr>
        <w:pStyle w:val="3-BodyText"/>
      </w:pPr>
      <w:r w:rsidRPr="0091037A">
        <w:t>Details of the teprotumumab studies presented in the submission are provided in</w:t>
      </w:r>
      <w:bookmarkStart w:id="36" w:name="_Ref104803956"/>
      <w:r w:rsidR="00702E51">
        <w:t xml:space="preserve"> </w:t>
      </w:r>
      <w:r w:rsidR="00000310" w:rsidRPr="0091037A">
        <w:fldChar w:fldCharType="begin"/>
      </w:r>
      <w:r w:rsidR="00000310" w:rsidRPr="0091037A">
        <w:instrText xml:space="preserve"> REF _Ref191461032 \h </w:instrText>
      </w:r>
      <w:r w:rsidR="0066573D" w:rsidRPr="0091037A">
        <w:instrText xml:space="preserve"> \* MERGEFORMAT </w:instrText>
      </w:r>
      <w:r w:rsidR="00000310" w:rsidRPr="0091037A">
        <w:fldChar w:fldCharType="separate"/>
      </w:r>
    </w:p>
    <w:p w14:paraId="73BB50FE" w14:textId="7939E9E8" w:rsidR="00375D4B" w:rsidRPr="0091037A" w:rsidRDefault="0012101B" w:rsidP="00702E51">
      <w:pPr>
        <w:pStyle w:val="3-BodyText"/>
      </w:pPr>
      <w:r w:rsidRPr="005E7233">
        <w:t>Table</w:t>
      </w:r>
      <w:r w:rsidRPr="005E7233">
        <w:rPr>
          <w:noProof/>
        </w:rPr>
        <w:t xml:space="preserve"> </w:t>
      </w:r>
      <w:r>
        <w:rPr>
          <w:noProof/>
        </w:rPr>
        <w:t>4</w:t>
      </w:r>
      <w:r w:rsidR="00000310" w:rsidRPr="0091037A">
        <w:fldChar w:fldCharType="end"/>
      </w:r>
      <w:r w:rsidR="00000310" w:rsidRPr="0091037A">
        <w:t>.</w:t>
      </w:r>
      <w:bookmarkStart w:id="37" w:name="_Ref191461032"/>
    </w:p>
    <w:p w14:paraId="2C045252" w14:textId="54DBC0B3" w:rsidR="00ED4A7B" w:rsidRPr="005E7233" w:rsidRDefault="00ED4A7B" w:rsidP="00ED4A7B">
      <w:pPr>
        <w:pStyle w:val="TableFigureHeading"/>
        <w:widowControl w:val="0"/>
        <w:rPr>
          <w:rStyle w:val="CommentReference"/>
          <w:b/>
          <w:szCs w:val="24"/>
        </w:rPr>
      </w:pPr>
      <w:r w:rsidRPr="005E7233">
        <w:t xml:space="preserve">Table </w:t>
      </w:r>
      <w:r w:rsidR="00FB1BE3">
        <w:fldChar w:fldCharType="begin"/>
      </w:r>
      <w:r w:rsidR="00FB1BE3">
        <w:instrText xml:space="preserve"> SEQ Table \* ARABIC </w:instrText>
      </w:r>
      <w:r w:rsidR="00FB1BE3">
        <w:fldChar w:fldCharType="separate"/>
      </w:r>
      <w:r w:rsidR="0012101B">
        <w:rPr>
          <w:noProof/>
        </w:rPr>
        <w:t>4</w:t>
      </w:r>
      <w:r w:rsidR="00FB1BE3">
        <w:rPr>
          <w:noProof/>
        </w:rPr>
        <w:fldChar w:fldCharType="end"/>
      </w:r>
      <w:bookmarkEnd w:id="36"/>
      <w:bookmarkEnd w:id="37"/>
      <w:r w:rsidRPr="005E7233">
        <w:t>:</w:t>
      </w:r>
      <w:r w:rsidRPr="005E7233">
        <w:rPr>
          <w:rStyle w:val="CommentReference"/>
          <w:b/>
          <w:szCs w:val="24"/>
        </w:rPr>
        <w:t xml:space="preserve"> Key trials included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224"/>
        <w:gridCol w:w="2359"/>
      </w:tblGrid>
      <w:tr w:rsidR="00ED4A7B" w:rsidRPr="005E7233" w14:paraId="7ABFAA28" w14:textId="77777777" w:rsidTr="733957FC">
        <w:trPr>
          <w:cantSplit/>
          <w:tblHeader/>
        </w:trPr>
        <w:tc>
          <w:tcPr>
            <w:tcW w:w="795" w:type="pct"/>
            <w:vAlign w:val="center"/>
          </w:tcPr>
          <w:p w14:paraId="3CD6E89C" w14:textId="77777777" w:rsidR="00ED4A7B" w:rsidRPr="005E7233" w:rsidRDefault="00ED4A7B" w:rsidP="009C5765">
            <w:pPr>
              <w:pStyle w:val="In-tableHeading"/>
              <w:keepNext w:val="0"/>
              <w:keepLines w:val="0"/>
              <w:widowControl w:val="0"/>
              <w:jc w:val="center"/>
              <w:rPr>
                <w:lang w:val="en-AU"/>
              </w:rPr>
            </w:pPr>
            <w:r w:rsidRPr="005E7233">
              <w:rPr>
                <w:lang w:val="en-AU"/>
              </w:rPr>
              <w:t>Trial ID</w:t>
            </w:r>
          </w:p>
        </w:tc>
        <w:tc>
          <w:tcPr>
            <w:tcW w:w="2897" w:type="pct"/>
            <w:vAlign w:val="center"/>
          </w:tcPr>
          <w:p w14:paraId="1BA673D4" w14:textId="77777777" w:rsidR="00ED4A7B" w:rsidRPr="005E7233" w:rsidRDefault="00ED4A7B" w:rsidP="009C5765">
            <w:pPr>
              <w:pStyle w:val="In-tableHeading"/>
              <w:keepNext w:val="0"/>
              <w:keepLines w:val="0"/>
              <w:widowControl w:val="0"/>
              <w:rPr>
                <w:lang w:val="en-AU"/>
              </w:rPr>
            </w:pPr>
            <w:r w:rsidRPr="005E7233">
              <w:rPr>
                <w:lang w:val="en-AU"/>
              </w:rPr>
              <w:t>Protocol title/ Publication title</w:t>
            </w:r>
          </w:p>
        </w:tc>
        <w:tc>
          <w:tcPr>
            <w:tcW w:w="1308" w:type="pct"/>
            <w:vAlign w:val="center"/>
          </w:tcPr>
          <w:p w14:paraId="5BB6469C" w14:textId="77777777" w:rsidR="00ED4A7B" w:rsidRPr="005E7233" w:rsidRDefault="00ED4A7B" w:rsidP="009C5765">
            <w:pPr>
              <w:pStyle w:val="In-tableHeading"/>
              <w:keepNext w:val="0"/>
              <w:keepLines w:val="0"/>
              <w:widowControl w:val="0"/>
              <w:rPr>
                <w:lang w:val="en-AU"/>
              </w:rPr>
            </w:pPr>
            <w:r w:rsidRPr="005E7233">
              <w:rPr>
                <w:lang w:val="en-AU"/>
              </w:rPr>
              <w:t>Publication citation</w:t>
            </w:r>
          </w:p>
        </w:tc>
      </w:tr>
      <w:tr w:rsidR="00B7520C" w:rsidRPr="005E7233" w14:paraId="180C7F04" w14:textId="77777777" w:rsidTr="733957FC">
        <w:trPr>
          <w:cantSplit/>
        </w:trPr>
        <w:tc>
          <w:tcPr>
            <w:tcW w:w="5000" w:type="pct"/>
            <w:gridSpan w:val="3"/>
            <w:vAlign w:val="center"/>
          </w:tcPr>
          <w:p w14:paraId="6BC5A309" w14:textId="531BA9E1" w:rsidR="00B7520C" w:rsidRPr="005E7233" w:rsidRDefault="00B7520C" w:rsidP="009C5765">
            <w:pPr>
              <w:pStyle w:val="TableText0"/>
              <w:keepNext w:val="0"/>
              <w:keepLines w:val="0"/>
              <w:widowControl w:val="0"/>
            </w:pPr>
            <w:r w:rsidRPr="005E7233">
              <w:t>Teprotumumab vs. placebo</w:t>
            </w:r>
          </w:p>
        </w:tc>
      </w:tr>
      <w:tr w:rsidR="00ED4A7B" w:rsidRPr="005E7233" w14:paraId="41D94438" w14:textId="77777777" w:rsidTr="733957FC">
        <w:trPr>
          <w:cantSplit/>
        </w:trPr>
        <w:tc>
          <w:tcPr>
            <w:tcW w:w="795" w:type="pct"/>
            <w:vMerge w:val="restart"/>
            <w:vAlign w:val="center"/>
          </w:tcPr>
          <w:p w14:paraId="25EFB86B" w14:textId="77777777" w:rsidR="00ED4A7B" w:rsidRPr="005E7233" w:rsidRDefault="00ED4A7B" w:rsidP="009C5765">
            <w:pPr>
              <w:pStyle w:val="TableText0"/>
              <w:keepNext w:val="0"/>
              <w:keepLines w:val="0"/>
              <w:widowControl w:val="0"/>
            </w:pPr>
            <w:r w:rsidRPr="005E7233">
              <w:t>TEDRV01</w:t>
            </w:r>
          </w:p>
        </w:tc>
        <w:tc>
          <w:tcPr>
            <w:tcW w:w="2897" w:type="pct"/>
            <w:tcBorders>
              <w:bottom w:val="nil"/>
            </w:tcBorders>
            <w:vAlign w:val="center"/>
          </w:tcPr>
          <w:p w14:paraId="7882AC52" w14:textId="77777777" w:rsidR="00ED4A7B" w:rsidRPr="005E7233" w:rsidRDefault="00ED4A7B" w:rsidP="009C5765">
            <w:pPr>
              <w:pStyle w:val="TableText0"/>
              <w:keepNext w:val="0"/>
              <w:keepLines w:val="0"/>
              <w:widowControl w:val="0"/>
            </w:pPr>
            <w:r w:rsidRPr="005E7233">
              <w:t>Clinical study report: Phase 2 trial; TED01RV trial</w:t>
            </w:r>
          </w:p>
          <w:p w14:paraId="4819C29F" w14:textId="77777777" w:rsidR="00ED4A7B" w:rsidRPr="005E7233" w:rsidRDefault="00ED4A7B" w:rsidP="009C5765">
            <w:pPr>
              <w:pStyle w:val="TableText0"/>
              <w:keepNext w:val="0"/>
              <w:keepLines w:val="0"/>
              <w:widowControl w:val="0"/>
            </w:pPr>
            <w:r w:rsidRPr="005E7233">
              <w:t>A multicenter, double-masked, placebo-controlled, efficacy and Safety study of teprotumumab (HZN-001), an insulin-like growth factor-1 receptor (IGF-1R) antagonist antibody (fully human), administered every 3 weeks (Q3W) by intravenous (IV) infusion in patients suffering from active thyroid eye disease (TED)</w:t>
            </w:r>
          </w:p>
          <w:p w14:paraId="1F4C18EB" w14:textId="77777777" w:rsidR="00ED4A7B" w:rsidRPr="005E7233" w:rsidRDefault="00ED4A7B" w:rsidP="009C5765">
            <w:pPr>
              <w:pStyle w:val="TableText0"/>
              <w:keepNext w:val="0"/>
              <w:keepLines w:val="0"/>
              <w:widowControl w:val="0"/>
            </w:pPr>
          </w:p>
        </w:tc>
        <w:tc>
          <w:tcPr>
            <w:tcW w:w="1308" w:type="pct"/>
            <w:tcBorders>
              <w:bottom w:val="nil"/>
            </w:tcBorders>
            <w:vAlign w:val="center"/>
          </w:tcPr>
          <w:p w14:paraId="4564A9F7" w14:textId="77777777" w:rsidR="00ED4A7B" w:rsidRPr="005E7233" w:rsidRDefault="00ED4A7B" w:rsidP="009C5765">
            <w:pPr>
              <w:pStyle w:val="TableText0"/>
              <w:keepNext w:val="0"/>
              <w:keepLines w:val="0"/>
              <w:widowControl w:val="0"/>
              <w:rPr>
                <w:rFonts w:ascii="Times" w:hAnsi="Times"/>
              </w:rPr>
            </w:pPr>
            <w:r w:rsidRPr="005E7233">
              <w:t>21 December 2018</w:t>
            </w:r>
          </w:p>
        </w:tc>
      </w:tr>
      <w:tr w:rsidR="00ED4A7B" w:rsidRPr="005E7233" w14:paraId="6A6D4DD9" w14:textId="77777777" w:rsidTr="733957FC">
        <w:trPr>
          <w:cantSplit/>
        </w:trPr>
        <w:tc>
          <w:tcPr>
            <w:tcW w:w="795" w:type="pct"/>
            <w:vMerge/>
            <w:vAlign w:val="center"/>
          </w:tcPr>
          <w:p w14:paraId="471AE9DE" w14:textId="77777777" w:rsidR="00ED4A7B" w:rsidRPr="005E7233" w:rsidRDefault="00ED4A7B" w:rsidP="009C5765">
            <w:pPr>
              <w:pStyle w:val="TableText0"/>
              <w:keepNext w:val="0"/>
              <w:keepLines w:val="0"/>
              <w:widowControl w:val="0"/>
            </w:pPr>
          </w:p>
        </w:tc>
        <w:tc>
          <w:tcPr>
            <w:tcW w:w="2897" w:type="pct"/>
            <w:tcBorders>
              <w:top w:val="nil"/>
              <w:bottom w:val="nil"/>
            </w:tcBorders>
            <w:vAlign w:val="center"/>
          </w:tcPr>
          <w:p w14:paraId="6E8AB519" w14:textId="77777777" w:rsidR="00ED4A7B" w:rsidRPr="005E7233" w:rsidRDefault="00ED4A7B" w:rsidP="009C5765">
            <w:pPr>
              <w:pStyle w:val="TableText0"/>
              <w:keepNext w:val="0"/>
              <w:keepLines w:val="0"/>
              <w:widowControl w:val="0"/>
            </w:pPr>
            <w:r w:rsidRPr="005E7233">
              <w:t xml:space="preserve">Smith, T.J., Kahaly, G.J., Ezra, D.G., Fleming, J.C., Dailey, R.A., Tang, R.A., Harris, G.J., Antonelli, A., Salvi, M., Goldberg, R.A. and Gigantelli, J.W. Teprotumumab for thyroid-associated ophthalmopathy. </w:t>
            </w:r>
          </w:p>
          <w:p w14:paraId="5A527CE9" w14:textId="77777777" w:rsidR="00ED4A7B" w:rsidRPr="005E7233" w:rsidRDefault="00ED4A7B" w:rsidP="009C5765">
            <w:pPr>
              <w:pStyle w:val="TableText0"/>
              <w:keepNext w:val="0"/>
              <w:keepLines w:val="0"/>
              <w:widowControl w:val="0"/>
            </w:pPr>
          </w:p>
        </w:tc>
        <w:tc>
          <w:tcPr>
            <w:tcW w:w="1308" w:type="pct"/>
            <w:tcBorders>
              <w:top w:val="nil"/>
              <w:bottom w:val="nil"/>
            </w:tcBorders>
            <w:vAlign w:val="center"/>
          </w:tcPr>
          <w:p w14:paraId="298EE82A" w14:textId="77777777" w:rsidR="00ED4A7B" w:rsidRPr="005E7233" w:rsidRDefault="00ED4A7B" w:rsidP="009C5765">
            <w:pPr>
              <w:pStyle w:val="TableText0"/>
              <w:keepNext w:val="0"/>
              <w:keepLines w:val="0"/>
              <w:widowControl w:val="0"/>
            </w:pPr>
            <w:r w:rsidRPr="005E7233">
              <w:t>New England Journal of Medicine 2017; 376(18): pp.1748-1761</w:t>
            </w:r>
          </w:p>
        </w:tc>
      </w:tr>
      <w:tr w:rsidR="00ED4A7B" w:rsidRPr="005E7233" w14:paraId="46309E50" w14:textId="77777777" w:rsidTr="733957FC">
        <w:trPr>
          <w:cantSplit/>
        </w:trPr>
        <w:tc>
          <w:tcPr>
            <w:tcW w:w="795" w:type="pct"/>
            <w:vMerge/>
            <w:vAlign w:val="center"/>
          </w:tcPr>
          <w:p w14:paraId="7E507FAE" w14:textId="77777777" w:rsidR="00ED4A7B" w:rsidRPr="005E7233" w:rsidRDefault="00ED4A7B" w:rsidP="009C5765">
            <w:pPr>
              <w:pStyle w:val="TableText0"/>
              <w:keepNext w:val="0"/>
              <w:keepLines w:val="0"/>
              <w:widowControl w:val="0"/>
            </w:pPr>
          </w:p>
        </w:tc>
        <w:tc>
          <w:tcPr>
            <w:tcW w:w="2897" w:type="pct"/>
            <w:tcBorders>
              <w:top w:val="nil"/>
              <w:bottom w:val="nil"/>
            </w:tcBorders>
            <w:vAlign w:val="center"/>
          </w:tcPr>
          <w:p w14:paraId="713F2E18" w14:textId="77777777" w:rsidR="00ED4A7B" w:rsidRPr="005E7233" w:rsidRDefault="00ED4A7B" w:rsidP="009C5765">
            <w:pPr>
              <w:pStyle w:val="TableText0"/>
              <w:keepNext w:val="0"/>
              <w:keepLines w:val="0"/>
              <w:widowControl w:val="0"/>
            </w:pPr>
            <w:r w:rsidRPr="005E7233">
              <w:t xml:space="preserve">Douglas, R.S. Teprotumumab, an insulin-like growth factor-1 receptor antagonist antibody, in the treatment of active thyroid eye disease: a focus on proptosis. </w:t>
            </w:r>
          </w:p>
        </w:tc>
        <w:tc>
          <w:tcPr>
            <w:tcW w:w="1308" w:type="pct"/>
            <w:tcBorders>
              <w:top w:val="nil"/>
              <w:bottom w:val="nil"/>
            </w:tcBorders>
            <w:vAlign w:val="center"/>
          </w:tcPr>
          <w:p w14:paraId="1FD8408A" w14:textId="77777777" w:rsidR="00ED4A7B" w:rsidRPr="005E7233" w:rsidRDefault="00ED4A7B" w:rsidP="009C5765">
            <w:pPr>
              <w:pStyle w:val="TableText0"/>
              <w:keepNext w:val="0"/>
              <w:keepLines w:val="0"/>
              <w:widowControl w:val="0"/>
            </w:pPr>
            <w:r w:rsidRPr="005E7233">
              <w:t>Eye 2019; 33(2): pp.183-190.</w:t>
            </w:r>
          </w:p>
        </w:tc>
      </w:tr>
      <w:tr w:rsidR="00ED4A7B" w:rsidRPr="005E7233" w14:paraId="1184A28C" w14:textId="77777777" w:rsidTr="733957FC">
        <w:trPr>
          <w:cantSplit/>
        </w:trPr>
        <w:tc>
          <w:tcPr>
            <w:tcW w:w="795" w:type="pct"/>
            <w:vMerge/>
            <w:vAlign w:val="center"/>
          </w:tcPr>
          <w:p w14:paraId="52363509" w14:textId="77777777" w:rsidR="00ED4A7B" w:rsidRPr="005E7233" w:rsidRDefault="00ED4A7B" w:rsidP="009C5765">
            <w:pPr>
              <w:pStyle w:val="TableText0"/>
              <w:keepNext w:val="0"/>
              <w:keepLines w:val="0"/>
              <w:widowControl w:val="0"/>
            </w:pPr>
          </w:p>
        </w:tc>
        <w:tc>
          <w:tcPr>
            <w:tcW w:w="2897" w:type="pct"/>
            <w:tcBorders>
              <w:top w:val="nil"/>
              <w:bottom w:val="nil"/>
            </w:tcBorders>
            <w:vAlign w:val="center"/>
          </w:tcPr>
          <w:p w14:paraId="049D692C" w14:textId="77777777" w:rsidR="00ED4A7B" w:rsidRPr="005E7233" w:rsidRDefault="00ED4A7B" w:rsidP="009C5765">
            <w:pPr>
              <w:pStyle w:val="TableText0"/>
              <w:keepNext w:val="0"/>
              <w:keepLines w:val="0"/>
              <w:widowControl w:val="0"/>
            </w:pPr>
          </w:p>
          <w:p w14:paraId="25D87ABA" w14:textId="77777777" w:rsidR="00ED4A7B" w:rsidRPr="005E7233" w:rsidRDefault="00ED4A7B" w:rsidP="009C5765">
            <w:pPr>
              <w:pStyle w:val="TableText0"/>
              <w:keepNext w:val="0"/>
              <w:keepLines w:val="0"/>
              <w:widowControl w:val="0"/>
            </w:pPr>
            <w:r w:rsidRPr="005E7233">
              <w:t xml:space="preserve">Conference abstract: Kahaly, GJ, Douglas, R, Holt, RJ, Perdok, R, Ball, J, Smith, TJ. 48-week follow-up of a multicenter, randomized, double-masked, placebo-controlled treatment trial of teprotumumab in thyroid-associated ophthalmopathy. </w:t>
            </w:r>
          </w:p>
        </w:tc>
        <w:tc>
          <w:tcPr>
            <w:tcW w:w="1308" w:type="pct"/>
            <w:tcBorders>
              <w:top w:val="nil"/>
              <w:bottom w:val="nil"/>
            </w:tcBorders>
            <w:vAlign w:val="center"/>
          </w:tcPr>
          <w:p w14:paraId="7CE8FED1" w14:textId="77777777" w:rsidR="00ED4A7B" w:rsidRPr="005E7233" w:rsidRDefault="00ED4A7B" w:rsidP="009C5765">
            <w:pPr>
              <w:pStyle w:val="TableText0"/>
              <w:keepNext w:val="0"/>
              <w:keepLines w:val="0"/>
              <w:widowControl w:val="0"/>
            </w:pPr>
            <w:r w:rsidRPr="005E7233">
              <w:t>88th Annual Meeting of the American Thyroid Association. Thyroid® 2019; 28: P-1-A-158.</w:t>
            </w:r>
          </w:p>
        </w:tc>
      </w:tr>
      <w:tr w:rsidR="00ED4A7B" w:rsidRPr="005E7233" w14:paraId="190B15C1" w14:textId="77777777" w:rsidTr="00702E51">
        <w:trPr>
          <w:cantSplit/>
        </w:trPr>
        <w:tc>
          <w:tcPr>
            <w:tcW w:w="795" w:type="pct"/>
            <w:vMerge/>
            <w:tcBorders>
              <w:bottom w:val="single" w:sz="4" w:space="0" w:color="auto"/>
            </w:tcBorders>
            <w:vAlign w:val="center"/>
          </w:tcPr>
          <w:p w14:paraId="285C89D6" w14:textId="77777777" w:rsidR="00ED4A7B" w:rsidRPr="005E7233" w:rsidRDefault="00ED4A7B" w:rsidP="009C5765">
            <w:pPr>
              <w:pStyle w:val="TableText0"/>
              <w:keepNext w:val="0"/>
              <w:keepLines w:val="0"/>
              <w:widowControl w:val="0"/>
            </w:pPr>
          </w:p>
        </w:tc>
        <w:tc>
          <w:tcPr>
            <w:tcW w:w="2897" w:type="pct"/>
            <w:tcBorders>
              <w:top w:val="nil"/>
              <w:bottom w:val="single" w:sz="4" w:space="0" w:color="auto"/>
            </w:tcBorders>
            <w:vAlign w:val="center"/>
          </w:tcPr>
          <w:p w14:paraId="01209A55" w14:textId="77777777" w:rsidR="00ED4A7B" w:rsidRPr="005E7233" w:rsidRDefault="00ED4A7B" w:rsidP="009C5765">
            <w:pPr>
              <w:pStyle w:val="TableText0"/>
              <w:keepNext w:val="0"/>
              <w:keepLines w:val="0"/>
              <w:widowControl w:val="0"/>
            </w:pPr>
          </w:p>
          <w:p w14:paraId="5ACD5C36" w14:textId="77777777" w:rsidR="00ED4A7B" w:rsidRPr="005E7233" w:rsidRDefault="00ED4A7B" w:rsidP="009C5765">
            <w:pPr>
              <w:pStyle w:val="TableText0"/>
              <w:keepNext w:val="0"/>
              <w:keepLines w:val="0"/>
              <w:widowControl w:val="0"/>
            </w:pPr>
            <w:r w:rsidRPr="005E7233">
              <w:rPr>
                <w:rFonts w:cstheme="minorBidi"/>
              </w:rPr>
              <w:t xml:space="preserve">Kahaly G, Douglas R, Holt R, et al. SAT-554 Teprotumumab in Graves' Orbitopathy: Extended Outcome Analyses. </w:t>
            </w:r>
          </w:p>
        </w:tc>
        <w:tc>
          <w:tcPr>
            <w:tcW w:w="1308" w:type="pct"/>
            <w:tcBorders>
              <w:top w:val="nil"/>
              <w:bottom w:val="single" w:sz="4" w:space="0" w:color="auto"/>
            </w:tcBorders>
            <w:vAlign w:val="center"/>
          </w:tcPr>
          <w:p w14:paraId="13575957" w14:textId="77777777" w:rsidR="00ED4A7B" w:rsidRPr="005E7233" w:rsidRDefault="00ED4A7B" w:rsidP="009C5765">
            <w:pPr>
              <w:pStyle w:val="TableText0"/>
              <w:keepNext w:val="0"/>
              <w:keepLines w:val="0"/>
              <w:widowControl w:val="0"/>
            </w:pPr>
            <w:r w:rsidRPr="005E7233">
              <w:rPr>
                <w:rFonts w:cstheme="minorHAnsi"/>
                <w:szCs w:val="18"/>
              </w:rPr>
              <w:t xml:space="preserve">Journal of the Endocrine Society 2019; </w:t>
            </w:r>
            <w:r w:rsidRPr="005E7233">
              <w:rPr>
                <w:rFonts w:cstheme="minorHAnsi"/>
                <w:b/>
                <w:szCs w:val="18"/>
              </w:rPr>
              <w:t>3</w:t>
            </w:r>
          </w:p>
        </w:tc>
      </w:tr>
      <w:tr w:rsidR="00ED4A7B" w:rsidRPr="005E7233" w14:paraId="4C7AA3DD" w14:textId="77777777" w:rsidTr="00702E51">
        <w:trPr>
          <w:cantSplit/>
        </w:trPr>
        <w:tc>
          <w:tcPr>
            <w:tcW w:w="795" w:type="pct"/>
            <w:vMerge w:val="restart"/>
            <w:vAlign w:val="center"/>
          </w:tcPr>
          <w:p w14:paraId="594E5AF6" w14:textId="77777777" w:rsidR="00ED4A7B" w:rsidRPr="005E7233" w:rsidRDefault="00ED4A7B" w:rsidP="009C5765">
            <w:pPr>
              <w:pStyle w:val="TableText0"/>
              <w:keepNext w:val="0"/>
              <w:keepLines w:val="0"/>
              <w:widowControl w:val="0"/>
              <w:rPr>
                <w:rFonts w:ascii="Times" w:hAnsi="Times"/>
              </w:rPr>
            </w:pPr>
            <w:r w:rsidRPr="005E7233">
              <w:t>OPTIC</w:t>
            </w:r>
          </w:p>
        </w:tc>
        <w:tc>
          <w:tcPr>
            <w:tcW w:w="2897" w:type="pct"/>
            <w:tcBorders>
              <w:bottom w:val="single" w:sz="4" w:space="0" w:color="auto"/>
            </w:tcBorders>
            <w:vAlign w:val="center"/>
          </w:tcPr>
          <w:p w14:paraId="2E048502" w14:textId="77777777" w:rsidR="00ED4A7B" w:rsidRPr="005E7233" w:rsidRDefault="00ED4A7B" w:rsidP="009C5765">
            <w:pPr>
              <w:pStyle w:val="TableText0"/>
              <w:keepNext w:val="0"/>
              <w:keepLines w:val="0"/>
              <w:widowControl w:val="0"/>
            </w:pPr>
            <w:r w:rsidRPr="005E7233">
              <w:t>Clinical study report: OPTIC trial</w:t>
            </w:r>
          </w:p>
          <w:p w14:paraId="7E6F57F1" w14:textId="77777777" w:rsidR="00ED4A7B" w:rsidRPr="005E7233" w:rsidRDefault="00ED4A7B" w:rsidP="009C5765">
            <w:pPr>
              <w:pStyle w:val="TableText0"/>
              <w:keepNext w:val="0"/>
              <w:keepLines w:val="0"/>
              <w:widowControl w:val="0"/>
            </w:pPr>
            <w:r w:rsidRPr="005E7233">
              <w:t>A Phase 3, Randomized, Double-Masked, Placebo-Controlled, Parallel-Group, Multicenter Study Evaluating Teprotumumab (HZN-001) Treatment in Subjects with Active Thyroid Eye Disease</w:t>
            </w:r>
          </w:p>
          <w:p w14:paraId="108DBDED" w14:textId="77777777" w:rsidR="00ED4A7B" w:rsidRPr="005E7233" w:rsidRDefault="00ED4A7B" w:rsidP="009C5765">
            <w:pPr>
              <w:pStyle w:val="TableText0"/>
              <w:keepNext w:val="0"/>
              <w:keepLines w:val="0"/>
              <w:widowControl w:val="0"/>
              <w:rPr>
                <w:rFonts w:ascii="Times" w:hAnsi="Times"/>
              </w:rPr>
            </w:pPr>
          </w:p>
        </w:tc>
        <w:tc>
          <w:tcPr>
            <w:tcW w:w="1308" w:type="pct"/>
            <w:tcBorders>
              <w:bottom w:val="single" w:sz="4" w:space="0" w:color="auto"/>
            </w:tcBorders>
            <w:vAlign w:val="center"/>
          </w:tcPr>
          <w:p w14:paraId="28BBECDD" w14:textId="77777777" w:rsidR="00ED4A7B" w:rsidRPr="005E7233" w:rsidRDefault="00ED4A7B" w:rsidP="009C5765">
            <w:pPr>
              <w:pStyle w:val="TableText0"/>
              <w:keepNext w:val="0"/>
              <w:keepLines w:val="0"/>
              <w:widowControl w:val="0"/>
            </w:pPr>
            <w:r w:rsidRPr="005E7233">
              <w:t>24 April 2019</w:t>
            </w:r>
          </w:p>
        </w:tc>
      </w:tr>
      <w:tr w:rsidR="00ED4A7B" w:rsidRPr="005E7233" w14:paraId="1631BDDB" w14:textId="77777777" w:rsidTr="00702E51">
        <w:trPr>
          <w:cantSplit/>
        </w:trPr>
        <w:tc>
          <w:tcPr>
            <w:tcW w:w="795" w:type="pct"/>
            <w:vMerge/>
            <w:vAlign w:val="center"/>
          </w:tcPr>
          <w:p w14:paraId="17ED3D5D" w14:textId="77777777" w:rsidR="00ED4A7B" w:rsidRPr="005E7233" w:rsidRDefault="00ED4A7B" w:rsidP="009C5765">
            <w:pPr>
              <w:pStyle w:val="TableText0"/>
              <w:keepNext w:val="0"/>
              <w:keepLines w:val="0"/>
              <w:widowControl w:val="0"/>
            </w:pPr>
          </w:p>
        </w:tc>
        <w:tc>
          <w:tcPr>
            <w:tcW w:w="2897" w:type="pct"/>
            <w:tcBorders>
              <w:top w:val="single" w:sz="4" w:space="0" w:color="auto"/>
              <w:bottom w:val="nil"/>
            </w:tcBorders>
            <w:vAlign w:val="center"/>
          </w:tcPr>
          <w:p w14:paraId="0357D7BB" w14:textId="77777777" w:rsidR="00ED4A7B" w:rsidRPr="005E7233" w:rsidRDefault="00ED4A7B" w:rsidP="009C5765">
            <w:pPr>
              <w:pStyle w:val="TableText0"/>
              <w:keepNext w:val="0"/>
              <w:keepLines w:val="0"/>
              <w:widowControl w:val="0"/>
            </w:pPr>
            <w:r w:rsidRPr="005E7233">
              <w:t>Clinical Study Report Addendum (Follow-Up Period)</w:t>
            </w:r>
          </w:p>
          <w:p w14:paraId="5BFBC439" w14:textId="77777777" w:rsidR="00ED4A7B" w:rsidRPr="005E7233" w:rsidRDefault="00ED4A7B" w:rsidP="009C5765">
            <w:pPr>
              <w:pStyle w:val="TableText0"/>
              <w:keepNext w:val="0"/>
              <w:keepLines w:val="0"/>
              <w:widowControl w:val="0"/>
            </w:pPr>
            <w:r w:rsidRPr="005E7233">
              <w:t>A Phase 3, Randomized, Double-Masked, Placebo-Controlled, Parallel-Group, Multicenter Study Evaluating Teprotumumab (HZN-001) Treatment in Subjects with Active Thyroid Eye Disease</w:t>
            </w:r>
          </w:p>
          <w:p w14:paraId="64A3ADC0" w14:textId="77777777" w:rsidR="00ED4A7B" w:rsidRPr="005E7233" w:rsidRDefault="00ED4A7B" w:rsidP="009C5765">
            <w:pPr>
              <w:pStyle w:val="TableText0"/>
              <w:keepNext w:val="0"/>
              <w:keepLines w:val="0"/>
              <w:widowControl w:val="0"/>
            </w:pPr>
          </w:p>
        </w:tc>
        <w:tc>
          <w:tcPr>
            <w:tcW w:w="1308" w:type="pct"/>
            <w:tcBorders>
              <w:top w:val="single" w:sz="4" w:space="0" w:color="auto"/>
              <w:bottom w:val="nil"/>
            </w:tcBorders>
            <w:vAlign w:val="center"/>
          </w:tcPr>
          <w:p w14:paraId="764D7FEE" w14:textId="77777777" w:rsidR="00ED4A7B" w:rsidRPr="005E7233" w:rsidRDefault="00ED4A7B" w:rsidP="009C5765">
            <w:pPr>
              <w:pStyle w:val="TableText0"/>
              <w:keepNext w:val="0"/>
              <w:keepLines w:val="0"/>
              <w:widowControl w:val="0"/>
            </w:pPr>
            <w:r w:rsidRPr="005E7233">
              <w:t xml:space="preserve">03 August 2020 </w:t>
            </w:r>
          </w:p>
        </w:tc>
      </w:tr>
      <w:tr w:rsidR="00ED4A7B" w:rsidRPr="005E7233" w14:paraId="43C30E21" w14:textId="77777777" w:rsidTr="00E9542C">
        <w:trPr>
          <w:cantSplit/>
        </w:trPr>
        <w:tc>
          <w:tcPr>
            <w:tcW w:w="795" w:type="pct"/>
            <w:vMerge/>
            <w:tcBorders>
              <w:bottom w:val="single" w:sz="4" w:space="0" w:color="auto"/>
            </w:tcBorders>
            <w:vAlign w:val="center"/>
          </w:tcPr>
          <w:p w14:paraId="0D4D3FB9" w14:textId="77777777" w:rsidR="00ED4A7B" w:rsidRPr="005E7233" w:rsidRDefault="00ED4A7B" w:rsidP="009C5765">
            <w:pPr>
              <w:pStyle w:val="TableText0"/>
              <w:keepNext w:val="0"/>
              <w:keepLines w:val="0"/>
              <w:widowControl w:val="0"/>
            </w:pPr>
          </w:p>
        </w:tc>
        <w:tc>
          <w:tcPr>
            <w:tcW w:w="2897" w:type="pct"/>
            <w:tcBorders>
              <w:top w:val="nil"/>
              <w:bottom w:val="single" w:sz="4" w:space="0" w:color="auto"/>
            </w:tcBorders>
            <w:vAlign w:val="center"/>
          </w:tcPr>
          <w:p w14:paraId="6792426B" w14:textId="77777777" w:rsidR="00ED4A7B" w:rsidRPr="005E7233" w:rsidRDefault="00ED4A7B" w:rsidP="009C5765">
            <w:pPr>
              <w:pStyle w:val="TableText0"/>
              <w:keepNext w:val="0"/>
              <w:keepLines w:val="0"/>
              <w:widowControl w:val="0"/>
            </w:pPr>
            <w:r w:rsidRPr="005E7233">
              <w:t>Clinical Study Report Addendum (Follow-Up Period)</w:t>
            </w:r>
          </w:p>
          <w:p w14:paraId="710AF522" w14:textId="77777777" w:rsidR="00ED4A7B" w:rsidRPr="005E7233" w:rsidRDefault="00ED4A7B" w:rsidP="009C5765">
            <w:pPr>
              <w:pStyle w:val="TableText0"/>
              <w:keepNext w:val="0"/>
              <w:keepLines w:val="0"/>
              <w:widowControl w:val="0"/>
            </w:pPr>
            <w:r w:rsidRPr="005E7233">
              <w:t>A Phase 3, Randomized, Double-Masked, Placebo-Controlled, Parallel-Group, Multicenter Study Evaluating Teprotumumab (HZN-001) Treatment in Subjects with Active Thyroid Eye Disease</w:t>
            </w:r>
          </w:p>
        </w:tc>
        <w:tc>
          <w:tcPr>
            <w:tcW w:w="1308" w:type="pct"/>
            <w:tcBorders>
              <w:top w:val="nil"/>
              <w:bottom w:val="single" w:sz="4" w:space="0" w:color="auto"/>
            </w:tcBorders>
            <w:vAlign w:val="center"/>
          </w:tcPr>
          <w:p w14:paraId="4C6B19A1" w14:textId="77777777" w:rsidR="00ED4A7B" w:rsidRPr="005E7233" w:rsidRDefault="00ED4A7B" w:rsidP="009C5765">
            <w:pPr>
              <w:pStyle w:val="TableText0"/>
              <w:keepNext w:val="0"/>
              <w:keepLines w:val="0"/>
              <w:widowControl w:val="0"/>
              <w:rPr>
                <w:rFonts w:ascii="Times" w:hAnsi="Times"/>
              </w:rPr>
            </w:pPr>
            <w:r w:rsidRPr="005E7233">
              <w:t>18 May 2021</w:t>
            </w:r>
          </w:p>
        </w:tc>
      </w:tr>
      <w:tr w:rsidR="00ED4A7B" w:rsidRPr="005E7233" w14:paraId="10E6A745" w14:textId="77777777" w:rsidTr="00E9542C">
        <w:trPr>
          <w:cantSplit/>
        </w:trPr>
        <w:tc>
          <w:tcPr>
            <w:tcW w:w="795" w:type="pct"/>
            <w:vMerge/>
            <w:tcBorders>
              <w:top w:val="single" w:sz="4" w:space="0" w:color="auto"/>
            </w:tcBorders>
            <w:vAlign w:val="center"/>
          </w:tcPr>
          <w:p w14:paraId="2D01DD42" w14:textId="77777777" w:rsidR="00ED4A7B" w:rsidRPr="005E7233" w:rsidRDefault="00ED4A7B" w:rsidP="009C5765">
            <w:pPr>
              <w:pStyle w:val="TableText0"/>
              <w:keepNext w:val="0"/>
              <w:keepLines w:val="0"/>
              <w:widowControl w:val="0"/>
            </w:pPr>
          </w:p>
        </w:tc>
        <w:tc>
          <w:tcPr>
            <w:tcW w:w="2897" w:type="pct"/>
            <w:tcBorders>
              <w:top w:val="single" w:sz="4" w:space="0" w:color="auto"/>
              <w:bottom w:val="nil"/>
            </w:tcBorders>
            <w:vAlign w:val="center"/>
          </w:tcPr>
          <w:p w14:paraId="3B91FB94" w14:textId="77777777" w:rsidR="00ED4A7B" w:rsidRPr="005E7233" w:rsidRDefault="00ED4A7B" w:rsidP="009C5765">
            <w:pPr>
              <w:pStyle w:val="TableText0"/>
              <w:keepNext w:val="0"/>
              <w:keepLines w:val="0"/>
              <w:widowControl w:val="0"/>
            </w:pPr>
          </w:p>
          <w:p w14:paraId="6A6D24FF" w14:textId="77777777" w:rsidR="00ED4A7B" w:rsidRPr="005E7233" w:rsidRDefault="00ED4A7B" w:rsidP="009C5765">
            <w:pPr>
              <w:pStyle w:val="TableText0"/>
              <w:keepNext w:val="0"/>
              <w:keepLines w:val="0"/>
              <w:widowControl w:val="0"/>
            </w:pPr>
            <w:r w:rsidRPr="005E7233">
              <w:rPr>
                <w:rFonts w:cstheme="minorBidi"/>
              </w:rPr>
              <w:t>Douglas, R.S., Kahaly, G.J., Patel, A., Sile, S., Thompson, E.H., Perdok, R., Fleming, J.C., Fowler, B.T., Marcocci, C., Marinò, M. and Antonelli, A. Teprotumumab for the treatment of active thyroid eye disease.</w:t>
            </w:r>
          </w:p>
        </w:tc>
        <w:tc>
          <w:tcPr>
            <w:tcW w:w="1308" w:type="pct"/>
            <w:tcBorders>
              <w:top w:val="single" w:sz="4" w:space="0" w:color="auto"/>
              <w:bottom w:val="nil"/>
            </w:tcBorders>
            <w:vAlign w:val="center"/>
          </w:tcPr>
          <w:p w14:paraId="7831285E" w14:textId="77777777" w:rsidR="00ED4A7B" w:rsidRPr="005E7233" w:rsidRDefault="00ED4A7B" w:rsidP="009C5765">
            <w:pPr>
              <w:pStyle w:val="TableText0"/>
              <w:keepNext w:val="0"/>
              <w:keepLines w:val="0"/>
              <w:widowControl w:val="0"/>
            </w:pPr>
            <w:r w:rsidRPr="005E7233">
              <w:rPr>
                <w:rFonts w:cstheme="minorHAnsi"/>
                <w:szCs w:val="18"/>
              </w:rPr>
              <w:t>New England Journal of Medicine 2020; 382(4): pp.341-352</w:t>
            </w:r>
          </w:p>
        </w:tc>
      </w:tr>
      <w:tr w:rsidR="00B7520C" w:rsidRPr="005E7233" w14:paraId="4D4C3306" w14:textId="77777777" w:rsidTr="733957FC">
        <w:trPr>
          <w:cantSplit/>
        </w:trPr>
        <w:tc>
          <w:tcPr>
            <w:tcW w:w="5000" w:type="pct"/>
            <w:gridSpan w:val="3"/>
            <w:vAlign w:val="center"/>
          </w:tcPr>
          <w:p w14:paraId="4F24AEA1" w14:textId="644E33C9" w:rsidR="00B7520C" w:rsidRPr="005E7233" w:rsidRDefault="00B7520C" w:rsidP="009C5765">
            <w:pPr>
              <w:pStyle w:val="TableText0"/>
              <w:keepNext w:val="0"/>
              <w:keepLines w:val="0"/>
              <w:widowControl w:val="0"/>
              <w:rPr>
                <w:b/>
                <w:bCs w:val="0"/>
              </w:rPr>
            </w:pPr>
            <w:r w:rsidRPr="005E7233">
              <w:rPr>
                <w:b/>
                <w:bCs w:val="0"/>
              </w:rPr>
              <w:t>Teprotumumab extension study</w:t>
            </w:r>
          </w:p>
        </w:tc>
      </w:tr>
      <w:tr w:rsidR="00ED4A7B" w:rsidRPr="005E7233" w14:paraId="18B35CDA" w14:textId="77777777" w:rsidTr="733957FC">
        <w:trPr>
          <w:cantSplit/>
        </w:trPr>
        <w:tc>
          <w:tcPr>
            <w:tcW w:w="795" w:type="pct"/>
            <w:vMerge w:val="restart"/>
            <w:vAlign w:val="center"/>
          </w:tcPr>
          <w:p w14:paraId="7798BF6A" w14:textId="77777777" w:rsidR="00ED4A7B" w:rsidRPr="005E7233" w:rsidRDefault="00ED4A7B" w:rsidP="009C5765">
            <w:pPr>
              <w:pStyle w:val="TableText0"/>
              <w:keepNext w:val="0"/>
              <w:keepLines w:val="0"/>
              <w:widowControl w:val="0"/>
            </w:pPr>
            <w:r w:rsidRPr="005E7233">
              <w:t>OPTIC-X</w:t>
            </w:r>
          </w:p>
        </w:tc>
        <w:tc>
          <w:tcPr>
            <w:tcW w:w="2897" w:type="pct"/>
            <w:tcBorders>
              <w:bottom w:val="nil"/>
            </w:tcBorders>
            <w:vAlign w:val="center"/>
          </w:tcPr>
          <w:p w14:paraId="39F4493C" w14:textId="77777777" w:rsidR="00ED4A7B" w:rsidRPr="005E7233" w:rsidRDefault="00ED4A7B" w:rsidP="009C5765">
            <w:pPr>
              <w:pStyle w:val="TableText0"/>
              <w:keepNext w:val="0"/>
              <w:keepLines w:val="0"/>
              <w:widowControl w:val="0"/>
            </w:pPr>
            <w:r w:rsidRPr="005E7233">
              <w:t>Clinical study report: OPTIC-X trial</w:t>
            </w:r>
          </w:p>
          <w:p w14:paraId="6BAA42DC" w14:textId="77777777" w:rsidR="00ED4A7B" w:rsidRPr="005E7233" w:rsidRDefault="00ED4A7B" w:rsidP="009C5765">
            <w:pPr>
              <w:pStyle w:val="TableText0"/>
              <w:keepNext w:val="0"/>
              <w:keepLines w:val="0"/>
              <w:widowControl w:val="0"/>
            </w:pPr>
            <w:r w:rsidRPr="005E7233">
              <w:t>Multicenter, Safety and Efficacy, Open-label Extension Study Evaluating Teprotumumab (HZN-001) Treatment in Subjects with Thyroid Eye Disease</w:t>
            </w:r>
          </w:p>
          <w:p w14:paraId="7DD3D75F" w14:textId="77777777" w:rsidR="00ED4A7B" w:rsidRPr="005E7233" w:rsidRDefault="00ED4A7B" w:rsidP="009C5765">
            <w:pPr>
              <w:pStyle w:val="TableText0"/>
              <w:keepNext w:val="0"/>
              <w:keepLines w:val="0"/>
              <w:widowControl w:val="0"/>
              <w:rPr>
                <w:rFonts w:ascii="Times" w:hAnsi="Times"/>
              </w:rPr>
            </w:pPr>
          </w:p>
        </w:tc>
        <w:tc>
          <w:tcPr>
            <w:tcW w:w="1308" w:type="pct"/>
            <w:tcBorders>
              <w:bottom w:val="nil"/>
            </w:tcBorders>
            <w:vAlign w:val="center"/>
          </w:tcPr>
          <w:p w14:paraId="42FA559E" w14:textId="77777777" w:rsidR="00ED4A7B" w:rsidRPr="005E7233" w:rsidRDefault="00ED4A7B" w:rsidP="009C5765">
            <w:pPr>
              <w:pStyle w:val="TableText0"/>
              <w:keepNext w:val="0"/>
              <w:keepLines w:val="0"/>
              <w:widowControl w:val="0"/>
              <w:rPr>
                <w:rFonts w:ascii="Times" w:hAnsi="Times"/>
              </w:rPr>
            </w:pPr>
            <w:r w:rsidRPr="005E7233">
              <w:t>28 June 2021</w:t>
            </w:r>
          </w:p>
        </w:tc>
      </w:tr>
      <w:tr w:rsidR="00ED4A7B" w:rsidRPr="005E7233" w14:paraId="55BE87B3" w14:textId="77777777" w:rsidTr="00E9542C">
        <w:trPr>
          <w:cantSplit/>
        </w:trPr>
        <w:tc>
          <w:tcPr>
            <w:tcW w:w="795" w:type="pct"/>
            <w:vMerge/>
            <w:tcBorders>
              <w:top w:val="nil"/>
            </w:tcBorders>
            <w:vAlign w:val="center"/>
          </w:tcPr>
          <w:p w14:paraId="33FDD17E" w14:textId="77777777" w:rsidR="00ED4A7B" w:rsidRPr="005E7233" w:rsidRDefault="00ED4A7B" w:rsidP="009C5765">
            <w:pPr>
              <w:pStyle w:val="Tabletext"/>
              <w:widowControl w:val="0"/>
            </w:pPr>
          </w:p>
        </w:tc>
        <w:tc>
          <w:tcPr>
            <w:tcW w:w="2897" w:type="pct"/>
            <w:tcBorders>
              <w:top w:val="nil"/>
              <w:bottom w:val="nil"/>
            </w:tcBorders>
            <w:vAlign w:val="center"/>
          </w:tcPr>
          <w:p w14:paraId="2B5A8E64" w14:textId="77777777" w:rsidR="00ED4A7B" w:rsidRPr="005E7233" w:rsidRDefault="00ED4A7B" w:rsidP="009C5765">
            <w:pPr>
              <w:pStyle w:val="TableText0"/>
              <w:keepNext w:val="0"/>
              <w:keepLines w:val="0"/>
              <w:widowControl w:val="0"/>
            </w:pPr>
            <w:r w:rsidRPr="005E7233">
              <w:t>Clinical Study Report Addendum (follow-up period)</w:t>
            </w:r>
          </w:p>
          <w:p w14:paraId="4C154DF8" w14:textId="7073D234" w:rsidR="00ED4A7B" w:rsidRPr="005E7233" w:rsidRDefault="00ED4A7B" w:rsidP="009C5765">
            <w:pPr>
              <w:pStyle w:val="TableText0"/>
              <w:keepNext w:val="0"/>
              <w:keepLines w:val="0"/>
              <w:widowControl w:val="0"/>
            </w:pPr>
            <w:r w:rsidRPr="005E7233">
              <w:t>Multicenter, Safety and Efficacy, Open-label Extension Study Evaluating Teprotumumab (HZN-001) Treatment in Subjects with Thyroid Eye Disease (OPTIC-X)</w:t>
            </w:r>
          </w:p>
        </w:tc>
        <w:tc>
          <w:tcPr>
            <w:tcW w:w="1308" w:type="pct"/>
            <w:tcBorders>
              <w:top w:val="nil"/>
              <w:bottom w:val="nil"/>
            </w:tcBorders>
            <w:vAlign w:val="center"/>
          </w:tcPr>
          <w:p w14:paraId="685D1369" w14:textId="77777777" w:rsidR="00ED4A7B" w:rsidRPr="005E7233" w:rsidRDefault="00ED4A7B" w:rsidP="009C5765">
            <w:pPr>
              <w:pStyle w:val="TableText0"/>
              <w:keepNext w:val="0"/>
              <w:keepLines w:val="0"/>
              <w:widowControl w:val="0"/>
            </w:pPr>
            <w:r w:rsidRPr="005E7233">
              <w:t>28 June 2021</w:t>
            </w:r>
          </w:p>
        </w:tc>
      </w:tr>
      <w:tr w:rsidR="00ED4A7B" w:rsidRPr="005E7233" w14:paraId="367A0A33" w14:textId="77777777" w:rsidTr="733957FC">
        <w:trPr>
          <w:cantSplit/>
        </w:trPr>
        <w:tc>
          <w:tcPr>
            <w:tcW w:w="795" w:type="pct"/>
            <w:vMerge/>
            <w:vAlign w:val="center"/>
          </w:tcPr>
          <w:p w14:paraId="0968AEBB" w14:textId="77777777" w:rsidR="00ED4A7B" w:rsidRPr="005E7233" w:rsidRDefault="00ED4A7B" w:rsidP="009C5765">
            <w:pPr>
              <w:pStyle w:val="Tabletext"/>
              <w:widowControl w:val="0"/>
            </w:pPr>
          </w:p>
        </w:tc>
        <w:tc>
          <w:tcPr>
            <w:tcW w:w="2897" w:type="pct"/>
            <w:tcBorders>
              <w:top w:val="nil"/>
              <w:bottom w:val="single" w:sz="4" w:space="0" w:color="auto"/>
            </w:tcBorders>
            <w:vAlign w:val="center"/>
          </w:tcPr>
          <w:p w14:paraId="1003E11A" w14:textId="77777777" w:rsidR="00ED4A7B" w:rsidRPr="005E7233" w:rsidRDefault="00ED4A7B" w:rsidP="009C5765">
            <w:pPr>
              <w:pStyle w:val="TableText0"/>
              <w:keepNext w:val="0"/>
              <w:keepLines w:val="0"/>
              <w:widowControl w:val="0"/>
            </w:pPr>
            <w:r w:rsidRPr="005E7233">
              <w:rPr>
                <w:rFonts w:cstheme="minorBidi"/>
              </w:rPr>
              <w:t>Douglas, R.S., Kahaly, G.J., Ugradar, S., Elflein, H., Ponto, K.A., Fowler, B.T., Dailey, R., Harris, G.J., Schiffman, J., Tang, R. and Wester, S., 2022. Teprotumumab efficacy, safety, and durability in longer-duration thyroid eye disease and re-treatment: OPTIC-X study. </w:t>
            </w:r>
          </w:p>
        </w:tc>
        <w:tc>
          <w:tcPr>
            <w:tcW w:w="1308" w:type="pct"/>
            <w:tcBorders>
              <w:top w:val="nil"/>
              <w:bottom w:val="single" w:sz="4" w:space="0" w:color="auto"/>
            </w:tcBorders>
            <w:vAlign w:val="center"/>
          </w:tcPr>
          <w:p w14:paraId="7FDF5984" w14:textId="77777777" w:rsidR="00ED4A7B" w:rsidRPr="005E7233" w:rsidRDefault="00ED4A7B" w:rsidP="009C5765">
            <w:pPr>
              <w:pStyle w:val="TableText0"/>
              <w:keepNext w:val="0"/>
              <w:keepLines w:val="0"/>
              <w:widowControl w:val="0"/>
            </w:pPr>
            <w:r w:rsidRPr="005E7233">
              <w:rPr>
                <w:rFonts w:cstheme="minorHAnsi"/>
                <w:szCs w:val="18"/>
              </w:rPr>
              <w:t>Ophthalmology 2022; 129(4): pp.438-449.</w:t>
            </w:r>
          </w:p>
        </w:tc>
      </w:tr>
      <w:tr w:rsidR="00B7520C" w:rsidRPr="005E7233" w14:paraId="301D6CAB" w14:textId="77777777" w:rsidTr="733957FC">
        <w:trPr>
          <w:cantSplit/>
        </w:trPr>
        <w:tc>
          <w:tcPr>
            <w:tcW w:w="5000" w:type="pct"/>
            <w:gridSpan w:val="3"/>
            <w:vAlign w:val="center"/>
          </w:tcPr>
          <w:p w14:paraId="145F8927" w14:textId="75ED757F" w:rsidR="00B7520C" w:rsidRPr="005E7233" w:rsidRDefault="00B7520C" w:rsidP="009C5765">
            <w:pPr>
              <w:pStyle w:val="TableText0"/>
              <w:keepNext w:val="0"/>
              <w:keepLines w:val="0"/>
              <w:widowControl w:val="0"/>
              <w:rPr>
                <w:rFonts w:cstheme="minorHAnsi"/>
                <w:noProof/>
              </w:rPr>
            </w:pPr>
            <w:r w:rsidRPr="005E7233">
              <w:rPr>
                <w:rFonts w:cstheme="minorHAnsi"/>
                <w:noProof/>
              </w:rPr>
              <w:t>Teprotumumab vs. IVMP MAIC</w:t>
            </w:r>
          </w:p>
        </w:tc>
      </w:tr>
      <w:tr w:rsidR="00B7520C" w:rsidRPr="005E7233" w14:paraId="2E651368" w14:textId="77777777" w:rsidTr="733957FC">
        <w:trPr>
          <w:cantSplit/>
        </w:trPr>
        <w:tc>
          <w:tcPr>
            <w:tcW w:w="795" w:type="pct"/>
            <w:vAlign w:val="center"/>
          </w:tcPr>
          <w:p w14:paraId="02E61A14" w14:textId="30E03F85" w:rsidR="00B7520C" w:rsidRPr="005E7233" w:rsidRDefault="00B7520C" w:rsidP="00B7520C">
            <w:pPr>
              <w:pStyle w:val="Tabletext"/>
              <w:widowControl w:val="0"/>
            </w:pPr>
            <w:r w:rsidRPr="005E7233">
              <w:t>Douglas et al., 2022</w:t>
            </w:r>
          </w:p>
        </w:tc>
        <w:tc>
          <w:tcPr>
            <w:tcW w:w="2897" w:type="pct"/>
            <w:tcBorders>
              <w:top w:val="single" w:sz="4" w:space="0" w:color="auto"/>
              <w:bottom w:val="single" w:sz="4" w:space="0" w:color="auto"/>
            </w:tcBorders>
            <w:vAlign w:val="center"/>
          </w:tcPr>
          <w:p w14:paraId="508312AF" w14:textId="25F1AE01" w:rsidR="00B7520C" w:rsidRPr="005E7233" w:rsidRDefault="00B7520C" w:rsidP="00B7520C">
            <w:pPr>
              <w:pStyle w:val="TableText0"/>
              <w:keepNext w:val="0"/>
              <w:keepLines w:val="0"/>
              <w:widowControl w:val="0"/>
              <w:rPr>
                <w:rFonts w:cstheme="minorHAnsi"/>
                <w:szCs w:val="18"/>
              </w:rPr>
            </w:pPr>
            <w:r w:rsidRPr="005E7233">
              <w:rPr>
                <w:rFonts w:cstheme="minorHAnsi"/>
                <w:noProof/>
              </w:rPr>
              <w:t xml:space="preserve">Douglas RS, Dailey R, Subramanian PS, Barbesino G, Ugradar S, Batten R, et al. Proptosis and Diplopia Response With Teprotumumab and Placebo vs the Recommended Treatment Regimen With Intravenous Methylprednisolone in Moderate to Severe Thyroid Eye Disease: A Meta-analysis and Matching-Adjusted Indirect Comparison. </w:t>
            </w:r>
          </w:p>
        </w:tc>
        <w:tc>
          <w:tcPr>
            <w:tcW w:w="1308" w:type="pct"/>
            <w:tcBorders>
              <w:top w:val="single" w:sz="4" w:space="0" w:color="auto"/>
              <w:bottom w:val="single" w:sz="4" w:space="0" w:color="auto"/>
            </w:tcBorders>
            <w:vAlign w:val="center"/>
          </w:tcPr>
          <w:p w14:paraId="4F709DDD" w14:textId="43AD2A4A" w:rsidR="00B7520C" w:rsidRPr="005E7233" w:rsidRDefault="00B7520C" w:rsidP="00B7520C">
            <w:pPr>
              <w:pStyle w:val="TableText0"/>
              <w:keepNext w:val="0"/>
              <w:keepLines w:val="0"/>
              <w:widowControl w:val="0"/>
              <w:rPr>
                <w:rFonts w:cstheme="minorHAnsi"/>
                <w:szCs w:val="18"/>
              </w:rPr>
            </w:pPr>
            <w:r w:rsidRPr="005E7233">
              <w:rPr>
                <w:rFonts w:cstheme="minorHAnsi"/>
                <w:noProof/>
              </w:rPr>
              <w:t>JAMA OphthalmolI 2022; 140(4): pp.328-35.</w:t>
            </w:r>
          </w:p>
        </w:tc>
      </w:tr>
      <w:tr w:rsidR="00B7520C" w:rsidRPr="005E7233" w14:paraId="660B6A32" w14:textId="77777777" w:rsidTr="733957FC">
        <w:trPr>
          <w:cantSplit/>
        </w:trPr>
        <w:tc>
          <w:tcPr>
            <w:tcW w:w="5000" w:type="pct"/>
            <w:gridSpan w:val="3"/>
            <w:vAlign w:val="center"/>
          </w:tcPr>
          <w:p w14:paraId="2440D3D5" w14:textId="3A5DDC46" w:rsidR="00B7520C" w:rsidRPr="005E7233" w:rsidRDefault="00B7520C" w:rsidP="009C5765">
            <w:pPr>
              <w:pStyle w:val="TableText0"/>
              <w:keepNext w:val="0"/>
              <w:keepLines w:val="0"/>
              <w:widowControl w:val="0"/>
              <w:rPr>
                <w:rFonts w:cstheme="minorHAnsi"/>
                <w:noProof/>
              </w:rPr>
            </w:pPr>
            <w:r w:rsidRPr="005E7233">
              <w:rPr>
                <w:rFonts w:cstheme="minorHAnsi"/>
                <w:noProof/>
              </w:rPr>
              <w:t>Tocilizumab vs. placebo</w:t>
            </w:r>
          </w:p>
        </w:tc>
      </w:tr>
      <w:tr w:rsidR="00B7520C" w:rsidRPr="005E7233" w14:paraId="298E3FBB" w14:textId="77777777" w:rsidTr="733957FC">
        <w:trPr>
          <w:cantSplit/>
        </w:trPr>
        <w:tc>
          <w:tcPr>
            <w:tcW w:w="795" w:type="pct"/>
            <w:vAlign w:val="center"/>
          </w:tcPr>
          <w:p w14:paraId="76A65ABD" w14:textId="4CDD7DE5" w:rsidR="00B7520C" w:rsidRPr="005E7233" w:rsidRDefault="00B7520C" w:rsidP="00B7520C">
            <w:pPr>
              <w:pStyle w:val="Tabletext"/>
              <w:widowControl w:val="0"/>
            </w:pPr>
            <w:r w:rsidRPr="005E7233">
              <w:rPr>
                <w:rFonts w:cstheme="minorBidi"/>
              </w:rPr>
              <w:t>Perez-Moreiras et al., 2018</w:t>
            </w:r>
          </w:p>
        </w:tc>
        <w:tc>
          <w:tcPr>
            <w:tcW w:w="2897" w:type="pct"/>
            <w:tcBorders>
              <w:top w:val="single" w:sz="4" w:space="0" w:color="auto"/>
              <w:bottom w:val="single" w:sz="4" w:space="0" w:color="auto"/>
            </w:tcBorders>
            <w:vAlign w:val="center"/>
          </w:tcPr>
          <w:p w14:paraId="66F3FC52" w14:textId="68339095" w:rsidR="00B7520C" w:rsidRPr="005E7233" w:rsidRDefault="00B7520C" w:rsidP="00B7520C">
            <w:pPr>
              <w:pStyle w:val="TableText0"/>
              <w:keepNext w:val="0"/>
              <w:keepLines w:val="0"/>
              <w:widowControl w:val="0"/>
              <w:rPr>
                <w:rFonts w:cstheme="minorHAnsi"/>
                <w:szCs w:val="18"/>
              </w:rPr>
            </w:pPr>
            <w:r w:rsidRPr="005E7233">
              <w:rPr>
                <w:rFonts w:cstheme="minorHAnsi"/>
                <w:noProof/>
              </w:rPr>
              <w:t xml:space="preserve">Perez-Moreiras JV, Gomez-Reino JJ, Maneiro JR, Perez-Pampin E, Romo Lopez A, Rodríguez Alvarez FM, et al. Efficacy of Tocilizumab in Patients With Moderate-to-Severe Corticosteroid-Resistant Graves Orbitopathy: A Randomized Clinical Trial. </w:t>
            </w:r>
          </w:p>
        </w:tc>
        <w:tc>
          <w:tcPr>
            <w:tcW w:w="1308" w:type="pct"/>
            <w:tcBorders>
              <w:top w:val="single" w:sz="4" w:space="0" w:color="auto"/>
              <w:bottom w:val="single" w:sz="4" w:space="0" w:color="auto"/>
            </w:tcBorders>
            <w:vAlign w:val="center"/>
          </w:tcPr>
          <w:p w14:paraId="3923B2C7" w14:textId="1D3E8E88" w:rsidR="00B7520C" w:rsidRPr="005E7233" w:rsidRDefault="00B7520C" w:rsidP="00B7520C">
            <w:pPr>
              <w:pStyle w:val="TableText0"/>
              <w:keepNext w:val="0"/>
              <w:keepLines w:val="0"/>
              <w:widowControl w:val="0"/>
              <w:rPr>
                <w:rFonts w:cstheme="minorHAnsi"/>
                <w:szCs w:val="18"/>
              </w:rPr>
            </w:pPr>
            <w:r w:rsidRPr="005E7233">
              <w:rPr>
                <w:rFonts w:cstheme="minorHAnsi"/>
                <w:noProof/>
              </w:rPr>
              <w:t>Am J Ophthalmol 2018;195: pp.181-90.</w:t>
            </w:r>
          </w:p>
        </w:tc>
      </w:tr>
    </w:tbl>
    <w:p w14:paraId="512FAEB1" w14:textId="77777777" w:rsidR="00ED4A7B" w:rsidRPr="005E7233" w:rsidRDefault="00ED4A7B" w:rsidP="00ED4A7B">
      <w:pPr>
        <w:pStyle w:val="FooterTableFigure"/>
        <w:widowControl w:val="0"/>
      </w:pPr>
      <w:r w:rsidRPr="005E7233">
        <w:t>Source: Table 2-5, pp46 of the submission.</w:t>
      </w:r>
    </w:p>
    <w:p w14:paraId="64D6524C" w14:textId="1321A36B" w:rsidR="00B7520C" w:rsidRPr="005E7233" w:rsidRDefault="00B7520C" w:rsidP="733957FC">
      <w:pPr>
        <w:pStyle w:val="FooterTableFigure"/>
        <w:widowControl w:val="0"/>
        <w:rPr>
          <w:sz w:val="20"/>
          <w:szCs w:val="20"/>
        </w:rPr>
      </w:pPr>
      <w:r w:rsidRPr="005E7233">
        <w:t>IVMP = IV methylprednisolone; MAIC = matching adjusted indirect comparison.</w:t>
      </w:r>
    </w:p>
    <w:p w14:paraId="2D4D9A43" w14:textId="393489A2" w:rsidR="00ED4A7B" w:rsidRPr="005E7233" w:rsidRDefault="00ED4A7B" w:rsidP="733957FC">
      <w:pPr>
        <w:pStyle w:val="3-BodyText"/>
        <w:rPr>
          <w:color w:val="0066FF"/>
        </w:rPr>
      </w:pPr>
      <w:r w:rsidRPr="005E7233">
        <w:t xml:space="preserve">The key features of the direct randomised trials are summarised in </w:t>
      </w:r>
      <w:r w:rsidRPr="005E7233">
        <w:fldChar w:fldCharType="begin"/>
      </w:r>
      <w:r w:rsidRPr="005E7233">
        <w:instrText xml:space="preserve"> REF _Ref104804098 \h  \* MERGEFORMAT </w:instrText>
      </w:r>
      <w:r w:rsidRPr="005E7233">
        <w:fldChar w:fldCharType="separate"/>
      </w:r>
      <w:r w:rsidR="0012101B" w:rsidRPr="0012101B">
        <w:t>Table 5</w:t>
      </w:r>
      <w:r w:rsidRPr="005E7233">
        <w:fldChar w:fldCharType="end"/>
      </w:r>
      <w:r w:rsidRPr="005E7233">
        <w:t xml:space="preserve"> and details of the MAIC and the Bucher ITC are included in </w:t>
      </w:r>
      <w:r w:rsidRPr="005E7233">
        <w:fldChar w:fldCharType="begin"/>
      </w:r>
      <w:r w:rsidRPr="005E7233">
        <w:instrText xml:space="preserve"> REF _Ref185679682 \h </w:instrText>
      </w:r>
      <w:r w:rsidR="0066573D" w:rsidRPr="005E7233">
        <w:instrText xml:space="preserve"> \* MERGEFORMAT </w:instrText>
      </w:r>
      <w:r w:rsidRPr="005E7233">
        <w:fldChar w:fldCharType="separate"/>
      </w:r>
      <w:r w:rsidR="0012101B" w:rsidRPr="005E7233">
        <w:t xml:space="preserve">Table </w:t>
      </w:r>
      <w:r w:rsidR="0012101B">
        <w:rPr>
          <w:noProof/>
        </w:rPr>
        <w:t>6</w:t>
      </w:r>
      <w:r w:rsidRPr="005E7233">
        <w:fldChar w:fldCharType="end"/>
      </w:r>
      <w:r w:rsidRPr="005E7233">
        <w:t xml:space="preserve">. </w:t>
      </w:r>
    </w:p>
    <w:p w14:paraId="1523CDA4" w14:textId="1720D576" w:rsidR="00ED4A7B" w:rsidRPr="005E7233" w:rsidRDefault="00ED4A7B" w:rsidP="00486EF1">
      <w:pPr>
        <w:pStyle w:val="Caption"/>
        <w:rPr>
          <w:rStyle w:val="CommentReference"/>
          <w:rFonts w:eastAsiaTheme="majorEastAsia" w:cstheme="majorBidi"/>
          <w:b/>
          <w:szCs w:val="24"/>
        </w:rPr>
      </w:pPr>
      <w:bookmarkStart w:id="38" w:name="_Ref104804098"/>
      <w:r w:rsidRPr="005E7233">
        <w:rPr>
          <w:rStyle w:val="CommentReference"/>
          <w:rFonts w:eastAsiaTheme="majorEastAsia" w:cstheme="majorBidi"/>
          <w:b/>
          <w:szCs w:val="24"/>
        </w:rPr>
        <w:lastRenderedPageBreak/>
        <w:t xml:space="preserve">Table </w:t>
      </w:r>
      <w:r w:rsidRPr="005E7233">
        <w:rPr>
          <w:rStyle w:val="CommentReference"/>
          <w:rFonts w:eastAsiaTheme="majorEastAsia" w:cstheme="majorBidi"/>
          <w:b/>
          <w:szCs w:val="24"/>
        </w:rPr>
        <w:fldChar w:fldCharType="begin"/>
      </w:r>
      <w:r w:rsidRPr="005E7233">
        <w:rPr>
          <w:rStyle w:val="CommentReference"/>
          <w:rFonts w:eastAsiaTheme="majorEastAsia" w:cstheme="majorBidi"/>
          <w:b/>
          <w:szCs w:val="24"/>
        </w:rPr>
        <w:instrText xml:space="preserve"> SEQ Table \* ARABIC </w:instrText>
      </w:r>
      <w:r w:rsidRPr="005E7233">
        <w:rPr>
          <w:rStyle w:val="CommentReference"/>
          <w:rFonts w:eastAsiaTheme="majorEastAsia" w:cstheme="majorBidi"/>
          <w:b/>
          <w:szCs w:val="24"/>
        </w:rPr>
        <w:fldChar w:fldCharType="separate"/>
      </w:r>
      <w:r w:rsidR="0012101B">
        <w:rPr>
          <w:rStyle w:val="CommentReference"/>
          <w:rFonts w:eastAsiaTheme="majorEastAsia" w:cstheme="majorBidi"/>
          <w:b/>
          <w:noProof/>
          <w:szCs w:val="24"/>
        </w:rPr>
        <w:t>5</w:t>
      </w:r>
      <w:r w:rsidRPr="005E7233">
        <w:rPr>
          <w:rStyle w:val="CommentReference"/>
          <w:rFonts w:eastAsiaTheme="majorEastAsia" w:cstheme="majorBidi"/>
          <w:b/>
          <w:szCs w:val="24"/>
        </w:rPr>
        <w:fldChar w:fldCharType="end"/>
      </w:r>
      <w:bookmarkEnd w:id="38"/>
      <w:r w:rsidRPr="005E7233">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995"/>
        <w:gridCol w:w="1672"/>
        <w:gridCol w:w="1306"/>
        <w:gridCol w:w="1508"/>
      </w:tblGrid>
      <w:tr w:rsidR="00ED4A7B" w:rsidRPr="005E7233" w14:paraId="3578F158" w14:textId="77777777" w:rsidTr="00392364">
        <w:trPr>
          <w:cantSplit/>
          <w:tblHeader/>
        </w:trPr>
        <w:tc>
          <w:tcPr>
            <w:tcW w:w="713" w:type="pct"/>
            <w:shd w:val="clear" w:color="auto" w:fill="auto"/>
            <w:vAlign w:val="center"/>
          </w:tcPr>
          <w:p w14:paraId="1994C321" w14:textId="77777777" w:rsidR="00ED4A7B" w:rsidRPr="005E7233" w:rsidRDefault="00ED4A7B" w:rsidP="00486EF1">
            <w:pPr>
              <w:pStyle w:val="In-tableHeading"/>
              <w:rPr>
                <w:lang w:val="en-AU"/>
              </w:rPr>
            </w:pPr>
            <w:r w:rsidRPr="005E7233">
              <w:rPr>
                <w:lang w:val="en-AU"/>
              </w:rPr>
              <w:t>Trial</w:t>
            </w:r>
          </w:p>
        </w:tc>
        <w:tc>
          <w:tcPr>
            <w:tcW w:w="466" w:type="pct"/>
            <w:shd w:val="clear" w:color="auto" w:fill="auto"/>
            <w:vAlign w:val="center"/>
          </w:tcPr>
          <w:p w14:paraId="7B0E8574" w14:textId="77777777" w:rsidR="00ED4A7B" w:rsidRPr="005E7233" w:rsidRDefault="00ED4A7B" w:rsidP="00486EF1">
            <w:pPr>
              <w:pStyle w:val="In-tableHeading"/>
              <w:jc w:val="center"/>
              <w:rPr>
                <w:lang w:val="en-AU"/>
              </w:rPr>
            </w:pPr>
            <w:r w:rsidRPr="005E7233">
              <w:rPr>
                <w:lang w:val="en-AU"/>
              </w:rPr>
              <w:t>N</w:t>
            </w:r>
          </w:p>
        </w:tc>
        <w:tc>
          <w:tcPr>
            <w:tcW w:w="782" w:type="pct"/>
            <w:shd w:val="clear" w:color="auto" w:fill="auto"/>
            <w:vAlign w:val="center"/>
          </w:tcPr>
          <w:p w14:paraId="7722A361" w14:textId="77777777" w:rsidR="00ED4A7B" w:rsidRPr="005E7233" w:rsidRDefault="00ED4A7B" w:rsidP="00486EF1">
            <w:pPr>
              <w:pStyle w:val="In-tableHeading"/>
              <w:jc w:val="center"/>
              <w:rPr>
                <w:lang w:val="en-AU"/>
              </w:rPr>
            </w:pPr>
            <w:r w:rsidRPr="005E7233">
              <w:rPr>
                <w:lang w:val="en-AU"/>
              </w:rPr>
              <w:t>Design/ duration</w:t>
            </w:r>
          </w:p>
        </w:tc>
        <w:tc>
          <w:tcPr>
            <w:tcW w:w="552" w:type="pct"/>
            <w:shd w:val="clear" w:color="auto" w:fill="auto"/>
            <w:vAlign w:val="center"/>
          </w:tcPr>
          <w:p w14:paraId="06E2C457" w14:textId="77777777" w:rsidR="00ED4A7B" w:rsidRPr="005E7233" w:rsidRDefault="00ED4A7B" w:rsidP="00486EF1">
            <w:pPr>
              <w:pStyle w:val="In-tableHeading"/>
              <w:jc w:val="center"/>
              <w:rPr>
                <w:lang w:val="en-AU"/>
              </w:rPr>
            </w:pPr>
            <w:r w:rsidRPr="005E7233">
              <w:rPr>
                <w:lang w:val="en-AU"/>
              </w:rPr>
              <w:t>Risk of bias</w:t>
            </w:r>
          </w:p>
        </w:tc>
        <w:tc>
          <w:tcPr>
            <w:tcW w:w="927" w:type="pct"/>
            <w:shd w:val="clear" w:color="auto" w:fill="auto"/>
            <w:vAlign w:val="center"/>
          </w:tcPr>
          <w:p w14:paraId="4492FA13" w14:textId="77777777" w:rsidR="00ED4A7B" w:rsidRPr="005E7233" w:rsidRDefault="00ED4A7B" w:rsidP="00486EF1">
            <w:pPr>
              <w:pStyle w:val="In-tableHeading"/>
              <w:jc w:val="center"/>
              <w:rPr>
                <w:lang w:val="en-AU"/>
              </w:rPr>
            </w:pPr>
            <w:r w:rsidRPr="005E7233">
              <w:rPr>
                <w:lang w:val="en-AU"/>
              </w:rPr>
              <w:t>Patient population</w:t>
            </w:r>
          </w:p>
        </w:tc>
        <w:tc>
          <w:tcPr>
            <w:tcW w:w="724" w:type="pct"/>
            <w:shd w:val="clear" w:color="auto" w:fill="auto"/>
            <w:vAlign w:val="center"/>
          </w:tcPr>
          <w:p w14:paraId="559074C8" w14:textId="77777777" w:rsidR="00ED4A7B" w:rsidRPr="005E7233" w:rsidRDefault="00ED4A7B" w:rsidP="00486EF1">
            <w:pPr>
              <w:pStyle w:val="In-tableHeading"/>
              <w:jc w:val="center"/>
              <w:rPr>
                <w:lang w:val="en-AU"/>
              </w:rPr>
            </w:pPr>
            <w:r w:rsidRPr="005E7233">
              <w:rPr>
                <w:lang w:val="en-AU"/>
              </w:rPr>
              <w:t>Outcome(s)</w:t>
            </w:r>
          </w:p>
        </w:tc>
        <w:tc>
          <w:tcPr>
            <w:tcW w:w="837" w:type="pct"/>
            <w:shd w:val="clear" w:color="auto" w:fill="auto"/>
            <w:vAlign w:val="center"/>
          </w:tcPr>
          <w:p w14:paraId="21DCFA3E" w14:textId="77777777" w:rsidR="00ED4A7B" w:rsidRPr="005E7233" w:rsidRDefault="00ED4A7B" w:rsidP="00486EF1">
            <w:pPr>
              <w:pStyle w:val="In-tableHeading"/>
              <w:jc w:val="center"/>
              <w:rPr>
                <w:lang w:val="en-AU"/>
              </w:rPr>
            </w:pPr>
            <w:r w:rsidRPr="005E7233">
              <w:rPr>
                <w:lang w:val="en-AU"/>
              </w:rPr>
              <w:t>Use in modelled evaluation</w:t>
            </w:r>
          </w:p>
        </w:tc>
      </w:tr>
      <w:tr w:rsidR="00ED4A7B" w:rsidRPr="005E7233" w14:paraId="63A5EE38" w14:textId="77777777" w:rsidTr="009C5765">
        <w:trPr>
          <w:cantSplit/>
        </w:trPr>
        <w:tc>
          <w:tcPr>
            <w:tcW w:w="5000" w:type="pct"/>
            <w:gridSpan w:val="7"/>
            <w:shd w:val="clear" w:color="auto" w:fill="auto"/>
            <w:vAlign w:val="center"/>
          </w:tcPr>
          <w:p w14:paraId="7BCF881E" w14:textId="77777777" w:rsidR="00ED4A7B" w:rsidRPr="005E7233" w:rsidRDefault="00ED4A7B" w:rsidP="00486EF1">
            <w:pPr>
              <w:pStyle w:val="In-tableHeading"/>
              <w:rPr>
                <w:lang w:val="en-AU"/>
              </w:rPr>
            </w:pPr>
            <w:r w:rsidRPr="005E7233">
              <w:rPr>
                <w:lang w:val="en-AU"/>
              </w:rPr>
              <w:t>Teprotumumab vs placebo</w:t>
            </w:r>
          </w:p>
        </w:tc>
      </w:tr>
      <w:tr w:rsidR="00ED4A7B" w:rsidRPr="005E7233" w14:paraId="354CA3C9" w14:textId="77777777" w:rsidTr="00392364">
        <w:trPr>
          <w:cantSplit/>
        </w:trPr>
        <w:tc>
          <w:tcPr>
            <w:tcW w:w="713" w:type="pct"/>
            <w:shd w:val="clear" w:color="auto" w:fill="auto"/>
            <w:vAlign w:val="center"/>
          </w:tcPr>
          <w:p w14:paraId="6FB0B5FA" w14:textId="77777777" w:rsidR="00ED4A7B" w:rsidRPr="005E7233" w:rsidRDefault="00ED4A7B" w:rsidP="00486EF1">
            <w:pPr>
              <w:pStyle w:val="TableText0"/>
            </w:pPr>
            <w:r w:rsidRPr="005E7233">
              <w:t>TEDRV01</w:t>
            </w:r>
          </w:p>
        </w:tc>
        <w:tc>
          <w:tcPr>
            <w:tcW w:w="466" w:type="pct"/>
            <w:shd w:val="clear" w:color="auto" w:fill="auto"/>
            <w:vAlign w:val="center"/>
          </w:tcPr>
          <w:p w14:paraId="69423DA4" w14:textId="77777777" w:rsidR="00ED4A7B" w:rsidRPr="005E7233" w:rsidRDefault="00ED4A7B" w:rsidP="00486EF1">
            <w:pPr>
              <w:pStyle w:val="TableText0"/>
              <w:jc w:val="center"/>
            </w:pPr>
            <w:r w:rsidRPr="005E7233">
              <w:t>88</w:t>
            </w:r>
          </w:p>
        </w:tc>
        <w:tc>
          <w:tcPr>
            <w:tcW w:w="782" w:type="pct"/>
            <w:shd w:val="clear" w:color="auto" w:fill="auto"/>
            <w:vAlign w:val="center"/>
          </w:tcPr>
          <w:p w14:paraId="2D43A64E" w14:textId="77777777" w:rsidR="00ED4A7B" w:rsidRPr="005E7233" w:rsidRDefault="00ED4A7B" w:rsidP="00486EF1">
            <w:pPr>
              <w:pStyle w:val="TableText0"/>
              <w:jc w:val="center"/>
            </w:pPr>
            <w:r w:rsidRPr="005E7233">
              <w:t>MC, R, DB</w:t>
            </w:r>
          </w:p>
          <w:p w14:paraId="174FBD21" w14:textId="77777777" w:rsidR="00ED4A7B" w:rsidRPr="005E7233" w:rsidRDefault="00ED4A7B" w:rsidP="00486EF1">
            <w:pPr>
              <w:pStyle w:val="TableText0"/>
              <w:jc w:val="center"/>
            </w:pPr>
            <w:r w:rsidRPr="005E7233">
              <w:t>24 weeks</w:t>
            </w:r>
          </w:p>
        </w:tc>
        <w:tc>
          <w:tcPr>
            <w:tcW w:w="552" w:type="pct"/>
            <w:shd w:val="clear" w:color="auto" w:fill="auto"/>
            <w:vAlign w:val="center"/>
          </w:tcPr>
          <w:p w14:paraId="691756B4" w14:textId="77777777" w:rsidR="00ED4A7B" w:rsidRPr="005E7233" w:rsidRDefault="00ED4A7B" w:rsidP="00486EF1">
            <w:pPr>
              <w:pStyle w:val="TableText0"/>
              <w:jc w:val="center"/>
            </w:pPr>
            <w:r w:rsidRPr="005E7233">
              <w:t>Low</w:t>
            </w:r>
          </w:p>
        </w:tc>
        <w:tc>
          <w:tcPr>
            <w:tcW w:w="927" w:type="pct"/>
            <w:shd w:val="clear" w:color="auto" w:fill="auto"/>
            <w:vAlign w:val="center"/>
          </w:tcPr>
          <w:p w14:paraId="3F662EAD" w14:textId="77777777" w:rsidR="00ED4A7B" w:rsidRPr="005E7233" w:rsidRDefault="00ED4A7B" w:rsidP="00486EF1">
            <w:pPr>
              <w:pStyle w:val="TableText0"/>
              <w:jc w:val="center"/>
            </w:pPr>
            <w:r w:rsidRPr="005E7233">
              <w:rPr>
                <w:rFonts w:cstheme="minorHAnsi"/>
                <w:szCs w:val="18"/>
              </w:rPr>
              <w:t>Patients with Graves’ disease associated with active TED</w:t>
            </w:r>
          </w:p>
        </w:tc>
        <w:tc>
          <w:tcPr>
            <w:tcW w:w="724" w:type="pct"/>
            <w:shd w:val="clear" w:color="auto" w:fill="auto"/>
            <w:vAlign w:val="center"/>
          </w:tcPr>
          <w:p w14:paraId="4E198348" w14:textId="77777777" w:rsidR="00ED4A7B" w:rsidRPr="005E7233" w:rsidRDefault="00ED4A7B" w:rsidP="00486EF1">
            <w:pPr>
              <w:pStyle w:val="TableText0"/>
              <w:jc w:val="center"/>
            </w:pPr>
            <w:r w:rsidRPr="005E7233">
              <w:t>Overall responder rate</w:t>
            </w:r>
          </w:p>
          <w:p w14:paraId="43CE323B" w14:textId="77777777" w:rsidR="00ED4A7B" w:rsidRPr="005E7233" w:rsidRDefault="00ED4A7B" w:rsidP="00486EF1">
            <w:pPr>
              <w:pStyle w:val="TableText0"/>
              <w:jc w:val="center"/>
            </w:pPr>
            <w:r w:rsidRPr="005E7233">
              <w:t>CAS</w:t>
            </w:r>
          </w:p>
          <w:p w14:paraId="5869C970" w14:textId="77777777" w:rsidR="00ED4A7B" w:rsidRPr="005E7233" w:rsidRDefault="00ED4A7B" w:rsidP="00486EF1">
            <w:pPr>
              <w:pStyle w:val="TableText0"/>
              <w:jc w:val="center"/>
            </w:pPr>
            <w:r w:rsidRPr="005E7233">
              <w:t>GO-QOL</w:t>
            </w:r>
          </w:p>
          <w:p w14:paraId="6D61BCE1" w14:textId="77777777" w:rsidR="00ED4A7B" w:rsidRPr="005E7233" w:rsidRDefault="00ED4A7B" w:rsidP="00486EF1">
            <w:pPr>
              <w:pStyle w:val="TableText0"/>
              <w:jc w:val="center"/>
            </w:pPr>
            <w:r w:rsidRPr="005E7233">
              <w:t>safety</w:t>
            </w:r>
          </w:p>
        </w:tc>
        <w:tc>
          <w:tcPr>
            <w:tcW w:w="837" w:type="pct"/>
            <w:shd w:val="clear" w:color="auto" w:fill="auto"/>
            <w:vAlign w:val="center"/>
          </w:tcPr>
          <w:p w14:paraId="5997F2DB" w14:textId="77777777" w:rsidR="00ED4A7B" w:rsidRPr="005E7233" w:rsidRDefault="00ED4A7B" w:rsidP="00486EF1">
            <w:pPr>
              <w:pStyle w:val="TableText0"/>
              <w:jc w:val="center"/>
            </w:pPr>
            <w:r w:rsidRPr="005E7233">
              <w:t>Used</w:t>
            </w:r>
          </w:p>
        </w:tc>
      </w:tr>
      <w:tr w:rsidR="00ED4A7B" w:rsidRPr="005E7233" w14:paraId="45035369" w14:textId="77777777" w:rsidTr="00392364">
        <w:trPr>
          <w:cantSplit/>
        </w:trPr>
        <w:tc>
          <w:tcPr>
            <w:tcW w:w="713" w:type="pct"/>
            <w:shd w:val="clear" w:color="auto" w:fill="auto"/>
            <w:vAlign w:val="center"/>
          </w:tcPr>
          <w:p w14:paraId="583422E5" w14:textId="77777777" w:rsidR="00ED4A7B" w:rsidRPr="005E7233" w:rsidRDefault="00ED4A7B" w:rsidP="00486EF1">
            <w:pPr>
              <w:pStyle w:val="TableText0"/>
            </w:pPr>
            <w:r w:rsidRPr="005E7233">
              <w:t>OPTIC</w:t>
            </w:r>
          </w:p>
        </w:tc>
        <w:tc>
          <w:tcPr>
            <w:tcW w:w="466" w:type="pct"/>
            <w:shd w:val="clear" w:color="auto" w:fill="auto"/>
            <w:vAlign w:val="center"/>
          </w:tcPr>
          <w:p w14:paraId="632B92F7" w14:textId="77777777" w:rsidR="00ED4A7B" w:rsidRPr="005E7233" w:rsidRDefault="00ED4A7B" w:rsidP="00486EF1">
            <w:pPr>
              <w:pStyle w:val="TableText0"/>
              <w:jc w:val="center"/>
            </w:pPr>
            <w:r w:rsidRPr="005E7233">
              <w:t>83</w:t>
            </w:r>
          </w:p>
        </w:tc>
        <w:tc>
          <w:tcPr>
            <w:tcW w:w="782" w:type="pct"/>
            <w:shd w:val="clear" w:color="auto" w:fill="auto"/>
            <w:vAlign w:val="center"/>
          </w:tcPr>
          <w:p w14:paraId="19B1FD87" w14:textId="77777777" w:rsidR="00ED4A7B" w:rsidRPr="005E7233" w:rsidRDefault="00ED4A7B" w:rsidP="00486EF1">
            <w:pPr>
              <w:pStyle w:val="TableText0"/>
              <w:jc w:val="center"/>
            </w:pPr>
            <w:r w:rsidRPr="005E7233">
              <w:t>MC, R, DB</w:t>
            </w:r>
          </w:p>
          <w:p w14:paraId="5C57D7D1" w14:textId="77777777" w:rsidR="00ED4A7B" w:rsidRPr="005E7233" w:rsidRDefault="00ED4A7B" w:rsidP="00486EF1">
            <w:pPr>
              <w:pStyle w:val="TableText0"/>
              <w:jc w:val="center"/>
            </w:pPr>
            <w:r w:rsidRPr="005E7233">
              <w:t>24 weeks</w:t>
            </w:r>
          </w:p>
        </w:tc>
        <w:tc>
          <w:tcPr>
            <w:tcW w:w="552" w:type="pct"/>
            <w:shd w:val="clear" w:color="auto" w:fill="auto"/>
            <w:vAlign w:val="center"/>
          </w:tcPr>
          <w:p w14:paraId="30FF5A79" w14:textId="77777777" w:rsidR="00ED4A7B" w:rsidRPr="005E7233" w:rsidRDefault="00ED4A7B" w:rsidP="00486EF1">
            <w:pPr>
              <w:pStyle w:val="TableText0"/>
              <w:jc w:val="center"/>
            </w:pPr>
            <w:r w:rsidRPr="005E7233">
              <w:t>Low</w:t>
            </w:r>
          </w:p>
        </w:tc>
        <w:tc>
          <w:tcPr>
            <w:tcW w:w="927" w:type="pct"/>
            <w:shd w:val="clear" w:color="auto" w:fill="auto"/>
            <w:vAlign w:val="center"/>
          </w:tcPr>
          <w:p w14:paraId="4F3E9CDD" w14:textId="26540B34" w:rsidR="00ED4A7B" w:rsidRPr="005E7233" w:rsidRDefault="00ED4A7B" w:rsidP="00486EF1">
            <w:pPr>
              <w:pStyle w:val="TableText0"/>
              <w:jc w:val="center"/>
            </w:pPr>
            <w:r w:rsidRPr="005E7233">
              <w:rPr>
                <w:rFonts w:cstheme="minorHAnsi"/>
                <w:szCs w:val="18"/>
              </w:rPr>
              <w:t xml:space="preserve">Patients with Graves’ disease associated with moderate-to-severe </w:t>
            </w:r>
            <w:r w:rsidR="00C7412D" w:rsidRPr="005E7233">
              <w:rPr>
                <w:rFonts w:cstheme="minorHAnsi"/>
                <w:szCs w:val="18"/>
              </w:rPr>
              <w:t>a</w:t>
            </w:r>
            <w:r w:rsidRPr="005E7233">
              <w:rPr>
                <w:rFonts w:cstheme="minorHAnsi"/>
                <w:szCs w:val="18"/>
              </w:rPr>
              <w:t>ctive TED</w:t>
            </w:r>
          </w:p>
        </w:tc>
        <w:tc>
          <w:tcPr>
            <w:tcW w:w="724" w:type="pct"/>
            <w:shd w:val="clear" w:color="auto" w:fill="auto"/>
            <w:vAlign w:val="center"/>
          </w:tcPr>
          <w:p w14:paraId="30149A03" w14:textId="77777777" w:rsidR="00ED4A7B" w:rsidRPr="005E7233" w:rsidRDefault="00ED4A7B" w:rsidP="00486EF1">
            <w:pPr>
              <w:pStyle w:val="TableText0"/>
              <w:jc w:val="center"/>
            </w:pPr>
            <w:r w:rsidRPr="005E7233">
              <w:t>Proptosis</w:t>
            </w:r>
          </w:p>
          <w:p w14:paraId="216522C2" w14:textId="77777777" w:rsidR="00ED4A7B" w:rsidRPr="005E7233" w:rsidRDefault="00ED4A7B" w:rsidP="00486EF1">
            <w:pPr>
              <w:pStyle w:val="TableText0"/>
              <w:jc w:val="center"/>
            </w:pPr>
            <w:r w:rsidRPr="005E7233">
              <w:t>Overall responder rate</w:t>
            </w:r>
          </w:p>
          <w:p w14:paraId="3FF332C2" w14:textId="77777777" w:rsidR="00ED4A7B" w:rsidRPr="005E7233" w:rsidRDefault="00ED4A7B" w:rsidP="00486EF1">
            <w:pPr>
              <w:pStyle w:val="TableText0"/>
              <w:jc w:val="center"/>
            </w:pPr>
            <w:r w:rsidRPr="005E7233">
              <w:t>CAS</w:t>
            </w:r>
          </w:p>
          <w:p w14:paraId="6FEF24D9" w14:textId="77777777" w:rsidR="00ED4A7B" w:rsidRPr="005E7233" w:rsidRDefault="00ED4A7B" w:rsidP="00486EF1">
            <w:pPr>
              <w:pStyle w:val="TableText0"/>
              <w:jc w:val="center"/>
            </w:pPr>
            <w:r w:rsidRPr="005E7233">
              <w:t>Diplopia</w:t>
            </w:r>
          </w:p>
          <w:p w14:paraId="44659A02" w14:textId="77777777" w:rsidR="00ED4A7B" w:rsidRPr="005E7233" w:rsidRDefault="00ED4A7B" w:rsidP="00486EF1">
            <w:pPr>
              <w:pStyle w:val="TableText0"/>
              <w:jc w:val="center"/>
            </w:pPr>
            <w:r w:rsidRPr="005E7233">
              <w:t>GO-QOL</w:t>
            </w:r>
          </w:p>
          <w:p w14:paraId="08D21E44" w14:textId="77777777" w:rsidR="00ED4A7B" w:rsidRPr="005E7233" w:rsidRDefault="00ED4A7B" w:rsidP="00486EF1">
            <w:pPr>
              <w:pStyle w:val="TableText0"/>
              <w:jc w:val="center"/>
            </w:pPr>
            <w:r w:rsidRPr="005E7233">
              <w:t>Safety</w:t>
            </w:r>
          </w:p>
        </w:tc>
        <w:tc>
          <w:tcPr>
            <w:tcW w:w="837" w:type="pct"/>
            <w:shd w:val="clear" w:color="auto" w:fill="auto"/>
            <w:vAlign w:val="center"/>
          </w:tcPr>
          <w:p w14:paraId="7FDFBA84" w14:textId="77777777" w:rsidR="00ED4A7B" w:rsidRPr="005E7233" w:rsidRDefault="00ED4A7B" w:rsidP="00486EF1">
            <w:pPr>
              <w:pStyle w:val="TableText0"/>
              <w:jc w:val="center"/>
            </w:pPr>
            <w:r w:rsidRPr="005E7233">
              <w:t>Used</w:t>
            </w:r>
          </w:p>
        </w:tc>
      </w:tr>
      <w:tr w:rsidR="00ED4A7B" w:rsidRPr="005E7233" w14:paraId="025E51D4" w14:textId="77777777" w:rsidTr="00392364">
        <w:trPr>
          <w:cantSplit/>
        </w:trPr>
        <w:tc>
          <w:tcPr>
            <w:tcW w:w="713" w:type="pct"/>
            <w:shd w:val="clear" w:color="auto" w:fill="auto"/>
            <w:vAlign w:val="center"/>
          </w:tcPr>
          <w:p w14:paraId="2BA3CDEB" w14:textId="77777777" w:rsidR="00ED4A7B" w:rsidRPr="005E7233" w:rsidRDefault="00ED4A7B" w:rsidP="00486EF1">
            <w:pPr>
              <w:pStyle w:val="TableText0"/>
            </w:pPr>
            <w:r w:rsidRPr="005E7233">
              <w:t>OPTIC-X</w:t>
            </w:r>
          </w:p>
        </w:tc>
        <w:tc>
          <w:tcPr>
            <w:tcW w:w="466" w:type="pct"/>
            <w:shd w:val="clear" w:color="auto" w:fill="auto"/>
            <w:vAlign w:val="center"/>
          </w:tcPr>
          <w:p w14:paraId="461F83FE" w14:textId="77777777" w:rsidR="00ED4A7B" w:rsidRPr="005E7233" w:rsidRDefault="00ED4A7B" w:rsidP="00486EF1">
            <w:pPr>
              <w:pStyle w:val="TableText0"/>
              <w:jc w:val="center"/>
            </w:pPr>
            <w:r w:rsidRPr="005E7233">
              <w:t>51</w:t>
            </w:r>
          </w:p>
        </w:tc>
        <w:tc>
          <w:tcPr>
            <w:tcW w:w="782" w:type="pct"/>
            <w:shd w:val="clear" w:color="auto" w:fill="auto"/>
            <w:vAlign w:val="center"/>
          </w:tcPr>
          <w:p w14:paraId="42177606" w14:textId="77777777" w:rsidR="00ED4A7B" w:rsidRPr="005E7233" w:rsidRDefault="00ED4A7B" w:rsidP="00486EF1">
            <w:pPr>
              <w:pStyle w:val="TableText0"/>
              <w:jc w:val="center"/>
            </w:pPr>
            <w:r w:rsidRPr="005E7233">
              <w:t>MC, OL, Ex</w:t>
            </w:r>
          </w:p>
          <w:p w14:paraId="19179A5A" w14:textId="77777777" w:rsidR="00ED4A7B" w:rsidRPr="005E7233" w:rsidRDefault="00ED4A7B" w:rsidP="00486EF1">
            <w:pPr>
              <w:pStyle w:val="TableText0"/>
              <w:jc w:val="center"/>
            </w:pPr>
            <w:r w:rsidRPr="005E7233">
              <w:t>24 weeks.</w:t>
            </w:r>
          </w:p>
        </w:tc>
        <w:tc>
          <w:tcPr>
            <w:tcW w:w="552" w:type="pct"/>
            <w:shd w:val="clear" w:color="auto" w:fill="auto"/>
            <w:vAlign w:val="center"/>
          </w:tcPr>
          <w:p w14:paraId="39891DD3" w14:textId="77777777" w:rsidR="00ED4A7B" w:rsidRPr="005E7233" w:rsidRDefault="00ED4A7B" w:rsidP="00486EF1">
            <w:pPr>
              <w:pStyle w:val="TableText0"/>
              <w:jc w:val="center"/>
            </w:pPr>
            <w:r w:rsidRPr="005E7233">
              <w:t>High</w:t>
            </w:r>
          </w:p>
        </w:tc>
        <w:tc>
          <w:tcPr>
            <w:tcW w:w="927" w:type="pct"/>
            <w:shd w:val="clear" w:color="auto" w:fill="auto"/>
            <w:vAlign w:val="center"/>
          </w:tcPr>
          <w:p w14:paraId="5C4A0B28" w14:textId="77777777" w:rsidR="00ED4A7B" w:rsidRPr="005E7233" w:rsidRDefault="00ED4A7B" w:rsidP="00486EF1">
            <w:pPr>
              <w:pStyle w:val="TableText0"/>
              <w:jc w:val="center"/>
            </w:pPr>
            <w:r w:rsidRPr="005E7233">
              <w:rPr>
                <w:rFonts w:cstheme="minorHAnsi"/>
                <w:szCs w:val="18"/>
              </w:rPr>
              <w:t>Subjects with TED who complete the 24-week double-masked treatment period in OPTIC and are proptosis non-responders or who relapsed</w:t>
            </w:r>
          </w:p>
        </w:tc>
        <w:tc>
          <w:tcPr>
            <w:tcW w:w="724" w:type="pct"/>
            <w:shd w:val="clear" w:color="auto" w:fill="auto"/>
            <w:vAlign w:val="center"/>
          </w:tcPr>
          <w:p w14:paraId="1F9ADFC4" w14:textId="77777777" w:rsidR="00ED4A7B" w:rsidRPr="005E7233" w:rsidRDefault="00ED4A7B" w:rsidP="00486EF1">
            <w:pPr>
              <w:pStyle w:val="TableText0"/>
              <w:jc w:val="center"/>
            </w:pPr>
            <w:r w:rsidRPr="005E7233">
              <w:t>Proptosis</w:t>
            </w:r>
          </w:p>
          <w:p w14:paraId="13871AB4" w14:textId="77777777" w:rsidR="00ED4A7B" w:rsidRPr="005E7233" w:rsidRDefault="00ED4A7B" w:rsidP="00486EF1">
            <w:pPr>
              <w:pStyle w:val="TableText0"/>
              <w:jc w:val="center"/>
            </w:pPr>
            <w:r w:rsidRPr="005E7233">
              <w:t>CAS</w:t>
            </w:r>
          </w:p>
          <w:p w14:paraId="41181D38" w14:textId="77777777" w:rsidR="00ED4A7B" w:rsidRPr="005E7233" w:rsidRDefault="00ED4A7B" w:rsidP="00486EF1">
            <w:pPr>
              <w:pStyle w:val="TableText0"/>
              <w:jc w:val="center"/>
            </w:pPr>
            <w:r w:rsidRPr="005E7233">
              <w:t>Diplopia</w:t>
            </w:r>
          </w:p>
          <w:p w14:paraId="5525BF2A" w14:textId="77777777" w:rsidR="00ED4A7B" w:rsidRPr="005E7233" w:rsidRDefault="00ED4A7B" w:rsidP="00486EF1">
            <w:pPr>
              <w:pStyle w:val="TableText0"/>
              <w:jc w:val="center"/>
            </w:pPr>
            <w:r w:rsidRPr="005E7233">
              <w:t>GO-QOL</w:t>
            </w:r>
          </w:p>
          <w:p w14:paraId="24239596" w14:textId="77777777" w:rsidR="00ED4A7B" w:rsidRPr="005E7233" w:rsidRDefault="00ED4A7B" w:rsidP="00486EF1">
            <w:pPr>
              <w:pStyle w:val="TableText0"/>
              <w:jc w:val="center"/>
            </w:pPr>
            <w:r w:rsidRPr="005E7233">
              <w:t>Safety</w:t>
            </w:r>
          </w:p>
        </w:tc>
        <w:tc>
          <w:tcPr>
            <w:tcW w:w="837" w:type="pct"/>
            <w:shd w:val="clear" w:color="auto" w:fill="auto"/>
            <w:vAlign w:val="center"/>
          </w:tcPr>
          <w:p w14:paraId="042E617B" w14:textId="77777777" w:rsidR="00ED4A7B" w:rsidRPr="005E7233" w:rsidRDefault="00ED4A7B" w:rsidP="00486EF1">
            <w:pPr>
              <w:pStyle w:val="TableText0"/>
              <w:jc w:val="center"/>
            </w:pPr>
            <w:r w:rsidRPr="005E7233">
              <w:t>Not used</w:t>
            </w:r>
          </w:p>
        </w:tc>
      </w:tr>
    </w:tbl>
    <w:p w14:paraId="7775D095" w14:textId="77777777" w:rsidR="00ED4A7B" w:rsidRPr="005E7233" w:rsidRDefault="00ED4A7B" w:rsidP="00486EF1">
      <w:pPr>
        <w:pStyle w:val="FooterTableFigure"/>
        <w:keepNext/>
        <w:keepLines/>
      </w:pPr>
      <w:r w:rsidRPr="005E7233">
        <w:t>Source: Table 2-10, p54 and Table 2-11, pp59-60 of the submission.</w:t>
      </w:r>
    </w:p>
    <w:p w14:paraId="7DCFE887" w14:textId="77777777" w:rsidR="00ED4A7B" w:rsidRPr="005E7233" w:rsidRDefault="00ED4A7B" w:rsidP="00ED4A7B">
      <w:pPr>
        <w:pStyle w:val="FooterTableFigure"/>
        <w:rPr>
          <w:sz w:val="20"/>
        </w:rPr>
      </w:pPr>
      <w:r w:rsidRPr="005E7233">
        <w:t>CAS = clinical activity score; DB = double blind; Ex = extension study; GO-QOL = Graves’ orbitopathy quality of life score; MC = multi-centre; R = randomised; OL = open label; TED = thyroid eye disease.</w:t>
      </w:r>
    </w:p>
    <w:p w14:paraId="2C187250" w14:textId="0F02A187" w:rsidR="00ED4A7B" w:rsidRPr="005E7233" w:rsidRDefault="00ED4A7B" w:rsidP="733957FC">
      <w:pPr>
        <w:pStyle w:val="3-BodyText"/>
        <w:rPr>
          <w:color w:val="0066FF"/>
        </w:rPr>
      </w:pPr>
      <w:r w:rsidRPr="005E7233">
        <w:t>Overall, the</w:t>
      </w:r>
      <w:r w:rsidR="00A17A70" w:rsidRPr="005E7233">
        <w:t xml:space="preserve"> evaluation considered that the</w:t>
      </w:r>
      <w:r w:rsidRPr="005E7233">
        <w:t xml:space="preserve"> risk of bias in the randomised teprotumumab trials was low</w:t>
      </w:r>
      <w:r w:rsidR="00FE5B17" w:rsidRPr="005E7233">
        <w:t xml:space="preserve"> and the r</w:t>
      </w:r>
      <w:r w:rsidRPr="005E7233">
        <w:t>isk of bias for the extension study</w:t>
      </w:r>
      <w:r w:rsidR="0037619C" w:rsidRPr="005E7233">
        <w:t xml:space="preserve"> was high</w:t>
      </w:r>
      <w:r w:rsidRPr="005E7233">
        <w:t>, due to it being open label. OPTIC-X did maintain blinding regarding what study arm of the OPTIC trial the patients were enrolled in.</w:t>
      </w:r>
    </w:p>
    <w:p w14:paraId="40E636DD" w14:textId="2022C0D5" w:rsidR="00ED4A7B" w:rsidRPr="005E7233" w:rsidRDefault="00ED4A7B" w:rsidP="0021491D">
      <w:pPr>
        <w:pStyle w:val="TableFigureHeading"/>
        <w:keepLines/>
        <w:rPr>
          <w:rStyle w:val="CommentReference"/>
          <w:b/>
          <w:szCs w:val="24"/>
        </w:rPr>
      </w:pPr>
      <w:bookmarkStart w:id="39" w:name="_Ref185679682"/>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6</w:t>
      </w:r>
      <w:r w:rsidR="00FB1BE3">
        <w:rPr>
          <w:noProof/>
        </w:rPr>
        <w:fldChar w:fldCharType="end"/>
      </w:r>
      <w:bookmarkEnd w:id="39"/>
      <w:r w:rsidRPr="005E7233">
        <w:t xml:space="preserve">: </w:t>
      </w:r>
      <w:r w:rsidRPr="005E7233">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
        <w:gridCol w:w="2267"/>
        <w:gridCol w:w="849"/>
        <w:gridCol w:w="869"/>
        <w:gridCol w:w="267"/>
        <w:gridCol w:w="1295"/>
        <w:gridCol w:w="1134"/>
        <w:gridCol w:w="1347"/>
      </w:tblGrid>
      <w:tr w:rsidR="00ED4A7B" w:rsidRPr="005E7233" w14:paraId="5D44AFBE" w14:textId="77777777" w:rsidTr="733957FC">
        <w:trPr>
          <w:tblHeader/>
        </w:trPr>
        <w:tc>
          <w:tcPr>
            <w:tcW w:w="548" w:type="pct"/>
            <w:shd w:val="clear" w:color="auto" w:fill="auto"/>
            <w:vAlign w:val="center"/>
          </w:tcPr>
          <w:p w14:paraId="5AD380EB" w14:textId="77777777" w:rsidR="00ED4A7B" w:rsidRPr="005E7233" w:rsidRDefault="00ED4A7B" w:rsidP="0021491D">
            <w:pPr>
              <w:pStyle w:val="In-tableHeading"/>
              <w:rPr>
                <w:lang w:val="en-AU"/>
              </w:rPr>
            </w:pPr>
            <w:r w:rsidRPr="005E7233">
              <w:rPr>
                <w:lang w:val="en-AU"/>
              </w:rPr>
              <w:t>Trial</w:t>
            </w:r>
          </w:p>
        </w:tc>
        <w:tc>
          <w:tcPr>
            <w:tcW w:w="1257" w:type="pct"/>
            <w:shd w:val="clear" w:color="auto" w:fill="auto"/>
            <w:vAlign w:val="center"/>
          </w:tcPr>
          <w:p w14:paraId="7F059FE4" w14:textId="77777777" w:rsidR="00ED4A7B" w:rsidRPr="005E7233" w:rsidRDefault="00ED4A7B" w:rsidP="0021491D">
            <w:pPr>
              <w:pStyle w:val="In-tableHeading"/>
              <w:jc w:val="center"/>
              <w:rPr>
                <w:lang w:val="en-AU"/>
              </w:rPr>
            </w:pPr>
            <w:r w:rsidRPr="005E7233">
              <w:rPr>
                <w:lang w:val="en-AU"/>
              </w:rPr>
              <w:t>N</w:t>
            </w:r>
          </w:p>
        </w:tc>
        <w:tc>
          <w:tcPr>
            <w:tcW w:w="471" w:type="pct"/>
            <w:shd w:val="clear" w:color="auto" w:fill="auto"/>
            <w:vAlign w:val="center"/>
          </w:tcPr>
          <w:p w14:paraId="15D3FCF2" w14:textId="77777777" w:rsidR="00ED4A7B" w:rsidRPr="005E7233" w:rsidRDefault="00ED4A7B" w:rsidP="0021491D">
            <w:pPr>
              <w:pStyle w:val="In-tableHeading"/>
              <w:jc w:val="center"/>
              <w:rPr>
                <w:lang w:val="en-AU"/>
              </w:rPr>
            </w:pPr>
            <w:r w:rsidRPr="005E7233">
              <w:rPr>
                <w:lang w:val="en-AU"/>
              </w:rPr>
              <w:t>Design/ duration</w:t>
            </w:r>
          </w:p>
        </w:tc>
        <w:tc>
          <w:tcPr>
            <w:tcW w:w="630" w:type="pct"/>
            <w:gridSpan w:val="2"/>
            <w:shd w:val="clear" w:color="auto" w:fill="auto"/>
            <w:vAlign w:val="center"/>
          </w:tcPr>
          <w:p w14:paraId="009B80FF" w14:textId="77777777" w:rsidR="00ED4A7B" w:rsidRPr="005E7233" w:rsidRDefault="00ED4A7B" w:rsidP="0021491D">
            <w:pPr>
              <w:pStyle w:val="In-tableHeading"/>
              <w:jc w:val="center"/>
              <w:rPr>
                <w:lang w:val="en-AU"/>
              </w:rPr>
            </w:pPr>
            <w:r w:rsidRPr="005E7233">
              <w:rPr>
                <w:lang w:val="en-AU"/>
              </w:rPr>
              <w:t>Risk of bias</w:t>
            </w:r>
          </w:p>
        </w:tc>
        <w:tc>
          <w:tcPr>
            <w:tcW w:w="708" w:type="pct"/>
            <w:shd w:val="clear" w:color="auto" w:fill="auto"/>
            <w:vAlign w:val="center"/>
          </w:tcPr>
          <w:p w14:paraId="68B06923" w14:textId="77777777" w:rsidR="00ED4A7B" w:rsidRPr="005E7233" w:rsidRDefault="00ED4A7B" w:rsidP="0021491D">
            <w:pPr>
              <w:pStyle w:val="In-tableHeading"/>
              <w:jc w:val="center"/>
              <w:rPr>
                <w:lang w:val="en-AU"/>
              </w:rPr>
            </w:pPr>
            <w:r w:rsidRPr="005E7233">
              <w:rPr>
                <w:lang w:val="en-AU"/>
              </w:rPr>
              <w:t>Patient population</w:t>
            </w:r>
          </w:p>
        </w:tc>
        <w:tc>
          <w:tcPr>
            <w:tcW w:w="629" w:type="pct"/>
            <w:shd w:val="clear" w:color="auto" w:fill="auto"/>
            <w:vAlign w:val="center"/>
          </w:tcPr>
          <w:p w14:paraId="52BE4DE3" w14:textId="77777777" w:rsidR="00ED4A7B" w:rsidRPr="005E7233" w:rsidRDefault="00ED4A7B" w:rsidP="0021491D">
            <w:pPr>
              <w:pStyle w:val="In-tableHeading"/>
              <w:jc w:val="center"/>
              <w:rPr>
                <w:lang w:val="en-AU"/>
              </w:rPr>
            </w:pPr>
            <w:r w:rsidRPr="005E7233">
              <w:rPr>
                <w:lang w:val="en-AU"/>
              </w:rPr>
              <w:t>Outcome(s)</w:t>
            </w:r>
          </w:p>
        </w:tc>
        <w:tc>
          <w:tcPr>
            <w:tcW w:w="758" w:type="pct"/>
            <w:shd w:val="clear" w:color="auto" w:fill="auto"/>
            <w:vAlign w:val="center"/>
          </w:tcPr>
          <w:p w14:paraId="69BEF187" w14:textId="77777777" w:rsidR="00ED4A7B" w:rsidRPr="005E7233" w:rsidRDefault="00ED4A7B" w:rsidP="0021491D">
            <w:pPr>
              <w:pStyle w:val="In-tableHeading"/>
              <w:jc w:val="center"/>
              <w:rPr>
                <w:lang w:val="en-AU"/>
              </w:rPr>
            </w:pPr>
            <w:r w:rsidRPr="005E7233">
              <w:rPr>
                <w:lang w:val="en-AU"/>
              </w:rPr>
              <w:t>Use in modelled evaluation</w:t>
            </w:r>
          </w:p>
        </w:tc>
      </w:tr>
      <w:tr w:rsidR="00ED4A7B" w:rsidRPr="005E7233" w14:paraId="1EBC0718" w14:textId="77777777" w:rsidTr="733957FC">
        <w:tc>
          <w:tcPr>
            <w:tcW w:w="5000" w:type="pct"/>
            <w:gridSpan w:val="8"/>
            <w:shd w:val="clear" w:color="auto" w:fill="auto"/>
            <w:vAlign w:val="center"/>
          </w:tcPr>
          <w:p w14:paraId="2F16F4D9" w14:textId="77777777" w:rsidR="00ED4A7B" w:rsidRPr="005E7233" w:rsidRDefault="00ED4A7B" w:rsidP="0021491D">
            <w:pPr>
              <w:pStyle w:val="In-tableHeading"/>
              <w:rPr>
                <w:lang w:val="en-AU"/>
              </w:rPr>
            </w:pPr>
            <w:r w:rsidRPr="005E7233">
              <w:rPr>
                <w:lang w:val="en-AU"/>
              </w:rPr>
              <w:t>Teprotumumab vs IVMP</w:t>
            </w:r>
          </w:p>
        </w:tc>
      </w:tr>
      <w:tr w:rsidR="00ED4A7B" w:rsidRPr="005E7233" w14:paraId="12CC53FB" w14:textId="77777777" w:rsidTr="733957FC">
        <w:tc>
          <w:tcPr>
            <w:tcW w:w="548" w:type="pct"/>
            <w:shd w:val="clear" w:color="auto" w:fill="auto"/>
            <w:vAlign w:val="center"/>
          </w:tcPr>
          <w:p w14:paraId="2E68EA87" w14:textId="77777777" w:rsidR="00ED4A7B" w:rsidRPr="005E7233" w:rsidRDefault="00ED4A7B" w:rsidP="0021491D">
            <w:pPr>
              <w:pStyle w:val="TableText0"/>
            </w:pPr>
            <w:r w:rsidRPr="005E7233">
              <w:t>Douglas et al., 2022 (Meta-analysis and MAIC)</w:t>
            </w:r>
          </w:p>
        </w:tc>
        <w:tc>
          <w:tcPr>
            <w:tcW w:w="1257" w:type="pct"/>
            <w:shd w:val="clear" w:color="auto" w:fill="auto"/>
          </w:tcPr>
          <w:p w14:paraId="09FA0979" w14:textId="5E6C1F3A" w:rsidR="00ED4A7B" w:rsidRPr="005E7233" w:rsidRDefault="00ED4A7B" w:rsidP="0021491D">
            <w:pPr>
              <w:pStyle w:val="TableText0"/>
            </w:pPr>
            <w:r w:rsidRPr="005E7233">
              <w:t>419 patients for proptosis analysis and 125 patients for diplopia analysis from the IVMP data set.</w:t>
            </w:r>
          </w:p>
          <w:p w14:paraId="584A24EC" w14:textId="013E9C8A" w:rsidR="00ED4A7B" w:rsidRPr="005E7233" w:rsidRDefault="00ED4A7B" w:rsidP="0021491D">
            <w:pPr>
              <w:pStyle w:val="TableText0"/>
            </w:pPr>
            <w:r w:rsidRPr="005E7233">
              <w:t>79 patients from the teprotumumab data set and 83 patients from the placebo data set.</w:t>
            </w:r>
            <w:r w:rsidR="00750E2D" w:rsidRPr="005E7233">
              <w:rPr>
                <w:vertAlign w:val="superscript"/>
              </w:rPr>
              <w:t>a</w:t>
            </w:r>
          </w:p>
        </w:tc>
        <w:tc>
          <w:tcPr>
            <w:tcW w:w="2437" w:type="pct"/>
            <w:gridSpan w:val="5"/>
            <w:shd w:val="clear" w:color="auto" w:fill="auto"/>
          </w:tcPr>
          <w:p w14:paraId="2F7753E4" w14:textId="5A081B05" w:rsidR="00ED4A7B" w:rsidRPr="005E7233" w:rsidRDefault="00ED4A7B" w:rsidP="0021491D">
            <w:pPr>
              <w:pStyle w:val="TableText0"/>
            </w:pPr>
            <w:r w:rsidRPr="005E7233">
              <w:t>Douglas et al., 2022 carried out an unanchored MAIC comparing teprotumumab to IVMP in active moderate-to-severe TED patients on the outcomes of proptosis and diplopia.</w:t>
            </w:r>
          </w:p>
          <w:p w14:paraId="0FDA29B9" w14:textId="3BADB0A9" w:rsidR="00ED4A7B" w:rsidRPr="005E7233" w:rsidRDefault="00ED4A7B" w:rsidP="0021491D">
            <w:pPr>
              <w:pStyle w:val="TableText0"/>
            </w:pPr>
            <w:r w:rsidRPr="005E7233">
              <w:t>The MAIC included TEDRV01 and OPTIC for teprotumumab and 12 studies to inform IVMP.</w:t>
            </w:r>
          </w:p>
        </w:tc>
        <w:tc>
          <w:tcPr>
            <w:tcW w:w="758" w:type="pct"/>
            <w:shd w:val="clear" w:color="auto" w:fill="auto"/>
            <w:vAlign w:val="center"/>
          </w:tcPr>
          <w:p w14:paraId="3F7F5428" w14:textId="77777777" w:rsidR="00ED4A7B" w:rsidRPr="005E7233" w:rsidRDefault="00ED4A7B" w:rsidP="0021491D">
            <w:pPr>
              <w:pStyle w:val="TableText0"/>
              <w:jc w:val="center"/>
            </w:pPr>
            <w:r w:rsidRPr="005E7233">
              <w:t>Used</w:t>
            </w:r>
          </w:p>
        </w:tc>
      </w:tr>
      <w:tr w:rsidR="00ED4A7B" w:rsidRPr="005E7233" w14:paraId="7F8DE2B5" w14:textId="77777777" w:rsidTr="733957FC">
        <w:tc>
          <w:tcPr>
            <w:tcW w:w="5000" w:type="pct"/>
            <w:gridSpan w:val="8"/>
            <w:shd w:val="clear" w:color="auto" w:fill="auto"/>
            <w:vAlign w:val="center"/>
          </w:tcPr>
          <w:p w14:paraId="43BE88AB" w14:textId="77777777" w:rsidR="00ED4A7B" w:rsidRPr="005E7233" w:rsidRDefault="00ED4A7B" w:rsidP="0021491D">
            <w:pPr>
              <w:pStyle w:val="TableText0"/>
              <w:rPr>
                <w:b/>
                <w:bCs w:val="0"/>
              </w:rPr>
            </w:pPr>
            <w:r w:rsidRPr="005E7233">
              <w:rPr>
                <w:b/>
                <w:bCs w:val="0"/>
              </w:rPr>
              <w:t>Teprotumumab vs tocilizumab</w:t>
            </w:r>
          </w:p>
        </w:tc>
      </w:tr>
      <w:tr w:rsidR="00ED4A7B" w:rsidRPr="005E7233" w14:paraId="71DE8C94" w14:textId="77777777" w:rsidTr="733957FC">
        <w:tc>
          <w:tcPr>
            <w:tcW w:w="548" w:type="pct"/>
            <w:shd w:val="clear" w:color="auto" w:fill="auto"/>
            <w:vAlign w:val="center"/>
          </w:tcPr>
          <w:p w14:paraId="013F2AC0" w14:textId="77777777" w:rsidR="00ED4A7B" w:rsidRPr="005E7233" w:rsidRDefault="00ED4A7B" w:rsidP="0021491D">
            <w:pPr>
              <w:pStyle w:val="TableText0"/>
            </w:pPr>
            <w:r w:rsidRPr="005E7233">
              <w:t>TEDRV01</w:t>
            </w:r>
          </w:p>
        </w:tc>
        <w:tc>
          <w:tcPr>
            <w:tcW w:w="1257" w:type="pct"/>
            <w:shd w:val="clear" w:color="auto" w:fill="auto"/>
            <w:vAlign w:val="center"/>
          </w:tcPr>
          <w:p w14:paraId="6F57B7ED" w14:textId="77777777" w:rsidR="00ED4A7B" w:rsidRPr="005E7233" w:rsidRDefault="00ED4A7B" w:rsidP="0021491D">
            <w:pPr>
              <w:pStyle w:val="TableText0"/>
              <w:jc w:val="center"/>
            </w:pPr>
            <w:r w:rsidRPr="005E7233">
              <w:t>88</w:t>
            </w:r>
          </w:p>
        </w:tc>
        <w:tc>
          <w:tcPr>
            <w:tcW w:w="461" w:type="pct"/>
            <w:shd w:val="clear" w:color="auto" w:fill="auto"/>
            <w:vAlign w:val="center"/>
          </w:tcPr>
          <w:p w14:paraId="1337F770" w14:textId="77777777" w:rsidR="00ED4A7B" w:rsidRPr="005E7233" w:rsidRDefault="00ED4A7B" w:rsidP="0021491D">
            <w:pPr>
              <w:pStyle w:val="TableText0"/>
              <w:jc w:val="center"/>
            </w:pPr>
            <w:r w:rsidRPr="005E7233">
              <w:t>MC, R, DB</w:t>
            </w:r>
          </w:p>
          <w:p w14:paraId="651C37C3" w14:textId="77777777" w:rsidR="00ED4A7B" w:rsidRPr="005E7233" w:rsidRDefault="00ED4A7B" w:rsidP="0021491D">
            <w:pPr>
              <w:pStyle w:val="TableText0"/>
              <w:jc w:val="center"/>
            </w:pPr>
            <w:r w:rsidRPr="005E7233">
              <w:t>24 weeks</w:t>
            </w:r>
          </w:p>
        </w:tc>
        <w:tc>
          <w:tcPr>
            <w:tcW w:w="482" w:type="pct"/>
            <w:shd w:val="clear" w:color="auto" w:fill="auto"/>
            <w:vAlign w:val="center"/>
          </w:tcPr>
          <w:p w14:paraId="069416E6" w14:textId="77777777" w:rsidR="00ED4A7B" w:rsidRPr="005E7233" w:rsidRDefault="00ED4A7B" w:rsidP="0021491D">
            <w:pPr>
              <w:pStyle w:val="TableText0"/>
              <w:jc w:val="center"/>
            </w:pPr>
            <w:r w:rsidRPr="005E7233">
              <w:t>Low</w:t>
            </w:r>
          </w:p>
        </w:tc>
        <w:tc>
          <w:tcPr>
            <w:tcW w:w="866" w:type="pct"/>
            <w:gridSpan w:val="2"/>
            <w:shd w:val="clear" w:color="auto" w:fill="auto"/>
          </w:tcPr>
          <w:p w14:paraId="7A3F2DF9" w14:textId="77777777" w:rsidR="00ED4A7B" w:rsidRPr="005E7233" w:rsidRDefault="00ED4A7B" w:rsidP="0021491D">
            <w:pPr>
              <w:pStyle w:val="TableText0"/>
            </w:pPr>
            <w:r w:rsidRPr="005E7233">
              <w:rPr>
                <w:rFonts w:cstheme="minorHAnsi"/>
                <w:szCs w:val="18"/>
              </w:rPr>
              <w:t>Patients with Graves’ disease associated with active TED</w:t>
            </w:r>
          </w:p>
        </w:tc>
        <w:tc>
          <w:tcPr>
            <w:tcW w:w="629" w:type="pct"/>
            <w:shd w:val="clear" w:color="auto" w:fill="auto"/>
            <w:vAlign w:val="center"/>
          </w:tcPr>
          <w:p w14:paraId="64D3A10A" w14:textId="77777777" w:rsidR="00ED4A7B" w:rsidRPr="005E7233" w:rsidRDefault="00ED4A7B" w:rsidP="0021491D">
            <w:pPr>
              <w:pStyle w:val="TableText0"/>
              <w:jc w:val="center"/>
            </w:pPr>
            <w:r w:rsidRPr="005E7233">
              <w:t>Proptosis</w:t>
            </w:r>
          </w:p>
          <w:p w14:paraId="25D5F8F1" w14:textId="77777777" w:rsidR="00ED4A7B" w:rsidRPr="005E7233" w:rsidRDefault="00ED4A7B" w:rsidP="0021491D">
            <w:pPr>
              <w:pStyle w:val="TableText0"/>
              <w:jc w:val="center"/>
            </w:pPr>
            <w:r w:rsidRPr="005E7233">
              <w:t>Diplopia</w:t>
            </w:r>
          </w:p>
        </w:tc>
        <w:tc>
          <w:tcPr>
            <w:tcW w:w="758" w:type="pct"/>
            <w:shd w:val="clear" w:color="auto" w:fill="auto"/>
            <w:vAlign w:val="center"/>
          </w:tcPr>
          <w:p w14:paraId="1CBBF624" w14:textId="77777777" w:rsidR="00ED4A7B" w:rsidRPr="005E7233" w:rsidRDefault="00ED4A7B" w:rsidP="0021491D">
            <w:pPr>
              <w:pStyle w:val="TableText0"/>
              <w:jc w:val="center"/>
            </w:pPr>
            <w:r w:rsidRPr="005E7233">
              <w:t>Used</w:t>
            </w:r>
          </w:p>
        </w:tc>
      </w:tr>
      <w:tr w:rsidR="00ED4A7B" w:rsidRPr="005E7233" w14:paraId="472DFCB5" w14:textId="77777777" w:rsidTr="733957FC">
        <w:tc>
          <w:tcPr>
            <w:tcW w:w="548" w:type="pct"/>
            <w:shd w:val="clear" w:color="auto" w:fill="auto"/>
            <w:vAlign w:val="center"/>
          </w:tcPr>
          <w:p w14:paraId="01C4113D" w14:textId="77777777" w:rsidR="00ED4A7B" w:rsidRPr="005E7233" w:rsidRDefault="00ED4A7B" w:rsidP="0021491D">
            <w:pPr>
              <w:pStyle w:val="TableText0"/>
              <w:rPr>
                <w:rFonts w:cstheme="minorHAnsi"/>
              </w:rPr>
            </w:pPr>
            <w:r w:rsidRPr="005E7233">
              <w:t>OPTIC</w:t>
            </w:r>
          </w:p>
        </w:tc>
        <w:tc>
          <w:tcPr>
            <w:tcW w:w="1257" w:type="pct"/>
            <w:shd w:val="clear" w:color="auto" w:fill="auto"/>
            <w:vAlign w:val="center"/>
          </w:tcPr>
          <w:p w14:paraId="59D61438" w14:textId="77777777" w:rsidR="00ED4A7B" w:rsidRPr="005E7233" w:rsidRDefault="00ED4A7B" w:rsidP="0021491D">
            <w:pPr>
              <w:pStyle w:val="TableText0"/>
              <w:jc w:val="center"/>
            </w:pPr>
            <w:r w:rsidRPr="005E7233">
              <w:t>83</w:t>
            </w:r>
          </w:p>
        </w:tc>
        <w:tc>
          <w:tcPr>
            <w:tcW w:w="461" w:type="pct"/>
            <w:shd w:val="clear" w:color="auto" w:fill="auto"/>
            <w:vAlign w:val="center"/>
          </w:tcPr>
          <w:p w14:paraId="04D297FE" w14:textId="77777777" w:rsidR="00ED4A7B" w:rsidRPr="005E7233" w:rsidRDefault="00ED4A7B" w:rsidP="0021491D">
            <w:pPr>
              <w:pStyle w:val="TableText0"/>
              <w:jc w:val="center"/>
            </w:pPr>
            <w:r w:rsidRPr="005E7233">
              <w:t>MC, R, DB</w:t>
            </w:r>
          </w:p>
          <w:p w14:paraId="1E1DA81E" w14:textId="77777777" w:rsidR="00ED4A7B" w:rsidRPr="005E7233" w:rsidRDefault="00ED4A7B" w:rsidP="0021491D">
            <w:pPr>
              <w:pStyle w:val="TableText0"/>
              <w:jc w:val="center"/>
            </w:pPr>
            <w:r w:rsidRPr="005E7233">
              <w:t>24 weeks</w:t>
            </w:r>
          </w:p>
        </w:tc>
        <w:tc>
          <w:tcPr>
            <w:tcW w:w="482" w:type="pct"/>
            <w:shd w:val="clear" w:color="auto" w:fill="auto"/>
            <w:vAlign w:val="center"/>
          </w:tcPr>
          <w:p w14:paraId="72C74D41" w14:textId="77777777" w:rsidR="00ED4A7B" w:rsidRPr="005E7233" w:rsidRDefault="00ED4A7B" w:rsidP="0021491D">
            <w:pPr>
              <w:pStyle w:val="TableText0"/>
              <w:jc w:val="center"/>
            </w:pPr>
            <w:r w:rsidRPr="005E7233">
              <w:t>Low</w:t>
            </w:r>
          </w:p>
        </w:tc>
        <w:tc>
          <w:tcPr>
            <w:tcW w:w="866" w:type="pct"/>
            <w:gridSpan w:val="2"/>
            <w:shd w:val="clear" w:color="auto" w:fill="auto"/>
          </w:tcPr>
          <w:p w14:paraId="62EBA5F4" w14:textId="77777777" w:rsidR="00ED4A7B" w:rsidRPr="005E7233" w:rsidRDefault="00ED4A7B" w:rsidP="0021491D">
            <w:pPr>
              <w:pStyle w:val="TableText0"/>
            </w:pPr>
            <w:r w:rsidRPr="005E7233">
              <w:rPr>
                <w:rFonts w:cstheme="minorHAnsi"/>
                <w:szCs w:val="18"/>
              </w:rPr>
              <w:t>Patients with Graves’ disease associated with moderate-to-severe Active TED</w:t>
            </w:r>
          </w:p>
        </w:tc>
        <w:tc>
          <w:tcPr>
            <w:tcW w:w="629" w:type="pct"/>
            <w:shd w:val="clear" w:color="auto" w:fill="auto"/>
            <w:vAlign w:val="center"/>
          </w:tcPr>
          <w:p w14:paraId="054A7EDA" w14:textId="77777777" w:rsidR="00ED4A7B" w:rsidRPr="005E7233" w:rsidRDefault="00ED4A7B" w:rsidP="0021491D">
            <w:pPr>
              <w:pStyle w:val="TableText0"/>
              <w:jc w:val="center"/>
            </w:pPr>
            <w:r w:rsidRPr="005E7233">
              <w:t>Proptosis</w:t>
            </w:r>
          </w:p>
          <w:p w14:paraId="15F11251" w14:textId="77777777" w:rsidR="00ED4A7B" w:rsidRPr="005E7233" w:rsidRDefault="00ED4A7B" w:rsidP="0021491D">
            <w:pPr>
              <w:pStyle w:val="TableText0"/>
              <w:jc w:val="center"/>
            </w:pPr>
            <w:r w:rsidRPr="005E7233">
              <w:t>Diplopia</w:t>
            </w:r>
          </w:p>
        </w:tc>
        <w:tc>
          <w:tcPr>
            <w:tcW w:w="758" w:type="pct"/>
            <w:shd w:val="clear" w:color="auto" w:fill="auto"/>
            <w:vAlign w:val="center"/>
          </w:tcPr>
          <w:p w14:paraId="5C586BD7" w14:textId="77777777" w:rsidR="00ED4A7B" w:rsidRPr="005E7233" w:rsidRDefault="00ED4A7B" w:rsidP="0021491D">
            <w:pPr>
              <w:pStyle w:val="TableText0"/>
              <w:jc w:val="center"/>
            </w:pPr>
            <w:r w:rsidRPr="005E7233">
              <w:t>Used</w:t>
            </w:r>
          </w:p>
        </w:tc>
      </w:tr>
      <w:tr w:rsidR="00ED4A7B" w:rsidRPr="005E7233" w14:paraId="2651F15A" w14:textId="77777777" w:rsidTr="733957FC">
        <w:tc>
          <w:tcPr>
            <w:tcW w:w="548" w:type="pct"/>
            <w:shd w:val="clear" w:color="auto" w:fill="auto"/>
            <w:vAlign w:val="center"/>
          </w:tcPr>
          <w:p w14:paraId="4A449148" w14:textId="77777777" w:rsidR="00ED4A7B" w:rsidRPr="005E7233" w:rsidRDefault="00ED4A7B" w:rsidP="0021491D">
            <w:pPr>
              <w:pStyle w:val="TableText0"/>
              <w:rPr>
                <w:rFonts w:cstheme="minorBidi"/>
              </w:rPr>
            </w:pPr>
            <w:r w:rsidRPr="005E7233">
              <w:rPr>
                <w:rFonts w:cstheme="minorBidi"/>
              </w:rPr>
              <w:t>Perez-Moreiras et al., 2018 (tocilizumab)</w:t>
            </w:r>
          </w:p>
        </w:tc>
        <w:tc>
          <w:tcPr>
            <w:tcW w:w="1257" w:type="pct"/>
            <w:shd w:val="clear" w:color="auto" w:fill="auto"/>
            <w:vAlign w:val="center"/>
          </w:tcPr>
          <w:p w14:paraId="438655B7" w14:textId="77777777" w:rsidR="00ED4A7B" w:rsidRPr="005E7233" w:rsidRDefault="00ED4A7B" w:rsidP="0021491D">
            <w:pPr>
              <w:pStyle w:val="TableText0"/>
              <w:jc w:val="center"/>
            </w:pPr>
            <w:r w:rsidRPr="005E7233">
              <w:t>32</w:t>
            </w:r>
          </w:p>
        </w:tc>
        <w:tc>
          <w:tcPr>
            <w:tcW w:w="461" w:type="pct"/>
            <w:shd w:val="clear" w:color="auto" w:fill="auto"/>
            <w:vAlign w:val="center"/>
          </w:tcPr>
          <w:p w14:paraId="1393302A" w14:textId="77777777" w:rsidR="00ED4A7B" w:rsidRPr="005E7233" w:rsidRDefault="00ED4A7B" w:rsidP="0021491D">
            <w:pPr>
              <w:pStyle w:val="TableText0"/>
              <w:jc w:val="center"/>
            </w:pPr>
            <w:r w:rsidRPr="005E7233">
              <w:t>DB, R,</w:t>
            </w:r>
          </w:p>
        </w:tc>
        <w:tc>
          <w:tcPr>
            <w:tcW w:w="482" w:type="pct"/>
            <w:shd w:val="clear" w:color="auto" w:fill="auto"/>
            <w:vAlign w:val="center"/>
          </w:tcPr>
          <w:p w14:paraId="10AB7734" w14:textId="77777777" w:rsidR="00ED4A7B" w:rsidRPr="005E7233" w:rsidRDefault="00ED4A7B" w:rsidP="0021491D">
            <w:pPr>
              <w:pStyle w:val="TableText0"/>
              <w:jc w:val="center"/>
            </w:pPr>
            <w:r w:rsidRPr="005E7233">
              <w:t>Low</w:t>
            </w:r>
          </w:p>
        </w:tc>
        <w:tc>
          <w:tcPr>
            <w:tcW w:w="866" w:type="pct"/>
            <w:gridSpan w:val="2"/>
            <w:shd w:val="clear" w:color="auto" w:fill="auto"/>
          </w:tcPr>
          <w:p w14:paraId="1D08C55B" w14:textId="77777777" w:rsidR="00ED4A7B" w:rsidRPr="005E7233" w:rsidRDefault="00ED4A7B" w:rsidP="0021491D">
            <w:pPr>
              <w:pStyle w:val="TableText0"/>
            </w:pPr>
            <w:r w:rsidRPr="005E7233">
              <w:t>Adults with moderate-to-severe corticosteroid-resistant GO</w:t>
            </w:r>
          </w:p>
        </w:tc>
        <w:tc>
          <w:tcPr>
            <w:tcW w:w="629" w:type="pct"/>
            <w:shd w:val="clear" w:color="auto" w:fill="auto"/>
            <w:vAlign w:val="center"/>
          </w:tcPr>
          <w:p w14:paraId="74880820" w14:textId="77777777" w:rsidR="00ED4A7B" w:rsidRPr="005E7233" w:rsidRDefault="00ED4A7B" w:rsidP="0021491D">
            <w:pPr>
              <w:pStyle w:val="TableText0"/>
              <w:jc w:val="center"/>
            </w:pPr>
            <w:r w:rsidRPr="005E7233">
              <w:t>Proptosis</w:t>
            </w:r>
          </w:p>
          <w:p w14:paraId="21ACAC30" w14:textId="77777777" w:rsidR="00ED4A7B" w:rsidRPr="005E7233" w:rsidRDefault="00ED4A7B" w:rsidP="0021491D">
            <w:pPr>
              <w:pStyle w:val="TableText0"/>
              <w:jc w:val="center"/>
            </w:pPr>
            <w:r w:rsidRPr="005E7233">
              <w:t>Diplopia</w:t>
            </w:r>
          </w:p>
        </w:tc>
        <w:tc>
          <w:tcPr>
            <w:tcW w:w="758" w:type="pct"/>
            <w:shd w:val="clear" w:color="auto" w:fill="auto"/>
            <w:vAlign w:val="center"/>
          </w:tcPr>
          <w:p w14:paraId="78566AF3" w14:textId="77777777" w:rsidR="00ED4A7B" w:rsidRPr="005E7233" w:rsidRDefault="00ED4A7B" w:rsidP="0021491D">
            <w:pPr>
              <w:pStyle w:val="TableText0"/>
              <w:jc w:val="center"/>
            </w:pPr>
            <w:r w:rsidRPr="005E7233">
              <w:t>Used</w:t>
            </w:r>
          </w:p>
        </w:tc>
      </w:tr>
    </w:tbl>
    <w:p w14:paraId="30A4D3F3" w14:textId="77777777" w:rsidR="00ED4A7B" w:rsidRPr="005E7233" w:rsidRDefault="00ED4A7B" w:rsidP="0021491D">
      <w:pPr>
        <w:pStyle w:val="FooterTableFigure"/>
        <w:keepNext/>
        <w:keepLines/>
      </w:pPr>
      <w:r w:rsidRPr="005E7233">
        <w:t xml:space="preserve">Source: Douglas et al., 2022, </w:t>
      </w:r>
      <w:r w:rsidRPr="005E7233">
        <w:rPr>
          <w:rFonts w:cstheme="minorBidi"/>
        </w:rPr>
        <w:t>Perez-Moreiras et al., 2018,</w:t>
      </w:r>
      <w:r w:rsidRPr="005E7233">
        <w:t xml:space="preserve"> Table 2-10, p54 and Table 2-11, pp59-60 of the submission.</w:t>
      </w:r>
    </w:p>
    <w:p w14:paraId="3E63EB57" w14:textId="77777777" w:rsidR="00ED4A7B" w:rsidRPr="005E7233" w:rsidRDefault="00ED4A7B" w:rsidP="0021491D">
      <w:pPr>
        <w:pStyle w:val="FooterTableFigure"/>
        <w:keepNext/>
        <w:keepLines/>
      </w:pPr>
      <w:r w:rsidRPr="005E7233">
        <w:t>DB = double blind; IVMP = IV methylprednisolone; MAIC = matching adjusted indirect comparison; MC = multi-centre; R = randomised; OL = open label; TED = thyroid eye disease.</w:t>
      </w:r>
    </w:p>
    <w:p w14:paraId="63128B19" w14:textId="735CA292" w:rsidR="00ED4A7B" w:rsidRPr="005E7233" w:rsidRDefault="00750E2D" w:rsidP="00ED4A7B">
      <w:pPr>
        <w:pStyle w:val="FooterTableFigure"/>
        <w:rPr>
          <w:sz w:val="20"/>
        </w:rPr>
      </w:pPr>
      <w:r w:rsidRPr="005E7233">
        <w:rPr>
          <w:vertAlign w:val="superscript"/>
        </w:rPr>
        <w:t>a</w:t>
      </w:r>
      <w:r w:rsidR="00ED4A7B" w:rsidRPr="005E7233">
        <w:t xml:space="preserve"> 493 patients were enrolled in the IVMP studies. Only those with data for proptosis or diplopia were used in the analysis. 83 patients received teprotumumab and 87 patients received placebo in the teprotumumab trials, but some patients were excluded from the MAIC due to missing data.</w:t>
      </w:r>
    </w:p>
    <w:p w14:paraId="596F33CB" w14:textId="5E7C95DE" w:rsidR="00ED4A7B" w:rsidRPr="005E7233" w:rsidRDefault="00ED4A7B" w:rsidP="00ED4A7B">
      <w:pPr>
        <w:pStyle w:val="3-BodyText"/>
      </w:pPr>
      <w:r w:rsidRPr="005E7233">
        <w:t xml:space="preserve">As detailed in </w:t>
      </w:r>
      <w:r w:rsidRPr="005E7233">
        <w:fldChar w:fldCharType="begin"/>
      </w:r>
      <w:r w:rsidRPr="005E7233">
        <w:instrText xml:space="preserve"> REF _Ref185679682 \h </w:instrText>
      </w:r>
      <w:r w:rsidR="0066573D" w:rsidRPr="005E7233">
        <w:instrText xml:space="preserve"> \* MERGEFORMAT </w:instrText>
      </w:r>
      <w:r w:rsidRPr="005E7233">
        <w:fldChar w:fldCharType="separate"/>
      </w:r>
      <w:r w:rsidR="0012101B" w:rsidRPr="005E7233">
        <w:t xml:space="preserve">Table </w:t>
      </w:r>
      <w:r w:rsidR="0012101B">
        <w:rPr>
          <w:noProof/>
        </w:rPr>
        <w:t>6</w:t>
      </w:r>
      <w:r w:rsidRPr="005E7233">
        <w:fldChar w:fldCharType="end"/>
      </w:r>
      <w:r w:rsidRPr="005E7233">
        <w:t>, Douglas et al., 2022</w:t>
      </w:r>
      <w:bookmarkStart w:id="40" w:name="_Ref187679202"/>
      <w:r w:rsidRPr="005E7233">
        <w:rPr>
          <w:rStyle w:val="FootnoteReference"/>
        </w:rPr>
        <w:footnoteReference w:id="15"/>
      </w:r>
      <w:bookmarkEnd w:id="40"/>
      <w:r w:rsidRPr="005E7233">
        <w:t xml:space="preserve"> carried out an unanchored MAIC comparing the efficacy of teprotumumab to IVMP for the treatment of active MS TED based on the outcomes of proptosis and diplopia. Th</w:t>
      </w:r>
      <w:r w:rsidR="004A3994" w:rsidRPr="005E7233">
        <w:t>e evaluation considered that th</w:t>
      </w:r>
      <w:r w:rsidRPr="005E7233">
        <w:t>is study had several issues that may have introduced bias</w:t>
      </w:r>
      <w:r w:rsidR="00E2111A" w:rsidRPr="005E7233">
        <w:t>:</w:t>
      </w:r>
    </w:p>
    <w:p w14:paraId="1A22DA4D" w14:textId="364235E3" w:rsidR="00ED4A7B" w:rsidRPr="005E7233" w:rsidRDefault="00964F20" w:rsidP="00303DD3">
      <w:pPr>
        <w:pStyle w:val="3-BodyText"/>
        <w:numPr>
          <w:ilvl w:val="1"/>
          <w:numId w:val="9"/>
        </w:numPr>
      </w:pPr>
      <w:r w:rsidRPr="005E7233">
        <w:t>T</w:t>
      </w:r>
      <w:r w:rsidR="00ED4A7B" w:rsidRPr="005E7233">
        <w:t>he study was unanchored due to the IVMP studies not having a placebo control arm. As such a common comparator could not be used.</w:t>
      </w:r>
    </w:p>
    <w:p w14:paraId="461D707F" w14:textId="77777777" w:rsidR="00ED4A7B" w:rsidRPr="005E7233" w:rsidRDefault="00ED4A7B" w:rsidP="00303DD3">
      <w:pPr>
        <w:pStyle w:val="3-BodyText"/>
        <w:numPr>
          <w:ilvl w:val="1"/>
          <w:numId w:val="9"/>
        </w:numPr>
      </w:pPr>
      <w:r w:rsidRPr="005E7233">
        <w:t>The researchers only controlled for age, sex, and smoking status when they performed the adjustment. They did not adjust for baseline severity, duration of disease, or comorbid conditions. These omissions could result in confounding. Post-matching baseline characteristics were not provided, and an assessment of the success of matching on non-matched characteristics could not be performed. The transitivity of the studies could not be adequately assessed.</w:t>
      </w:r>
    </w:p>
    <w:p w14:paraId="72719EA3" w14:textId="0C86F167" w:rsidR="00ED4A7B" w:rsidRPr="005E7233" w:rsidRDefault="00ED4A7B" w:rsidP="00303DD3">
      <w:pPr>
        <w:pStyle w:val="3-BodyText"/>
        <w:numPr>
          <w:ilvl w:val="1"/>
          <w:numId w:val="9"/>
        </w:numPr>
      </w:pPr>
      <w:r w:rsidRPr="005E7233">
        <w:lastRenderedPageBreak/>
        <w:t>The effective sample size of the teprotumumab patients was reduced to 56</w:t>
      </w:r>
      <w:r w:rsidR="0021491D">
        <w:t> </w:t>
      </w:r>
      <w:r w:rsidRPr="005E7233">
        <w:t xml:space="preserve">patients (from 79) for proptosis and to 44 (from 63) for diplopia. A post-matching comparison for non-adjusted covariates was not presented. The decrease </w:t>
      </w:r>
      <w:r w:rsidRPr="005E7233">
        <w:rPr>
          <w:rFonts w:cstheme="minorHAnsi"/>
        </w:rPr>
        <w:t>in effective sample size may have increased variability and reduced reliability of the results, as a few heavily weighted patients could disproportionately influence the findings</w:t>
      </w:r>
      <w:r w:rsidR="00AD1442" w:rsidRPr="005E7233">
        <w:rPr>
          <w:rFonts w:cstheme="minorHAnsi"/>
        </w:rPr>
        <w:t>.</w:t>
      </w:r>
    </w:p>
    <w:p w14:paraId="65106581" w14:textId="2FE7B25E" w:rsidR="004F3BC8" w:rsidRPr="005E7233" w:rsidRDefault="00ED4A7B" w:rsidP="00303DD3">
      <w:pPr>
        <w:pStyle w:val="3-BodyText"/>
        <w:numPr>
          <w:ilvl w:val="1"/>
          <w:numId w:val="9"/>
        </w:numPr>
      </w:pPr>
      <w:r w:rsidRPr="005E7233">
        <w:t>Differences in study design. The teprotumumab trials measured outcomes at 24</w:t>
      </w:r>
      <w:r w:rsidR="0021491D">
        <w:t> </w:t>
      </w:r>
      <w:r w:rsidRPr="005E7233">
        <w:t>weeks while the IVMP trials measured outcomes at 12 weeks. As the symptoms of TED can change over time this may have introduced bias.</w:t>
      </w:r>
    </w:p>
    <w:p w14:paraId="520CD6D4" w14:textId="0956E15D" w:rsidR="00134EE6" w:rsidRPr="005E7233" w:rsidRDefault="00ED4A7B" w:rsidP="00303DD3">
      <w:pPr>
        <w:pStyle w:val="3-BodyText"/>
        <w:numPr>
          <w:ilvl w:val="1"/>
          <w:numId w:val="9"/>
        </w:numPr>
      </w:pPr>
      <w:r w:rsidRPr="005E7233">
        <w:t>The IVMP studies used in the MAIC did not include MMF and so do not accurately represent the nominated comparator of SoC.</w:t>
      </w:r>
    </w:p>
    <w:p w14:paraId="080A71B5" w14:textId="3D57CD3C" w:rsidR="0087629F" w:rsidRPr="005E7233" w:rsidRDefault="00732BCD" w:rsidP="00E9671A">
      <w:pPr>
        <w:pStyle w:val="3-BodyText"/>
      </w:pPr>
      <w:bookmarkStart w:id="41" w:name="_Ref191210801"/>
      <w:r w:rsidRPr="005E7233">
        <w:t>In addition to the published MAIC from Douglas et al., 2022</w:t>
      </w:r>
      <w:r w:rsidRPr="005E7233">
        <w:fldChar w:fldCharType="begin">
          <w:fldData xml:space="preserve">PEVuZE5vdGU+PENpdGU+PEF1dGhvcj5Eb3VnbGFzPC9BdXRob3I+PFllYXI+MjAyMjwvWWVhcj48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</w:fldData>
        </w:fldChar>
      </w:r>
      <w:r w:rsidRPr="005E7233">
        <w:instrText xml:space="preserve"> ADDIN EN.CITE </w:instrText>
      </w:r>
      <w:r w:rsidRPr="005E7233">
        <w:fldChar w:fldCharType="begin">
          <w:fldData xml:space="preserve">PEVuZE5vdGU+PENpdGU+PEF1dGhvcj5Eb3VnbGFzPC9BdXRob3I+PFllYXI+MjAyMjwvWWVhcj48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</w:fldData>
        </w:fldChar>
      </w:r>
      <w:r w:rsidRPr="005E7233">
        <w:instrText xml:space="preserve"> ADDIN EN.CITE.DATA </w:instrText>
      </w:r>
      <w:r w:rsidRPr="005E7233">
        <w:fldChar w:fldCharType="end"/>
      </w:r>
      <w:r w:rsidRPr="005E7233">
        <w:fldChar w:fldCharType="separate"/>
      </w:r>
      <w:r w:rsidRPr="005E7233">
        <w:rPr>
          <w:noProof/>
          <w:vertAlign w:val="superscript"/>
        </w:rPr>
        <w:t>16</w:t>
      </w:r>
      <w:r w:rsidRPr="005E7233">
        <w:fldChar w:fldCharType="end"/>
      </w:r>
      <w:r w:rsidRPr="005E7233">
        <w:t>, the submission carried out a supportive, two step, Bucher ITC. This ITC used Salvi et al., 2015</w:t>
      </w:r>
      <w:r w:rsidRPr="005E7233">
        <w:fldChar w:fldCharType="begin">
          <w:fldData xml:space="preserve">PEVuZE5vdGU+PENpdGU+PEF1dGhvcj5TYWx2aTwvQXV0aG9yPjxZZWFyPjIwMTU8L1llYXI+PFJl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</w:fldData>
        </w:fldChar>
      </w:r>
      <w:r w:rsidRPr="005E7233">
        <w:instrText xml:space="preserve"> ADDIN EN.CITE </w:instrText>
      </w:r>
      <w:r w:rsidRPr="005E7233">
        <w:fldChar w:fldCharType="begin">
          <w:fldData xml:space="preserve">PEVuZE5vdGU+PENpdGU+PEF1dGhvcj5TYWx2aTwvQXV0aG9yPjxZZWFyPjIwMTU8L1llYXI+PFJl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</w:fldData>
        </w:fldChar>
      </w:r>
      <w:r w:rsidRPr="005E7233">
        <w:instrText xml:space="preserve"> ADDIN EN.CITE.DATA </w:instrText>
      </w:r>
      <w:r w:rsidRPr="005E7233">
        <w:fldChar w:fldCharType="end"/>
      </w:r>
      <w:r w:rsidRPr="005E7233">
        <w:fldChar w:fldCharType="separate"/>
      </w:r>
      <w:r w:rsidRPr="005E7233">
        <w:rPr>
          <w:noProof/>
          <w:vertAlign w:val="superscript"/>
        </w:rPr>
        <w:t>20</w:t>
      </w:r>
      <w:r w:rsidRPr="005E7233">
        <w:fldChar w:fldCharType="end"/>
      </w:r>
      <w:r w:rsidRPr="005E7233">
        <w:t xml:space="preserve"> to provide data comparing rituximab to IVMP. This was then compared to data from Stan et al., 2015</w:t>
      </w:r>
      <w:r w:rsidRPr="005E7233">
        <w:fldChar w:fldCharType="begin">
          <w:fldData xml:space="preserve">PEVuZE5vdGU+PENpdGU+PEF1dGhvcj5TdGFuPC9BdXRob3I+PFllYXI+MjAxNTwvWWVhcj48UmVj
TnVtPjMwPC9SZWNOdW0+PERpc3BsYXlUZXh0PjxzdHlsZSBmYWNlPSJzdXBlcnNjcmlwdCI+MjE8
L3N0eWxlPjwvRGlzcGxheVRleHQ+PHJlY29yZD48cmVjLW51bWJlcj4zMDwvcmVjLW51bWJlcj48
Zm9yZWlnbi1rZXlzPjxrZXkgYXBwPSJFTiIgZGItaWQ9Ind4d3p0ZDlmMmEyNTVsZTl2OTVwcHBl
NHdkOXpkMjBwZWRldiIgdGltZXN0YW1wPSIxNzM2NzQxMTE2Ij4zMDwva2V5PjwvZm9yZWlnbi1r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ZGF0ZT5GZWI8L2RhdGU+PC9wdWItZGF0ZXM+PC9kYXRlcz48aXNibj4wMDIxLTk3MlggKFByaW50
KSYjeEQ7MDAyMS05NzJ4PC9pc2JuPjxhY2Nlc3Npb24tbnVtPjI1MzQzMjMzPC9hY2Nlc3Npb24t
bnVtPjx1cmxzPjwvdXJscz48Y3VzdG9tMj5QTUM0MzE4OTA3PC9jdXN0b20yPjxlbGVjdHJvbmlj
LXJlc291cmNlLW51bT4xMC4xMjEwL2pjLjIwMTQtMjU3MjwvZWxlY3Ryb25pYy1yZXNvdXJjZS1u
dW0+PHJlbW90ZS1kYXRhYmFzZS1wcm92aWRlcj5OTE08L3JlbW90ZS1kYXRhYmFzZS1wcm92aWRl
cj48bGFuZ3VhZ2U+ZW5nPC9sYW5ndWFnZT48L3JlY29yZD48L0NpdGU+PC9FbmROb3RlPn==
</w:fldData>
        </w:fldChar>
      </w:r>
      <w:r w:rsidRPr="005E7233">
        <w:instrText xml:space="preserve"> ADDIN EN.CITE </w:instrText>
      </w:r>
      <w:r w:rsidRPr="005E7233">
        <w:fldChar w:fldCharType="begin">
          <w:fldData xml:space="preserve">PEVuZE5vdGU+PENpdGU+PEF1dGhvcj5TdGFuPC9BdXRob3I+PFllYXI+MjAxNTwvWWVhcj48UmVj
TnVtPjMwPC9SZWNOdW0+PERpc3BsYXlUZXh0PjxzdHlsZSBmYWNlPSJzdXBlcnNjcmlwdCI+MjE8
L3N0eWxlPjwvRGlzcGxheVRleHQ+PHJlY29yZD48cmVjLW51bWJlcj4zMDwvcmVjLW51bWJlcj48
Zm9yZWlnbi1rZXlzPjxrZXkgYXBwPSJFTiIgZGItaWQ9Ind4d3p0ZDlmMmEyNTVsZTl2OTVwcHBl
NHdkOXpkMjBwZWRldiIgdGltZXN0YW1wPSIxNzM2NzQxMTE2Ij4zMDwva2V5PjwvZm9yZWlnbi1r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ZGF0ZT5GZWI8L2RhdGU+PC9wdWItZGF0ZXM+PC9kYXRlcz48aXNibj4wMDIxLTk3MlggKFByaW50
KSYjeEQ7MDAyMS05NzJ4PC9pc2JuPjxhY2Nlc3Npb24tbnVtPjI1MzQzMjMzPC9hY2Nlc3Npb24t
bnVtPjx1cmxzPjwvdXJscz48Y3VzdG9tMj5QTUM0MzE4OTA3PC9jdXN0b20yPjxlbGVjdHJvbmlj
LXJlc291cmNlLW51bT4xMC4xMjEwL2pjLjIwMTQtMjU3MjwvZWxlY3Ryb25pYy1yZXNvdXJjZS1u
dW0+PHJlbW90ZS1kYXRhYmFzZS1wcm92aWRlcj5OTE08L3JlbW90ZS1kYXRhYmFzZS1wcm92aWRl
cj48bGFuZ3VhZ2U+ZW5nPC9sYW5ndWFnZT48L3JlY29yZD48L0NpdGU+PC9FbmROb3RlPn==
</w:fldData>
        </w:fldChar>
      </w:r>
      <w:r w:rsidRPr="005E7233">
        <w:instrText xml:space="preserve"> ADDIN EN.CITE.DATA </w:instrText>
      </w:r>
      <w:r w:rsidRPr="005E7233">
        <w:fldChar w:fldCharType="end"/>
      </w:r>
      <w:r w:rsidRPr="005E7233">
        <w:fldChar w:fldCharType="separate"/>
      </w:r>
      <w:r w:rsidRPr="005E7233">
        <w:rPr>
          <w:noProof/>
          <w:vertAlign w:val="superscript"/>
        </w:rPr>
        <w:t>21</w:t>
      </w:r>
      <w:r w:rsidRPr="005E7233">
        <w:fldChar w:fldCharType="end"/>
      </w:r>
      <w:r w:rsidRPr="005E7233">
        <w:t xml:space="preserve"> which compared rituximab to placebo. Finally, this was compared to the pooled data from TEDRV01 and OPTIC comparing placebo to teprotumumab. This created a stepped indirect comparison over teprotumumab to IVMP. </w:t>
      </w:r>
      <w:r w:rsidR="0087629F" w:rsidRPr="005E7233">
        <w:t>The</w:t>
      </w:r>
      <w:r w:rsidRPr="005E7233">
        <w:t xml:space="preserve"> evaluation considered</w:t>
      </w:r>
      <w:r w:rsidR="002D00EB" w:rsidRPr="005E7233">
        <w:t xml:space="preserve"> that</w:t>
      </w:r>
      <w:r w:rsidR="0087629F" w:rsidRPr="005E7233">
        <w:t xml:space="preserve"> there </w:t>
      </w:r>
      <w:r w:rsidRPr="005E7233">
        <w:t>were</w:t>
      </w:r>
      <w:r w:rsidR="0087629F" w:rsidRPr="005E7233">
        <w:t xml:space="preserve"> several issues that ma</w:t>
      </w:r>
      <w:r w:rsidR="00C249EE" w:rsidRPr="005E7233">
        <w:t>d</w:t>
      </w:r>
      <w:r w:rsidR="0087629F" w:rsidRPr="005E7233">
        <w:t>e the results uninformative:</w:t>
      </w:r>
      <w:bookmarkEnd w:id="41"/>
    </w:p>
    <w:p w14:paraId="13B8E015" w14:textId="4E542ABC" w:rsidR="0087629F" w:rsidRPr="005E7233" w:rsidRDefault="0087629F" w:rsidP="00303DD3">
      <w:pPr>
        <w:pStyle w:val="3-BodyText"/>
        <w:numPr>
          <w:ilvl w:val="0"/>
          <w:numId w:val="11"/>
        </w:numPr>
        <w:ind w:left="1276"/>
        <w:rPr>
          <w:rFonts w:cstheme="minorHAnsi"/>
        </w:rPr>
      </w:pPr>
      <w:r w:rsidRPr="005E7233">
        <w:rPr>
          <w:rFonts w:cstheme="minorHAnsi"/>
        </w:rPr>
        <w:t>Differences in population. In Salvi et al., 2015</w:t>
      </w:r>
      <w:r w:rsidRPr="005E7233">
        <w:rPr>
          <w:rFonts w:cstheme="minorHAnsi"/>
        </w:rPr>
        <w:fldChar w:fldCharType="begin">
          <w:fldData xml:space="preserve">PEVuZE5vdGU+PENpdGU+PEF1dGhvcj5TYWx2aTwvQXV0aG9yPjxZZWFyPjIwMTU8L1llYXI+PFJl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</w:fldData>
        </w:fldChar>
      </w:r>
      <w:r w:rsidRPr="005E7233">
        <w:rPr>
          <w:rFonts w:cstheme="minorHAnsi"/>
        </w:rPr>
        <w:instrText xml:space="preserve"> ADDIN EN.CITE </w:instrText>
      </w:r>
      <w:r w:rsidRPr="005E7233">
        <w:rPr>
          <w:rFonts w:cstheme="minorHAnsi"/>
        </w:rPr>
        <w:fldChar w:fldCharType="begin">
          <w:fldData xml:space="preserve">PEVuZE5vdGU+PENpdGU+PEF1dGhvcj5TYWx2aTwvQXV0aG9yPjxZZWFyPjIwMTU8L1llYXI+PFJl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</w:fldData>
        </w:fldChar>
      </w:r>
      <w:r w:rsidRPr="005E7233">
        <w:rPr>
          <w:rFonts w:cstheme="minorHAnsi"/>
        </w:rPr>
        <w:instrText xml:space="preserve"> ADDIN EN.CITE.DATA </w:instrText>
      </w:r>
      <w:r w:rsidRPr="005E7233">
        <w:rPr>
          <w:rFonts w:cstheme="minorHAnsi"/>
        </w:rPr>
      </w:r>
      <w:r w:rsidRPr="005E7233">
        <w:rPr>
          <w:rFonts w:cstheme="minorHAnsi"/>
        </w:rPr>
        <w:fldChar w:fldCharType="end"/>
      </w:r>
      <w:r w:rsidRPr="005E7233">
        <w:rPr>
          <w:rFonts w:cstheme="minorHAnsi"/>
        </w:rPr>
      </w:r>
      <w:r w:rsidRPr="005E7233">
        <w:rPr>
          <w:rFonts w:cstheme="minorHAnsi"/>
        </w:rPr>
        <w:fldChar w:fldCharType="separate"/>
      </w:r>
      <w:r w:rsidRPr="005E7233">
        <w:rPr>
          <w:rFonts w:cstheme="minorHAnsi"/>
          <w:noProof/>
          <w:vertAlign w:val="superscript"/>
        </w:rPr>
        <w:t>22</w:t>
      </w:r>
      <w:r w:rsidRPr="005E7233">
        <w:rPr>
          <w:rFonts w:cstheme="minorHAnsi"/>
        </w:rPr>
        <w:fldChar w:fldCharType="end"/>
      </w:r>
      <w:r w:rsidRPr="005E7233">
        <w:rPr>
          <w:rFonts w:cstheme="minorHAnsi"/>
        </w:rPr>
        <w:t xml:space="preserve"> the rituximab arm </w:t>
      </w:r>
      <w:r w:rsidR="00767753" w:rsidRPr="005E7233">
        <w:rPr>
          <w:rFonts w:cstheme="minorHAnsi"/>
        </w:rPr>
        <w:t>included</w:t>
      </w:r>
      <w:r w:rsidR="00B66A6E" w:rsidRPr="005E7233">
        <w:rPr>
          <w:rFonts w:cstheme="minorHAnsi"/>
        </w:rPr>
        <w:t xml:space="preserve"> </w:t>
      </w:r>
      <w:r w:rsidRPr="005E7233">
        <w:rPr>
          <w:rFonts w:cstheme="minorHAnsi"/>
        </w:rPr>
        <w:t>a</w:t>
      </w:r>
      <w:r w:rsidR="00767753" w:rsidRPr="005E7233">
        <w:rPr>
          <w:rFonts w:cstheme="minorHAnsi"/>
        </w:rPr>
        <w:t xml:space="preserve"> patient</w:t>
      </w:r>
      <w:r w:rsidRPr="005E7233">
        <w:rPr>
          <w:rFonts w:cstheme="minorHAnsi"/>
        </w:rPr>
        <w:t xml:space="preserve"> population consisting of 93% females and 66% smokers. In Stan et al., 2015</w:t>
      </w:r>
      <w:r w:rsidRPr="005E7233">
        <w:rPr>
          <w:rFonts w:cstheme="minorHAnsi"/>
        </w:rPr>
        <w:fldChar w:fldCharType="begin">
          <w:fldData xml:space="preserve">PEVuZE5vdGU+PENpdGU+PEF1dGhvcj5TdGFuPC9BdXRob3I+PFllYXI+MjAxNTwvWWVhcj48UmVj
TnVtPjM0PC9SZWNOdW0+PERpc3BsYXlUZXh0PjxzdHlsZSBmYWNlPSJzdXBlcnNjcmlwdCI+MjE8
L3N0eWxlPjwvRGlzcGxheVRleHQ+PHJlY29yZD48cmVjLW51bWJlcj4zNDwvcmVjLW51bWJlcj48
Zm9yZWlnbi1rZXlzPjxrZXkgYXBwPSJFTiIgZGItaWQ9ImZ2enpkdnAyb3ZyYXc4ZTV2YWRwMmRh
ZTV3cmY1dnBhd2RzZCIgdGltZXN0YW1wPSIxNzM0NzY0NTQ0Ij4zNDwva2V5PjwvZm9yZWlnbi1r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ZGF0ZT5GZWI8L2RhdGU+PC9wdWItZGF0ZXM+PC9kYXRlcz48aXNibj4xOTQ1LTcxOTcgKEVsZWN0
cm9uaWMpJiN4RDswMDIxLTk3MlggKFByaW50KSYjeEQ7MDAyMS05NzJYIChMaW5raW5nKTwvaXNi
bj48YWNjZXNzaW9uLW51bT4yNTM0MzIzMzwvYWNjZXNzaW9uLW51bT48dXJscz48cmVsYXRlZC11
cmxzPjx1cmw+aHR0cHM6Ly93d3cubmNiaS5ubG0ubmloLmdvdi9wdWJtZWQvMjUzNDMyMzM8L3Vy
bD48L3JlbGF0ZWQtdXJscz48L3VybHM+PGN1c3RvbTI+UE1DNDMxODkwNzwvY3VzdG9tMj48ZWxl
Y3Ryb25pYy1yZXNvdXJjZS1udW0+MTAuMTIxMC9qYy4yMDE0LTI1NzI8L2VsZWN0cm9uaWMtcmVz
b3VyY2UtbnVtPjxyZW1vdGUtZGF0YWJhc2UtbmFtZT5NZWRsaW5lPC9yZW1vdGUtZGF0YWJhc2Ut
bmFtZT48cmVtb3RlLWRhdGFiYXNlLXByb3ZpZGVyPk5MTTwvcmVtb3RlLWRhdGFiYXNlLXByb3Zp
ZGVyPjwvcmVjb3JkPjwvQ2l0ZT48L0VuZE5vdGU+AG==
</w:fldData>
        </w:fldChar>
      </w:r>
      <w:r w:rsidRPr="005E7233">
        <w:rPr>
          <w:rFonts w:cstheme="minorHAnsi"/>
        </w:rPr>
        <w:instrText xml:space="preserve"> ADDIN EN.CITE </w:instrText>
      </w:r>
      <w:r w:rsidRPr="005E7233">
        <w:rPr>
          <w:rFonts w:cstheme="minorHAnsi"/>
        </w:rPr>
        <w:fldChar w:fldCharType="begin">
          <w:fldData xml:space="preserve">PEVuZE5vdGU+PENpdGU+PEF1dGhvcj5TdGFuPC9BdXRob3I+PFllYXI+MjAxNTwvWWVhcj48UmVj
TnVtPjM0PC9SZWNOdW0+PERpc3BsYXlUZXh0PjxzdHlsZSBmYWNlPSJzdXBlcnNjcmlwdCI+MjE8
L3N0eWxlPjwvRGlzcGxheVRleHQ+PHJlY29yZD48cmVjLW51bWJlcj4zNDwvcmVjLW51bWJlcj48
Zm9yZWlnbi1rZXlzPjxrZXkgYXBwPSJFTiIgZGItaWQ9ImZ2enpkdnAyb3ZyYXc4ZTV2YWRwMmRh
ZTV3cmY1dnBhd2RzZCIgdGltZXN0YW1wPSIxNzM0NzY0NTQ0Ij4zNDwva2V5PjwvZm9yZWlnbi1r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ZGF0ZT5GZWI8L2RhdGU+PC9wdWItZGF0ZXM+PC9kYXRlcz48aXNibj4xOTQ1LTcxOTcgKEVsZWN0
cm9uaWMpJiN4RDswMDIxLTk3MlggKFByaW50KSYjeEQ7MDAyMS05NzJYIChMaW5raW5nKTwvaXNi
bj48YWNjZXNzaW9uLW51bT4yNTM0MzIzMzwvYWNjZXNzaW9uLW51bT48dXJscz48cmVsYXRlZC11
cmxzPjx1cmw+aHR0cHM6Ly93d3cubmNiaS5ubG0ubmloLmdvdi9wdWJtZWQvMjUzNDMyMzM8L3Vy
bD48L3JlbGF0ZWQtdXJscz48L3VybHM+PGN1c3RvbTI+UE1DNDMxODkwNzwvY3VzdG9tMj48ZWxl
Y3Ryb25pYy1yZXNvdXJjZS1udW0+MTAuMTIxMC9qYy4yMDE0LTI1NzI8L2VsZWN0cm9uaWMtcmVz
b3VyY2UtbnVtPjxyZW1vdGUtZGF0YWJhc2UtbmFtZT5NZWRsaW5lPC9yZW1vdGUtZGF0YWJhc2Ut
bmFtZT48cmVtb3RlLWRhdGFiYXNlLXByb3ZpZGVyPk5MTTwvcmVtb3RlLWRhdGFiYXNlLXByb3Zp
ZGVyPjwvcmVjb3JkPjwvQ2l0ZT48L0VuZE5vdGU+AG==
</w:fldData>
        </w:fldChar>
      </w:r>
      <w:r w:rsidRPr="005E7233">
        <w:rPr>
          <w:rFonts w:cstheme="minorHAnsi"/>
        </w:rPr>
        <w:instrText xml:space="preserve"> ADDIN EN.CITE.DATA </w:instrText>
      </w:r>
      <w:r w:rsidRPr="005E7233">
        <w:rPr>
          <w:rFonts w:cstheme="minorHAnsi"/>
        </w:rPr>
      </w:r>
      <w:r w:rsidRPr="005E7233">
        <w:rPr>
          <w:rFonts w:cstheme="minorHAnsi"/>
        </w:rPr>
        <w:fldChar w:fldCharType="end"/>
      </w:r>
      <w:r w:rsidRPr="005E7233">
        <w:rPr>
          <w:rFonts w:cstheme="minorHAnsi"/>
        </w:rPr>
      </w:r>
      <w:r w:rsidRPr="005E7233">
        <w:rPr>
          <w:rFonts w:cstheme="minorHAnsi"/>
        </w:rPr>
        <w:fldChar w:fldCharType="separate"/>
      </w:r>
      <w:r w:rsidRPr="005E7233">
        <w:rPr>
          <w:rFonts w:cstheme="minorHAnsi"/>
          <w:noProof/>
          <w:vertAlign w:val="superscript"/>
        </w:rPr>
        <w:t>21</w:t>
      </w:r>
      <w:r w:rsidRPr="005E7233">
        <w:rPr>
          <w:rFonts w:cstheme="minorHAnsi"/>
        </w:rPr>
        <w:fldChar w:fldCharType="end"/>
      </w:r>
      <w:r w:rsidRPr="005E7233">
        <w:rPr>
          <w:rFonts w:cstheme="minorHAnsi"/>
        </w:rPr>
        <w:t xml:space="preserve"> the rituximab arm </w:t>
      </w:r>
      <w:r w:rsidR="00767753" w:rsidRPr="005E7233">
        <w:rPr>
          <w:rFonts w:cstheme="minorHAnsi"/>
        </w:rPr>
        <w:t xml:space="preserve">included </w:t>
      </w:r>
      <w:r w:rsidRPr="005E7233">
        <w:rPr>
          <w:rFonts w:cstheme="minorHAnsi"/>
        </w:rPr>
        <w:t>a</w:t>
      </w:r>
      <w:r w:rsidR="00767753" w:rsidRPr="005E7233">
        <w:rPr>
          <w:rFonts w:cstheme="minorHAnsi"/>
        </w:rPr>
        <w:t xml:space="preserve"> patient</w:t>
      </w:r>
      <w:r w:rsidRPr="005E7233">
        <w:rPr>
          <w:rFonts w:cstheme="minorHAnsi"/>
        </w:rPr>
        <w:t xml:space="preserve"> population consisting of 96% females and 15% smokers. In the combine</w:t>
      </w:r>
      <w:r w:rsidR="00E2696E">
        <w:rPr>
          <w:rFonts w:cstheme="minorHAnsi"/>
        </w:rPr>
        <w:t>d</w:t>
      </w:r>
      <w:r w:rsidRPr="005E7233">
        <w:rPr>
          <w:rFonts w:cstheme="minorHAnsi"/>
        </w:rPr>
        <w:t xml:space="preserve"> teprotumumab population from TEDRV01 and OPTIC, </w:t>
      </w:r>
      <w:r w:rsidR="00694B93" w:rsidRPr="005E7233">
        <w:rPr>
          <w:rFonts w:cstheme="minorHAnsi"/>
        </w:rPr>
        <w:t xml:space="preserve">68% </w:t>
      </w:r>
      <w:r w:rsidR="00F56C32" w:rsidRPr="005E7233">
        <w:rPr>
          <w:rFonts w:cstheme="minorHAnsi"/>
        </w:rPr>
        <w:t xml:space="preserve">were </w:t>
      </w:r>
      <w:r w:rsidRPr="005E7233">
        <w:rPr>
          <w:rFonts w:cstheme="minorHAnsi"/>
        </w:rPr>
        <w:t>females and</w:t>
      </w:r>
      <w:r w:rsidR="00D44704">
        <w:rPr>
          <w:rFonts w:cstheme="minorHAnsi"/>
        </w:rPr>
        <w:t xml:space="preserve"> </w:t>
      </w:r>
      <w:r w:rsidRPr="005E7233">
        <w:rPr>
          <w:rFonts w:cstheme="minorHAnsi"/>
        </w:rPr>
        <w:t>24%</w:t>
      </w:r>
      <w:r w:rsidR="00F56C32" w:rsidRPr="005E7233">
        <w:rPr>
          <w:rFonts w:cstheme="minorHAnsi"/>
        </w:rPr>
        <w:t xml:space="preserve"> were</w:t>
      </w:r>
      <w:r w:rsidR="00694B93" w:rsidRPr="005E7233">
        <w:rPr>
          <w:rFonts w:cstheme="minorHAnsi"/>
        </w:rPr>
        <w:t xml:space="preserve"> smokers</w:t>
      </w:r>
      <w:r w:rsidRPr="005E7233">
        <w:rPr>
          <w:rFonts w:cstheme="minorHAnsi"/>
        </w:rPr>
        <w:t>. As these are prognostic factors, the observed outcomes may reflect differences in these baseline characteristics rather than the true effect of the treatments.</w:t>
      </w:r>
    </w:p>
    <w:p w14:paraId="2F42FDDD" w14:textId="66B29198" w:rsidR="00732BCD" w:rsidRPr="005E7233" w:rsidRDefault="0087629F" w:rsidP="00303DD3">
      <w:pPr>
        <w:pStyle w:val="3-BodyText"/>
        <w:numPr>
          <w:ilvl w:val="0"/>
          <w:numId w:val="11"/>
        </w:numPr>
        <w:ind w:left="1276"/>
        <w:rPr>
          <w:rFonts w:cstheme="minorHAnsi"/>
        </w:rPr>
      </w:pPr>
      <w:r w:rsidRPr="005E7233">
        <w:rPr>
          <w:rFonts w:cstheme="minorHAnsi"/>
        </w:rPr>
        <w:t>Differences in treatment regimens. The Salvi et al., 2015</w:t>
      </w:r>
      <w:r w:rsidRPr="005E7233">
        <w:rPr>
          <w:rFonts w:cstheme="minorHAnsi"/>
        </w:rPr>
        <w:fldChar w:fldCharType="begin">
          <w:fldData xml:space="preserve">PEVuZE5vdGU+PENpdGU+PEF1dGhvcj5TYWx2aTwvQXV0aG9yPjxZZWFyPjIwMTU8L1llYXI+PFJl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</w:fldData>
        </w:fldChar>
      </w:r>
      <w:r w:rsidRPr="005E7233">
        <w:rPr>
          <w:rFonts w:cstheme="minorHAnsi"/>
        </w:rPr>
        <w:instrText xml:space="preserve"> ADDIN EN.CITE </w:instrText>
      </w:r>
      <w:r w:rsidRPr="005E7233">
        <w:rPr>
          <w:rFonts w:cstheme="minorHAnsi"/>
        </w:rPr>
        <w:fldChar w:fldCharType="begin">
          <w:fldData xml:space="preserve">PEVuZE5vdGU+PENpdGU+PEF1dGhvcj5TYWx2aTwvQXV0aG9yPjxZZWFyPjIwMTU8L1llYXI+PFJl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</w:fldData>
        </w:fldChar>
      </w:r>
      <w:r w:rsidRPr="005E7233">
        <w:rPr>
          <w:rFonts w:cstheme="minorHAnsi"/>
        </w:rPr>
        <w:instrText xml:space="preserve"> ADDIN EN.CITE.DATA </w:instrText>
      </w:r>
      <w:r w:rsidRPr="005E7233">
        <w:rPr>
          <w:rFonts w:cstheme="minorHAnsi"/>
        </w:rPr>
      </w:r>
      <w:r w:rsidRPr="005E7233">
        <w:rPr>
          <w:rFonts w:cstheme="minorHAnsi"/>
        </w:rPr>
        <w:fldChar w:fldCharType="end"/>
      </w:r>
      <w:r w:rsidRPr="005E7233">
        <w:rPr>
          <w:rFonts w:cstheme="minorHAnsi"/>
        </w:rPr>
      </w:r>
      <w:r w:rsidRPr="005E7233">
        <w:rPr>
          <w:rFonts w:cstheme="minorHAnsi"/>
        </w:rPr>
        <w:fldChar w:fldCharType="separate"/>
      </w:r>
      <w:r w:rsidRPr="005E7233">
        <w:rPr>
          <w:rFonts w:cstheme="minorHAnsi"/>
          <w:noProof/>
          <w:vertAlign w:val="superscript"/>
        </w:rPr>
        <w:t>22</w:t>
      </w:r>
      <w:r w:rsidRPr="005E7233">
        <w:rPr>
          <w:rFonts w:cstheme="minorHAnsi"/>
        </w:rPr>
        <w:fldChar w:fldCharType="end"/>
      </w:r>
      <w:r w:rsidRPr="005E7233">
        <w:rPr>
          <w:rFonts w:cstheme="minorHAnsi"/>
        </w:rPr>
        <w:t xml:space="preserve"> </w:t>
      </w:r>
      <w:r w:rsidR="009166C4">
        <w:rPr>
          <w:rFonts w:cstheme="minorHAnsi"/>
        </w:rPr>
        <w:t xml:space="preserve">study </w:t>
      </w:r>
      <w:r w:rsidRPr="005E7233">
        <w:rPr>
          <w:rFonts w:cstheme="minorHAnsi"/>
        </w:rPr>
        <w:t>initially administered two 1000</w:t>
      </w:r>
      <w:r w:rsidR="00690D7F">
        <w:rPr>
          <w:rFonts w:cstheme="minorHAnsi"/>
        </w:rPr>
        <w:t> </w:t>
      </w:r>
      <w:r w:rsidRPr="005E7233">
        <w:rPr>
          <w:rFonts w:cstheme="minorHAnsi"/>
        </w:rPr>
        <w:t>mg rituximab doses at a 2-week interval. This was later amended to a single 500</w:t>
      </w:r>
      <w:r w:rsidR="00690D7F">
        <w:rPr>
          <w:rFonts w:cstheme="minorHAnsi"/>
        </w:rPr>
        <w:t> </w:t>
      </w:r>
      <w:r w:rsidRPr="005E7233">
        <w:rPr>
          <w:rFonts w:cstheme="minorHAnsi"/>
        </w:rPr>
        <w:t>mg infusion. The Stan et al., 2015</w:t>
      </w:r>
      <w:r w:rsidRPr="005E7233">
        <w:rPr>
          <w:rFonts w:cstheme="minorHAnsi"/>
        </w:rPr>
        <w:fldChar w:fldCharType="begin">
          <w:fldData xml:space="preserve">PEVuZE5vdGU+PENpdGU+PEF1dGhvcj5TdGFuPC9BdXRob3I+PFllYXI+MjAxNTwvWWVhcj48UmVj
TnVtPjM0PC9SZWNOdW0+PERpc3BsYXlUZXh0PjxzdHlsZSBmYWNlPSJzdXBlcnNjcmlwdCI+MjE8
L3N0eWxlPjwvRGlzcGxheVRleHQ+PHJlY29yZD48cmVjLW51bWJlcj4zNDwvcmVjLW51bWJlcj48
Zm9yZWlnbi1rZXlzPjxrZXkgYXBwPSJFTiIgZGItaWQ9ImZ2enpkdnAyb3ZyYXc4ZTV2YWRwMmRh
ZTV3cmY1dnBhd2RzZCIgdGltZXN0YW1wPSIxNzM0NzY0NTQ0Ij4zNDwva2V5PjwvZm9yZWlnbi1r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ZGF0ZT5GZWI8L2RhdGU+PC9wdWItZGF0ZXM+PC9kYXRlcz48aXNibj4xOTQ1LTcxOTcgKEVsZWN0
cm9uaWMpJiN4RDswMDIxLTk3MlggKFByaW50KSYjeEQ7MDAyMS05NzJYIChMaW5raW5nKTwvaXNi
bj48YWNjZXNzaW9uLW51bT4yNTM0MzIzMzwvYWNjZXNzaW9uLW51bT48dXJscz48cmVsYXRlZC11
cmxzPjx1cmw+aHR0cHM6Ly93d3cubmNiaS5ubG0ubmloLmdvdi9wdWJtZWQvMjUzNDMyMzM8L3Vy
bD48L3JlbGF0ZWQtdXJscz48L3VybHM+PGN1c3RvbTI+UE1DNDMxODkwNzwvY3VzdG9tMj48ZWxl
Y3Ryb25pYy1yZXNvdXJjZS1udW0+MTAuMTIxMC9qYy4yMDE0LTI1NzI8L2VsZWN0cm9uaWMtcmVz
b3VyY2UtbnVtPjxyZW1vdGUtZGF0YWJhc2UtbmFtZT5NZWRsaW5lPC9yZW1vdGUtZGF0YWJhc2Ut
bmFtZT48cmVtb3RlLWRhdGFiYXNlLXByb3ZpZGVyPk5MTTwvcmVtb3RlLWRhdGFiYXNlLXByb3Zp
ZGVyPjwvcmVjb3JkPjwvQ2l0ZT48L0VuZE5vdGU+AG==
</w:fldData>
        </w:fldChar>
      </w:r>
      <w:r w:rsidRPr="005E7233">
        <w:rPr>
          <w:rFonts w:cstheme="minorHAnsi"/>
        </w:rPr>
        <w:instrText xml:space="preserve"> ADDIN EN.CITE </w:instrText>
      </w:r>
      <w:r w:rsidRPr="005E7233">
        <w:rPr>
          <w:rFonts w:cstheme="minorHAnsi"/>
        </w:rPr>
        <w:fldChar w:fldCharType="begin">
          <w:fldData xml:space="preserve">PEVuZE5vdGU+PENpdGU+PEF1dGhvcj5TdGFuPC9BdXRob3I+PFllYXI+MjAxNTwvWWVhcj48UmVj
TnVtPjM0PC9SZWNOdW0+PERpc3BsYXlUZXh0PjxzdHlsZSBmYWNlPSJzdXBlcnNjcmlwdCI+MjE8
L3N0eWxlPjwvRGlzcGxheVRleHQ+PHJlY29yZD48cmVjLW51bWJlcj4zNDwvcmVjLW51bWJlcj48
Zm9yZWlnbi1rZXlzPjxrZXkgYXBwPSJFTiIgZGItaWQ9ImZ2enpkdnAyb3ZyYXc4ZTV2YWRwMmRh
ZTV3cmY1dnBhd2RzZCIgdGltZXN0YW1wPSIxNzM0NzY0NTQ0Ij4zNDwva2V5PjwvZm9yZWlnbi1r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ZGF0ZT5GZWI8L2RhdGU+PC9wdWItZGF0ZXM+PC9kYXRlcz48aXNibj4xOTQ1LTcxOTcgKEVsZWN0
cm9uaWMpJiN4RDswMDIxLTk3MlggKFByaW50KSYjeEQ7MDAyMS05NzJYIChMaW5raW5nKTwvaXNi
bj48YWNjZXNzaW9uLW51bT4yNTM0MzIzMzwvYWNjZXNzaW9uLW51bT48dXJscz48cmVsYXRlZC11
cmxzPjx1cmw+aHR0cHM6Ly93d3cubmNiaS5ubG0ubmloLmdvdi9wdWJtZWQvMjUzNDMyMzM8L3Vy
bD48L3JlbGF0ZWQtdXJscz48L3VybHM+PGN1c3RvbTI+UE1DNDMxODkwNzwvY3VzdG9tMj48ZWxl
Y3Ryb25pYy1yZXNvdXJjZS1udW0+MTAuMTIxMC9qYy4yMDE0LTI1NzI8L2VsZWN0cm9uaWMtcmVz
b3VyY2UtbnVtPjxyZW1vdGUtZGF0YWJhc2UtbmFtZT5NZWRsaW5lPC9yZW1vdGUtZGF0YWJhc2Ut
bmFtZT48cmVtb3RlLWRhdGFiYXNlLXByb3ZpZGVyPk5MTTwvcmVtb3RlLWRhdGFiYXNlLXByb3Zp
ZGVyPjwvcmVjb3JkPjwvQ2l0ZT48L0VuZE5vdGU+AG==
</w:fldData>
        </w:fldChar>
      </w:r>
      <w:r w:rsidRPr="005E7233">
        <w:rPr>
          <w:rFonts w:cstheme="minorHAnsi"/>
        </w:rPr>
        <w:instrText xml:space="preserve"> ADDIN EN.CITE.DATA </w:instrText>
      </w:r>
      <w:r w:rsidRPr="005E7233">
        <w:rPr>
          <w:rFonts w:cstheme="minorHAnsi"/>
        </w:rPr>
      </w:r>
      <w:r w:rsidRPr="005E7233">
        <w:rPr>
          <w:rFonts w:cstheme="minorHAnsi"/>
        </w:rPr>
        <w:fldChar w:fldCharType="end"/>
      </w:r>
      <w:r w:rsidRPr="005E7233">
        <w:rPr>
          <w:rFonts w:cstheme="minorHAnsi"/>
        </w:rPr>
      </w:r>
      <w:r w:rsidRPr="005E7233">
        <w:rPr>
          <w:rFonts w:cstheme="minorHAnsi"/>
        </w:rPr>
        <w:fldChar w:fldCharType="separate"/>
      </w:r>
      <w:r w:rsidRPr="005E7233">
        <w:rPr>
          <w:rFonts w:cstheme="minorHAnsi"/>
          <w:noProof/>
          <w:vertAlign w:val="superscript"/>
        </w:rPr>
        <w:t>21</w:t>
      </w:r>
      <w:r w:rsidRPr="005E7233">
        <w:rPr>
          <w:rFonts w:cstheme="minorHAnsi"/>
        </w:rPr>
        <w:fldChar w:fldCharType="end"/>
      </w:r>
      <w:r w:rsidRPr="005E7233">
        <w:rPr>
          <w:rFonts w:cstheme="minorHAnsi"/>
        </w:rPr>
        <w:t xml:space="preserve"> study administered two rituximab infusions 2 weeks apart. </w:t>
      </w:r>
    </w:p>
    <w:p w14:paraId="6DD5C305" w14:textId="69B3E9C3" w:rsidR="0058569C" w:rsidRPr="005E7233" w:rsidRDefault="0087629F" w:rsidP="733957FC">
      <w:pPr>
        <w:pStyle w:val="3-BodyText"/>
        <w:numPr>
          <w:ilvl w:val="0"/>
          <w:numId w:val="0"/>
        </w:numPr>
        <w:ind w:left="780"/>
      </w:pPr>
      <w:r w:rsidRPr="005E7233">
        <w:t>These factors violate the transitivity assumption requiring that patient populations are sufficiently similar as well as creating inconsistency in the comparison chain resulting in the treatment effect observed in Salvi et al., 2015</w:t>
      </w:r>
      <w:r w:rsidRPr="005E7233">
        <w:fldChar w:fldCharType="begin"/>
      </w:r>
      <w:r w:rsidRPr="005E7233">
        <w:instrText xml:space="preserve"> ADDIN EN.CITE </w:instrText>
      </w:r>
      <w:r w:rsidRPr="005E7233">
        <w:fldChar w:fldCharType="begin"/>
      </w:r>
      <w:r w:rsidRPr="005E7233">
        <w:instrText xml:space="preserve"> ADDIN EN.CITE.DATA </w:instrText>
      </w:r>
      <w:r w:rsidRPr="005E7233">
        <w:fldChar w:fldCharType="end"/>
      </w:r>
      <w:r w:rsidRPr="005E7233">
        <w:fldChar w:fldCharType="separate"/>
      </w:r>
      <w:r w:rsidRPr="005E7233">
        <w:rPr>
          <w:noProof/>
          <w:vertAlign w:val="superscript"/>
        </w:rPr>
        <w:t>22</w:t>
      </w:r>
      <w:r w:rsidRPr="005E7233">
        <w:fldChar w:fldCharType="end"/>
      </w:r>
      <w:r w:rsidRPr="005E7233">
        <w:t xml:space="preserve"> and Stan et al., 2015</w:t>
      </w:r>
      <w:r w:rsidRPr="005E7233">
        <w:fldChar w:fldCharType="begin"/>
      </w:r>
      <w:r w:rsidRPr="005E7233">
        <w:instrText xml:space="preserve"> ADDIN EN.CITE </w:instrText>
      </w:r>
      <w:r w:rsidRPr="005E7233">
        <w:fldChar w:fldCharType="begin"/>
      </w:r>
      <w:r w:rsidRPr="005E7233">
        <w:instrText xml:space="preserve"> ADDIN EN.CITE.DATA </w:instrText>
      </w:r>
      <w:r w:rsidRPr="005E7233">
        <w:fldChar w:fldCharType="end"/>
      </w:r>
      <w:r w:rsidRPr="005E7233">
        <w:fldChar w:fldCharType="separate"/>
      </w:r>
      <w:r w:rsidRPr="005E7233">
        <w:rPr>
          <w:noProof/>
          <w:vertAlign w:val="superscript"/>
        </w:rPr>
        <w:t>21</w:t>
      </w:r>
      <w:r w:rsidRPr="005E7233">
        <w:fldChar w:fldCharType="end"/>
      </w:r>
      <w:r w:rsidRPr="005E7233">
        <w:t xml:space="preserve"> not being comparable. As such the</w:t>
      </w:r>
      <w:r w:rsidR="00C32CD7" w:rsidRPr="005E7233">
        <w:t xml:space="preserve"> evaluation considered that the</w:t>
      </w:r>
      <w:r w:rsidRPr="005E7233">
        <w:t xml:space="preserve"> results from </w:t>
      </w:r>
      <w:r w:rsidR="00C954F0" w:rsidRPr="005E7233">
        <w:t>the</w:t>
      </w:r>
      <w:r w:rsidRPr="005E7233">
        <w:t xml:space="preserve"> stepped ITC </w:t>
      </w:r>
      <w:r w:rsidR="00C954F0" w:rsidRPr="005E7233">
        <w:t>were</w:t>
      </w:r>
      <w:r w:rsidRPr="005E7233">
        <w:t xml:space="preserve"> not reliable. </w:t>
      </w:r>
      <w:r w:rsidR="00265A2D" w:rsidRPr="005E7233">
        <w:t xml:space="preserve">The PSCR </w:t>
      </w:r>
      <w:r w:rsidR="0093551B" w:rsidRPr="005E7233">
        <w:t>acknowledges that</w:t>
      </w:r>
      <w:r w:rsidRPr="005E7233">
        <w:t xml:space="preserve"> </w:t>
      </w:r>
      <w:r w:rsidR="00996110" w:rsidRPr="005E7233">
        <w:t xml:space="preserve">sex and smoking status are prognostic factors, </w:t>
      </w:r>
      <w:r w:rsidR="005F170C" w:rsidRPr="005E7233">
        <w:t xml:space="preserve">however argued that </w:t>
      </w:r>
      <w:r w:rsidR="00996110" w:rsidRPr="005E7233">
        <w:t xml:space="preserve">there </w:t>
      </w:r>
      <w:r w:rsidR="005F170C" w:rsidRPr="005E7233">
        <w:t>was</w:t>
      </w:r>
      <w:r w:rsidR="00996110" w:rsidRPr="005E7233">
        <w:t xml:space="preserve"> no indication that </w:t>
      </w:r>
      <w:r w:rsidR="00B3485F" w:rsidRPr="005E7233">
        <w:t>these were</w:t>
      </w:r>
      <w:r w:rsidR="00996110" w:rsidRPr="005E7233">
        <w:t xml:space="preserve"> treatment effect modifiers</w:t>
      </w:r>
      <w:r w:rsidR="005F170C" w:rsidRPr="005E7233">
        <w:t xml:space="preserve">. </w:t>
      </w:r>
      <w:r w:rsidR="001B36E5" w:rsidRPr="005E7233">
        <w:t xml:space="preserve">The PSCR further argued that differences in treatment regimens did not </w:t>
      </w:r>
      <w:r w:rsidR="00E63150" w:rsidRPr="005E7233">
        <w:t xml:space="preserve">lead to differences in response and maintained that </w:t>
      </w:r>
      <w:r w:rsidR="00901D91" w:rsidRPr="005E7233">
        <w:t xml:space="preserve">the </w:t>
      </w:r>
      <w:r w:rsidR="00B560F7" w:rsidRPr="005E7233">
        <w:t xml:space="preserve">Bucher ITC </w:t>
      </w:r>
      <w:r w:rsidR="00DF6FAB" w:rsidRPr="005E7233">
        <w:t>was supportive of the MAIC and provided</w:t>
      </w:r>
      <w:r w:rsidR="003C5FED" w:rsidRPr="005E7233">
        <w:t xml:space="preserve"> greater certainty </w:t>
      </w:r>
      <w:r w:rsidR="0045031F" w:rsidRPr="005E7233">
        <w:t>to the clinical effect of teprotumumab versus IVMP in the 1L setting.</w:t>
      </w:r>
    </w:p>
    <w:p w14:paraId="02E237A0" w14:textId="3D25CCAA" w:rsidR="00ED4A7B" w:rsidRPr="005E7233" w:rsidRDefault="00ED4A7B" w:rsidP="00ED4A7B">
      <w:pPr>
        <w:pStyle w:val="3-BodyText"/>
      </w:pPr>
      <w:r w:rsidRPr="005E7233">
        <w:lastRenderedPageBreak/>
        <w:t>The submission also carried out a Bucher ITC comparing teprotumumab to tocilizumab using placebo as a common comparator. Th</w:t>
      </w:r>
      <w:r w:rsidR="00957180" w:rsidRPr="005E7233">
        <w:t>e evaluation considered that th</w:t>
      </w:r>
      <w:r w:rsidRPr="005E7233">
        <w:t>is comparison also had several issues that may have introduced bias</w:t>
      </w:r>
      <w:r w:rsidR="008504BB" w:rsidRPr="005E7233">
        <w:t>:</w:t>
      </w:r>
    </w:p>
    <w:p w14:paraId="3B7CA90D" w14:textId="2934A3ED" w:rsidR="00ED4A7B" w:rsidRPr="00E460E3" w:rsidRDefault="00ED4A7B" w:rsidP="00E460E3">
      <w:pPr>
        <w:pStyle w:val="3-BodyText"/>
        <w:numPr>
          <w:ilvl w:val="0"/>
          <w:numId w:val="11"/>
        </w:numPr>
        <w:ind w:left="1276"/>
        <w:rPr>
          <w:rFonts w:cstheme="minorHAnsi"/>
        </w:rPr>
      </w:pPr>
      <w:r w:rsidRPr="00E460E3">
        <w:rPr>
          <w:rFonts w:cstheme="minorHAnsi"/>
        </w:rPr>
        <w:t>The data for tocilizumab was derived from Perez-Moreiras et al., 2018</w:t>
      </w:r>
      <w:r w:rsidRPr="00FA7F9D">
        <w:rPr>
          <w:rFonts w:cstheme="minorHAnsi"/>
          <w:vertAlign w:val="superscript"/>
        </w:rPr>
        <w:fldChar w:fldCharType="begin"/>
      </w:r>
      <w:r w:rsidRPr="00FA7F9D">
        <w:rPr>
          <w:rFonts w:cstheme="minorHAnsi"/>
          <w:vertAlign w:val="superscript"/>
        </w:rPr>
        <w:instrText xml:space="preserve"> NOTEREF _Ref187679184 \h  \* MERGEFORMAT </w:instrText>
      </w:r>
      <w:r w:rsidRPr="00FA7F9D">
        <w:rPr>
          <w:rFonts w:cstheme="minorHAnsi"/>
          <w:vertAlign w:val="superscript"/>
        </w:rPr>
      </w:r>
      <w:r w:rsidRPr="00FA7F9D">
        <w:rPr>
          <w:rFonts w:cstheme="minorHAnsi"/>
          <w:vertAlign w:val="superscript"/>
        </w:rPr>
        <w:fldChar w:fldCharType="separate"/>
      </w:r>
      <w:r w:rsidR="0012101B">
        <w:rPr>
          <w:rFonts w:cstheme="minorHAnsi"/>
          <w:vertAlign w:val="superscript"/>
        </w:rPr>
        <w:t>13</w:t>
      </w:r>
      <w:r w:rsidRPr="00FA7F9D">
        <w:rPr>
          <w:rFonts w:cstheme="minorHAnsi"/>
          <w:vertAlign w:val="superscript"/>
        </w:rPr>
        <w:fldChar w:fldCharType="end"/>
      </w:r>
      <w:r w:rsidRPr="00E460E3">
        <w:rPr>
          <w:rFonts w:cstheme="minorHAnsi"/>
        </w:rPr>
        <w:t>. This study enrolled patients with TED who were steroid resistant, placing them in the 2L setting. In contrast, the teprotumumab trials only enrolled patients in the 1L setting.</w:t>
      </w:r>
    </w:p>
    <w:p w14:paraId="0E99C6C3" w14:textId="361BCEE8" w:rsidR="001823D0" w:rsidRPr="00E460E3" w:rsidRDefault="00ED4A7B" w:rsidP="00E460E3">
      <w:pPr>
        <w:pStyle w:val="3-BodyText"/>
        <w:numPr>
          <w:ilvl w:val="0"/>
          <w:numId w:val="11"/>
        </w:numPr>
        <w:ind w:left="1276"/>
        <w:rPr>
          <w:rFonts w:cstheme="minorHAnsi"/>
        </w:rPr>
      </w:pPr>
      <w:r w:rsidRPr="00E460E3">
        <w:rPr>
          <w:rFonts w:cstheme="minorHAnsi"/>
        </w:rPr>
        <w:t>The tocilizumab study measured efficacy outcomes at 16 weeks compared to 24</w:t>
      </w:r>
      <w:r w:rsidR="00F8082F">
        <w:rPr>
          <w:rFonts w:cstheme="minorHAnsi"/>
        </w:rPr>
        <w:t> </w:t>
      </w:r>
      <w:r w:rsidRPr="00E460E3">
        <w:rPr>
          <w:rFonts w:cstheme="minorHAnsi"/>
        </w:rPr>
        <w:t>weeks in the teprotumumab studies.</w:t>
      </w:r>
    </w:p>
    <w:p w14:paraId="0F65F326" w14:textId="4D2F1902" w:rsidR="00ED4A7B" w:rsidRPr="005E7233" w:rsidRDefault="00ED4A7B" w:rsidP="009150CA">
      <w:pPr>
        <w:pStyle w:val="3-BodyText"/>
      </w:pPr>
      <w:r w:rsidRPr="005E7233">
        <w:t xml:space="preserve">The submission stated that a 2-mm reduction in proptosis and a 1-grade improvement in diplopia have been considered clinically meaningful in prior TED clinical trials. The minimum clinically important difference (MCID) for proptosis is derived from </w:t>
      </w:r>
      <w:bookmarkStart w:id="42" w:name="_Hlk187679810"/>
      <w:r w:rsidRPr="005E7233">
        <w:t>Mourits et al., 1989</w:t>
      </w:r>
      <w:bookmarkEnd w:id="42"/>
      <w:r w:rsidRPr="005E7233">
        <w:rPr>
          <w:rStyle w:val="FootnoteReference"/>
        </w:rPr>
        <w:footnoteReference w:id="16"/>
      </w:r>
      <w:r w:rsidRPr="005E7233">
        <w:t>. In this study, an increase in proptosis of 2 or more millimetres was considered to be a positive sign of disease activity.</w:t>
      </w:r>
      <w:r w:rsidR="009150CA" w:rsidRPr="005E7233">
        <w:t xml:space="preserve"> </w:t>
      </w:r>
      <w:r w:rsidRPr="005E7233">
        <w:t>The MCID for diplopia was derived from Douglas et al., 2022</w:t>
      </w:r>
      <w:r w:rsidRPr="005E7233">
        <w:rPr>
          <w:vertAlign w:val="superscript"/>
        </w:rPr>
        <w:fldChar w:fldCharType="begin"/>
      </w:r>
      <w:r w:rsidRPr="005E7233">
        <w:rPr>
          <w:vertAlign w:val="superscript"/>
        </w:rPr>
        <w:instrText xml:space="preserve"> NOTEREF _Ref187679202 \h  \* MERGEFORMAT </w:instrText>
      </w:r>
      <w:r w:rsidRPr="005E7233">
        <w:rPr>
          <w:vertAlign w:val="superscript"/>
        </w:rPr>
      </w:r>
      <w:r w:rsidRPr="005E7233">
        <w:rPr>
          <w:vertAlign w:val="superscript"/>
        </w:rPr>
        <w:fldChar w:fldCharType="separate"/>
      </w:r>
      <w:r w:rsidR="0012101B">
        <w:rPr>
          <w:vertAlign w:val="superscript"/>
        </w:rPr>
        <w:t>14</w:t>
      </w:r>
      <w:r w:rsidRPr="005E7233">
        <w:rPr>
          <w:vertAlign w:val="superscript"/>
        </w:rPr>
        <w:fldChar w:fldCharType="end"/>
      </w:r>
      <w:r w:rsidRPr="005E7233">
        <w:t>, the MAIC that was used to inform the teprotumumab vs. IVMP comparison. However, the Douglas et al., 2022</w:t>
      </w:r>
      <w:r w:rsidRPr="005E7233">
        <w:rPr>
          <w:vertAlign w:val="superscript"/>
        </w:rPr>
        <w:fldChar w:fldCharType="begin"/>
      </w:r>
      <w:r w:rsidRPr="005E7233">
        <w:rPr>
          <w:vertAlign w:val="superscript"/>
        </w:rPr>
        <w:instrText xml:space="preserve"> NOTEREF _Ref187679202 \h  \* MERGEFORMAT </w:instrText>
      </w:r>
      <w:r w:rsidRPr="005E7233">
        <w:rPr>
          <w:vertAlign w:val="superscript"/>
        </w:rPr>
      </w:r>
      <w:r w:rsidRPr="005E7233">
        <w:rPr>
          <w:vertAlign w:val="superscript"/>
        </w:rPr>
        <w:fldChar w:fldCharType="separate"/>
      </w:r>
      <w:r w:rsidR="0012101B">
        <w:rPr>
          <w:vertAlign w:val="superscript"/>
        </w:rPr>
        <w:t>14</w:t>
      </w:r>
      <w:r w:rsidRPr="005E7233">
        <w:rPr>
          <w:vertAlign w:val="superscript"/>
        </w:rPr>
        <w:fldChar w:fldCharType="end"/>
      </w:r>
      <w:r w:rsidRPr="005E7233">
        <w:t xml:space="preserve"> paper does not provide examples of studies where this MCID has been used.</w:t>
      </w:r>
    </w:p>
    <w:p w14:paraId="552DC322" w14:textId="77777777" w:rsidR="00ED4A7B" w:rsidRPr="005E7233" w:rsidRDefault="00ED4A7B" w:rsidP="00ED4A7B">
      <w:pPr>
        <w:pStyle w:val="4-SubsectionHeading"/>
      </w:pPr>
      <w:bookmarkStart w:id="43" w:name="_Toc22897641"/>
      <w:bookmarkStart w:id="44" w:name="_Toc187681848"/>
      <w:bookmarkStart w:id="45" w:name="_Toc187759715"/>
      <w:r w:rsidRPr="005E7233">
        <w:t>Comparative effectiveness</w:t>
      </w:r>
      <w:bookmarkEnd w:id="43"/>
      <w:bookmarkEnd w:id="44"/>
      <w:bookmarkEnd w:id="45"/>
    </w:p>
    <w:p w14:paraId="79BF1F47" w14:textId="0CB8238C" w:rsidR="0021692D" w:rsidRPr="00C41E8A" w:rsidRDefault="00ED4A7B" w:rsidP="00C41E8A">
      <w:pPr>
        <w:pStyle w:val="3-BodyText"/>
      </w:pPr>
      <w:r w:rsidRPr="005E7233">
        <w:t>The indirect comparisons of teprotumumab to IVMP and tocilizumab relied upon pooled results from the teprotumumab trials TEDRV01 and OPTIC. The pooled results, as derived from Kahaly et al., 2021</w:t>
      </w:r>
      <w:r w:rsidRPr="005E7233">
        <w:rPr>
          <w:rStyle w:val="FootnoteReference"/>
        </w:rPr>
        <w:footnoteReference w:id="17"/>
      </w:r>
      <w:r w:rsidRPr="005E7233">
        <w:t>, are presented in</w:t>
      </w:r>
      <w:r w:rsidR="00C41E8A">
        <w:t xml:space="preserve"> </w:t>
      </w:r>
      <w:r w:rsidR="00C41E8A">
        <w:fldChar w:fldCharType="begin"/>
      </w:r>
      <w:r w:rsidR="00C41E8A">
        <w:instrText xml:space="preserve"> REF _Ref195182438 \h </w:instrText>
      </w:r>
      <w:r w:rsidR="00C41E8A">
        <w:fldChar w:fldCharType="separate"/>
      </w:r>
      <w:r w:rsidR="0012101B" w:rsidRPr="005E7233">
        <w:t xml:space="preserve">Table </w:t>
      </w:r>
      <w:r w:rsidR="0012101B">
        <w:rPr>
          <w:noProof/>
        </w:rPr>
        <w:t>7</w:t>
      </w:r>
      <w:r w:rsidR="00C41E8A">
        <w:fldChar w:fldCharType="end"/>
      </w:r>
      <w:r w:rsidRPr="005E7233">
        <w:t>.</w:t>
      </w:r>
      <w:bookmarkStart w:id="46" w:name="_Ref185842896"/>
    </w:p>
    <w:p w14:paraId="427E220F" w14:textId="03BA78C6" w:rsidR="00ED4A7B" w:rsidRPr="005E7233" w:rsidRDefault="00C41E8A" w:rsidP="00D44704">
      <w:pPr>
        <w:pStyle w:val="TableFigureHeading"/>
        <w:rPr>
          <w:rStyle w:val="CommentReference"/>
          <w:b/>
          <w:szCs w:val="24"/>
        </w:rPr>
      </w:pPr>
      <w:bookmarkStart w:id="47" w:name="_Ref195182438"/>
      <w:bookmarkEnd w:id="46"/>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7</w:t>
      </w:r>
      <w:r w:rsidR="00FB1BE3">
        <w:rPr>
          <w:noProof/>
        </w:rPr>
        <w:fldChar w:fldCharType="end"/>
      </w:r>
      <w:bookmarkEnd w:id="47"/>
      <w:r w:rsidRPr="005E7233">
        <w:t xml:space="preserve">: </w:t>
      </w:r>
      <w:r w:rsidR="00ED4A7B" w:rsidRPr="005E7233">
        <w:t>Pooled results from TEDRV01 and OPTIC</w:t>
      </w:r>
      <w:r w:rsidR="000D59B6" w:rsidRPr="005E7233">
        <w:t>, 24 weeks</w:t>
      </w:r>
      <w:r w:rsidR="00ED4A7B" w:rsidRPr="005E7233">
        <w:t>.</w:t>
      </w:r>
    </w:p>
    <w:tbl>
      <w:tblPr>
        <w:tblStyle w:val="Submissionstandard"/>
        <w:tblW w:w="5000" w:type="pct"/>
        <w:tblLayout w:type="fixed"/>
        <w:tblLook w:val="04A0" w:firstRow="1" w:lastRow="0" w:firstColumn="1" w:lastColumn="0" w:noHBand="0" w:noVBand="1"/>
      </w:tblPr>
      <w:tblGrid>
        <w:gridCol w:w="2122"/>
        <w:gridCol w:w="1417"/>
        <w:gridCol w:w="1418"/>
        <w:gridCol w:w="1701"/>
        <w:gridCol w:w="1531"/>
        <w:gridCol w:w="828"/>
      </w:tblGrid>
      <w:tr w:rsidR="002C2024" w:rsidRPr="005E7233" w14:paraId="2CD6A60B" w14:textId="77777777" w:rsidTr="00397208">
        <w:trPr>
          <w:cnfStyle w:val="100000000000" w:firstRow="1" w:lastRow="0" w:firstColumn="0" w:lastColumn="0" w:oddVBand="0" w:evenVBand="0" w:oddHBand="0" w:evenHBand="0" w:firstRowFirstColumn="0" w:firstRowLastColumn="0" w:lastRowFirstColumn="0" w:lastRowLastColumn="0"/>
        </w:trPr>
        <w:tc>
          <w:tcPr>
            <w:tcW w:w="2122" w:type="dxa"/>
            <w:shd w:val="clear" w:color="auto" w:fill="auto"/>
            <w:hideMark/>
          </w:tcPr>
          <w:p w14:paraId="7BED66D9" w14:textId="77777777" w:rsidR="002C2024" w:rsidRPr="005E7233" w:rsidRDefault="002C2024" w:rsidP="00D44704">
            <w:pPr>
              <w:keepNext/>
              <w:rPr>
                <w:rFonts w:ascii="Arial Narrow" w:eastAsia="Times New Roman" w:hAnsi="Arial Narrow" w:cstheme="minorHAnsi"/>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Outcome Measure</w:t>
            </w:r>
          </w:p>
        </w:tc>
        <w:tc>
          <w:tcPr>
            <w:tcW w:w="1417" w:type="dxa"/>
            <w:shd w:val="clear" w:color="auto" w:fill="auto"/>
            <w:hideMark/>
          </w:tcPr>
          <w:p w14:paraId="460543E7" w14:textId="77777777" w:rsidR="002C2024" w:rsidRPr="005E7233" w:rsidRDefault="002C2024" w:rsidP="00D44704">
            <w:pPr>
              <w:keepNext/>
              <w:jc w:val="center"/>
              <w:rPr>
                <w:rFonts w:ascii="Arial Narrow" w:eastAsia="Times New Roman" w:hAnsi="Arial Narrow" w:cstheme="minorHAnsi"/>
                <w:b w:val="0"/>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 xml:space="preserve">Teprotumumab Group </w:t>
            </w:r>
          </w:p>
          <w:p w14:paraId="5D8F8505" w14:textId="2B466108" w:rsidR="002C2024" w:rsidRPr="005E7233" w:rsidRDefault="002C2024" w:rsidP="00D44704">
            <w:pPr>
              <w:keepNext/>
              <w:jc w:val="center"/>
              <w:rPr>
                <w:rFonts w:ascii="Arial Narrow" w:eastAsia="Times New Roman" w:hAnsi="Arial Narrow" w:cstheme="minorHAnsi"/>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(n=84)</w:t>
            </w:r>
          </w:p>
        </w:tc>
        <w:tc>
          <w:tcPr>
            <w:tcW w:w="1418" w:type="dxa"/>
            <w:shd w:val="clear" w:color="auto" w:fill="auto"/>
            <w:hideMark/>
          </w:tcPr>
          <w:p w14:paraId="65EF0A20" w14:textId="77777777" w:rsidR="002C2024" w:rsidRPr="005E7233" w:rsidRDefault="002C2024" w:rsidP="00D44704">
            <w:pPr>
              <w:keepNext/>
              <w:jc w:val="center"/>
              <w:rPr>
                <w:rFonts w:ascii="Arial Narrow" w:eastAsia="Times New Roman" w:hAnsi="Arial Narrow" w:cstheme="minorHAnsi"/>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Placebo Group (n=87)</w:t>
            </w:r>
          </w:p>
        </w:tc>
        <w:tc>
          <w:tcPr>
            <w:tcW w:w="1701" w:type="dxa"/>
            <w:shd w:val="clear" w:color="auto" w:fill="auto"/>
            <w:hideMark/>
          </w:tcPr>
          <w:p w14:paraId="5A495ACB" w14:textId="77777777" w:rsidR="00397208" w:rsidRPr="005E7233" w:rsidRDefault="002C2024" w:rsidP="00D44704">
            <w:pPr>
              <w:keepNext/>
              <w:jc w:val="center"/>
              <w:rPr>
                <w:rFonts w:ascii="Arial Narrow" w:eastAsia="Times New Roman" w:hAnsi="Arial Narrow" w:cstheme="minorHAnsi"/>
                <w:b w:val="0"/>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 xml:space="preserve">Difference </w:t>
            </w:r>
          </w:p>
          <w:p w14:paraId="1E644A63" w14:textId="6A7309BC" w:rsidR="002C2024" w:rsidRPr="005E7233" w:rsidRDefault="00397208" w:rsidP="00D44704">
            <w:pPr>
              <w:keepNext/>
              <w:jc w:val="center"/>
              <w:rPr>
                <w:rFonts w:ascii="Arial Narrow" w:eastAsia="Times New Roman" w:hAnsi="Arial Narrow" w:cstheme="minorHAnsi"/>
                <w:b w:val="0"/>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(95% CI)</w:t>
            </w:r>
          </w:p>
        </w:tc>
        <w:tc>
          <w:tcPr>
            <w:tcW w:w="1531" w:type="dxa"/>
            <w:shd w:val="clear" w:color="auto" w:fill="auto"/>
          </w:tcPr>
          <w:p w14:paraId="290809B8" w14:textId="69F208BC" w:rsidR="002C2024" w:rsidRPr="005E7233" w:rsidRDefault="002C2024" w:rsidP="00D44704">
            <w:pPr>
              <w:keepNext/>
              <w:jc w:val="center"/>
              <w:rPr>
                <w:rFonts w:ascii="Arial Narrow" w:hAnsi="Arial Narrow" w:cstheme="minorHAnsi"/>
                <w:bCs/>
                <w:color w:val="222222"/>
                <w:sz w:val="20"/>
                <w:szCs w:val="20"/>
                <w:lang w:val="en-AU" w:eastAsia="en-IN"/>
              </w:rPr>
            </w:pPr>
            <w:r w:rsidRPr="005E7233">
              <w:rPr>
                <w:rFonts w:ascii="Arial Narrow" w:hAnsi="Arial Narrow" w:cstheme="minorHAnsi"/>
                <w:bCs/>
                <w:color w:val="222222"/>
                <w:sz w:val="20"/>
                <w:szCs w:val="20"/>
                <w:lang w:val="en-AU" w:eastAsia="en-IN"/>
              </w:rPr>
              <w:t>Relative Risk</w:t>
            </w:r>
            <w:r w:rsidR="00397208" w:rsidRPr="005E7233">
              <w:rPr>
                <w:rFonts w:ascii="Arial Narrow" w:hAnsi="Arial Narrow" w:cstheme="minorHAnsi"/>
                <w:bCs/>
                <w:color w:val="222222"/>
                <w:sz w:val="20"/>
                <w:szCs w:val="20"/>
                <w:lang w:val="en-AU" w:eastAsia="en-IN"/>
              </w:rPr>
              <w:t xml:space="preserve"> (95% CI)</w:t>
            </w:r>
          </w:p>
        </w:tc>
        <w:tc>
          <w:tcPr>
            <w:tcW w:w="828" w:type="dxa"/>
            <w:shd w:val="clear" w:color="auto" w:fill="auto"/>
            <w:hideMark/>
          </w:tcPr>
          <w:p w14:paraId="08868CDD" w14:textId="5ACA96CC" w:rsidR="002C2024" w:rsidRPr="005E7233" w:rsidRDefault="002C2024" w:rsidP="00D44704">
            <w:pPr>
              <w:keepNext/>
              <w:jc w:val="center"/>
              <w:rPr>
                <w:rFonts w:ascii="Arial Narrow" w:eastAsia="Times New Roman" w:hAnsi="Arial Narrow" w:cstheme="minorHAnsi"/>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p-value</w:t>
            </w:r>
          </w:p>
        </w:tc>
      </w:tr>
      <w:tr w:rsidR="002C2024" w:rsidRPr="005E7233" w14:paraId="7C151EE2" w14:textId="77777777" w:rsidTr="00BA4271">
        <w:tc>
          <w:tcPr>
            <w:tcW w:w="2122" w:type="dxa"/>
            <w:shd w:val="clear" w:color="auto" w:fill="auto"/>
            <w:hideMark/>
          </w:tcPr>
          <w:p w14:paraId="268A6F9C" w14:textId="7454C60E"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 xml:space="preserve">Proptosis Reduction, %, </w:t>
            </w:r>
          </w:p>
          <w:p w14:paraId="41ACD0D5" w14:textId="733EFEBE"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(≥2 mm)</w:t>
            </w:r>
          </w:p>
        </w:tc>
        <w:tc>
          <w:tcPr>
            <w:tcW w:w="1417" w:type="dxa"/>
            <w:shd w:val="clear" w:color="auto" w:fill="auto"/>
            <w:vAlign w:val="center"/>
            <w:hideMark/>
          </w:tcPr>
          <w:p w14:paraId="1DD4573E" w14:textId="52BFC25F"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77 (65 of 84)</w:t>
            </w:r>
          </w:p>
        </w:tc>
        <w:tc>
          <w:tcPr>
            <w:tcW w:w="1418" w:type="dxa"/>
            <w:shd w:val="clear" w:color="auto" w:fill="auto"/>
            <w:vAlign w:val="center"/>
            <w:hideMark/>
          </w:tcPr>
          <w:p w14:paraId="52AAF8E4" w14:textId="62BF68C0"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15</w:t>
            </w:r>
            <w:r w:rsidR="00D83CFA" w:rsidRPr="005E7233">
              <w:rPr>
                <w:rFonts w:ascii="Arial Narrow" w:eastAsia="Times New Roman" w:hAnsi="Arial Narrow" w:cstheme="minorHAnsi"/>
                <w:color w:val="222222"/>
                <w:sz w:val="20"/>
                <w:szCs w:val="20"/>
                <w:lang w:val="en-AU" w:eastAsia="en-IN"/>
              </w:rPr>
              <w:t xml:space="preserve"> </w:t>
            </w:r>
            <w:r w:rsidRPr="005E7233">
              <w:rPr>
                <w:rFonts w:ascii="Arial Narrow" w:eastAsia="Times New Roman" w:hAnsi="Arial Narrow" w:cstheme="minorHAnsi"/>
                <w:color w:val="222222"/>
                <w:sz w:val="20"/>
                <w:szCs w:val="20"/>
                <w:lang w:val="en-AU" w:eastAsia="en-IN"/>
              </w:rPr>
              <w:t>(13 of 87)</w:t>
            </w:r>
          </w:p>
        </w:tc>
        <w:tc>
          <w:tcPr>
            <w:tcW w:w="1701" w:type="dxa"/>
            <w:shd w:val="clear" w:color="auto" w:fill="auto"/>
            <w:tcMar>
              <w:left w:w="57" w:type="dxa"/>
              <w:right w:w="57" w:type="dxa"/>
            </w:tcMar>
            <w:vAlign w:val="center"/>
            <w:hideMark/>
          </w:tcPr>
          <w:p w14:paraId="1EEE2062" w14:textId="0C3187BF"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63 (51, 75)</w:t>
            </w:r>
          </w:p>
        </w:tc>
        <w:tc>
          <w:tcPr>
            <w:tcW w:w="1531" w:type="dxa"/>
            <w:shd w:val="clear" w:color="auto" w:fill="auto"/>
            <w:vAlign w:val="center"/>
          </w:tcPr>
          <w:p w14:paraId="492FC78A" w14:textId="4338C8F2" w:rsidR="002C2024" w:rsidRPr="005E7233" w:rsidRDefault="006C3984" w:rsidP="00D44704">
            <w:pPr>
              <w:keepNext/>
              <w:jc w:val="center"/>
              <w:rPr>
                <w:rFonts w:ascii="Arial Narrow"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5.18 (3.10, 8.66)</w:t>
            </w:r>
          </w:p>
        </w:tc>
        <w:tc>
          <w:tcPr>
            <w:tcW w:w="828" w:type="dxa"/>
            <w:shd w:val="clear" w:color="auto" w:fill="auto"/>
            <w:vAlign w:val="center"/>
            <w:hideMark/>
          </w:tcPr>
          <w:p w14:paraId="305D0853" w14:textId="7FC87B51"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&lt;0.0001</w:t>
            </w:r>
          </w:p>
        </w:tc>
      </w:tr>
      <w:tr w:rsidR="002C2024" w:rsidRPr="005E7233" w14:paraId="506EBA08" w14:textId="77777777" w:rsidTr="00BA4271">
        <w:tc>
          <w:tcPr>
            <w:tcW w:w="2122" w:type="dxa"/>
            <w:shd w:val="clear" w:color="auto" w:fill="auto"/>
            <w:hideMark/>
          </w:tcPr>
          <w:p w14:paraId="514EAFEC" w14:textId="63315D09" w:rsidR="002C2024" w:rsidRPr="005E7233" w:rsidRDefault="002C2024" w:rsidP="00D44704">
            <w:pPr>
              <w:keepNext/>
              <w:jc w:val="lef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Mean Change in Proptosis</w:t>
            </w:r>
            <w:r w:rsidR="00D14899" w:rsidRPr="005E7233">
              <w:rPr>
                <w:rFonts w:ascii="Arial Narrow" w:eastAsia="Times New Roman" w:hAnsi="Arial Narrow" w:cstheme="minorHAnsi"/>
                <w:color w:val="222222"/>
                <w:sz w:val="20"/>
                <w:szCs w:val="20"/>
                <w:lang w:val="en-AU" w:eastAsia="en-IN"/>
              </w:rPr>
              <w:t>, mm</w:t>
            </w:r>
            <w:r w:rsidRPr="005E7233">
              <w:rPr>
                <w:rFonts w:ascii="Arial Narrow" w:eastAsia="Times New Roman" w:hAnsi="Arial Narrow" w:cstheme="minorHAnsi"/>
                <w:color w:val="222222"/>
                <w:sz w:val="20"/>
                <w:szCs w:val="20"/>
                <w:lang w:val="en-AU" w:eastAsia="en-IN"/>
              </w:rPr>
              <w:t xml:space="preserve"> </w:t>
            </w:r>
          </w:p>
        </w:tc>
        <w:tc>
          <w:tcPr>
            <w:tcW w:w="1417" w:type="dxa"/>
            <w:shd w:val="clear" w:color="auto" w:fill="auto"/>
            <w:vAlign w:val="center"/>
            <w:hideMark/>
          </w:tcPr>
          <w:p w14:paraId="52BFD942" w14:textId="77CB1A60"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 xml:space="preserve">-3.14 </w:t>
            </w:r>
          </w:p>
        </w:tc>
        <w:tc>
          <w:tcPr>
            <w:tcW w:w="1418" w:type="dxa"/>
            <w:shd w:val="clear" w:color="auto" w:fill="auto"/>
            <w:vAlign w:val="center"/>
            <w:hideMark/>
          </w:tcPr>
          <w:p w14:paraId="24FEA1BA" w14:textId="45BFDB99"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 xml:space="preserve">-0.37 </w:t>
            </w:r>
          </w:p>
        </w:tc>
        <w:tc>
          <w:tcPr>
            <w:tcW w:w="1701" w:type="dxa"/>
            <w:shd w:val="clear" w:color="auto" w:fill="auto"/>
            <w:tcMar>
              <w:left w:w="57" w:type="dxa"/>
              <w:right w:w="57" w:type="dxa"/>
            </w:tcMar>
            <w:vAlign w:val="center"/>
            <w:hideMark/>
          </w:tcPr>
          <w:p w14:paraId="578F33DC" w14:textId="6902A263"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-2.77</w:t>
            </w:r>
            <w:r w:rsidR="00D14899" w:rsidRPr="005E7233">
              <w:rPr>
                <w:rFonts w:ascii="Arial Narrow" w:eastAsia="Times New Roman" w:hAnsi="Arial Narrow" w:cstheme="minorHAnsi"/>
                <w:b/>
                <w:bCs/>
                <w:color w:val="222222"/>
                <w:sz w:val="20"/>
                <w:szCs w:val="20"/>
                <w:lang w:val="en-AU" w:eastAsia="en-IN"/>
              </w:rPr>
              <w:t xml:space="preserve"> </w:t>
            </w:r>
            <w:r w:rsidRPr="005E7233">
              <w:rPr>
                <w:rFonts w:ascii="Arial Narrow" w:eastAsia="Times New Roman" w:hAnsi="Arial Narrow" w:cstheme="minorHAnsi"/>
                <w:b/>
                <w:bCs/>
                <w:color w:val="222222"/>
                <w:sz w:val="20"/>
                <w:szCs w:val="20"/>
                <w:lang w:val="en-AU" w:eastAsia="en-IN"/>
              </w:rPr>
              <w:t>(</w:t>
            </w:r>
            <w:r w:rsidR="00131F50" w:rsidRPr="005E7233">
              <w:rPr>
                <w:rFonts w:ascii="Arial Narrow" w:eastAsia="Times New Roman" w:hAnsi="Arial Narrow" w:cstheme="minorHAnsi"/>
                <w:b/>
                <w:bCs/>
                <w:color w:val="222222"/>
                <w:sz w:val="20"/>
                <w:szCs w:val="20"/>
                <w:lang w:val="en-AU" w:eastAsia="en-IN"/>
              </w:rPr>
              <w:t>-</w:t>
            </w:r>
            <w:r w:rsidRPr="005E7233">
              <w:rPr>
                <w:rFonts w:ascii="Arial Narrow" w:eastAsia="Times New Roman" w:hAnsi="Arial Narrow" w:cstheme="minorHAnsi"/>
                <w:b/>
                <w:bCs/>
                <w:color w:val="222222"/>
                <w:sz w:val="20"/>
                <w:szCs w:val="20"/>
                <w:lang w:val="en-AU" w:eastAsia="en-IN"/>
              </w:rPr>
              <w:t>3.23, -2.31)</w:t>
            </w:r>
          </w:p>
        </w:tc>
        <w:tc>
          <w:tcPr>
            <w:tcW w:w="1531" w:type="dxa"/>
            <w:shd w:val="clear" w:color="auto" w:fill="auto"/>
            <w:vAlign w:val="center"/>
          </w:tcPr>
          <w:p w14:paraId="090DD8BC" w14:textId="42035B05" w:rsidR="002C2024" w:rsidRPr="005E7233" w:rsidRDefault="00D14899" w:rsidP="00D44704">
            <w:pPr>
              <w:keepNext/>
              <w:jc w:val="center"/>
              <w:rPr>
                <w:rFonts w:ascii="Arial Narrow" w:hAnsi="Arial Narrow" w:cstheme="minorHAnsi"/>
                <w:b/>
                <w:bCs/>
                <w:color w:val="222222"/>
                <w:sz w:val="20"/>
                <w:szCs w:val="20"/>
                <w:lang w:val="en-AU" w:eastAsia="en-IN"/>
              </w:rPr>
            </w:pPr>
            <w:r w:rsidRPr="005E7233">
              <w:rPr>
                <w:rFonts w:ascii="Arial Narrow" w:hAnsi="Arial Narrow" w:cstheme="minorHAnsi"/>
                <w:b/>
                <w:bCs/>
                <w:color w:val="222222"/>
                <w:sz w:val="20"/>
                <w:szCs w:val="20"/>
                <w:lang w:val="en-AU" w:eastAsia="en-IN"/>
              </w:rPr>
              <w:t>-</w:t>
            </w:r>
          </w:p>
        </w:tc>
        <w:tc>
          <w:tcPr>
            <w:tcW w:w="828" w:type="dxa"/>
            <w:shd w:val="clear" w:color="auto" w:fill="auto"/>
            <w:vAlign w:val="center"/>
            <w:hideMark/>
          </w:tcPr>
          <w:p w14:paraId="2BC57037" w14:textId="4D852CA0"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&lt;0.0001</w:t>
            </w:r>
          </w:p>
        </w:tc>
      </w:tr>
      <w:tr w:rsidR="002C2024" w:rsidRPr="005E7233" w14:paraId="5F8C74B1" w14:textId="77777777" w:rsidTr="00BA4271">
        <w:tc>
          <w:tcPr>
            <w:tcW w:w="2122" w:type="dxa"/>
            <w:shd w:val="clear" w:color="auto" w:fill="auto"/>
            <w:hideMark/>
          </w:tcPr>
          <w:p w14:paraId="4F9CD762" w14:textId="6A72CB5E"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Diplopia Improvement</w:t>
            </w:r>
            <w:r w:rsidR="00397208" w:rsidRPr="005E7233">
              <w:rPr>
                <w:rFonts w:ascii="Arial Narrow" w:eastAsia="Times New Roman" w:hAnsi="Arial Narrow" w:cstheme="minorHAnsi"/>
                <w:color w:val="222222"/>
                <w:sz w:val="20"/>
                <w:szCs w:val="20"/>
                <w:lang w:val="en-AU" w:eastAsia="en-IN"/>
              </w:rPr>
              <w:t>, %</w:t>
            </w:r>
            <w:r w:rsidRPr="005E7233">
              <w:rPr>
                <w:rFonts w:ascii="Arial Narrow" w:eastAsia="Times New Roman" w:hAnsi="Arial Narrow" w:cstheme="minorHAnsi"/>
                <w:color w:val="222222"/>
                <w:sz w:val="20"/>
                <w:szCs w:val="20"/>
                <w:lang w:val="en-AU" w:eastAsia="en-IN"/>
              </w:rPr>
              <w:t xml:space="preserve"> </w:t>
            </w:r>
          </w:p>
          <w:p w14:paraId="42E3ACC2" w14:textId="6C5846D5"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(≥1 grade)</w:t>
            </w:r>
          </w:p>
        </w:tc>
        <w:tc>
          <w:tcPr>
            <w:tcW w:w="1417" w:type="dxa"/>
            <w:shd w:val="clear" w:color="auto" w:fill="auto"/>
            <w:vAlign w:val="center"/>
            <w:hideMark/>
          </w:tcPr>
          <w:p w14:paraId="33675EE0" w14:textId="11A259CF"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70 (46 of 66)</w:t>
            </w:r>
          </w:p>
        </w:tc>
        <w:tc>
          <w:tcPr>
            <w:tcW w:w="1418" w:type="dxa"/>
            <w:shd w:val="clear" w:color="auto" w:fill="auto"/>
            <w:vAlign w:val="center"/>
            <w:hideMark/>
          </w:tcPr>
          <w:p w14:paraId="2CD02340" w14:textId="3A0C718A"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31</w:t>
            </w:r>
            <w:r w:rsidR="00FA7F9D">
              <w:rPr>
                <w:rFonts w:ascii="Arial Narrow" w:eastAsia="Times New Roman" w:hAnsi="Arial Narrow" w:cstheme="minorHAnsi"/>
                <w:color w:val="222222"/>
                <w:sz w:val="20"/>
                <w:szCs w:val="20"/>
                <w:lang w:val="en-AU" w:eastAsia="en-IN"/>
              </w:rPr>
              <w:t xml:space="preserve"> </w:t>
            </w:r>
            <w:r w:rsidRPr="005E7233">
              <w:rPr>
                <w:rFonts w:ascii="Arial Narrow" w:eastAsia="Times New Roman" w:hAnsi="Arial Narrow" w:cstheme="minorHAnsi"/>
                <w:color w:val="222222"/>
                <w:sz w:val="20"/>
                <w:szCs w:val="20"/>
                <w:lang w:val="en-AU" w:eastAsia="en-IN"/>
              </w:rPr>
              <w:t>(18 of 59)</w:t>
            </w:r>
          </w:p>
        </w:tc>
        <w:tc>
          <w:tcPr>
            <w:tcW w:w="1701" w:type="dxa"/>
            <w:shd w:val="clear" w:color="auto" w:fill="auto"/>
            <w:tcMar>
              <w:left w:w="57" w:type="dxa"/>
              <w:right w:w="57" w:type="dxa"/>
            </w:tcMar>
            <w:vAlign w:val="center"/>
            <w:hideMark/>
          </w:tcPr>
          <w:p w14:paraId="3A2F0F55" w14:textId="7F97EAD9"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39 (23, 55)</w:t>
            </w:r>
          </w:p>
        </w:tc>
        <w:tc>
          <w:tcPr>
            <w:tcW w:w="1531" w:type="dxa"/>
            <w:shd w:val="clear" w:color="auto" w:fill="auto"/>
            <w:vAlign w:val="center"/>
          </w:tcPr>
          <w:p w14:paraId="3D2FA644" w14:textId="5C857AF7" w:rsidR="002C2024" w:rsidRPr="005E7233" w:rsidRDefault="00D14899" w:rsidP="00D44704">
            <w:pPr>
              <w:keepNext/>
              <w:jc w:val="center"/>
              <w:rPr>
                <w:rFonts w:ascii="Arial Narrow"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2.285 (1.51, 3.47)</w:t>
            </w:r>
          </w:p>
        </w:tc>
        <w:tc>
          <w:tcPr>
            <w:tcW w:w="828" w:type="dxa"/>
            <w:shd w:val="clear" w:color="auto" w:fill="auto"/>
            <w:vAlign w:val="center"/>
            <w:hideMark/>
          </w:tcPr>
          <w:p w14:paraId="3A6C15C8" w14:textId="4C60EB4C"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&lt;0.0001</w:t>
            </w:r>
          </w:p>
        </w:tc>
      </w:tr>
      <w:tr w:rsidR="002C2024" w:rsidRPr="005E7233" w14:paraId="14C7EC10" w14:textId="77777777" w:rsidTr="00BA4271">
        <w:tc>
          <w:tcPr>
            <w:tcW w:w="2122" w:type="dxa"/>
            <w:shd w:val="clear" w:color="auto" w:fill="auto"/>
            <w:hideMark/>
          </w:tcPr>
          <w:p w14:paraId="2A659EBE" w14:textId="284A3A53"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Diplopia Resolution</w:t>
            </w:r>
            <w:r w:rsidR="00397208" w:rsidRPr="005E7233">
              <w:rPr>
                <w:rFonts w:ascii="Arial Narrow" w:eastAsia="Times New Roman" w:hAnsi="Arial Narrow" w:cstheme="minorHAnsi"/>
                <w:color w:val="222222"/>
                <w:sz w:val="20"/>
                <w:szCs w:val="20"/>
                <w:lang w:val="en-AU" w:eastAsia="en-IN"/>
              </w:rPr>
              <w:t>, %</w:t>
            </w:r>
            <w:r w:rsidRPr="005E7233">
              <w:rPr>
                <w:rFonts w:ascii="Arial Narrow" w:eastAsia="Times New Roman" w:hAnsi="Arial Narrow" w:cstheme="minorHAnsi"/>
                <w:color w:val="222222"/>
                <w:sz w:val="20"/>
                <w:szCs w:val="20"/>
                <w:lang w:val="en-AU" w:eastAsia="en-IN"/>
              </w:rPr>
              <w:t xml:space="preserve"> </w:t>
            </w:r>
          </w:p>
        </w:tc>
        <w:tc>
          <w:tcPr>
            <w:tcW w:w="1417" w:type="dxa"/>
            <w:shd w:val="clear" w:color="auto" w:fill="auto"/>
            <w:vAlign w:val="center"/>
            <w:hideMark/>
          </w:tcPr>
          <w:p w14:paraId="17879CD8" w14:textId="42AC5A7E"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53 (35 of 66)</w:t>
            </w:r>
          </w:p>
        </w:tc>
        <w:tc>
          <w:tcPr>
            <w:tcW w:w="1418" w:type="dxa"/>
            <w:shd w:val="clear" w:color="auto" w:fill="auto"/>
            <w:vAlign w:val="center"/>
            <w:hideMark/>
          </w:tcPr>
          <w:p w14:paraId="25E4284A" w14:textId="323DC7B0"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25</w:t>
            </w:r>
            <w:r w:rsidR="000A7EFA" w:rsidRPr="005E7233">
              <w:rPr>
                <w:rFonts w:ascii="Arial Narrow" w:eastAsia="Times New Roman" w:hAnsi="Arial Narrow" w:cstheme="minorHAnsi"/>
                <w:color w:val="222222"/>
                <w:sz w:val="20"/>
                <w:szCs w:val="20"/>
                <w:lang w:val="en-AU" w:eastAsia="en-IN"/>
              </w:rPr>
              <w:t xml:space="preserve"> </w:t>
            </w:r>
            <w:r w:rsidRPr="005E7233">
              <w:rPr>
                <w:rFonts w:ascii="Arial Narrow" w:eastAsia="Times New Roman" w:hAnsi="Arial Narrow" w:cstheme="minorHAnsi"/>
                <w:color w:val="222222"/>
                <w:sz w:val="20"/>
                <w:szCs w:val="20"/>
                <w:lang w:val="en-AU" w:eastAsia="en-IN"/>
              </w:rPr>
              <w:t>(15 of 59)</w:t>
            </w:r>
          </w:p>
        </w:tc>
        <w:tc>
          <w:tcPr>
            <w:tcW w:w="1701" w:type="dxa"/>
            <w:shd w:val="clear" w:color="auto" w:fill="auto"/>
            <w:tcMar>
              <w:left w:w="57" w:type="dxa"/>
              <w:right w:w="57" w:type="dxa"/>
            </w:tcMar>
            <w:vAlign w:val="center"/>
            <w:hideMark/>
          </w:tcPr>
          <w:p w14:paraId="04A88220" w14:textId="66D55A1B"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28 (12, 44)</w:t>
            </w:r>
          </w:p>
        </w:tc>
        <w:tc>
          <w:tcPr>
            <w:tcW w:w="1531" w:type="dxa"/>
            <w:shd w:val="clear" w:color="auto" w:fill="auto"/>
            <w:vAlign w:val="center"/>
          </w:tcPr>
          <w:p w14:paraId="30538300" w14:textId="2F79AD2D" w:rsidR="002C2024" w:rsidRPr="005E7233" w:rsidRDefault="00D14899" w:rsidP="00D44704">
            <w:pPr>
              <w:keepNext/>
              <w:jc w:val="center"/>
              <w:rPr>
                <w:rFonts w:ascii="Arial Narrow"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2.458 (1.52, 3.98)</w:t>
            </w:r>
          </w:p>
        </w:tc>
        <w:tc>
          <w:tcPr>
            <w:tcW w:w="828" w:type="dxa"/>
            <w:shd w:val="clear" w:color="auto" w:fill="auto"/>
            <w:vAlign w:val="center"/>
            <w:hideMark/>
          </w:tcPr>
          <w:p w14:paraId="4F94A698" w14:textId="412B2C69"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0.0007</w:t>
            </w:r>
          </w:p>
        </w:tc>
      </w:tr>
      <w:tr w:rsidR="002C2024" w:rsidRPr="005E7233" w14:paraId="11228A89" w14:textId="77777777" w:rsidTr="00BA4271">
        <w:tc>
          <w:tcPr>
            <w:tcW w:w="2122" w:type="dxa"/>
            <w:shd w:val="clear" w:color="auto" w:fill="auto"/>
            <w:hideMark/>
          </w:tcPr>
          <w:p w14:paraId="54B7E94B" w14:textId="21EE9FAB" w:rsidR="002C2024" w:rsidRPr="005E7233" w:rsidRDefault="002C2024" w:rsidP="00D44704">
            <w:pPr>
              <w:keepNext/>
              <w:jc w:val="lef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 xml:space="preserve">GO-QOL Total Score Improvement, LS Mean (SE) </w:t>
            </w:r>
          </w:p>
        </w:tc>
        <w:tc>
          <w:tcPr>
            <w:tcW w:w="1417" w:type="dxa"/>
            <w:shd w:val="clear" w:color="auto" w:fill="auto"/>
            <w:vAlign w:val="center"/>
            <w:hideMark/>
          </w:tcPr>
          <w:p w14:paraId="2E7DC707" w14:textId="77777777"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19.0 (2.1)</w:t>
            </w:r>
          </w:p>
        </w:tc>
        <w:tc>
          <w:tcPr>
            <w:tcW w:w="1418" w:type="dxa"/>
            <w:shd w:val="clear" w:color="auto" w:fill="auto"/>
            <w:vAlign w:val="center"/>
            <w:hideMark/>
          </w:tcPr>
          <w:p w14:paraId="2A4916C9" w14:textId="77777777"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6.3 (2.0)</w:t>
            </w:r>
          </w:p>
        </w:tc>
        <w:tc>
          <w:tcPr>
            <w:tcW w:w="1701" w:type="dxa"/>
            <w:shd w:val="clear" w:color="auto" w:fill="auto"/>
            <w:tcMar>
              <w:left w:w="57" w:type="dxa"/>
              <w:right w:w="57" w:type="dxa"/>
            </w:tcMar>
            <w:vAlign w:val="center"/>
            <w:hideMark/>
          </w:tcPr>
          <w:p w14:paraId="50FBDC2F" w14:textId="5A701F23"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12.7 (7.02, 18.38)</w:t>
            </w:r>
          </w:p>
        </w:tc>
        <w:tc>
          <w:tcPr>
            <w:tcW w:w="1531" w:type="dxa"/>
            <w:shd w:val="clear" w:color="auto" w:fill="auto"/>
            <w:vAlign w:val="center"/>
          </w:tcPr>
          <w:p w14:paraId="64229FA2" w14:textId="4DD811F6" w:rsidR="002C2024" w:rsidRPr="005E7233" w:rsidRDefault="00D14899" w:rsidP="00D44704">
            <w:pPr>
              <w:keepNext/>
              <w:jc w:val="center"/>
              <w:rPr>
                <w:rFonts w:ascii="Arial Narrow" w:hAnsi="Arial Narrow" w:cstheme="minorHAnsi"/>
                <w:b/>
                <w:bCs/>
                <w:color w:val="222222"/>
                <w:sz w:val="20"/>
                <w:szCs w:val="20"/>
                <w:lang w:val="en-AU" w:eastAsia="en-IN"/>
              </w:rPr>
            </w:pPr>
            <w:r w:rsidRPr="005E7233">
              <w:rPr>
                <w:rFonts w:ascii="Arial Narrow" w:hAnsi="Arial Narrow" w:cstheme="minorHAnsi"/>
                <w:b/>
                <w:bCs/>
                <w:color w:val="222222"/>
                <w:sz w:val="20"/>
                <w:szCs w:val="20"/>
                <w:lang w:val="en-AU" w:eastAsia="en-IN"/>
              </w:rPr>
              <w:t>-</w:t>
            </w:r>
          </w:p>
        </w:tc>
        <w:tc>
          <w:tcPr>
            <w:tcW w:w="828" w:type="dxa"/>
            <w:shd w:val="clear" w:color="auto" w:fill="auto"/>
            <w:vAlign w:val="center"/>
            <w:hideMark/>
          </w:tcPr>
          <w:p w14:paraId="693AD5A2" w14:textId="20F14CF9"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&lt;0.0001</w:t>
            </w:r>
          </w:p>
        </w:tc>
      </w:tr>
    </w:tbl>
    <w:p w14:paraId="752965B6" w14:textId="77777777" w:rsidR="00ED4A7B" w:rsidRPr="005E7233" w:rsidRDefault="00ED4A7B" w:rsidP="00D44704">
      <w:pPr>
        <w:pStyle w:val="FooterTableFigure"/>
        <w:keepNext/>
        <w:rPr>
          <w:sz w:val="20"/>
        </w:rPr>
      </w:pPr>
      <w:r w:rsidRPr="005E7233">
        <w:t>Source: Table 2-55, p123 of the submission</w:t>
      </w:r>
    </w:p>
    <w:p w14:paraId="502FDCF2" w14:textId="6D95B73C" w:rsidR="00ED4A7B" w:rsidRPr="005E7233" w:rsidRDefault="00ED4A7B" w:rsidP="00D44704">
      <w:pPr>
        <w:pStyle w:val="FooterTableFigure"/>
        <w:keepNext/>
        <w:rPr>
          <w:rFonts w:eastAsia="Calibri"/>
        </w:rPr>
      </w:pPr>
      <w:r w:rsidRPr="005E7233">
        <w:rPr>
          <w:rFonts w:eastAsia="Calibri"/>
        </w:rPr>
        <w:t xml:space="preserve">CI = confidence interval; GO-QOL = </w:t>
      </w:r>
      <w:r w:rsidRPr="005E7233">
        <w:t>Graves’ orbitopathy quality of life score</w:t>
      </w:r>
      <w:r w:rsidRPr="005E7233">
        <w:rPr>
          <w:rFonts w:eastAsia="Calibri"/>
        </w:rPr>
        <w:t>; LS = least squares;</w:t>
      </w:r>
      <w:r w:rsidR="00D14899" w:rsidRPr="005E7233">
        <w:rPr>
          <w:rFonts w:eastAsia="Calibri"/>
        </w:rPr>
        <w:t xml:space="preserve"> mm = millimetre;</w:t>
      </w:r>
      <w:r w:rsidRPr="005E7233">
        <w:rPr>
          <w:rFonts w:eastAsia="Calibri"/>
        </w:rPr>
        <w:t xml:space="preserve"> RR = relative risk; SE = standard error.</w:t>
      </w:r>
    </w:p>
    <w:p w14:paraId="34748C9D" w14:textId="18BE992A" w:rsidR="00ED4A7B" w:rsidRPr="005E7233" w:rsidRDefault="00ED4A7B" w:rsidP="00F8082F">
      <w:pPr>
        <w:pStyle w:val="FooterTableFigure"/>
        <w:rPr>
          <w:rFonts w:eastAsia="Calibri"/>
        </w:rPr>
      </w:pPr>
      <w:r w:rsidRPr="005E7233">
        <w:rPr>
          <w:rFonts w:eastAsia="Calibri"/>
          <w:b/>
          <w:bCs/>
        </w:rPr>
        <w:t>Bold</w:t>
      </w:r>
      <w:r w:rsidRPr="005E7233">
        <w:rPr>
          <w:rFonts w:eastAsia="Calibri"/>
        </w:rPr>
        <w:t xml:space="preserve"> indicates statistically significant results.</w:t>
      </w:r>
    </w:p>
    <w:p w14:paraId="764342B7" w14:textId="77777777" w:rsidR="00ED4A7B" w:rsidRPr="005E7233" w:rsidRDefault="00ED4A7B" w:rsidP="00ED4A7B">
      <w:pPr>
        <w:pStyle w:val="3-BodyText"/>
      </w:pPr>
      <w:r w:rsidRPr="005E7233">
        <w:t>At Week 24, 77% of patients treated with teprotumumab achieved a reduction of at least 2 mm in proptosis compared to 15% in the placebo group (treatment difference 63%, 95% confidence interval [CI]: 51, 75). The mean change in proptosis from baseline at Week 24 was -3.14 mm in the teprotumumab group versus -0.37 mm in the placebo group (difference -2.77 mm, 95% CI: -3.23, -2.31).</w:t>
      </w:r>
    </w:p>
    <w:p w14:paraId="0D6364F6" w14:textId="77777777" w:rsidR="00ED4A7B" w:rsidRPr="005E7233" w:rsidRDefault="00ED4A7B" w:rsidP="00ED4A7B">
      <w:pPr>
        <w:pStyle w:val="3-BodyText"/>
      </w:pPr>
      <w:r w:rsidRPr="005E7233">
        <w:rPr>
          <w:rFonts w:cstheme="minorHAnsi"/>
        </w:rPr>
        <w:t>At Week 24, 70% of patients in the teprotumumab group versus 31% in the placebo group showed diplopia improvement by one grade or more (treatment difference 39%, 95% CI: 23, 55). Diplopia resolved in 53% of the teprotumumab group compared to 25% in the placebo group (difference 28%, 95% CI: 12, 44).</w:t>
      </w:r>
    </w:p>
    <w:p w14:paraId="3924FC39" w14:textId="7624AFB2" w:rsidR="00ED4A7B" w:rsidRPr="005E7233" w:rsidRDefault="00ED4A7B" w:rsidP="00ED4A7B">
      <w:pPr>
        <w:pStyle w:val="3-BodyText"/>
      </w:pPr>
      <w:r w:rsidRPr="005E7233">
        <w:rPr>
          <w:rFonts w:cstheme="minorHAnsi"/>
        </w:rPr>
        <w:t>The published MAIC (Douglas et al., 2022</w:t>
      </w:r>
      <w:r w:rsidRPr="005E7233">
        <w:rPr>
          <w:rFonts w:cstheme="minorHAnsi"/>
          <w:vertAlign w:val="superscript"/>
        </w:rPr>
        <w:fldChar w:fldCharType="begin"/>
      </w:r>
      <w:r w:rsidRPr="005E7233">
        <w:rPr>
          <w:rFonts w:cstheme="minorHAnsi"/>
          <w:vertAlign w:val="superscript"/>
        </w:rPr>
        <w:instrText xml:space="preserve"> NOTEREF _Ref187679202 \h  \* MERGEFORMAT </w:instrText>
      </w:r>
      <w:r w:rsidRPr="005E7233">
        <w:rPr>
          <w:rFonts w:cstheme="minorHAnsi"/>
          <w:vertAlign w:val="superscript"/>
        </w:rPr>
      </w:r>
      <w:r w:rsidRPr="005E7233">
        <w:rPr>
          <w:rFonts w:cstheme="minorHAnsi"/>
          <w:vertAlign w:val="superscript"/>
        </w:rPr>
        <w:fldChar w:fldCharType="separate"/>
      </w:r>
      <w:r w:rsidR="0012101B">
        <w:rPr>
          <w:rFonts w:cstheme="minorHAnsi"/>
          <w:vertAlign w:val="superscript"/>
        </w:rPr>
        <w:t>14</w:t>
      </w:r>
      <w:r w:rsidRPr="005E7233">
        <w:rPr>
          <w:rFonts w:cstheme="minorHAnsi"/>
          <w:vertAlign w:val="superscript"/>
        </w:rPr>
        <w:fldChar w:fldCharType="end"/>
      </w:r>
      <w:r w:rsidRPr="005E7233">
        <w:rPr>
          <w:rFonts w:cstheme="minorHAnsi"/>
        </w:rPr>
        <w:t xml:space="preserve">) analysis adjusted for baseline differences between the study populations of the IVMP trials and the key teprotumumab studies (OPTIC and TED01RV), by reweighting the individual patient-level data to match the aggregate data from IVMP trials. The mean change in proptosis from baseline in the IVMP studies is shown in </w:t>
      </w:r>
      <w:r w:rsidRPr="005E7233">
        <w:rPr>
          <w:rFonts w:cstheme="minorHAnsi"/>
        </w:rPr>
        <w:fldChar w:fldCharType="begin"/>
      </w:r>
      <w:r w:rsidRPr="005E7233">
        <w:rPr>
          <w:rFonts w:cstheme="minorHAnsi"/>
        </w:rPr>
        <w:instrText xml:space="preserve"> REF _Ref185845353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12101B" w:rsidRPr="005E7233">
        <w:t xml:space="preserve">Figure </w:t>
      </w:r>
      <w:r w:rsidR="0012101B">
        <w:rPr>
          <w:noProof/>
        </w:rPr>
        <w:t>1</w:t>
      </w:r>
      <w:r w:rsidRPr="005E7233">
        <w:rPr>
          <w:rFonts w:cstheme="minorHAnsi"/>
        </w:rPr>
        <w:fldChar w:fldCharType="end"/>
      </w:r>
      <w:r w:rsidRPr="005E7233">
        <w:rPr>
          <w:rFonts w:cstheme="minorHAnsi"/>
        </w:rPr>
        <w:t xml:space="preserve"> and the change in diplopia from baseline in the IVMP studies is shown in </w:t>
      </w:r>
      <w:r w:rsidRPr="005E7233">
        <w:rPr>
          <w:rFonts w:cstheme="minorHAnsi"/>
        </w:rPr>
        <w:fldChar w:fldCharType="begin"/>
      </w:r>
      <w:r w:rsidRPr="005E7233">
        <w:rPr>
          <w:rFonts w:cstheme="minorHAnsi"/>
        </w:rPr>
        <w:instrText xml:space="preserve"> REF _Ref185845382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12101B" w:rsidRPr="005E7233">
        <w:t xml:space="preserve">Figure </w:t>
      </w:r>
      <w:r w:rsidR="0012101B">
        <w:rPr>
          <w:noProof/>
        </w:rPr>
        <w:t>2</w:t>
      </w:r>
      <w:r w:rsidRPr="005E7233">
        <w:rPr>
          <w:rFonts w:cstheme="minorHAnsi"/>
        </w:rPr>
        <w:fldChar w:fldCharType="end"/>
      </w:r>
      <w:r w:rsidRPr="005E7233">
        <w:rPr>
          <w:rFonts w:cstheme="minorHAnsi"/>
        </w:rPr>
        <w:t>.</w:t>
      </w:r>
    </w:p>
    <w:p w14:paraId="5AECDBCA" w14:textId="440E57FD" w:rsidR="00ED4A7B" w:rsidRPr="005E7233" w:rsidRDefault="00ED4A7B" w:rsidP="00F8082F">
      <w:pPr>
        <w:pStyle w:val="Caption"/>
        <w:rPr>
          <w:rFonts w:cstheme="minorHAnsi"/>
        </w:rPr>
      </w:pPr>
      <w:bookmarkStart w:id="48" w:name="_Ref185845353"/>
      <w:r w:rsidRPr="005E7233">
        <w:lastRenderedPageBreak/>
        <w:t xml:space="preserve">Figure </w:t>
      </w:r>
      <w:r w:rsidR="00FB1BE3">
        <w:fldChar w:fldCharType="begin"/>
      </w:r>
      <w:r w:rsidR="00FB1BE3">
        <w:instrText xml:space="preserve"> SEQ Figure \* ARABIC </w:instrText>
      </w:r>
      <w:r w:rsidR="00FB1BE3">
        <w:fldChar w:fldCharType="separate"/>
      </w:r>
      <w:r w:rsidR="0012101B">
        <w:rPr>
          <w:noProof/>
        </w:rPr>
        <w:t>1</w:t>
      </w:r>
      <w:r w:rsidR="00FB1BE3">
        <w:rPr>
          <w:noProof/>
        </w:rPr>
        <w:fldChar w:fldCharType="end"/>
      </w:r>
      <w:bookmarkEnd w:id="48"/>
      <w:r w:rsidRPr="005E7233">
        <w:t xml:space="preserve">: </w:t>
      </w:r>
      <w:r w:rsidRPr="005E7233">
        <w:rPr>
          <w:rFonts w:cstheme="minorHAnsi"/>
        </w:rPr>
        <w:t>Mean change in proptosis from baseline in IVMP studies</w:t>
      </w:r>
      <w:r w:rsidR="00C14F63" w:rsidRPr="005E7233">
        <w:rPr>
          <w:rFonts w:cstheme="minorHAnsi"/>
        </w:rPr>
        <w:t>, mm</w:t>
      </w:r>
    </w:p>
    <w:p w14:paraId="4BB8C05B" w14:textId="77777777" w:rsidR="00ED4A7B" w:rsidRPr="005E7233" w:rsidRDefault="00ED4A7B" w:rsidP="00F8082F">
      <w:pPr>
        <w:pStyle w:val="3-BodyText"/>
        <w:keepNext/>
        <w:keepLines/>
        <w:numPr>
          <w:ilvl w:val="0"/>
          <w:numId w:val="0"/>
        </w:numPr>
        <w:spacing w:before="0" w:after="0"/>
        <w:rPr>
          <w:color w:val="0066FF"/>
        </w:rPr>
      </w:pPr>
      <w:r w:rsidRPr="005E7233">
        <w:rPr>
          <w:rFonts w:cstheme="minorHAnsi"/>
          <w:noProof/>
        </w:rPr>
        <w:drawing>
          <wp:inline distT="0" distB="0" distL="0" distR="0" wp14:anchorId="1E510057" wp14:editId="6D530449">
            <wp:extent cx="5732145" cy="2897353"/>
            <wp:effectExtent l="19050" t="19050" r="20955" b="17780"/>
            <wp:docPr id="14176400" name="Picture 23" descr="Figure 1: Mean change in proptosis from baseline in IVMP studies,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400" name="Picture 23" descr="Figure 1: Mean change in proptosis from baseline in IVMP studies, 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2897353"/>
                    </a:xfrm>
                    <a:prstGeom prst="rect">
                      <a:avLst/>
                    </a:prstGeom>
                    <a:noFill/>
                    <a:ln>
                      <a:solidFill>
                        <a:schemeClr val="tx1"/>
                      </a:solidFill>
                    </a:ln>
                  </pic:spPr>
                </pic:pic>
              </a:graphicData>
            </a:graphic>
          </wp:inline>
        </w:drawing>
      </w:r>
    </w:p>
    <w:p w14:paraId="09B83316" w14:textId="77777777" w:rsidR="00ED4A7B" w:rsidRPr="005E7233" w:rsidRDefault="00ED4A7B" w:rsidP="00F8082F">
      <w:pPr>
        <w:pStyle w:val="3-BodyText"/>
        <w:keepNext/>
        <w:keepLines/>
        <w:numPr>
          <w:ilvl w:val="0"/>
          <w:numId w:val="0"/>
        </w:numPr>
        <w:spacing w:before="0" w:after="0"/>
        <w:rPr>
          <w:rFonts w:ascii="Arial Narrow" w:hAnsi="Arial Narrow"/>
          <w:sz w:val="18"/>
          <w:szCs w:val="18"/>
        </w:rPr>
      </w:pPr>
      <w:r w:rsidRPr="005E7233">
        <w:rPr>
          <w:rFonts w:ascii="Arial Narrow" w:hAnsi="Arial Narrow"/>
          <w:sz w:val="18"/>
          <w:szCs w:val="18"/>
        </w:rPr>
        <w:t>Source: Figure 2-15, p131 of the submission.</w:t>
      </w:r>
    </w:p>
    <w:p w14:paraId="7C03FBC8" w14:textId="3DF2E34B" w:rsidR="00ED4A7B" w:rsidRPr="005E7233" w:rsidRDefault="00ED4A7B" w:rsidP="733957FC">
      <w:pPr>
        <w:pStyle w:val="3-BodyText"/>
        <w:numPr>
          <w:ilvl w:val="0"/>
          <w:numId w:val="0"/>
        </w:numPr>
        <w:spacing w:before="0" w:after="0"/>
        <w:rPr>
          <w:rFonts w:ascii="Arial Narrow" w:hAnsi="Arial Narrow"/>
          <w:sz w:val="18"/>
          <w:szCs w:val="18"/>
        </w:rPr>
      </w:pPr>
      <w:r w:rsidRPr="005E7233">
        <w:rPr>
          <w:rFonts w:ascii="Arial Narrow" w:hAnsi="Arial Narrow"/>
          <w:sz w:val="18"/>
          <w:szCs w:val="18"/>
        </w:rPr>
        <w:t>Cfb = Change from baseline; Cfbraw = Raw change from baseline; CI = confidence interval</w:t>
      </w:r>
    </w:p>
    <w:p w14:paraId="3FDF11AE" w14:textId="6130A5F1" w:rsidR="00ED4A7B" w:rsidRPr="005E7233" w:rsidRDefault="00ED4A7B" w:rsidP="733957FC">
      <w:pPr>
        <w:pStyle w:val="3-BodyText"/>
      </w:pPr>
      <w:r w:rsidRPr="005E7233">
        <w:t>Mean change from baseline in proptosis was heterogeneous in the IVMP meta-analysis (</w:t>
      </w:r>
      <w:r w:rsidRPr="005E7233">
        <w:fldChar w:fldCharType="begin"/>
      </w:r>
      <w:r w:rsidRPr="005E7233">
        <w:instrText xml:space="preserve"> REF _Ref185845353 \h </w:instrText>
      </w:r>
      <w:r w:rsidR="0066573D" w:rsidRPr="005E7233">
        <w:instrText xml:space="preserve"> \* MERGEFORMAT </w:instrText>
      </w:r>
      <w:r w:rsidRPr="005E7233">
        <w:fldChar w:fldCharType="separate"/>
      </w:r>
      <w:r w:rsidR="0012101B" w:rsidRPr="005E7233">
        <w:t xml:space="preserve">Figure </w:t>
      </w:r>
      <w:r w:rsidR="0012101B">
        <w:rPr>
          <w:noProof/>
        </w:rPr>
        <w:t>1</w:t>
      </w:r>
      <w:r w:rsidRPr="005E7233">
        <w:fldChar w:fldCharType="end"/>
      </w:r>
      <w:r w:rsidRPr="005E7233">
        <w:t>). When combining the 11 identified IVMP studies that reported proptosis, the mean change from baseline was -0.8</w:t>
      </w:r>
      <w:r w:rsidR="0015557F" w:rsidRPr="005E7233">
        <w:t xml:space="preserve"> mm</w:t>
      </w:r>
      <w:r w:rsidRPr="005E7233">
        <w:t xml:space="preserve"> (95% CI: -1.37, -0.23; random effects model) and -0.60</w:t>
      </w:r>
      <w:r w:rsidR="0015557F" w:rsidRPr="005E7233">
        <w:t xml:space="preserve"> mm</w:t>
      </w:r>
      <w:r w:rsidRPr="005E7233">
        <w:t xml:space="preserve"> (95% CI: -0.87, -0.33; fixed effects model). The possible causes of the heterogeneity were not discussed.</w:t>
      </w:r>
    </w:p>
    <w:p w14:paraId="6BB61AF2" w14:textId="7AE38AE5" w:rsidR="00ED4A7B" w:rsidRPr="005E7233" w:rsidRDefault="00ED4A7B" w:rsidP="00ED4A7B">
      <w:pPr>
        <w:pStyle w:val="Caption"/>
      </w:pPr>
      <w:bookmarkStart w:id="49" w:name="_Ref185845382"/>
      <w:r w:rsidRPr="005E7233">
        <w:t xml:space="preserve">Figure </w:t>
      </w:r>
      <w:r w:rsidR="00FB1BE3">
        <w:fldChar w:fldCharType="begin"/>
      </w:r>
      <w:r w:rsidR="00FB1BE3">
        <w:instrText xml:space="preserve"> SEQ Figure \* ARABIC </w:instrText>
      </w:r>
      <w:r w:rsidR="00FB1BE3">
        <w:fldChar w:fldCharType="separate"/>
      </w:r>
      <w:r w:rsidR="0012101B">
        <w:rPr>
          <w:noProof/>
        </w:rPr>
        <w:t>2</w:t>
      </w:r>
      <w:r w:rsidR="00FB1BE3">
        <w:rPr>
          <w:noProof/>
        </w:rPr>
        <w:fldChar w:fldCharType="end"/>
      </w:r>
      <w:bookmarkEnd w:id="49"/>
      <w:r w:rsidRPr="005E7233">
        <w:t xml:space="preserve">: </w:t>
      </w:r>
      <w:r w:rsidRPr="005E7233">
        <w:rPr>
          <w:rFonts w:cstheme="minorHAnsi"/>
        </w:rPr>
        <w:t>Change in diplopia from baseline in IVMP studies</w:t>
      </w:r>
    </w:p>
    <w:p w14:paraId="4434B4D8" w14:textId="77777777" w:rsidR="00ED4A7B" w:rsidRPr="005E7233" w:rsidRDefault="00ED4A7B" w:rsidP="00ED4A7B">
      <w:pPr>
        <w:pStyle w:val="3-BodyText"/>
        <w:numPr>
          <w:ilvl w:val="0"/>
          <w:numId w:val="0"/>
        </w:numPr>
        <w:spacing w:before="0" w:after="0"/>
        <w:rPr>
          <w:color w:val="0066FF"/>
        </w:rPr>
      </w:pPr>
      <w:r w:rsidRPr="005E7233">
        <w:rPr>
          <w:rFonts w:cstheme="minorHAnsi"/>
          <w:noProof/>
        </w:rPr>
        <w:drawing>
          <wp:inline distT="0" distB="0" distL="0" distR="0" wp14:anchorId="60CB77E5" wp14:editId="01B7868E">
            <wp:extent cx="5732145" cy="1898919"/>
            <wp:effectExtent l="19050" t="19050" r="20955" b="25400"/>
            <wp:docPr id="34436265" name="Picture 24" descr="Figure 2: Change in diplopia from baseline in IVMP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6265" name="Picture 24" descr="Figure 2: Change in diplopia from baseline in IVMP stud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1898919"/>
                    </a:xfrm>
                    <a:prstGeom prst="rect">
                      <a:avLst/>
                    </a:prstGeom>
                    <a:noFill/>
                    <a:ln>
                      <a:solidFill>
                        <a:schemeClr val="tx1"/>
                      </a:solidFill>
                    </a:ln>
                  </pic:spPr>
                </pic:pic>
              </a:graphicData>
            </a:graphic>
          </wp:inline>
        </w:drawing>
      </w:r>
    </w:p>
    <w:p w14:paraId="350A90EB" w14:textId="77777777" w:rsidR="00ED4A7B" w:rsidRPr="005E7233" w:rsidRDefault="00ED4A7B" w:rsidP="00ED4A7B">
      <w:pPr>
        <w:pStyle w:val="Caption"/>
        <w:rPr>
          <w:b w:val="0"/>
          <w:bCs w:val="0"/>
        </w:rPr>
      </w:pPr>
      <w:bookmarkStart w:id="50" w:name="_Ref185843890"/>
      <w:r w:rsidRPr="005E7233">
        <w:rPr>
          <w:b w:val="0"/>
          <w:bCs w:val="0"/>
        </w:rPr>
        <w:t>Source: Figure 2-16, p132 of the submission</w:t>
      </w:r>
    </w:p>
    <w:p w14:paraId="00B1BA86" w14:textId="0B5B6141" w:rsidR="00ED4A7B" w:rsidRPr="005E7233" w:rsidRDefault="00ED4A7B" w:rsidP="733957FC">
      <w:pPr>
        <w:pStyle w:val="3-BodyText"/>
        <w:numPr>
          <w:ilvl w:val="0"/>
          <w:numId w:val="0"/>
        </w:numPr>
        <w:spacing w:before="0" w:after="0"/>
        <w:rPr>
          <w:rFonts w:ascii="Arial Narrow" w:hAnsi="Arial Narrow"/>
          <w:sz w:val="18"/>
          <w:szCs w:val="18"/>
        </w:rPr>
      </w:pPr>
      <w:r w:rsidRPr="005E7233">
        <w:rPr>
          <w:rFonts w:ascii="Arial Narrow" w:hAnsi="Arial Narrow"/>
          <w:sz w:val="18"/>
          <w:szCs w:val="18"/>
        </w:rPr>
        <w:t>Cfb = Change from baseline; Cfbraw = Raw change from baseline; CI = confidence interval</w:t>
      </w:r>
    </w:p>
    <w:p w14:paraId="3D4D6266" w14:textId="64C4008B" w:rsidR="00ED4A7B" w:rsidRPr="005E7233" w:rsidRDefault="00ED4A7B" w:rsidP="00ED4A7B">
      <w:pPr>
        <w:pStyle w:val="3-BodyText"/>
        <w:rPr>
          <w:rFonts w:cstheme="minorHAnsi"/>
        </w:rPr>
      </w:pPr>
      <w:r w:rsidRPr="005E7233">
        <w:rPr>
          <w:rFonts w:cstheme="minorHAnsi"/>
        </w:rPr>
        <w:t xml:space="preserve">Results in terms of change from baseline for the outcome of diplopia were also heterogeneous in the IVMP studies. When combining the four identified IVMP studies that reported diplopia response, mean response rates </w:t>
      </w:r>
      <w:r w:rsidR="00397A86" w:rsidRPr="005E7233">
        <w:rPr>
          <w:rFonts w:cstheme="minorHAnsi"/>
        </w:rPr>
        <w:t>w</w:t>
      </w:r>
      <w:r w:rsidR="00C14F63" w:rsidRPr="005E7233">
        <w:rPr>
          <w:rFonts w:cstheme="minorHAnsi"/>
        </w:rPr>
        <w:t>ere</w:t>
      </w:r>
      <w:r w:rsidR="00397A86" w:rsidRPr="005E7233">
        <w:rPr>
          <w:rFonts w:cstheme="minorHAnsi"/>
        </w:rPr>
        <w:t xml:space="preserve"> </w:t>
      </w:r>
      <w:r w:rsidRPr="005E7233">
        <w:rPr>
          <w:rFonts w:cstheme="minorHAnsi"/>
        </w:rPr>
        <w:t>5</w:t>
      </w:r>
      <w:r w:rsidR="00397A86" w:rsidRPr="005E7233">
        <w:rPr>
          <w:rFonts w:cstheme="minorHAnsi"/>
        </w:rPr>
        <w:t>0%</w:t>
      </w:r>
      <w:r w:rsidRPr="005E7233">
        <w:rPr>
          <w:rFonts w:cstheme="minorHAnsi"/>
        </w:rPr>
        <w:t xml:space="preserve"> (95% CI: 38</w:t>
      </w:r>
      <w:r w:rsidR="00397A86" w:rsidRPr="005E7233">
        <w:rPr>
          <w:rFonts w:cstheme="minorHAnsi"/>
        </w:rPr>
        <w:t>%</w:t>
      </w:r>
      <w:r w:rsidRPr="005E7233">
        <w:rPr>
          <w:rFonts w:cstheme="minorHAnsi"/>
        </w:rPr>
        <w:t>, 63</w:t>
      </w:r>
      <w:r w:rsidR="00397A86" w:rsidRPr="005E7233">
        <w:rPr>
          <w:rFonts w:cstheme="minorHAnsi"/>
        </w:rPr>
        <w:t>%</w:t>
      </w:r>
      <w:r w:rsidRPr="005E7233">
        <w:rPr>
          <w:rFonts w:cstheme="minorHAnsi"/>
        </w:rPr>
        <w:t>; random effects model) and 5</w:t>
      </w:r>
      <w:r w:rsidR="00397A86" w:rsidRPr="005E7233">
        <w:rPr>
          <w:rFonts w:cstheme="minorHAnsi"/>
        </w:rPr>
        <w:t>0%</w:t>
      </w:r>
      <w:r w:rsidRPr="005E7233">
        <w:rPr>
          <w:rFonts w:cstheme="minorHAnsi"/>
        </w:rPr>
        <w:t xml:space="preserve"> (95% CI: 41</w:t>
      </w:r>
      <w:r w:rsidR="00397A86" w:rsidRPr="005E7233">
        <w:rPr>
          <w:rFonts w:cstheme="minorHAnsi"/>
        </w:rPr>
        <w:t>%</w:t>
      </w:r>
      <w:r w:rsidRPr="005E7233">
        <w:rPr>
          <w:rFonts w:cstheme="minorHAnsi"/>
        </w:rPr>
        <w:t>, 58</w:t>
      </w:r>
      <w:r w:rsidR="00397A86" w:rsidRPr="005E7233">
        <w:rPr>
          <w:rFonts w:cstheme="minorHAnsi"/>
        </w:rPr>
        <w:t>%</w:t>
      </w:r>
      <w:r w:rsidRPr="005E7233">
        <w:rPr>
          <w:rFonts w:cstheme="minorHAnsi"/>
        </w:rPr>
        <w:t>; fixed effects model). Again, the variability across the included studies was not explored.</w:t>
      </w:r>
    </w:p>
    <w:p w14:paraId="34D529FA" w14:textId="717CA7A1" w:rsidR="007A14D0" w:rsidRPr="005E7233" w:rsidRDefault="008877A5" w:rsidP="00702E51">
      <w:pPr>
        <w:pStyle w:val="3-BodyText"/>
        <w:keepNext/>
        <w:numPr>
          <w:ilvl w:val="0"/>
          <w:numId w:val="0"/>
        </w:numPr>
        <w:rPr>
          <w:rFonts w:cstheme="minorHAnsi"/>
          <w:b/>
          <w:bCs/>
        </w:rPr>
      </w:pPr>
      <w:r w:rsidRPr="005E7233">
        <w:rPr>
          <w:b/>
          <w:bCs/>
        </w:rPr>
        <w:lastRenderedPageBreak/>
        <w:t>First-line setting:</w:t>
      </w:r>
      <w:r w:rsidRPr="005E7233">
        <w:rPr>
          <w:rFonts w:cstheme="minorHAnsi"/>
          <w:b/>
          <w:bCs/>
        </w:rPr>
        <w:t xml:space="preserve"> </w:t>
      </w:r>
      <w:r w:rsidRPr="005E7233">
        <w:rPr>
          <w:b/>
          <w:bCs/>
        </w:rPr>
        <w:t>teprotumumab versus IVMP</w:t>
      </w:r>
    </w:p>
    <w:p w14:paraId="013969B9" w14:textId="5C668C04" w:rsidR="00ED4A7B" w:rsidRPr="005E7233" w:rsidRDefault="00ED4A7B" w:rsidP="00ED4A7B">
      <w:pPr>
        <w:pStyle w:val="3-BodyText"/>
        <w:rPr>
          <w:rFonts w:cstheme="minorHAnsi"/>
        </w:rPr>
      </w:pPr>
      <w:r w:rsidRPr="005E7233">
        <w:rPr>
          <w:rFonts w:cstheme="minorHAnsi"/>
        </w:rPr>
        <w:t xml:space="preserve">The results of the MAIC comparing the pooled and adjusted teprotumumab results to the pooled IVMP data are reproduced below in </w:t>
      </w:r>
      <w:r w:rsidRPr="005E7233">
        <w:rPr>
          <w:rFonts w:cstheme="minorHAnsi"/>
        </w:rPr>
        <w:fldChar w:fldCharType="begin"/>
      </w:r>
      <w:r w:rsidRPr="005E7233">
        <w:rPr>
          <w:rFonts w:cstheme="minorHAnsi"/>
        </w:rPr>
        <w:instrText xml:space="preserve"> REF _Ref185849553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12101B" w:rsidRPr="005E7233">
        <w:t xml:space="preserve">Figure </w:t>
      </w:r>
      <w:r w:rsidR="0012101B">
        <w:rPr>
          <w:noProof/>
        </w:rPr>
        <w:t>3</w:t>
      </w:r>
      <w:r w:rsidRPr="005E7233">
        <w:rPr>
          <w:rFonts w:cstheme="minorHAnsi"/>
        </w:rPr>
        <w:fldChar w:fldCharType="end"/>
      </w:r>
      <w:r w:rsidRPr="005E7233">
        <w:rPr>
          <w:rFonts w:cstheme="minorHAnsi"/>
        </w:rPr>
        <w:t xml:space="preserve"> and </w:t>
      </w:r>
      <w:r w:rsidRPr="005E7233">
        <w:rPr>
          <w:rFonts w:cstheme="minorHAnsi"/>
        </w:rPr>
        <w:fldChar w:fldCharType="begin"/>
      </w:r>
      <w:r w:rsidRPr="005E7233">
        <w:rPr>
          <w:rFonts w:cstheme="minorHAnsi"/>
        </w:rPr>
        <w:instrText xml:space="preserve"> REF _Ref185843910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12101B" w:rsidRPr="005E7233">
        <w:t xml:space="preserve">Figure </w:t>
      </w:r>
      <w:r w:rsidR="0012101B">
        <w:rPr>
          <w:noProof/>
        </w:rPr>
        <w:t>4</w:t>
      </w:r>
      <w:r w:rsidRPr="005E7233">
        <w:rPr>
          <w:rFonts w:cstheme="minorHAnsi"/>
        </w:rPr>
        <w:fldChar w:fldCharType="end"/>
      </w:r>
      <w:r w:rsidRPr="005E7233">
        <w:rPr>
          <w:rFonts w:cstheme="minorHAnsi"/>
        </w:rPr>
        <w:t>.</w:t>
      </w:r>
    </w:p>
    <w:p w14:paraId="129980E7" w14:textId="4197743A" w:rsidR="00ED4A7B" w:rsidRPr="005E7233" w:rsidRDefault="00ED4A7B" w:rsidP="00ED4A7B">
      <w:pPr>
        <w:pStyle w:val="Caption"/>
      </w:pPr>
      <w:bookmarkStart w:id="51" w:name="_Ref185849553"/>
      <w:r w:rsidRPr="005E7233">
        <w:t xml:space="preserve">Figure </w:t>
      </w:r>
      <w:r w:rsidR="00FB1BE3">
        <w:fldChar w:fldCharType="begin"/>
      </w:r>
      <w:r w:rsidR="00FB1BE3">
        <w:instrText xml:space="preserve"> SEQ Figure \* ARABIC </w:instrText>
      </w:r>
      <w:r w:rsidR="00FB1BE3">
        <w:fldChar w:fldCharType="separate"/>
      </w:r>
      <w:r w:rsidR="0012101B">
        <w:rPr>
          <w:noProof/>
        </w:rPr>
        <w:t>3</w:t>
      </w:r>
      <w:r w:rsidR="00FB1BE3">
        <w:rPr>
          <w:noProof/>
        </w:rPr>
        <w:fldChar w:fldCharType="end"/>
      </w:r>
      <w:bookmarkEnd w:id="50"/>
      <w:bookmarkEnd w:id="51"/>
      <w:r w:rsidRPr="005E7233">
        <w:t xml:space="preserve">: </w:t>
      </w:r>
      <w:r w:rsidRPr="005E7233">
        <w:rPr>
          <w:rFonts w:cstheme="minorHAnsi"/>
        </w:rPr>
        <w:t>Mean change from baseline in proptosis in the MAIC</w:t>
      </w:r>
    </w:p>
    <w:p w14:paraId="25F2D538" w14:textId="77777777" w:rsidR="00ED4A7B" w:rsidRPr="005E7233" w:rsidRDefault="00ED4A7B" w:rsidP="00ED4A7B">
      <w:pPr>
        <w:pStyle w:val="3-BodyText"/>
        <w:numPr>
          <w:ilvl w:val="0"/>
          <w:numId w:val="0"/>
        </w:numPr>
        <w:spacing w:before="0" w:after="0"/>
        <w:ind w:left="720" w:hanging="720"/>
        <w:rPr>
          <w:color w:val="0066FF"/>
        </w:rPr>
      </w:pPr>
      <w:r w:rsidRPr="005E7233">
        <w:rPr>
          <w:rFonts w:cstheme="minorHAnsi"/>
          <w:noProof/>
        </w:rPr>
        <w:drawing>
          <wp:inline distT="0" distB="0" distL="0" distR="0" wp14:anchorId="7B36B230" wp14:editId="694F76A5">
            <wp:extent cx="5732145" cy="1439513"/>
            <wp:effectExtent l="19050" t="19050" r="20955" b="27940"/>
            <wp:docPr id="1516602146" name="Picture 25" descr="Figure 3: Mean change from baseline in proptosis in the M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02146" name="Picture 25" descr="Figure 3: Mean change from baseline in proptosis in the MA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1439513"/>
                    </a:xfrm>
                    <a:prstGeom prst="rect">
                      <a:avLst/>
                    </a:prstGeom>
                    <a:noFill/>
                    <a:ln>
                      <a:solidFill>
                        <a:schemeClr val="tx1"/>
                      </a:solidFill>
                    </a:ln>
                  </pic:spPr>
                </pic:pic>
              </a:graphicData>
            </a:graphic>
          </wp:inline>
        </w:drawing>
      </w:r>
    </w:p>
    <w:p w14:paraId="6FEA8644" w14:textId="77777777" w:rsidR="00ED4A7B" w:rsidRPr="005E7233" w:rsidRDefault="00ED4A7B" w:rsidP="00ED4A7B">
      <w:pPr>
        <w:pStyle w:val="3-BodyText"/>
        <w:numPr>
          <w:ilvl w:val="0"/>
          <w:numId w:val="0"/>
        </w:numPr>
        <w:spacing w:before="0" w:after="0"/>
        <w:rPr>
          <w:rFonts w:ascii="Arial Narrow" w:hAnsi="Arial Narrow"/>
          <w:sz w:val="18"/>
          <w:szCs w:val="18"/>
        </w:rPr>
      </w:pPr>
      <w:r w:rsidRPr="005E7233">
        <w:rPr>
          <w:rFonts w:ascii="Arial Narrow" w:hAnsi="Arial Narrow"/>
          <w:sz w:val="18"/>
          <w:szCs w:val="18"/>
        </w:rPr>
        <w:t>Source: Figure 2-17, p133 of the submission.</w:t>
      </w:r>
    </w:p>
    <w:p w14:paraId="132DDAC0" w14:textId="77777777" w:rsidR="00ED4A7B" w:rsidRPr="005E7233" w:rsidRDefault="00ED4A7B" w:rsidP="00ED4A7B">
      <w:pPr>
        <w:pStyle w:val="3-BodyText"/>
        <w:numPr>
          <w:ilvl w:val="0"/>
          <w:numId w:val="0"/>
        </w:numPr>
        <w:spacing w:before="0" w:after="0"/>
        <w:rPr>
          <w:rFonts w:ascii="Arial Narrow" w:hAnsi="Arial Narrow"/>
          <w:sz w:val="18"/>
          <w:szCs w:val="18"/>
        </w:rPr>
      </w:pPr>
      <w:r w:rsidRPr="005E7233">
        <w:rPr>
          <w:rFonts w:ascii="Arial Narrow" w:hAnsi="Arial Narrow" w:cstheme="minorHAnsi"/>
          <w:bCs/>
          <w:sz w:val="18"/>
          <w:szCs w:val="18"/>
        </w:rPr>
        <w:t>CI = Confidence interval; IVMP = IV methylprednisolone; MAIC = matching-adjusted indirect comparison. </w:t>
      </w:r>
    </w:p>
    <w:p w14:paraId="6587A7D2" w14:textId="42B29580" w:rsidR="00ED4A7B" w:rsidRPr="005E7233" w:rsidRDefault="00ED4A7B" w:rsidP="00594147">
      <w:pPr>
        <w:pStyle w:val="3-BodyText"/>
        <w:rPr>
          <w:rFonts w:cstheme="minorHAnsi"/>
        </w:rPr>
      </w:pPr>
      <w:r w:rsidRPr="005E7233">
        <w:rPr>
          <w:rFonts w:cstheme="minorHAnsi"/>
        </w:rPr>
        <w:fldChar w:fldCharType="begin"/>
      </w:r>
      <w:r w:rsidRPr="005E7233">
        <w:rPr>
          <w:rFonts w:cstheme="minorHAnsi"/>
        </w:rPr>
        <w:instrText xml:space="preserve"> REF _Ref185849553 \h  \* MERGEFORMAT </w:instrText>
      </w:r>
      <w:r w:rsidRPr="005E7233">
        <w:rPr>
          <w:rFonts w:cstheme="minorHAnsi"/>
        </w:rPr>
      </w:r>
      <w:r w:rsidRPr="005E7233">
        <w:rPr>
          <w:rFonts w:cstheme="minorHAnsi"/>
        </w:rPr>
        <w:fldChar w:fldCharType="separate"/>
      </w:r>
      <w:r w:rsidR="0012101B" w:rsidRPr="0012101B">
        <w:rPr>
          <w:rFonts w:cstheme="minorHAnsi"/>
        </w:rPr>
        <w:t>Figure 3</w:t>
      </w:r>
      <w:r w:rsidRPr="005E7233">
        <w:rPr>
          <w:rFonts w:cstheme="minorHAnsi"/>
        </w:rPr>
        <w:fldChar w:fldCharType="end"/>
      </w:r>
      <w:r w:rsidRPr="005E7233">
        <w:rPr>
          <w:rFonts w:cstheme="minorHAnsi"/>
        </w:rPr>
        <w:t xml:space="preserve"> shows the mean incremental change from baseline of teprotumumab vs placebo, teprotumumab vs IVMP and IVMP vs placebo in terms of proptosis (mm) as reported by the Douglas et al., 2022</w:t>
      </w:r>
      <w:r w:rsidRPr="005E7233">
        <w:rPr>
          <w:rFonts w:cstheme="minorHAnsi"/>
          <w:vertAlign w:val="superscript"/>
        </w:rPr>
        <w:fldChar w:fldCharType="begin"/>
      </w:r>
      <w:r w:rsidRPr="005E7233">
        <w:rPr>
          <w:rFonts w:cstheme="minorHAnsi"/>
          <w:vertAlign w:val="superscript"/>
        </w:rPr>
        <w:instrText xml:space="preserve"> NOTEREF _Ref187679202 \h  \* MERGEFORMAT </w:instrText>
      </w:r>
      <w:r w:rsidRPr="005E7233">
        <w:rPr>
          <w:rFonts w:cstheme="minorHAnsi"/>
          <w:vertAlign w:val="superscript"/>
        </w:rPr>
      </w:r>
      <w:r w:rsidRPr="005E7233">
        <w:rPr>
          <w:rFonts w:cstheme="minorHAnsi"/>
          <w:vertAlign w:val="superscript"/>
        </w:rPr>
        <w:fldChar w:fldCharType="separate"/>
      </w:r>
      <w:r w:rsidR="0012101B">
        <w:rPr>
          <w:rFonts w:cstheme="minorHAnsi"/>
          <w:vertAlign w:val="superscript"/>
        </w:rPr>
        <w:t>14</w:t>
      </w:r>
      <w:r w:rsidRPr="005E7233">
        <w:rPr>
          <w:rFonts w:cstheme="minorHAnsi"/>
          <w:vertAlign w:val="superscript"/>
        </w:rPr>
        <w:fldChar w:fldCharType="end"/>
      </w:r>
      <w:r w:rsidRPr="005E7233">
        <w:rPr>
          <w:rFonts w:cstheme="minorHAnsi"/>
        </w:rPr>
        <w:t xml:space="preserve"> MAIC. </w:t>
      </w:r>
      <w:r w:rsidRPr="005E7233">
        <w:t>These results indicated that teprotumumab was associated with a statistically significantly greater change from baseline in proptosis compared with IVMP (</w:t>
      </w:r>
      <w:r w:rsidR="000C2328" w:rsidRPr="005E7233">
        <w:t>mean difference [</w:t>
      </w:r>
      <w:r w:rsidRPr="005E7233">
        <w:t>MD</w:t>
      </w:r>
      <w:r w:rsidR="000C2328" w:rsidRPr="005E7233">
        <w:t>]</w:t>
      </w:r>
      <w:r w:rsidRPr="005E7233">
        <w:t xml:space="preserve">, </w:t>
      </w:r>
      <w:r w:rsidR="000C2328" w:rsidRPr="005E7233">
        <w:t>-</w:t>
      </w:r>
      <w:r w:rsidRPr="005E7233">
        <w:t xml:space="preserve">2.31 mm, 95% CI: </w:t>
      </w:r>
      <w:r w:rsidR="000C2328" w:rsidRPr="005E7233">
        <w:t>-</w:t>
      </w:r>
      <w:r w:rsidRPr="005E7233">
        <w:t xml:space="preserve">3.45, </w:t>
      </w:r>
      <w:r w:rsidR="000C2328" w:rsidRPr="005E7233">
        <w:t>-</w:t>
      </w:r>
      <w:r w:rsidRPr="005E7233">
        <w:t>1.17 mm).</w:t>
      </w:r>
    </w:p>
    <w:p w14:paraId="203E193A" w14:textId="281774F0" w:rsidR="00ED4A7B" w:rsidRPr="005E7233" w:rsidRDefault="00ED4A7B" w:rsidP="00ED4A7B">
      <w:pPr>
        <w:pStyle w:val="Caption"/>
      </w:pPr>
      <w:bookmarkStart w:id="52" w:name="_Ref185843910"/>
      <w:r w:rsidRPr="005E7233">
        <w:t xml:space="preserve">Figure </w:t>
      </w:r>
      <w:r w:rsidR="00FB1BE3">
        <w:fldChar w:fldCharType="begin"/>
      </w:r>
      <w:r w:rsidR="00FB1BE3">
        <w:instrText xml:space="preserve"> SEQ Figure \* ARABIC </w:instrText>
      </w:r>
      <w:r w:rsidR="00FB1BE3">
        <w:fldChar w:fldCharType="separate"/>
      </w:r>
      <w:r w:rsidR="0012101B">
        <w:rPr>
          <w:noProof/>
        </w:rPr>
        <w:t>4</w:t>
      </w:r>
      <w:r w:rsidR="00FB1BE3">
        <w:rPr>
          <w:noProof/>
        </w:rPr>
        <w:fldChar w:fldCharType="end"/>
      </w:r>
      <w:bookmarkEnd w:id="52"/>
      <w:r w:rsidRPr="005E7233">
        <w:t>: Diplopia response in the MAIC</w:t>
      </w:r>
    </w:p>
    <w:p w14:paraId="095A9C2B" w14:textId="77777777" w:rsidR="00ED4A7B" w:rsidRPr="005E7233" w:rsidRDefault="00ED4A7B" w:rsidP="00ED4A7B">
      <w:pPr>
        <w:pStyle w:val="3-BodyText"/>
        <w:numPr>
          <w:ilvl w:val="0"/>
          <w:numId w:val="0"/>
        </w:numPr>
        <w:spacing w:before="0" w:after="0"/>
        <w:ind w:left="720" w:hanging="720"/>
        <w:rPr>
          <w:color w:val="0066FF"/>
        </w:rPr>
      </w:pPr>
      <w:r w:rsidRPr="005E7233">
        <w:rPr>
          <w:rFonts w:cstheme="minorHAnsi"/>
          <w:noProof/>
        </w:rPr>
        <w:drawing>
          <wp:inline distT="0" distB="0" distL="0" distR="0" wp14:anchorId="5C344A4F" wp14:editId="15574F43">
            <wp:extent cx="5732145" cy="1373162"/>
            <wp:effectExtent l="19050" t="19050" r="20955" b="17780"/>
            <wp:docPr id="1202303296" name="Picture 26" descr="Figure 4: Diplopia response in the M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03296" name="Picture 26" descr="Figure 4: Diplopia response in the MA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1373162"/>
                    </a:xfrm>
                    <a:prstGeom prst="rect">
                      <a:avLst/>
                    </a:prstGeom>
                    <a:noFill/>
                    <a:ln>
                      <a:solidFill>
                        <a:schemeClr val="tx1"/>
                      </a:solidFill>
                    </a:ln>
                  </pic:spPr>
                </pic:pic>
              </a:graphicData>
            </a:graphic>
          </wp:inline>
        </w:drawing>
      </w:r>
    </w:p>
    <w:p w14:paraId="7425C5C8" w14:textId="77777777" w:rsidR="00ED4A7B" w:rsidRPr="005E7233" w:rsidRDefault="00ED4A7B" w:rsidP="00ED4A7B">
      <w:pPr>
        <w:pStyle w:val="3-BodyText"/>
        <w:numPr>
          <w:ilvl w:val="0"/>
          <w:numId w:val="0"/>
        </w:numPr>
        <w:spacing w:before="0" w:after="0"/>
        <w:ind w:left="720" w:hanging="720"/>
        <w:rPr>
          <w:rFonts w:ascii="Arial Narrow" w:hAnsi="Arial Narrow"/>
          <w:sz w:val="18"/>
          <w:szCs w:val="18"/>
        </w:rPr>
      </w:pPr>
      <w:r w:rsidRPr="005E7233">
        <w:rPr>
          <w:rFonts w:ascii="Arial Narrow" w:hAnsi="Arial Narrow"/>
          <w:sz w:val="18"/>
          <w:szCs w:val="18"/>
        </w:rPr>
        <w:t>Source: Figure 2-18, p133 of the submission.</w:t>
      </w:r>
    </w:p>
    <w:p w14:paraId="6603B916" w14:textId="23D696B1" w:rsidR="00ED4A7B" w:rsidRPr="005E7233" w:rsidRDefault="00ED4A7B" w:rsidP="00ED4A7B">
      <w:pPr>
        <w:pStyle w:val="3-BodyText"/>
        <w:numPr>
          <w:ilvl w:val="0"/>
          <w:numId w:val="0"/>
        </w:numPr>
        <w:spacing w:before="0" w:after="0"/>
        <w:rPr>
          <w:rFonts w:ascii="Arial Narrow" w:hAnsi="Arial Narrow"/>
          <w:sz w:val="18"/>
          <w:szCs w:val="18"/>
        </w:rPr>
      </w:pPr>
      <w:r w:rsidRPr="005E7233">
        <w:rPr>
          <w:rFonts w:ascii="Arial Narrow" w:hAnsi="Arial Narrow" w:cstheme="minorHAnsi"/>
          <w:bCs/>
          <w:sz w:val="18"/>
          <w:szCs w:val="18"/>
        </w:rPr>
        <w:t>CI = Confidence interval; IVMP = IV methylprednisolone; MAIC = matching-adjusted indirect comparison </w:t>
      </w:r>
    </w:p>
    <w:p w14:paraId="37E06A58" w14:textId="0A3C5338" w:rsidR="00ED4A7B" w:rsidRPr="005E7233" w:rsidRDefault="00ED4A7B" w:rsidP="00ED4A7B">
      <w:pPr>
        <w:pStyle w:val="3-BodyText"/>
        <w:rPr>
          <w:rFonts w:cstheme="minorHAnsi"/>
        </w:rPr>
      </w:pPr>
      <w:r w:rsidRPr="005E7233">
        <w:rPr>
          <w:rFonts w:cstheme="minorHAnsi"/>
        </w:rPr>
        <w:t>The MAIC results for diplopia outcomes showed that teprotumumab was associated with greater odds of diplopia response compared to IVMP, with an odds ratio of 2.32 (95% CI: 1.07, 5.03) (</w:t>
      </w:r>
      <w:r w:rsidRPr="005E7233">
        <w:rPr>
          <w:rFonts w:cstheme="minorHAnsi"/>
        </w:rPr>
        <w:fldChar w:fldCharType="begin"/>
      </w:r>
      <w:r w:rsidRPr="005E7233">
        <w:rPr>
          <w:rFonts w:cstheme="minorHAnsi"/>
        </w:rPr>
        <w:instrText xml:space="preserve"> REF _Ref185843910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12101B" w:rsidRPr="005E7233">
        <w:t xml:space="preserve">Figure </w:t>
      </w:r>
      <w:r w:rsidR="0012101B">
        <w:rPr>
          <w:noProof/>
        </w:rPr>
        <w:t>4</w:t>
      </w:r>
      <w:r w:rsidRPr="005E7233">
        <w:rPr>
          <w:rFonts w:cstheme="minorHAnsi"/>
        </w:rPr>
        <w:fldChar w:fldCharType="end"/>
      </w:r>
      <w:r w:rsidRPr="005E7233">
        <w:rPr>
          <w:rFonts w:cstheme="minorHAnsi"/>
        </w:rPr>
        <w:t>).</w:t>
      </w:r>
    </w:p>
    <w:p w14:paraId="375C7448" w14:textId="63DD77CA" w:rsidR="00ED4A7B" w:rsidRPr="005E7233" w:rsidRDefault="00ED4A7B" w:rsidP="00DA6D1D">
      <w:pPr>
        <w:pStyle w:val="3-BodyText"/>
      </w:pPr>
      <w:r w:rsidRPr="005E7233">
        <w:t>The submission also noted that IVMP did not display a statistically significant odds ratio over placebo in either proptosis or diplopia. It is noteworthy that the estimated reduction in proptosis achieved by the pooled IVMP arm was only 0.16 mm greater than that achieved by the matched placebo arm. Therefore, the matched analysis predicted that IVMP (without MMF) had almost no impact on proptosis compared with placebo.</w:t>
      </w:r>
      <w:r w:rsidR="008A6B42" w:rsidRPr="005E7233">
        <w:t xml:space="preserve"> The ESC </w:t>
      </w:r>
      <w:r w:rsidR="00E46ABC" w:rsidRPr="005E7233">
        <w:t>noted</w:t>
      </w:r>
      <w:r w:rsidR="0053668E" w:rsidRPr="005E7233">
        <w:t xml:space="preserve"> that the MAIC conclude</w:t>
      </w:r>
      <w:r w:rsidR="00632BE4" w:rsidRPr="005E7233">
        <w:t>d</w:t>
      </w:r>
      <w:r w:rsidR="0053668E" w:rsidRPr="005E7233">
        <w:t xml:space="preserve"> that IVMP is no </w:t>
      </w:r>
      <w:r w:rsidR="00CC3501" w:rsidRPr="005E7233">
        <w:t>more effective</w:t>
      </w:r>
      <w:r w:rsidR="0053668E" w:rsidRPr="005E7233">
        <w:t xml:space="preserve"> than placebo and therefore considered that it may not provide a reliable basis for comparisons to teprotumumab</w:t>
      </w:r>
      <w:r w:rsidR="00A61565" w:rsidRPr="005E7233">
        <w:t xml:space="preserve">. The </w:t>
      </w:r>
      <w:r w:rsidR="00A66480" w:rsidRPr="005E7233">
        <w:t>ESC noted</w:t>
      </w:r>
      <w:r w:rsidR="0053668E" w:rsidRPr="005E7233">
        <w:t xml:space="preserve"> </w:t>
      </w:r>
      <w:r w:rsidR="00E46ABC" w:rsidRPr="005E7233">
        <w:t xml:space="preserve">that </w:t>
      </w:r>
      <w:r w:rsidR="00370920" w:rsidRPr="005E7233">
        <w:t>due to the nature of t</w:t>
      </w:r>
      <w:r w:rsidR="004D3399" w:rsidRPr="005E7233">
        <w:t xml:space="preserve">he disease, </w:t>
      </w:r>
      <w:r w:rsidR="00E46ABC" w:rsidRPr="005E7233">
        <w:t>the benefit of treatment depends on the timing of initiat</w:t>
      </w:r>
      <w:r w:rsidR="004D3399" w:rsidRPr="005E7233">
        <w:t>ion</w:t>
      </w:r>
      <w:r w:rsidR="00115CDA" w:rsidRPr="005E7233">
        <w:t>,</w:t>
      </w:r>
      <w:r w:rsidR="004105C0" w:rsidRPr="005E7233">
        <w:t xml:space="preserve"> with intervention</w:t>
      </w:r>
      <w:r w:rsidR="0022294A" w:rsidRPr="005E7233">
        <w:t xml:space="preserve"> within </w:t>
      </w:r>
      <w:r w:rsidR="0022294A" w:rsidRPr="005E7233">
        <w:lastRenderedPageBreak/>
        <w:t>6 months</w:t>
      </w:r>
      <w:r w:rsidR="004105C0" w:rsidRPr="005E7233">
        <w:t xml:space="preserve"> (prior to a peak in CAS) </w:t>
      </w:r>
      <w:r w:rsidR="0022294A" w:rsidRPr="005E7233">
        <w:t xml:space="preserve">generally </w:t>
      </w:r>
      <w:r w:rsidR="004105C0" w:rsidRPr="005E7233">
        <w:t>leading to better patient outcomes</w:t>
      </w:r>
      <w:r w:rsidR="00D046CF" w:rsidRPr="005E7233">
        <w:rPr>
          <w:rStyle w:val="FootnoteReference"/>
        </w:rPr>
        <w:footnoteReference w:id="18"/>
      </w:r>
      <w:r w:rsidR="006630E3" w:rsidRPr="005E7233">
        <w:t>.</w:t>
      </w:r>
      <w:r w:rsidR="004F32CA" w:rsidRPr="005E7233">
        <w:t xml:space="preserve"> The ESC noted that it wasn’t clear </w:t>
      </w:r>
      <w:r w:rsidR="0072126E" w:rsidRPr="005E7233">
        <w:t xml:space="preserve">at what </w:t>
      </w:r>
      <w:r w:rsidR="005535AE" w:rsidRPr="005E7233">
        <w:t>timepoint patient</w:t>
      </w:r>
      <w:r w:rsidR="00EB3E41" w:rsidRPr="005E7233">
        <w:t>s</w:t>
      </w:r>
      <w:r w:rsidR="005535AE" w:rsidRPr="005E7233">
        <w:t xml:space="preserve"> were treated in the</w:t>
      </w:r>
      <w:r w:rsidR="0094667D" w:rsidRPr="005E7233">
        <w:t xml:space="preserve"> IVMP s</w:t>
      </w:r>
      <w:r w:rsidR="005842CC" w:rsidRPr="005E7233">
        <w:t>tudies.</w:t>
      </w:r>
      <w:r w:rsidR="006630E3" w:rsidRPr="005E7233">
        <w:t xml:space="preserve"> The ESC</w:t>
      </w:r>
      <w:r w:rsidR="00E46ABC" w:rsidRPr="005E7233">
        <w:t xml:space="preserve"> </w:t>
      </w:r>
      <w:r w:rsidR="00C35FD9" w:rsidRPr="005E7233">
        <w:t>considered</w:t>
      </w:r>
      <w:r w:rsidR="000B4D7C" w:rsidRPr="005E7233">
        <w:t xml:space="preserve"> </w:t>
      </w:r>
      <w:r w:rsidR="00813053" w:rsidRPr="005E7233">
        <w:t xml:space="preserve">it is possible </w:t>
      </w:r>
      <w:r w:rsidR="00C35FD9" w:rsidRPr="005E7233">
        <w:t xml:space="preserve">that the benefit of IVMP </w:t>
      </w:r>
      <w:r w:rsidR="00BA393E" w:rsidRPr="005E7233">
        <w:t xml:space="preserve">compared to placebo </w:t>
      </w:r>
      <w:r w:rsidR="00C35FD9" w:rsidRPr="005E7233">
        <w:t>may have been underestimated</w:t>
      </w:r>
      <w:r w:rsidR="00E46ABC" w:rsidRPr="005E7233">
        <w:t xml:space="preserve"> </w:t>
      </w:r>
      <w:r w:rsidR="006630E3" w:rsidRPr="005E7233">
        <w:t>in the analysis presented</w:t>
      </w:r>
      <w:r w:rsidR="004D7CDD" w:rsidRPr="005E7233">
        <w:t xml:space="preserve"> </w:t>
      </w:r>
      <w:r w:rsidR="00632BE4" w:rsidRPr="005E7233">
        <w:t>due to</w:t>
      </w:r>
      <w:r w:rsidR="005B514F" w:rsidRPr="005E7233">
        <w:t xml:space="preserve"> </w:t>
      </w:r>
      <w:r w:rsidR="004D7CDD" w:rsidRPr="005E7233">
        <w:t>differences in timing of administration of</w:t>
      </w:r>
      <w:r w:rsidR="00EC3A8F" w:rsidRPr="005E7233">
        <w:t xml:space="preserve"> the</w:t>
      </w:r>
      <w:r w:rsidR="004D7CDD" w:rsidRPr="005E7233">
        <w:t xml:space="preserve"> treatments</w:t>
      </w:r>
      <w:r w:rsidR="006630E3" w:rsidRPr="005E7233">
        <w:t>.</w:t>
      </w:r>
      <w:r w:rsidR="00595364" w:rsidRPr="005E7233">
        <w:t xml:space="preserve"> </w:t>
      </w:r>
    </w:p>
    <w:p w14:paraId="70E5BE7A" w14:textId="0BE1C4AA" w:rsidR="00ED4A7B" w:rsidRPr="005E7233" w:rsidRDefault="00BC794B" w:rsidP="733957FC">
      <w:pPr>
        <w:pStyle w:val="3-BodyText"/>
      </w:pPr>
      <w:bookmarkStart w:id="53" w:name="_Ref195419365"/>
      <w:r w:rsidRPr="005E7233">
        <w:t xml:space="preserve">The evaluation considered that while </w:t>
      </w:r>
      <w:r w:rsidR="00ED4A7B" w:rsidRPr="005E7233">
        <w:t>these results indicate that teprotumumab is superior to IVMP for the treatment of active MS TED, there are numerous transitivity issues that make the results uncertain:</w:t>
      </w:r>
      <w:bookmarkEnd w:id="53"/>
      <w:r w:rsidR="00ED4A7B" w:rsidRPr="005E7233">
        <w:t xml:space="preserve"> </w:t>
      </w:r>
    </w:p>
    <w:p w14:paraId="7512EDA4" w14:textId="3C00307B" w:rsidR="00F954D3" w:rsidRPr="005E7233" w:rsidRDefault="00ED4A7B" w:rsidP="003B2AE9">
      <w:pPr>
        <w:pStyle w:val="ListParagraph"/>
        <w:ind w:left="1134"/>
        <w:jc w:val="both"/>
      </w:pPr>
      <w:r w:rsidRPr="005E7233">
        <w:t xml:space="preserve">As mentioned </w:t>
      </w:r>
      <w:r w:rsidR="00AF7F33" w:rsidRPr="005E7233">
        <w:t>previously</w:t>
      </w:r>
      <w:r w:rsidRPr="005E7233">
        <w:t>, the lack of a common comparator arm, the limited adjustments for covariates, and the differences in study design likely introduce bias. Furthermore, the reliability of the MAIC is difficult to assess because the MAIC publication did not provide adequate justification for the nominated covariates included for weighting, or a justification for the exclusion of covariates that may impact treatment outcomes (such as disease severity) and did not present the baseline characteristics following weighting.</w:t>
      </w:r>
    </w:p>
    <w:p w14:paraId="1C384F0D" w14:textId="7BAE9EE7" w:rsidR="00ED4A7B" w:rsidRPr="005E7233" w:rsidRDefault="00ED4A7B" w:rsidP="003B2AE9">
      <w:pPr>
        <w:pStyle w:val="ListParagraph"/>
        <w:ind w:left="1134"/>
        <w:jc w:val="both"/>
        <w:rPr>
          <w:rFonts w:cstheme="minorBidi"/>
        </w:rPr>
      </w:pPr>
      <w:r w:rsidRPr="005E7233">
        <w:rPr>
          <w:rFonts w:cstheme="minorHAnsi"/>
        </w:rPr>
        <w:t xml:space="preserve">Additionally, a significant reduction in effective sample size was seen. 79 patients in the teprotumumab arms had sufficient data to be included in the analysis for proptosis response and 63 patients in the teprotumumab arms had sufficient data to be included in the diplopia response analysis. After weighting, the effective sample size for proptosis dropped to 56 and the effective sample size diplopia dropped to 44. The drop in effective sample size increases variability and reduces reliability of the results, as a few heavily weighted patients could disproportionately influence the findings. </w:t>
      </w:r>
    </w:p>
    <w:p w14:paraId="373D71B3" w14:textId="3B914E03" w:rsidR="00ED4A7B" w:rsidRPr="005E7233" w:rsidRDefault="00ED4A7B" w:rsidP="003B2AE9">
      <w:pPr>
        <w:pStyle w:val="ListParagraph"/>
        <w:ind w:left="1134"/>
        <w:jc w:val="both"/>
      </w:pPr>
      <w:r w:rsidRPr="005E7233">
        <w:t xml:space="preserve">The heterogeneity observed in the IVMP studies introduces further uncertainty. The studies have different dosing regimens and different study designs with some studies being randomised and others observational. </w:t>
      </w:r>
      <w:r w:rsidR="00DB04E7" w:rsidRPr="005E7233">
        <w:t>The ESC further noted that the effectiveness of IVMP depends on the dose administered and this was not accounted for in the MAIC</w:t>
      </w:r>
      <w:r w:rsidR="000300C0" w:rsidRPr="005E7233">
        <w:rPr>
          <w:rStyle w:val="FootnoteReference"/>
        </w:rPr>
        <w:footnoteReference w:id="19"/>
      </w:r>
      <w:r w:rsidR="00DB04E7" w:rsidRPr="005E7233">
        <w:t xml:space="preserve">. </w:t>
      </w:r>
      <w:r w:rsidRPr="005E7233">
        <w:t>The lack of common control groups in any of the IVMP studies makes it difficult to interpret the heterogeneous results of mean change in proptosis and diplopia response.</w:t>
      </w:r>
    </w:p>
    <w:p w14:paraId="6CEF01B6" w14:textId="77777777" w:rsidR="00AF7F33" w:rsidRPr="005E7233" w:rsidRDefault="00ED4A7B" w:rsidP="003B2AE9">
      <w:pPr>
        <w:pStyle w:val="ListParagraph"/>
        <w:ind w:left="1134"/>
        <w:jc w:val="both"/>
      </w:pPr>
      <w:r w:rsidRPr="005E7233">
        <w:t xml:space="preserve">The IVMP studies either had a CAS inclusion criterion of ≥3 (or a median CAS of 4) whereas the teprotumumab trials had a CAS inclusion criterion of ≥4. This may have resulted in there being different levels of disease activity in the enrolled patients. Additionally, heterogeneity is seen in the IVMP trials in the mean </w:t>
      </w:r>
      <w:r w:rsidRPr="005E7233">
        <w:lastRenderedPageBreak/>
        <w:t>duration of TED symptoms (ranging between 4 and 13.6 months) and the mean baseline proptosis (ranging between 17.2</w:t>
      </w:r>
      <w:r w:rsidR="0041267E" w:rsidRPr="005E7233">
        <w:t xml:space="preserve"> </w:t>
      </w:r>
      <w:r w:rsidRPr="005E7233">
        <w:t>mm and 23.8</w:t>
      </w:r>
      <w:r w:rsidR="0041267E" w:rsidRPr="005E7233">
        <w:t xml:space="preserve"> </w:t>
      </w:r>
      <w:r w:rsidRPr="005E7233">
        <w:t>mm). These factors may have impacted the observed response to IVMP as longer duration of disease may result in tissue remodelling and patients with smaller baseline proptosis may have less room for improvement.</w:t>
      </w:r>
    </w:p>
    <w:p w14:paraId="67D87F29" w14:textId="79E54E05" w:rsidR="00ED4A7B" w:rsidRPr="005E7233" w:rsidRDefault="00ED4A7B" w:rsidP="003B2AE9">
      <w:pPr>
        <w:pStyle w:val="ListParagraph"/>
        <w:ind w:left="1134"/>
        <w:jc w:val="both"/>
        <w:rPr>
          <w:rFonts w:cstheme="minorBidi"/>
        </w:rPr>
      </w:pPr>
      <w:r w:rsidRPr="005E7233">
        <w:rPr>
          <w:rFonts w:cstheme="minorHAnsi"/>
        </w:rPr>
        <w:t>The IVMP studies lacked the use of MMF, which is part of the nominated comparator.</w:t>
      </w:r>
    </w:p>
    <w:p w14:paraId="779343E6" w14:textId="488014BF" w:rsidR="00ED4A7B" w:rsidRPr="005E7233" w:rsidRDefault="00ED4A7B" w:rsidP="733957FC">
      <w:pPr>
        <w:pStyle w:val="3-BodyText"/>
      </w:pPr>
      <w:r w:rsidRPr="005E7233">
        <w:t>All of these factors mean that the results of the MAIC may not be appropriate to support decision making.</w:t>
      </w:r>
      <w:r w:rsidR="008E0D28" w:rsidRPr="005E7233">
        <w:t xml:space="preserve"> The ESC considered </w:t>
      </w:r>
      <w:r w:rsidR="009A5D86" w:rsidRPr="005E7233">
        <w:t xml:space="preserve">the </w:t>
      </w:r>
      <w:r w:rsidR="008E0D28" w:rsidRPr="005E7233">
        <w:t xml:space="preserve">MAIC did not adequately account for the </w:t>
      </w:r>
      <w:r w:rsidR="00C270F1" w:rsidRPr="005E7233">
        <w:t xml:space="preserve">complexity of treatment of </w:t>
      </w:r>
      <w:r w:rsidR="00C85F1E" w:rsidRPr="005E7233">
        <w:t>TED</w:t>
      </w:r>
      <w:r w:rsidR="00C270F1" w:rsidRPr="005E7233">
        <w:t>.</w:t>
      </w:r>
    </w:p>
    <w:p w14:paraId="779C0D19" w14:textId="10B06950" w:rsidR="00D0358E" w:rsidRPr="005E7233" w:rsidRDefault="00A33B8D" w:rsidP="733957FC">
      <w:pPr>
        <w:pStyle w:val="3-BodyText"/>
      </w:pPr>
      <w:r w:rsidRPr="005E7233">
        <w:t>In addition to the published MAIC from Douglas et al., 2022, the submission carried out a supportive, two step, Bucher ITC</w:t>
      </w:r>
      <w:r w:rsidR="004E426F" w:rsidRPr="005E7233">
        <w:t>.</w:t>
      </w:r>
      <w:r w:rsidR="009C27EB" w:rsidRPr="005E7233">
        <w:t xml:space="preserve"> The stepped ITC resulted in a </w:t>
      </w:r>
      <w:r w:rsidR="00BC025C" w:rsidRPr="005E7233">
        <w:t>relative risk (</w:t>
      </w:r>
      <w:r w:rsidR="009C27EB" w:rsidRPr="005E7233">
        <w:t>RR</w:t>
      </w:r>
      <w:r w:rsidR="00BC025C" w:rsidRPr="005E7233">
        <w:t>)</w:t>
      </w:r>
      <w:r w:rsidR="009C27EB" w:rsidRPr="005E7233">
        <w:t xml:space="preserve"> of 12.1 (95% CI: 0.82, 178.41) for teprotumumab compared to intermediate dose IVMP and a RR of 18.35 (95% CI: 1.35, 249.5) for teprotumumab compared to high dose IVMP for the outcome of proptosis. For diplopia a RR of 64.93 (95% CI: 5.46, 772.78) was reported to teprotumumab compared to intermediate dose IVMP and a RR of 29.2 (95% CI: 2.64, 322.6) for teprotumumab compared to high dose IVMP. These results suggest </w:t>
      </w:r>
      <w:r w:rsidR="0039627A" w:rsidRPr="005E7233">
        <w:t>that</w:t>
      </w:r>
      <w:r w:rsidR="009C27EB" w:rsidRPr="005E7233">
        <w:t xml:space="preserve"> teprotumumab is superior to IVMP in treating proptosis and diplopia.</w:t>
      </w:r>
      <w:r w:rsidR="00293AA3" w:rsidRPr="005E7233">
        <w:t xml:space="preserve"> </w:t>
      </w:r>
      <w:r w:rsidR="009D5C08" w:rsidRPr="005E7233">
        <w:t>However, i</w:t>
      </w:r>
      <w:r w:rsidR="00293AA3" w:rsidRPr="005E7233">
        <w:t>t was note</w:t>
      </w:r>
      <w:r w:rsidR="009D5C08" w:rsidRPr="005E7233">
        <w:t>d</w:t>
      </w:r>
      <w:r w:rsidR="00293AA3" w:rsidRPr="005E7233">
        <w:t xml:space="preserve"> that the RR of proptosis response was 2.34 (0.15, 36.3) when placebo was compared with IVMP (in favour of placebo), and the RR of diplopia response was 20.65 (1.67, 255.50) again in favour of placebo. </w:t>
      </w:r>
      <w:r w:rsidR="001C51B4" w:rsidRPr="005E7233">
        <w:t>A</w:t>
      </w:r>
      <w:r w:rsidR="00387816" w:rsidRPr="005E7233">
        <w:t>s noted previously (</w:t>
      </w:r>
      <w:r w:rsidR="00E9671A" w:rsidRPr="005E7233">
        <w:t>paragraph</w:t>
      </w:r>
      <w:r w:rsidR="004154A7" w:rsidRPr="005E7233">
        <w:t xml:space="preserve"> </w:t>
      </w:r>
      <w:r w:rsidRPr="005E7233">
        <w:fldChar w:fldCharType="begin"/>
      </w:r>
      <w:r w:rsidRPr="005E7233">
        <w:instrText xml:space="preserve"> REF _Ref191210801 \r \h  \* MERGEFORMAT </w:instrText>
      </w:r>
      <w:r w:rsidRPr="005E7233">
        <w:fldChar w:fldCharType="separate"/>
      </w:r>
      <w:r w:rsidR="0012101B">
        <w:t>6.15</w:t>
      </w:r>
      <w:r w:rsidRPr="005E7233">
        <w:fldChar w:fldCharType="end"/>
      </w:r>
      <w:r w:rsidR="004154A7" w:rsidRPr="005E7233">
        <w:t>)</w:t>
      </w:r>
      <w:r w:rsidR="00EC27A3" w:rsidRPr="005E7233">
        <w:t xml:space="preserve"> the evaluation considered the results from the stepped ITC were not reliable</w:t>
      </w:r>
      <w:r w:rsidR="00FE0B11" w:rsidRPr="005E7233">
        <w:t>.</w:t>
      </w:r>
    </w:p>
    <w:p w14:paraId="7DA36F57" w14:textId="130186DE" w:rsidR="00A85F93" w:rsidRPr="005E7233" w:rsidRDefault="001A534B" w:rsidP="00A85F93">
      <w:pPr>
        <w:pStyle w:val="3-BodyText"/>
        <w:numPr>
          <w:ilvl w:val="0"/>
          <w:numId w:val="0"/>
        </w:numPr>
        <w:rPr>
          <w:b/>
          <w:bCs/>
        </w:rPr>
      </w:pPr>
      <w:r w:rsidRPr="005E7233">
        <w:rPr>
          <w:b/>
          <w:bCs/>
        </w:rPr>
        <w:t>Second-line setting: teprotumumab versus tocilizumab</w:t>
      </w:r>
    </w:p>
    <w:p w14:paraId="67A0BFFE" w14:textId="45E5D1BE" w:rsidR="00ED4A7B" w:rsidRPr="005E7233" w:rsidRDefault="00C430D6" w:rsidP="00C430D6">
      <w:pPr>
        <w:pStyle w:val="3-BodyText"/>
        <w:rPr>
          <w:rFonts w:cstheme="minorHAnsi"/>
        </w:rPr>
      </w:pPr>
      <w:r w:rsidRPr="005E7233">
        <w:rPr>
          <w:rFonts w:cstheme="minorHAnsi"/>
        </w:rPr>
        <w:t>T</w:t>
      </w:r>
      <w:r w:rsidR="00ED4A7B" w:rsidRPr="005E7233">
        <w:rPr>
          <w:rFonts w:cstheme="minorHAnsi"/>
        </w:rPr>
        <w:t xml:space="preserve">he submission presented a Bucher ITC between teprotumumab and tocilizumab for the second-line treatment of TED using placebo as a common comparator. </w:t>
      </w:r>
    </w:p>
    <w:p w14:paraId="1C50607A" w14:textId="3D3E2F34" w:rsidR="00ED4A7B" w:rsidRPr="005E7233" w:rsidRDefault="00ED4A7B" w:rsidP="001F0BB9">
      <w:pPr>
        <w:pStyle w:val="3-BodyText"/>
        <w:rPr>
          <w:rFonts w:cstheme="minorHAnsi"/>
        </w:rPr>
      </w:pPr>
      <w:r w:rsidRPr="005E7233">
        <w:rPr>
          <w:rFonts w:cstheme="minorHAnsi"/>
        </w:rPr>
        <w:t xml:space="preserve">The results of the ITC are presented below with proptosis response shown in </w:t>
      </w:r>
      <w:r w:rsidRPr="005E7233">
        <w:rPr>
          <w:rFonts w:cstheme="minorHAnsi"/>
        </w:rPr>
        <w:fldChar w:fldCharType="begin"/>
      </w:r>
      <w:r w:rsidRPr="005E7233">
        <w:rPr>
          <w:rFonts w:cstheme="minorHAnsi"/>
        </w:rPr>
        <w:instrText xml:space="preserve"> REF _Ref185852519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12101B" w:rsidRPr="005E7233">
        <w:t xml:space="preserve">Table </w:t>
      </w:r>
      <w:r w:rsidR="0012101B">
        <w:rPr>
          <w:noProof/>
        </w:rPr>
        <w:t>8</w:t>
      </w:r>
      <w:r w:rsidRPr="005E7233">
        <w:rPr>
          <w:rFonts w:cstheme="minorHAnsi"/>
        </w:rPr>
        <w:fldChar w:fldCharType="end"/>
      </w:r>
      <w:r w:rsidRPr="005E7233">
        <w:rPr>
          <w:rFonts w:cstheme="minorHAnsi"/>
        </w:rPr>
        <w:t xml:space="preserve"> and diplopia non-response shown in </w:t>
      </w:r>
      <w:r w:rsidRPr="005E7233">
        <w:rPr>
          <w:rFonts w:cstheme="minorHAnsi"/>
        </w:rPr>
        <w:fldChar w:fldCharType="begin"/>
      </w:r>
      <w:r w:rsidRPr="005E7233">
        <w:rPr>
          <w:rFonts w:cstheme="minorHAnsi"/>
        </w:rPr>
        <w:instrText xml:space="preserve"> REF _Ref185852521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12101B" w:rsidRPr="005E7233">
        <w:t xml:space="preserve">Table </w:t>
      </w:r>
      <w:r w:rsidR="0012101B">
        <w:rPr>
          <w:noProof/>
        </w:rPr>
        <w:t>9</w:t>
      </w:r>
      <w:r w:rsidRPr="005E7233">
        <w:rPr>
          <w:rFonts w:cstheme="minorHAnsi"/>
        </w:rPr>
        <w:fldChar w:fldCharType="end"/>
      </w:r>
      <w:r w:rsidRPr="005E7233">
        <w:rPr>
          <w:rFonts w:cstheme="minorHAnsi"/>
        </w:rPr>
        <w:t>.</w:t>
      </w:r>
    </w:p>
    <w:p w14:paraId="5291F13A" w14:textId="24261BC2" w:rsidR="00ED4A7B" w:rsidRPr="005E7233" w:rsidRDefault="00ED4A7B" w:rsidP="00247536">
      <w:pPr>
        <w:pStyle w:val="Caption"/>
      </w:pPr>
      <w:bookmarkStart w:id="54" w:name="_Ref185852519"/>
      <w:r w:rsidRPr="005E7233">
        <w:t xml:space="preserve">Table </w:t>
      </w:r>
      <w:r w:rsidR="00FB1BE3">
        <w:fldChar w:fldCharType="begin"/>
      </w:r>
      <w:r w:rsidR="00FB1BE3">
        <w:instrText xml:space="preserve"> SEQ Table \* ARABIC </w:instrText>
      </w:r>
      <w:r w:rsidR="00FB1BE3">
        <w:fldChar w:fldCharType="separate"/>
      </w:r>
      <w:r w:rsidR="0012101B">
        <w:rPr>
          <w:noProof/>
        </w:rPr>
        <w:t>8</w:t>
      </w:r>
      <w:r w:rsidR="00FB1BE3">
        <w:rPr>
          <w:noProof/>
        </w:rPr>
        <w:fldChar w:fldCharType="end"/>
      </w:r>
      <w:bookmarkEnd w:id="54"/>
      <w:r w:rsidRPr="005E7233">
        <w:t>: Indirect treatment comparison of teprotumumab compared with tocilizumab for proptosis response</w:t>
      </w:r>
      <w:r w:rsidR="00E548DD">
        <w:t xml:space="preserve"> </w:t>
      </w:r>
    </w:p>
    <w:tbl>
      <w:tblPr>
        <w:tblStyle w:val="Submissionstandard"/>
        <w:tblW w:w="5000" w:type="pct"/>
        <w:tblLook w:val="04A0" w:firstRow="1" w:lastRow="0" w:firstColumn="1" w:lastColumn="0" w:noHBand="0" w:noVBand="1"/>
      </w:tblPr>
      <w:tblGrid>
        <w:gridCol w:w="2612"/>
        <w:gridCol w:w="2612"/>
        <w:gridCol w:w="3793"/>
      </w:tblGrid>
      <w:tr w:rsidR="00ED4A7B" w:rsidRPr="005E7233" w14:paraId="20086FC8" w14:textId="77777777" w:rsidTr="009C5765">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14:paraId="43E00DCB"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Intervention</w:t>
            </w:r>
          </w:p>
        </w:tc>
        <w:tc>
          <w:tcPr>
            <w:tcW w:w="0" w:type="auto"/>
            <w:shd w:val="clear" w:color="auto" w:fill="auto"/>
          </w:tcPr>
          <w:p w14:paraId="057E08C7"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Comparator</w:t>
            </w:r>
          </w:p>
        </w:tc>
        <w:tc>
          <w:tcPr>
            <w:tcW w:w="0" w:type="auto"/>
            <w:shd w:val="clear" w:color="auto" w:fill="auto"/>
          </w:tcPr>
          <w:p w14:paraId="4F238093" w14:textId="77777777" w:rsidR="00ED4A7B" w:rsidRPr="005E7233" w:rsidRDefault="00ED4A7B" w:rsidP="00247536">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Relative Risk (95% CI)</w:t>
            </w:r>
          </w:p>
        </w:tc>
      </w:tr>
      <w:tr w:rsidR="00ED4A7B" w:rsidRPr="005E7233" w14:paraId="42F1B9C6" w14:textId="77777777" w:rsidTr="009C5765">
        <w:tc>
          <w:tcPr>
            <w:tcW w:w="0" w:type="auto"/>
            <w:shd w:val="clear" w:color="auto" w:fill="auto"/>
          </w:tcPr>
          <w:p w14:paraId="7EB5001A"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Placebo</w:t>
            </w:r>
          </w:p>
        </w:tc>
        <w:tc>
          <w:tcPr>
            <w:tcW w:w="0" w:type="auto"/>
            <w:shd w:val="clear" w:color="auto" w:fill="auto"/>
          </w:tcPr>
          <w:p w14:paraId="00D1EB59"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Teprotumumab</w:t>
            </w:r>
          </w:p>
        </w:tc>
        <w:tc>
          <w:tcPr>
            <w:tcW w:w="0" w:type="auto"/>
            <w:shd w:val="clear" w:color="auto" w:fill="auto"/>
          </w:tcPr>
          <w:p w14:paraId="103E593A" w14:textId="77777777" w:rsidR="00ED4A7B" w:rsidRPr="005E7233" w:rsidRDefault="00ED4A7B" w:rsidP="00247536">
            <w:pPr>
              <w:keepNext/>
              <w:keepLines/>
              <w:jc w:val="center"/>
              <w:rPr>
                <w:rFonts w:ascii="Arial Narrow" w:hAnsi="Arial Narrow" w:cstheme="minorHAnsi"/>
                <w:b/>
                <w:bCs/>
                <w:sz w:val="20"/>
                <w:szCs w:val="20"/>
                <w:lang w:val="en-AU"/>
              </w:rPr>
            </w:pPr>
            <w:r w:rsidRPr="005E7233">
              <w:rPr>
                <w:rFonts w:ascii="Arial Narrow" w:hAnsi="Arial Narrow" w:cstheme="minorHAnsi"/>
                <w:b/>
                <w:bCs/>
                <w:sz w:val="20"/>
                <w:szCs w:val="20"/>
                <w:lang w:val="en-AU"/>
              </w:rPr>
              <w:t>0.19 (0.12, 0.33)</w:t>
            </w:r>
          </w:p>
        </w:tc>
      </w:tr>
      <w:tr w:rsidR="00ED4A7B" w:rsidRPr="005E7233" w14:paraId="261BF02C" w14:textId="77777777" w:rsidTr="009C5765">
        <w:tc>
          <w:tcPr>
            <w:tcW w:w="0" w:type="auto"/>
            <w:shd w:val="clear" w:color="auto" w:fill="auto"/>
          </w:tcPr>
          <w:p w14:paraId="4E70ACA5"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Placebo</w:t>
            </w:r>
          </w:p>
        </w:tc>
        <w:tc>
          <w:tcPr>
            <w:tcW w:w="0" w:type="auto"/>
            <w:shd w:val="clear" w:color="auto" w:fill="auto"/>
          </w:tcPr>
          <w:p w14:paraId="539C11A7"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Tocilizumab</w:t>
            </w:r>
          </w:p>
        </w:tc>
        <w:tc>
          <w:tcPr>
            <w:tcW w:w="0" w:type="auto"/>
            <w:shd w:val="clear" w:color="auto" w:fill="auto"/>
          </w:tcPr>
          <w:p w14:paraId="255E1A19" w14:textId="77777777" w:rsidR="00ED4A7B" w:rsidRPr="005E7233" w:rsidRDefault="00ED4A7B" w:rsidP="00247536">
            <w:pPr>
              <w:keepNext/>
              <w:keepLines/>
              <w:jc w:val="center"/>
              <w:rPr>
                <w:rFonts w:ascii="Arial Narrow" w:hAnsi="Arial Narrow" w:cstheme="minorHAnsi"/>
                <w:b/>
                <w:bCs/>
                <w:sz w:val="20"/>
                <w:szCs w:val="20"/>
                <w:lang w:val="en-AU"/>
              </w:rPr>
            </w:pPr>
            <w:r w:rsidRPr="005E7233">
              <w:rPr>
                <w:rFonts w:ascii="Arial Narrow" w:hAnsi="Arial Narrow" w:cstheme="minorHAnsi"/>
                <w:b/>
                <w:bCs/>
                <w:sz w:val="20"/>
                <w:szCs w:val="20"/>
                <w:lang w:val="en-AU"/>
              </w:rPr>
              <w:t>0.50 (0.30, 0.85)</w:t>
            </w:r>
          </w:p>
        </w:tc>
      </w:tr>
      <w:tr w:rsidR="00ED4A7B" w:rsidRPr="005E7233" w14:paraId="3AD1D6B7" w14:textId="77777777" w:rsidTr="009C5765">
        <w:tc>
          <w:tcPr>
            <w:tcW w:w="0" w:type="auto"/>
            <w:shd w:val="clear" w:color="auto" w:fill="auto"/>
          </w:tcPr>
          <w:p w14:paraId="18D99F94"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Teprotumumab</w:t>
            </w:r>
          </w:p>
        </w:tc>
        <w:tc>
          <w:tcPr>
            <w:tcW w:w="0" w:type="auto"/>
            <w:shd w:val="clear" w:color="auto" w:fill="auto"/>
          </w:tcPr>
          <w:p w14:paraId="6FCBB134"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Tocilizumab</w:t>
            </w:r>
          </w:p>
        </w:tc>
        <w:tc>
          <w:tcPr>
            <w:tcW w:w="0" w:type="auto"/>
            <w:shd w:val="clear" w:color="auto" w:fill="auto"/>
          </w:tcPr>
          <w:p w14:paraId="7459F9D2" w14:textId="77777777" w:rsidR="00ED4A7B" w:rsidRPr="005E7233" w:rsidRDefault="00ED4A7B" w:rsidP="00247536">
            <w:pPr>
              <w:keepNext/>
              <w:keepLines/>
              <w:jc w:val="center"/>
              <w:rPr>
                <w:rFonts w:ascii="Arial Narrow" w:hAnsi="Arial Narrow" w:cstheme="minorHAnsi"/>
                <w:b/>
                <w:bCs/>
                <w:sz w:val="20"/>
                <w:szCs w:val="20"/>
                <w:lang w:val="en-AU"/>
              </w:rPr>
            </w:pPr>
            <w:r w:rsidRPr="005E7233">
              <w:rPr>
                <w:rFonts w:ascii="Arial Narrow" w:hAnsi="Arial Narrow" w:cstheme="minorHAnsi"/>
                <w:b/>
                <w:bCs/>
                <w:sz w:val="20"/>
                <w:szCs w:val="20"/>
                <w:lang w:val="en-AU"/>
              </w:rPr>
              <w:t>2.6 (1.25, 5.41)</w:t>
            </w:r>
          </w:p>
        </w:tc>
      </w:tr>
      <w:tr w:rsidR="00ED4A7B" w:rsidRPr="005E7233" w14:paraId="7F517497" w14:textId="77777777" w:rsidTr="009C5765">
        <w:tc>
          <w:tcPr>
            <w:tcW w:w="0" w:type="auto"/>
            <w:shd w:val="clear" w:color="auto" w:fill="auto"/>
          </w:tcPr>
          <w:p w14:paraId="1F26F3D6"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Tocilizumab</w:t>
            </w:r>
          </w:p>
        </w:tc>
        <w:tc>
          <w:tcPr>
            <w:tcW w:w="0" w:type="auto"/>
            <w:shd w:val="clear" w:color="auto" w:fill="auto"/>
          </w:tcPr>
          <w:p w14:paraId="34652BEA"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Teprotumumab</w:t>
            </w:r>
          </w:p>
        </w:tc>
        <w:tc>
          <w:tcPr>
            <w:tcW w:w="0" w:type="auto"/>
            <w:shd w:val="clear" w:color="auto" w:fill="auto"/>
          </w:tcPr>
          <w:p w14:paraId="28527B50" w14:textId="77777777" w:rsidR="00ED4A7B" w:rsidRPr="005E7233" w:rsidRDefault="00ED4A7B" w:rsidP="00247536">
            <w:pPr>
              <w:keepNext/>
              <w:keepLines/>
              <w:jc w:val="center"/>
              <w:rPr>
                <w:rFonts w:ascii="Arial Narrow" w:hAnsi="Arial Narrow" w:cstheme="minorHAnsi"/>
                <w:b/>
                <w:bCs/>
                <w:sz w:val="20"/>
                <w:szCs w:val="20"/>
                <w:lang w:val="en-AU"/>
              </w:rPr>
            </w:pPr>
            <w:r w:rsidRPr="005E7233">
              <w:rPr>
                <w:rFonts w:ascii="Arial Narrow" w:hAnsi="Arial Narrow" w:cstheme="minorHAnsi"/>
                <w:b/>
                <w:bCs/>
                <w:sz w:val="20"/>
                <w:szCs w:val="20"/>
                <w:lang w:val="en-AU"/>
              </w:rPr>
              <w:t>0.38 (0.18, 0.8)</w:t>
            </w:r>
          </w:p>
        </w:tc>
      </w:tr>
    </w:tbl>
    <w:p w14:paraId="72F2BE76" w14:textId="40032C26" w:rsidR="00ED4A7B" w:rsidRPr="005E7233" w:rsidRDefault="00ED4A7B" w:rsidP="00247536">
      <w:pPr>
        <w:pStyle w:val="3-BodyText"/>
        <w:keepNext/>
        <w:keepLines/>
        <w:numPr>
          <w:ilvl w:val="0"/>
          <w:numId w:val="0"/>
        </w:numPr>
        <w:spacing w:before="0" w:after="0"/>
        <w:ind w:left="720" w:hanging="720"/>
        <w:rPr>
          <w:rFonts w:ascii="Arial Narrow" w:hAnsi="Arial Narrow"/>
          <w:sz w:val="18"/>
          <w:szCs w:val="18"/>
        </w:rPr>
      </w:pPr>
      <w:r w:rsidRPr="005E7233">
        <w:rPr>
          <w:rFonts w:ascii="Arial Narrow" w:hAnsi="Arial Narrow"/>
          <w:sz w:val="18"/>
          <w:szCs w:val="18"/>
        </w:rPr>
        <w:t>Source: Table 2-77, p143 of the submission</w:t>
      </w:r>
      <w:r w:rsidR="00BA0F79">
        <w:rPr>
          <w:rFonts w:ascii="Arial Narrow" w:hAnsi="Arial Narrow"/>
          <w:sz w:val="18"/>
          <w:szCs w:val="18"/>
        </w:rPr>
        <w:t>`</w:t>
      </w:r>
    </w:p>
    <w:p w14:paraId="6581AD93" w14:textId="77777777" w:rsidR="00ED4A7B" w:rsidRPr="005E7233" w:rsidRDefault="00ED4A7B" w:rsidP="00247536">
      <w:pPr>
        <w:pStyle w:val="3-BodyText"/>
        <w:keepNext/>
        <w:keepLines/>
        <w:numPr>
          <w:ilvl w:val="0"/>
          <w:numId w:val="0"/>
        </w:numPr>
        <w:spacing w:before="0" w:after="0"/>
        <w:ind w:left="720" w:hanging="720"/>
        <w:rPr>
          <w:rFonts w:ascii="Arial Narrow" w:hAnsi="Arial Narrow"/>
          <w:sz w:val="18"/>
          <w:szCs w:val="18"/>
        </w:rPr>
      </w:pPr>
      <w:r w:rsidRPr="005E7233">
        <w:rPr>
          <w:rFonts w:ascii="Arial Narrow" w:hAnsi="Arial Narrow"/>
          <w:sz w:val="18"/>
          <w:szCs w:val="18"/>
        </w:rPr>
        <w:t>CI = confidence interval</w:t>
      </w:r>
    </w:p>
    <w:p w14:paraId="3AECD238" w14:textId="77777777" w:rsidR="00ED4A7B" w:rsidRPr="005E7233" w:rsidRDefault="00ED4A7B" w:rsidP="733957FC">
      <w:pPr>
        <w:pStyle w:val="3-BodyText"/>
        <w:numPr>
          <w:ilvl w:val="0"/>
          <w:numId w:val="0"/>
        </w:numPr>
        <w:spacing w:before="0" w:after="0"/>
        <w:ind w:left="720" w:hanging="720"/>
        <w:rPr>
          <w:rFonts w:ascii="Arial Narrow" w:hAnsi="Arial Narrow"/>
          <w:sz w:val="18"/>
          <w:szCs w:val="18"/>
        </w:rPr>
      </w:pPr>
      <w:r w:rsidRPr="005E7233">
        <w:rPr>
          <w:rFonts w:ascii="Arial Narrow" w:hAnsi="Arial Narrow"/>
          <w:b/>
          <w:bCs/>
          <w:sz w:val="18"/>
          <w:szCs w:val="18"/>
        </w:rPr>
        <w:t>Bold</w:t>
      </w:r>
      <w:r w:rsidRPr="005E7233">
        <w:rPr>
          <w:rFonts w:ascii="Arial Narrow" w:hAnsi="Arial Narrow"/>
          <w:sz w:val="18"/>
          <w:szCs w:val="18"/>
        </w:rPr>
        <w:t xml:space="preserve"> indicates statistically significant results</w:t>
      </w:r>
    </w:p>
    <w:p w14:paraId="6178EA90" w14:textId="26AA0874" w:rsidR="00ED4A7B" w:rsidRPr="005E7233" w:rsidRDefault="00ED4A7B" w:rsidP="733957FC">
      <w:pPr>
        <w:pStyle w:val="3-BodyText"/>
      </w:pPr>
      <w:r w:rsidRPr="005E7233">
        <w:lastRenderedPageBreak/>
        <w:t>Using the pooled proptosis response in the teprotumumab pooled arm with the response data from Perez-Moreiras et al. 2018</w:t>
      </w:r>
      <w:r w:rsidR="006A57F5" w:rsidRPr="005E7233">
        <w:rPr>
          <w:rStyle w:val="FootnoteReference"/>
        </w:rPr>
        <w:footnoteReference w:id="20"/>
      </w:r>
      <w:r w:rsidRPr="005E7233">
        <w:t>, the submission estimated the relative risk of proptosis response was 2.6 (95% CI: 1.25, 5.41) in favour of teprotumumab.</w:t>
      </w:r>
    </w:p>
    <w:p w14:paraId="76CB8FB1" w14:textId="22A2BB35" w:rsidR="00ED4A7B" w:rsidRPr="005E7233" w:rsidRDefault="00ED4A7B" w:rsidP="00247536">
      <w:pPr>
        <w:pStyle w:val="Caption"/>
      </w:pPr>
      <w:bookmarkStart w:id="55" w:name="_Ref185852521"/>
      <w:r w:rsidRPr="005E7233">
        <w:t xml:space="preserve">Table </w:t>
      </w:r>
      <w:r w:rsidR="00FB1BE3">
        <w:fldChar w:fldCharType="begin"/>
      </w:r>
      <w:r w:rsidR="00FB1BE3">
        <w:instrText xml:space="preserve"> SEQ Table \* ARABIC </w:instrText>
      </w:r>
      <w:r w:rsidR="00FB1BE3">
        <w:fldChar w:fldCharType="separate"/>
      </w:r>
      <w:r w:rsidR="0012101B">
        <w:rPr>
          <w:noProof/>
        </w:rPr>
        <w:t>9</w:t>
      </w:r>
      <w:r w:rsidR="00FB1BE3">
        <w:rPr>
          <w:noProof/>
        </w:rPr>
        <w:fldChar w:fldCharType="end"/>
      </w:r>
      <w:bookmarkEnd w:id="55"/>
      <w:r w:rsidRPr="005E7233">
        <w:t>: Indirect comparison in diplopia non-response comparing teprotumumab with tocilizumab</w:t>
      </w:r>
    </w:p>
    <w:tbl>
      <w:tblPr>
        <w:tblStyle w:val="Submissionstandard"/>
        <w:tblW w:w="5000" w:type="pct"/>
        <w:tblLook w:val="04A0" w:firstRow="1" w:lastRow="0" w:firstColumn="1" w:lastColumn="0" w:noHBand="0" w:noVBand="1"/>
      </w:tblPr>
      <w:tblGrid>
        <w:gridCol w:w="2612"/>
        <w:gridCol w:w="2612"/>
        <w:gridCol w:w="3793"/>
      </w:tblGrid>
      <w:tr w:rsidR="00ED4A7B" w:rsidRPr="005E7233" w14:paraId="0BB607A6" w14:textId="77777777" w:rsidTr="009C5765">
        <w:trPr>
          <w:cnfStyle w:val="100000000000" w:firstRow="1" w:lastRow="0" w:firstColumn="0" w:lastColumn="0" w:oddVBand="0" w:evenVBand="0" w:oddHBand="0" w:evenHBand="0" w:firstRowFirstColumn="0" w:firstRowLastColumn="0" w:lastRowFirstColumn="0" w:lastRowLastColumn="0"/>
          <w:trHeight w:val="244"/>
          <w:tblHeader/>
        </w:trPr>
        <w:tc>
          <w:tcPr>
            <w:tcW w:w="0" w:type="auto"/>
            <w:shd w:val="clear" w:color="auto" w:fill="auto"/>
          </w:tcPr>
          <w:p w14:paraId="7A548364"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sz w:val="20"/>
                <w:szCs w:val="20"/>
                <w:lang w:val="en-AU"/>
              </w:rPr>
              <w:t>Intervention</w:t>
            </w:r>
          </w:p>
        </w:tc>
        <w:tc>
          <w:tcPr>
            <w:tcW w:w="0" w:type="auto"/>
            <w:shd w:val="clear" w:color="auto" w:fill="auto"/>
          </w:tcPr>
          <w:p w14:paraId="17418A8B"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sz w:val="20"/>
                <w:szCs w:val="20"/>
                <w:lang w:val="en-AU"/>
              </w:rPr>
              <w:t>Comparator</w:t>
            </w:r>
          </w:p>
        </w:tc>
        <w:tc>
          <w:tcPr>
            <w:tcW w:w="0" w:type="auto"/>
            <w:shd w:val="clear" w:color="auto" w:fill="auto"/>
          </w:tcPr>
          <w:p w14:paraId="486CA9AC" w14:textId="77777777" w:rsidR="00ED4A7B" w:rsidRPr="005E7233" w:rsidRDefault="00ED4A7B" w:rsidP="00247536">
            <w:pPr>
              <w:keepNext/>
              <w:keepLines/>
              <w:jc w:val="center"/>
              <w:rPr>
                <w:rFonts w:ascii="Arial Narrow" w:hAnsi="Arial Narrow" w:cstheme="minorHAnsi"/>
                <w:sz w:val="20"/>
                <w:szCs w:val="20"/>
                <w:lang w:val="en-AU"/>
              </w:rPr>
            </w:pPr>
            <w:r w:rsidRPr="005E7233">
              <w:rPr>
                <w:rFonts w:ascii="Arial Narrow" w:hAnsi="Arial Narrow"/>
                <w:sz w:val="20"/>
                <w:szCs w:val="20"/>
                <w:lang w:val="en-AU"/>
              </w:rPr>
              <w:t>Relative Risk (95% CI)</w:t>
            </w:r>
          </w:p>
        </w:tc>
      </w:tr>
      <w:tr w:rsidR="00ED4A7B" w:rsidRPr="005E7233" w14:paraId="556D20E6" w14:textId="77777777" w:rsidTr="009C5765">
        <w:tc>
          <w:tcPr>
            <w:tcW w:w="0" w:type="auto"/>
            <w:shd w:val="clear" w:color="auto" w:fill="auto"/>
          </w:tcPr>
          <w:p w14:paraId="61502ED0"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Placebo</w:t>
            </w:r>
          </w:p>
        </w:tc>
        <w:tc>
          <w:tcPr>
            <w:tcW w:w="0" w:type="auto"/>
            <w:shd w:val="clear" w:color="auto" w:fill="auto"/>
          </w:tcPr>
          <w:p w14:paraId="5C20D4A7"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Teprotumumab</w:t>
            </w:r>
          </w:p>
        </w:tc>
        <w:tc>
          <w:tcPr>
            <w:tcW w:w="0" w:type="auto"/>
            <w:shd w:val="clear" w:color="auto" w:fill="auto"/>
          </w:tcPr>
          <w:p w14:paraId="728AE481" w14:textId="77777777" w:rsidR="00ED4A7B" w:rsidRPr="005E7233" w:rsidRDefault="00ED4A7B" w:rsidP="00247536">
            <w:pPr>
              <w:keepNext/>
              <w:keepLines/>
              <w:jc w:val="center"/>
              <w:rPr>
                <w:rFonts w:ascii="Arial Narrow" w:hAnsi="Arial Narrow" w:cstheme="minorHAnsi"/>
                <w:b/>
                <w:bCs/>
                <w:sz w:val="20"/>
                <w:lang w:val="en-AU"/>
              </w:rPr>
            </w:pPr>
            <w:r w:rsidRPr="005E7233">
              <w:rPr>
                <w:rFonts w:ascii="Arial Narrow" w:hAnsi="Arial Narrow" w:cstheme="minorHAnsi"/>
                <w:b/>
                <w:bCs/>
                <w:sz w:val="20"/>
                <w:lang w:val="en-AU"/>
              </w:rPr>
              <w:t>2.27 (1.66, 3.10)</w:t>
            </w:r>
          </w:p>
        </w:tc>
      </w:tr>
      <w:tr w:rsidR="00ED4A7B" w:rsidRPr="005E7233" w14:paraId="40B599C3" w14:textId="77777777" w:rsidTr="009C5765">
        <w:tc>
          <w:tcPr>
            <w:tcW w:w="0" w:type="auto"/>
            <w:shd w:val="clear" w:color="auto" w:fill="auto"/>
          </w:tcPr>
          <w:p w14:paraId="5693F118"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Placebo</w:t>
            </w:r>
          </w:p>
        </w:tc>
        <w:tc>
          <w:tcPr>
            <w:tcW w:w="0" w:type="auto"/>
            <w:shd w:val="clear" w:color="auto" w:fill="auto"/>
          </w:tcPr>
          <w:p w14:paraId="049501E2"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Tocilizumab</w:t>
            </w:r>
          </w:p>
        </w:tc>
        <w:tc>
          <w:tcPr>
            <w:tcW w:w="0" w:type="auto"/>
            <w:shd w:val="clear" w:color="auto" w:fill="auto"/>
          </w:tcPr>
          <w:p w14:paraId="6375FE9C" w14:textId="77777777" w:rsidR="00ED4A7B" w:rsidRPr="005E7233" w:rsidRDefault="00ED4A7B" w:rsidP="00247536">
            <w:pPr>
              <w:keepNext/>
              <w:keepLines/>
              <w:jc w:val="center"/>
              <w:rPr>
                <w:rFonts w:ascii="Arial Narrow" w:hAnsi="Arial Narrow" w:cstheme="minorHAnsi"/>
                <w:sz w:val="20"/>
                <w:lang w:val="en-AU"/>
              </w:rPr>
            </w:pPr>
            <w:r w:rsidRPr="005E7233">
              <w:rPr>
                <w:rFonts w:ascii="Arial Narrow" w:hAnsi="Arial Narrow" w:cstheme="minorHAnsi"/>
                <w:sz w:val="20"/>
                <w:lang w:val="en-AU"/>
              </w:rPr>
              <w:t>1.07 (0.94, 1.22)</w:t>
            </w:r>
          </w:p>
        </w:tc>
      </w:tr>
      <w:tr w:rsidR="00ED4A7B" w:rsidRPr="005E7233" w14:paraId="4ED271FF" w14:textId="77777777" w:rsidTr="009C5765">
        <w:tc>
          <w:tcPr>
            <w:tcW w:w="0" w:type="auto"/>
            <w:shd w:val="clear" w:color="auto" w:fill="auto"/>
          </w:tcPr>
          <w:p w14:paraId="11D8A7AF"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Teprotumumab</w:t>
            </w:r>
          </w:p>
        </w:tc>
        <w:tc>
          <w:tcPr>
            <w:tcW w:w="0" w:type="auto"/>
            <w:shd w:val="clear" w:color="auto" w:fill="auto"/>
          </w:tcPr>
          <w:p w14:paraId="3FA58FE2"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Tocilizumab</w:t>
            </w:r>
          </w:p>
        </w:tc>
        <w:tc>
          <w:tcPr>
            <w:tcW w:w="0" w:type="auto"/>
            <w:shd w:val="clear" w:color="auto" w:fill="auto"/>
          </w:tcPr>
          <w:p w14:paraId="4D8DAA7E" w14:textId="77777777" w:rsidR="00ED4A7B" w:rsidRPr="005E7233" w:rsidRDefault="00ED4A7B" w:rsidP="00247536">
            <w:pPr>
              <w:keepNext/>
              <w:keepLines/>
              <w:jc w:val="center"/>
              <w:rPr>
                <w:rFonts w:ascii="Arial Narrow" w:hAnsi="Arial Narrow" w:cstheme="minorHAnsi"/>
                <w:b/>
                <w:bCs/>
                <w:sz w:val="20"/>
                <w:lang w:val="en-AU"/>
              </w:rPr>
            </w:pPr>
            <w:r w:rsidRPr="005E7233">
              <w:rPr>
                <w:rFonts w:ascii="Arial Narrow" w:hAnsi="Arial Narrow" w:cstheme="minorHAnsi"/>
                <w:b/>
                <w:bCs/>
                <w:sz w:val="20"/>
                <w:lang w:val="en-AU"/>
              </w:rPr>
              <w:t>0.47 (0.34, 0.66)</w:t>
            </w:r>
          </w:p>
        </w:tc>
      </w:tr>
    </w:tbl>
    <w:p w14:paraId="7A6C35C0" w14:textId="77777777" w:rsidR="00ED4A7B" w:rsidRPr="005E7233" w:rsidRDefault="00ED4A7B" w:rsidP="00247536">
      <w:pPr>
        <w:pStyle w:val="3-BodyText"/>
        <w:keepNext/>
        <w:keepLines/>
        <w:numPr>
          <w:ilvl w:val="0"/>
          <w:numId w:val="0"/>
        </w:numPr>
        <w:spacing w:before="0" w:after="0"/>
        <w:ind w:left="720" w:hanging="720"/>
        <w:rPr>
          <w:rFonts w:ascii="Arial Narrow" w:hAnsi="Arial Narrow"/>
          <w:sz w:val="18"/>
          <w:szCs w:val="18"/>
        </w:rPr>
      </w:pPr>
      <w:r w:rsidRPr="005E7233">
        <w:rPr>
          <w:rFonts w:ascii="Arial Narrow" w:hAnsi="Arial Narrow"/>
          <w:sz w:val="18"/>
          <w:szCs w:val="18"/>
        </w:rPr>
        <w:t>Source: Table 2-85, p146 of the submission</w:t>
      </w:r>
    </w:p>
    <w:p w14:paraId="2456F918" w14:textId="77777777" w:rsidR="00ED4A7B" w:rsidRPr="005E7233" w:rsidRDefault="00ED4A7B" w:rsidP="00247536">
      <w:pPr>
        <w:pStyle w:val="3-BodyText"/>
        <w:keepNext/>
        <w:keepLines/>
        <w:numPr>
          <w:ilvl w:val="0"/>
          <w:numId w:val="0"/>
        </w:numPr>
        <w:spacing w:before="0" w:after="0"/>
        <w:ind w:left="720" w:hanging="720"/>
        <w:rPr>
          <w:rFonts w:ascii="Arial Narrow" w:hAnsi="Arial Narrow"/>
          <w:sz w:val="18"/>
          <w:szCs w:val="18"/>
        </w:rPr>
      </w:pPr>
      <w:r w:rsidRPr="005E7233">
        <w:rPr>
          <w:rFonts w:ascii="Arial Narrow" w:hAnsi="Arial Narrow"/>
          <w:sz w:val="18"/>
          <w:szCs w:val="18"/>
        </w:rPr>
        <w:t>CI = confidence interval</w:t>
      </w:r>
    </w:p>
    <w:p w14:paraId="617A606B" w14:textId="7247F46F" w:rsidR="00ED4A7B" w:rsidRPr="005E7233" w:rsidRDefault="00ED4A7B" w:rsidP="733957FC">
      <w:pPr>
        <w:pStyle w:val="3-BodyText"/>
        <w:numPr>
          <w:ilvl w:val="0"/>
          <w:numId w:val="0"/>
        </w:numPr>
        <w:spacing w:before="0" w:after="0"/>
        <w:ind w:left="720" w:hanging="720"/>
        <w:rPr>
          <w:rFonts w:ascii="Arial Narrow" w:hAnsi="Arial Narrow"/>
          <w:sz w:val="18"/>
          <w:szCs w:val="18"/>
        </w:rPr>
      </w:pPr>
      <w:r w:rsidRPr="005E7233">
        <w:rPr>
          <w:rFonts w:ascii="Arial Narrow" w:hAnsi="Arial Narrow"/>
          <w:b/>
          <w:bCs/>
          <w:sz w:val="18"/>
          <w:szCs w:val="18"/>
        </w:rPr>
        <w:t>Bold</w:t>
      </w:r>
      <w:r w:rsidRPr="005E7233">
        <w:rPr>
          <w:rFonts w:ascii="Arial Narrow" w:hAnsi="Arial Narrow"/>
          <w:sz w:val="18"/>
          <w:szCs w:val="18"/>
        </w:rPr>
        <w:t xml:space="preserve"> indicates statistically significant results</w:t>
      </w:r>
    </w:p>
    <w:p w14:paraId="2ED1DCA3" w14:textId="432440B7" w:rsidR="00ED4A7B" w:rsidRPr="005E7233" w:rsidRDefault="00ED4A7B" w:rsidP="733957FC">
      <w:pPr>
        <w:pStyle w:val="3-BodyText"/>
      </w:pPr>
      <w:r w:rsidRPr="005E7233">
        <w:t>The Perez-Moreiras et. al. 201</w:t>
      </w:r>
      <w:r w:rsidR="003548BB" w:rsidRPr="005E7233">
        <w:t>8</w:t>
      </w:r>
      <w:r w:rsidRPr="005E7233">
        <w:t xml:space="preserve"> study reported only one tocilizumab patient with diplopia response, compared with no placebo patients. As a comparative analysis could not be conducted using a zero count, a non-responder analysis was conducted. </w:t>
      </w:r>
    </w:p>
    <w:p w14:paraId="440A250B" w14:textId="77777777" w:rsidR="00ED4A7B" w:rsidRPr="005E7233" w:rsidRDefault="00ED4A7B" w:rsidP="00ED4A7B">
      <w:pPr>
        <w:pStyle w:val="3-BodyText"/>
        <w:rPr>
          <w:rFonts w:cstheme="minorHAnsi"/>
        </w:rPr>
      </w:pPr>
      <w:r w:rsidRPr="005E7233">
        <w:rPr>
          <w:rFonts w:cstheme="minorHAnsi"/>
        </w:rPr>
        <w:t xml:space="preserve">No difference in non-responders was seen when comparing tocilizumab with placebo (relative risk [RR]: 0.93, 95% CI: 0.82, 1.07). In contrast, placebo patients were more likely to be non-responders when compared with teprotumumab patients (RR: 0.44, 95% CI: 0.32, 0.6). </w:t>
      </w:r>
    </w:p>
    <w:p w14:paraId="543BE9F1" w14:textId="77777777" w:rsidR="00ED4A7B" w:rsidRPr="005E7233" w:rsidRDefault="00ED4A7B" w:rsidP="733957FC">
      <w:pPr>
        <w:pStyle w:val="3-BodyText"/>
      </w:pPr>
      <w:r w:rsidRPr="005E7233">
        <w:t>Using the non-responder values, the submission calculated that patients treated with tocilizumab were twice as likely to be non-responders compared with patients treated with teprotumumab (RR: 0.47, 95% CI: 0.34, 0.66), indicating that teprotumumab was statistically superior to tocilizumab for diplopia response.</w:t>
      </w:r>
    </w:p>
    <w:p w14:paraId="760E94F4" w14:textId="42497499" w:rsidR="00ED4A7B" w:rsidRPr="005E7233" w:rsidRDefault="00ED4A7B" w:rsidP="733957FC">
      <w:pPr>
        <w:pStyle w:val="3-BodyText"/>
      </w:pPr>
      <w:r w:rsidRPr="005E7233">
        <w:t xml:space="preserve">Although the Bucher ITC comparing teprotumumab to tocilizumab indicates that teprotumumab had superior efficacy, the </w:t>
      </w:r>
      <w:r w:rsidR="000246C8" w:rsidRPr="005E7233">
        <w:t xml:space="preserve">evaluation considered that the </w:t>
      </w:r>
      <w:r w:rsidRPr="005E7233">
        <w:t xml:space="preserve">results </w:t>
      </w:r>
      <w:r w:rsidR="000246C8" w:rsidRPr="005E7233">
        <w:t xml:space="preserve">should </w:t>
      </w:r>
      <w:r w:rsidRPr="005E7233">
        <w:t xml:space="preserve">be interpreted </w:t>
      </w:r>
      <w:r w:rsidR="000246C8" w:rsidRPr="005E7233">
        <w:t xml:space="preserve">with </w:t>
      </w:r>
      <w:r w:rsidRPr="005E7233">
        <w:t>cautio</w:t>
      </w:r>
      <w:r w:rsidR="00324BE9" w:rsidRPr="005E7233">
        <w:t>n</w:t>
      </w:r>
      <w:r w:rsidRPr="005E7233">
        <w:t xml:space="preserve">. As mentioned </w:t>
      </w:r>
      <w:r w:rsidR="00432163" w:rsidRPr="005E7233">
        <w:t>previously</w:t>
      </w:r>
      <w:r w:rsidRPr="005E7233">
        <w:t>, the patients in the teprotumumab trials were all treated in the 1L setting whereas the patients in the tocilizumab trials are all patients in the 2L setting after displaying resistance to steroid treatment. It is uncertain what impact this population difference will have on the results.</w:t>
      </w:r>
      <w:r w:rsidR="00FF1215" w:rsidRPr="005E7233">
        <w:t xml:space="preserve"> </w:t>
      </w:r>
      <w:r w:rsidR="00013F99" w:rsidRPr="005E7233">
        <w:t xml:space="preserve">The ESC </w:t>
      </w:r>
      <w:r w:rsidR="00927C06" w:rsidRPr="005E7233">
        <w:t xml:space="preserve">further </w:t>
      </w:r>
      <w:r w:rsidR="00013F99" w:rsidRPr="005E7233">
        <w:t>noted that</w:t>
      </w:r>
      <w:r w:rsidRPr="005E7233">
        <w:t xml:space="preserve"> the results in the teprotumumab trials were measured at 24 weeks, whereas the tocilizumab results were measured at week 16</w:t>
      </w:r>
      <w:r w:rsidR="00013F99" w:rsidRPr="005E7233">
        <w:t xml:space="preserve"> and that </w:t>
      </w:r>
      <w:r w:rsidR="00FF1215" w:rsidRPr="005E7233">
        <w:t xml:space="preserve">the </w:t>
      </w:r>
      <w:r w:rsidR="00C0470A" w:rsidRPr="005E7233">
        <w:t>time</w:t>
      </w:r>
      <w:r w:rsidR="0031739B" w:rsidRPr="005E7233">
        <w:t xml:space="preserve"> to treatment </w:t>
      </w:r>
      <w:r w:rsidR="000D702C" w:rsidRPr="005E7233">
        <w:t xml:space="preserve">also </w:t>
      </w:r>
      <w:r w:rsidR="0031739B" w:rsidRPr="005E7233">
        <w:t>var</w:t>
      </w:r>
      <w:r w:rsidR="000D702C" w:rsidRPr="005E7233">
        <w:t>ied</w:t>
      </w:r>
      <w:r w:rsidR="0031739B" w:rsidRPr="005E7233">
        <w:t xml:space="preserve"> across the teprotumumab studies (</w:t>
      </w:r>
      <w:r w:rsidR="005A3E38" w:rsidRPr="005E7233">
        <w:t>~</w:t>
      </w:r>
      <w:r w:rsidR="0031739B" w:rsidRPr="005E7233">
        <w:t>6</w:t>
      </w:r>
      <w:r w:rsidR="00247536">
        <w:t> </w:t>
      </w:r>
      <w:r w:rsidR="0031739B" w:rsidRPr="005E7233">
        <w:t>months) versus the tocilizumab studies (</w:t>
      </w:r>
      <w:r w:rsidR="005A3E38" w:rsidRPr="005E7233">
        <w:t>~</w:t>
      </w:r>
      <w:r w:rsidR="0031739B" w:rsidRPr="005E7233">
        <w:t>1 year).</w:t>
      </w:r>
      <w:r w:rsidR="00FF1215" w:rsidRPr="005E7233">
        <w:t xml:space="preserve"> </w:t>
      </w:r>
    </w:p>
    <w:p w14:paraId="371CA176" w14:textId="77777777" w:rsidR="00ED4A7B" w:rsidRPr="005E7233" w:rsidRDefault="00ED4A7B" w:rsidP="00ED4A7B">
      <w:pPr>
        <w:pStyle w:val="4-SubsectionHeading"/>
      </w:pPr>
      <w:bookmarkStart w:id="56" w:name="_Toc22897642"/>
      <w:bookmarkStart w:id="57" w:name="_Toc187681849"/>
      <w:bookmarkStart w:id="58" w:name="_Toc187759716"/>
      <w:r w:rsidRPr="005E7233">
        <w:t>Comparative harms</w:t>
      </w:r>
      <w:bookmarkEnd w:id="56"/>
      <w:bookmarkEnd w:id="57"/>
      <w:bookmarkEnd w:id="58"/>
    </w:p>
    <w:p w14:paraId="606B07BA" w14:textId="184776DE" w:rsidR="00ED4A7B" w:rsidRPr="005E7233" w:rsidRDefault="00ED4A7B" w:rsidP="00ED4A7B">
      <w:pPr>
        <w:pStyle w:val="3-BodyText"/>
        <w:rPr>
          <w:color w:val="0066FF"/>
        </w:rPr>
      </w:pPr>
      <w:r w:rsidRPr="005E7233">
        <w:t xml:space="preserve">A summary of the safety results from the key teprotumumab trials is presented in </w:t>
      </w:r>
      <w:r w:rsidRPr="005E7233">
        <w:fldChar w:fldCharType="begin"/>
      </w:r>
      <w:r w:rsidRPr="005E7233">
        <w:instrText xml:space="preserve"> REF _Ref185853323 \h </w:instrText>
      </w:r>
      <w:r w:rsidR="0066573D" w:rsidRPr="005E7233">
        <w:instrText xml:space="preserve"> \* MERGEFORMAT </w:instrText>
      </w:r>
      <w:r w:rsidRPr="005E7233">
        <w:fldChar w:fldCharType="separate"/>
      </w:r>
      <w:r w:rsidR="0012101B" w:rsidRPr="005E7233">
        <w:t xml:space="preserve">Table </w:t>
      </w:r>
      <w:r w:rsidR="0012101B">
        <w:rPr>
          <w:noProof/>
        </w:rPr>
        <w:t>10</w:t>
      </w:r>
      <w:r w:rsidRPr="005E7233">
        <w:fldChar w:fldCharType="end"/>
      </w:r>
      <w:r w:rsidRPr="005E7233">
        <w:t xml:space="preserve">. </w:t>
      </w:r>
    </w:p>
    <w:p w14:paraId="05145EF0" w14:textId="07776BE1" w:rsidR="00ED4A7B" w:rsidRPr="005E7233" w:rsidRDefault="00ED4A7B" w:rsidP="00ED4A7B">
      <w:pPr>
        <w:pStyle w:val="TableFigureHeading"/>
        <w:widowControl w:val="0"/>
        <w:rPr>
          <w:rStyle w:val="CommentReference"/>
          <w:b/>
          <w:szCs w:val="24"/>
        </w:rPr>
      </w:pPr>
      <w:bookmarkStart w:id="59" w:name="_Ref185853323"/>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10</w:t>
      </w:r>
      <w:r w:rsidR="00FB1BE3">
        <w:rPr>
          <w:noProof/>
        </w:rPr>
        <w:fldChar w:fldCharType="end"/>
      </w:r>
      <w:bookmarkEnd w:id="59"/>
      <w:r w:rsidRPr="005E7233">
        <w:t xml:space="preserve">: </w:t>
      </w:r>
      <w:r w:rsidRPr="005E7233">
        <w:rPr>
          <w:rStyle w:val="CommentReference"/>
          <w:b/>
          <w:szCs w:val="24"/>
        </w:rPr>
        <w:t>Summary of key adverse events in the teprotumumab trials</w:t>
      </w:r>
    </w:p>
    <w:tbl>
      <w:tblPr>
        <w:tblStyle w:val="Submissionstandard"/>
        <w:tblW w:w="5000" w:type="pct"/>
        <w:tblLayout w:type="fixed"/>
        <w:tblLook w:val="04A0" w:firstRow="1" w:lastRow="0" w:firstColumn="1" w:lastColumn="0" w:noHBand="0" w:noVBand="1"/>
      </w:tblPr>
      <w:tblGrid>
        <w:gridCol w:w="2092"/>
        <w:gridCol w:w="1224"/>
        <w:gridCol w:w="1048"/>
        <w:gridCol w:w="1223"/>
        <w:gridCol w:w="1224"/>
        <w:gridCol w:w="1048"/>
        <w:gridCol w:w="1158"/>
      </w:tblGrid>
      <w:tr w:rsidR="00ED4A7B" w:rsidRPr="005E7233" w14:paraId="317317EB" w14:textId="77777777" w:rsidTr="009C5765">
        <w:trPr>
          <w:cnfStyle w:val="100000000000" w:firstRow="1" w:lastRow="0" w:firstColumn="0" w:lastColumn="0" w:oddVBand="0" w:evenVBand="0" w:oddHBand="0" w:evenHBand="0" w:firstRowFirstColumn="0" w:firstRowLastColumn="0" w:lastRowFirstColumn="0" w:lastRowLastColumn="0"/>
        </w:trPr>
        <w:tc>
          <w:tcPr>
            <w:tcW w:w="1696" w:type="dxa"/>
            <w:vMerge w:val="restart"/>
            <w:shd w:val="clear" w:color="auto" w:fill="auto"/>
            <w:noWrap/>
          </w:tcPr>
          <w:p w14:paraId="798AD408" w14:textId="77777777"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Participants with</w:t>
            </w:r>
          </w:p>
        </w:tc>
        <w:tc>
          <w:tcPr>
            <w:tcW w:w="1843" w:type="dxa"/>
            <w:gridSpan w:val="2"/>
            <w:shd w:val="clear" w:color="auto" w:fill="auto"/>
          </w:tcPr>
          <w:p w14:paraId="5DF5359C" w14:textId="77777777"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 xml:space="preserve">TED01RV trial </w:t>
            </w:r>
          </w:p>
        </w:tc>
        <w:tc>
          <w:tcPr>
            <w:tcW w:w="3774" w:type="dxa"/>
            <w:gridSpan w:val="4"/>
            <w:shd w:val="clear" w:color="auto" w:fill="auto"/>
          </w:tcPr>
          <w:p w14:paraId="23168182" w14:textId="77777777"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OPTIC trial</w:t>
            </w:r>
          </w:p>
        </w:tc>
      </w:tr>
      <w:tr w:rsidR="00ED4A7B" w:rsidRPr="005E7233" w14:paraId="7A7D06F3" w14:textId="77777777" w:rsidTr="009C5765">
        <w:tc>
          <w:tcPr>
            <w:tcW w:w="1696" w:type="dxa"/>
            <w:vMerge/>
            <w:shd w:val="clear" w:color="auto" w:fill="auto"/>
            <w:noWrap/>
          </w:tcPr>
          <w:p w14:paraId="276954FC" w14:textId="77777777" w:rsidR="00ED4A7B" w:rsidRPr="005E7233" w:rsidRDefault="00ED4A7B" w:rsidP="009C5765">
            <w:pPr>
              <w:pStyle w:val="TableFooter"/>
              <w:keepNext/>
              <w:widowControl w:val="0"/>
              <w:jc w:val="left"/>
              <w:rPr>
                <w:rFonts w:cstheme="minorHAnsi"/>
                <w:sz w:val="20"/>
                <w:szCs w:val="20"/>
                <w:lang w:val="en-AU"/>
              </w:rPr>
            </w:pPr>
          </w:p>
        </w:tc>
        <w:tc>
          <w:tcPr>
            <w:tcW w:w="993" w:type="dxa"/>
            <w:shd w:val="clear" w:color="auto" w:fill="auto"/>
          </w:tcPr>
          <w:p w14:paraId="0EEE0D62"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 xml:space="preserve">Tep </w:t>
            </w:r>
          </w:p>
          <w:p w14:paraId="5D84272A"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(N =43)</w:t>
            </w:r>
          </w:p>
        </w:tc>
        <w:tc>
          <w:tcPr>
            <w:tcW w:w="850" w:type="dxa"/>
            <w:shd w:val="clear" w:color="auto" w:fill="auto"/>
          </w:tcPr>
          <w:p w14:paraId="31DF69CC"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PBO</w:t>
            </w:r>
          </w:p>
          <w:p w14:paraId="62EA9465"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(N =44)</w:t>
            </w:r>
          </w:p>
        </w:tc>
        <w:tc>
          <w:tcPr>
            <w:tcW w:w="992" w:type="dxa"/>
            <w:shd w:val="clear" w:color="auto" w:fill="auto"/>
            <w:noWrap/>
          </w:tcPr>
          <w:p w14:paraId="5C4BC600"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Tep (N=41)</w:t>
            </w:r>
          </w:p>
          <w:p w14:paraId="61F7C9A3"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[At Week 24]</w:t>
            </w:r>
          </w:p>
        </w:tc>
        <w:tc>
          <w:tcPr>
            <w:tcW w:w="993" w:type="dxa"/>
            <w:shd w:val="clear" w:color="auto" w:fill="auto"/>
          </w:tcPr>
          <w:p w14:paraId="79FF51AC"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PBO (N=42) [At Week 24]</w:t>
            </w:r>
          </w:p>
        </w:tc>
        <w:tc>
          <w:tcPr>
            <w:tcW w:w="850" w:type="dxa"/>
            <w:shd w:val="clear" w:color="auto" w:fill="auto"/>
          </w:tcPr>
          <w:p w14:paraId="52ED1D0F"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Tep (N=36) [At Follow-up]</w:t>
            </w:r>
          </w:p>
        </w:tc>
        <w:tc>
          <w:tcPr>
            <w:tcW w:w="939" w:type="dxa"/>
            <w:shd w:val="clear" w:color="auto" w:fill="auto"/>
          </w:tcPr>
          <w:p w14:paraId="6D809FBD"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PBO (N=4) [At Follow-up]</w:t>
            </w:r>
          </w:p>
        </w:tc>
      </w:tr>
      <w:tr w:rsidR="00ED4A7B" w:rsidRPr="005E7233" w14:paraId="68DB1ACC" w14:textId="77777777" w:rsidTr="009C5765">
        <w:tc>
          <w:tcPr>
            <w:tcW w:w="1696" w:type="dxa"/>
            <w:shd w:val="clear" w:color="auto" w:fill="auto"/>
            <w:noWrap/>
          </w:tcPr>
          <w:p w14:paraId="29808AB2" w14:textId="7BB269F9"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(Any)</w:t>
            </w:r>
            <w:r w:rsidR="008603E7" w:rsidRPr="005E7233">
              <w:rPr>
                <w:rFonts w:cstheme="minorHAnsi"/>
                <w:sz w:val="20"/>
                <w:szCs w:val="20"/>
                <w:lang w:val="en-AU"/>
              </w:rPr>
              <w:t>, n(%)</w:t>
            </w:r>
          </w:p>
        </w:tc>
        <w:tc>
          <w:tcPr>
            <w:tcW w:w="993" w:type="dxa"/>
            <w:shd w:val="clear" w:color="auto" w:fill="auto"/>
          </w:tcPr>
          <w:p w14:paraId="4355903A"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32 (74.4)</w:t>
            </w:r>
          </w:p>
        </w:tc>
        <w:tc>
          <w:tcPr>
            <w:tcW w:w="850" w:type="dxa"/>
            <w:shd w:val="clear" w:color="auto" w:fill="auto"/>
          </w:tcPr>
          <w:p w14:paraId="448AD87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32 (72.7)</w:t>
            </w:r>
          </w:p>
        </w:tc>
        <w:tc>
          <w:tcPr>
            <w:tcW w:w="992" w:type="dxa"/>
            <w:shd w:val="clear" w:color="auto" w:fill="auto"/>
            <w:noWrap/>
          </w:tcPr>
          <w:p w14:paraId="1D9E129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35 (85.4)</w:t>
            </w:r>
          </w:p>
        </w:tc>
        <w:tc>
          <w:tcPr>
            <w:tcW w:w="993" w:type="dxa"/>
            <w:shd w:val="clear" w:color="auto" w:fill="auto"/>
          </w:tcPr>
          <w:p w14:paraId="543BCC6C"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29 (69.0)</w:t>
            </w:r>
          </w:p>
        </w:tc>
        <w:tc>
          <w:tcPr>
            <w:tcW w:w="850" w:type="dxa"/>
            <w:shd w:val="clear" w:color="auto" w:fill="auto"/>
          </w:tcPr>
          <w:p w14:paraId="151E337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26 (72.2)</w:t>
            </w:r>
          </w:p>
        </w:tc>
        <w:tc>
          <w:tcPr>
            <w:tcW w:w="939" w:type="dxa"/>
            <w:shd w:val="clear" w:color="auto" w:fill="auto"/>
          </w:tcPr>
          <w:p w14:paraId="42A902BE"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 (75.0)</w:t>
            </w:r>
          </w:p>
        </w:tc>
      </w:tr>
      <w:tr w:rsidR="00ED4A7B" w:rsidRPr="005E7233" w14:paraId="0BCACC7B" w14:textId="77777777" w:rsidTr="009C5765">
        <w:tc>
          <w:tcPr>
            <w:tcW w:w="1696" w:type="dxa"/>
            <w:shd w:val="clear" w:color="auto" w:fill="auto"/>
            <w:noWrap/>
            <w:hideMark/>
          </w:tcPr>
          <w:p w14:paraId="389FF3E7" w14:textId="2F18F5C1"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treatment-related TEAE</w:t>
            </w:r>
            <w:r w:rsidR="008603E7" w:rsidRPr="005E7233">
              <w:rPr>
                <w:rFonts w:cstheme="minorHAnsi"/>
                <w:sz w:val="20"/>
                <w:szCs w:val="20"/>
                <w:lang w:val="en-AU"/>
              </w:rPr>
              <w:t>, n(%)</w:t>
            </w:r>
          </w:p>
        </w:tc>
        <w:tc>
          <w:tcPr>
            <w:tcW w:w="993" w:type="dxa"/>
            <w:shd w:val="clear" w:color="auto" w:fill="auto"/>
          </w:tcPr>
          <w:p w14:paraId="6B5CBF0E"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24 (55.8)</w:t>
            </w:r>
          </w:p>
        </w:tc>
        <w:tc>
          <w:tcPr>
            <w:tcW w:w="850" w:type="dxa"/>
            <w:shd w:val="clear" w:color="auto" w:fill="auto"/>
          </w:tcPr>
          <w:p w14:paraId="601A69A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18 (40.9)</w:t>
            </w:r>
          </w:p>
        </w:tc>
        <w:tc>
          <w:tcPr>
            <w:tcW w:w="992" w:type="dxa"/>
            <w:shd w:val="clear" w:color="auto" w:fill="auto"/>
            <w:noWrap/>
            <w:hideMark/>
          </w:tcPr>
          <w:p w14:paraId="705334E7"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23 (56.1)</w:t>
            </w:r>
          </w:p>
        </w:tc>
        <w:tc>
          <w:tcPr>
            <w:tcW w:w="993" w:type="dxa"/>
            <w:shd w:val="clear" w:color="auto" w:fill="auto"/>
          </w:tcPr>
          <w:p w14:paraId="432185F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11 (26.2)</w:t>
            </w:r>
          </w:p>
        </w:tc>
        <w:tc>
          <w:tcPr>
            <w:tcW w:w="850" w:type="dxa"/>
            <w:shd w:val="clear" w:color="auto" w:fill="auto"/>
          </w:tcPr>
          <w:p w14:paraId="781C4A7C"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7 (19.4)</w:t>
            </w:r>
          </w:p>
        </w:tc>
        <w:tc>
          <w:tcPr>
            <w:tcW w:w="939" w:type="dxa"/>
            <w:shd w:val="clear" w:color="auto" w:fill="auto"/>
          </w:tcPr>
          <w:p w14:paraId="7062726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4687A25B" w14:textId="77777777" w:rsidTr="009C5765">
        <w:tc>
          <w:tcPr>
            <w:tcW w:w="1696" w:type="dxa"/>
            <w:shd w:val="clear" w:color="auto" w:fill="auto"/>
            <w:noWrap/>
            <w:hideMark/>
          </w:tcPr>
          <w:p w14:paraId="7E134B0B" w14:textId="3CE86552"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serious TEAE</w:t>
            </w:r>
            <w:r w:rsidR="008603E7" w:rsidRPr="005E7233">
              <w:rPr>
                <w:rFonts w:cstheme="minorHAnsi"/>
                <w:sz w:val="20"/>
                <w:szCs w:val="20"/>
                <w:lang w:val="en-AU"/>
              </w:rPr>
              <w:t>, n(%)</w:t>
            </w:r>
          </w:p>
        </w:tc>
        <w:tc>
          <w:tcPr>
            <w:tcW w:w="993" w:type="dxa"/>
            <w:shd w:val="clear" w:color="auto" w:fill="auto"/>
          </w:tcPr>
          <w:p w14:paraId="4532E653"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5 (11.6)</w:t>
            </w:r>
          </w:p>
        </w:tc>
        <w:tc>
          <w:tcPr>
            <w:tcW w:w="850" w:type="dxa"/>
            <w:shd w:val="clear" w:color="auto" w:fill="auto"/>
          </w:tcPr>
          <w:p w14:paraId="4CBAC569"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(2.3)</w:t>
            </w:r>
          </w:p>
        </w:tc>
        <w:tc>
          <w:tcPr>
            <w:tcW w:w="992" w:type="dxa"/>
            <w:shd w:val="clear" w:color="auto" w:fill="auto"/>
            <w:noWrap/>
            <w:hideMark/>
          </w:tcPr>
          <w:p w14:paraId="34341D05"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 (4.9)</w:t>
            </w:r>
          </w:p>
        </w:tc>
        <w:tc>
          <w:tcPr>
            <w:tcW w:w="993" w:type="dxa"/>
            <w:shd w:val="clear" w:color="auto" w:fill="auto"/>
          </w:tcPr>
          <w:p w14:paraId="4E4A146B"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850" w:type="dxa"/>
            <w:shd w:val="clear" w:color="auto" w:fill="auto"/>
          </w:tcPr>
          <w:p w14:paraId="0AFE3147"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 (5.6)</w:t>
            </w:r>
          </w:p>
        </w:tc>
        <w:tc>
          <w:tcPr>
            <w:tcW w:w="939" w:type="dxa"/>
            <w:shd w:val="clear" w:color="auto" w:fill="auto"/>
          </w:tcPr>
          <w:p w14:paraId="54B5338E"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4AF7F35A" w14:textId="77777777" w:rsidTr="009C5765">
        <w:tc>
          <w:tcPr>
            <w:tcW w:w="1696" w:type="dxa"/>
            <w:shd w:val="clear" w:color="auto" w:fill="auto"/>
            <w:noWrap/>
            <w:hideMark/>
          </w:tcPr>
          <w:p w14:paraId="5C6C59BE" w14:textId="18C75EE5"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treatment-related serious TEAE</w:t>
            </w:r>
            <w:r w:rsidR="008603E7" w:rsidRPr="005E7233">
              <w:rPr>
                <w:rFonts w:cstheme="minorHAnsi"/>
                <w:sz w:val="20"/>
                <w:szCs w:val="20"/>
                <w:lang w:val="en-AU"/>
              </w:rPr>
              <w:t>, n(%)</w:t>
            </w:r>
          </w:p>
        </w:tc>
        <w:tc>
          <w:tcPr>
            <w:tcW w:w="993" w:type="dxa"/>
            <w:shd w:val="clear" w:color="auto" w:fill="auto"/>
          </w:tcPr>
          <w:p w14:paraId="43BBC25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151A4D4F"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2D1485C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075DC27F"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32FB3E6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39" w:type="dxa"/>
            <w:shd w:val="clear" w:color="auto" w:fill="auto"/>
          </w:tcPr>
          <w:p w14:paraId="6B94EA93"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38A5C0B0" w14:textId="77777777" w:rsidTr="009C5765">
        <w:tc>
          <w:tcPr>
            <w:tcW w:w="1696" w:type="dxa"/>
            <w:shd w:val="clear" w:color="auto" w:fill="auto"/>
            <w:noWrap/>
            <w:hideMark/>
          </w:tcPr>
          <w:p w14:paraId="253F978B" w14:textId="4CD1FE53"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with an intensity of severe or higher</w:t>
            </w:r>
            <w:r w:rsidR="008603E7" w:rsidRPr="005E7233">
              <w:rPr>
                <w:rFonts w:cstheme="minorHAnsi"/>
                <w:sz w:val="20"/>
                <w:szCs w:val="20"/>
                <w:lang w:val="en-AU"/>
              </w:rPr>
              <w:t>, n(%)</w:t>
            </w:r>
          </w:p>
        </w:tc>
        <w:tc>
          <w:tcPr>
            <w:tcW w:w="993" w:type="dxa"/>
            <w:shd w:val="clear" w:color="auto" w:fill="auto"/>
          </w:tcPr>
          <w:p w14:paraId="13A56CCA"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4 (9.3)</w:t>
            </w:r>
          </w:p>
        </w:tc>
        <w:tc>
          <w:tcPr>
            <w:tcW w:w="850" w:type="dxa"/>
            <w:shd w:val="clear" w:color="auto" w:fill="auto"/>
          </w:tcPr>
          <w:p w14:paraId="4C4B4B3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92" w:type="dxa"/>
            <w:shd w:val="clear" w:color="auto" w:fill="auto"/>
            <w:noWrap/>
            <w:hideMark/>
          </w:tcPr>
          <w:p w14:paraId="7F90470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5D02BD0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850" w:type="dxa"/>
            <w:shd w:val="clear" w:color="auto" w:fill="auto"/>
          </w:tcPr>
          <w:p w14:paraId="4D1A8065"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 (8.3)</w:t>
            </w:r>
          </w:p>
        </w:tc>
        <w:tc>
          <w:tcPr>
            <w:tcW w:w="939" w:type="dxa"/>
            <w:shd w:val="clear" w:color="auto" w:fill="auto"/>
          </w:tcPr>
          <w:p w14:paraId="0CBC8E24"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42B496CE" w14:textId="77777777" w:rsidTr="009C5765">
        <w:tc>
          <w:tcPr>
            <w:tcW w:w="1696" w:type="dxa"/>
            <w:shd w:val="clear" w:color="auto" w:fill="auto"/>
            <w:noWrap/>
            <w:hideMark/>
          </w:tcPr>
          <w:p w14:paraId="49DDEFF6" w14:textId="0115AD32"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leading to interruption of study drug</w:t>
            </w:r>
            <w:r w:rsidR="008603E7" w:rsidRPr="005E7233">
              <w:rPr>
                <w:rFonts w:cstheme="minorHAnsi"/>
                <w:sz w:val="20"/>
                <w:szCs w:val="20"/>
                <w:lang w:val="en-AU"/>
              </w:rPr>
              <w:t>, n(%)</w:t>
            </w:r>
          </w:p>
        </w:tc>
        <w:tc>
          <w:tcPr>
            <w:tcW w:w="993" w:type="dxa"/>
            <w:shd w:val="clear" w:color="auto" w:fill="auto"/>
          </w:tcPr>
          <w:p w14:paraId="624B89E8"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06F6657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359E89E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93" w:type="dxa"/>
            <w:shd w:val="clear" w:color="auto" w:fill="auto"/>
          </w:tcPr>
          <w:p w14:paraId="1E1E15D4"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0338197F"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39" w:type="dxa"/>
            <w:shd w:val="clear" w:color="auto" w:fill="auto"/>
          </w:tcPr>
          <w:p w14:paraId="1A36C873"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r>
      <w:tr w:rsidR="00ED4A7B" w:rsidRPr="005E7233" w14:paraId="2774B8E9" w14:textId="77777777" w:rsidTr="009C5765">
        <w:tc>
          <w:tcPr>
            <w:tcW w:w="1696" w:type="dxa"/>
            <w:shd w:val="clear" w:color="auto" w:fill="auto"/>
            <w:noWrap/>
            <w:hideMark/>
          </w:tcPr>
          <w:p w14:paraId="250A4211" w14:textId="4A7FF51F"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leading to permanent withdrawal of study drug</w:t>
            </w:r>
            <w:r w:rsidR="008603E7" w:rsidRPr="005E7233">
              <w:rPr>
                <w:rFonts w:cstheme="minorHAnsi"/>
                <w:sz w:val="20"/>
                <w:szCs w:val="20"/>
                <w:lang w:val="en-AU"/>
              </w:rPr>
              <w:t>, n(%)</w:t>
            </w:r>
          </w:p>
        </w:tc>
        <w:tc>
          <w:tcPr>
            <w:tcW w:w="993" w:type="dxa"/>
            <w:shd w:val="clear" w:color="auto" w:fill="auto"/>
          </w:tcPr>
          <w:p w14:paraId="159548D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5 (11.6)</w:t>
            </w:r>
          </w:p>
        </w:tc>
        <w:tc>
          <w:tcPr>
            <w:tcW w:w="850" w:type="dxa"/>
            <w:shd w:val="clear" w:color="auto" w:fill="auto"/>
          </w:tcPr>
          <w:p w14:paraId="1B191317"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(2.3)</w:t>
            </w:r>
          </w:p>
        </w:tc>
        <w:tc>
          <w:tcPr>
            <w:tcW w:w="992" w:type="dxa"/>
            <w:shd w:val="clear" w:color="auto" w:fill="auto"/>
            <w:noWrap/>
            <w:hideMark/>
          </w:tcPr>
          <w:p w14:paraId="2BFE13C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4D4A6D0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850" w:type="dxa"/>
            <w:shd w:val="clear" w:color="auto" w:fill="auto"/>
          </w:tcPr>
          <w:p w14:paraId="3B4558F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39" w:type="dxa"/>
            <w:shd w:val="clear" w:color="auto" w:fill="auto"/>
          </w:tcPr>
          <w:p w14:paraId="6E72069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r>
      <w:tr w:rsidR="00ED4A7B" w:rsidRPr="005E7233" w14:paraId="4CFA0B40" w14:textId="77777777" w:rsidTr="009C5765">
        <w:tc>
          <w:tcPr>
            <w:tcW w:w="1696" w:type="dxa"/>
            <w:shd w:val="clear" w:color="auto" w:fill="auto"/>
            <w:noWrap/>
            <w:hideMark/>
          </w:tcPr>
          <w:p w14:paraId="43E6907F" w14:textId="2C2DD29F"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treatment-related TEAE leading to permanent withdrawal of study drug</w:t>
            </w:r>
            <w:r w:rsidR="008603E7" w:rsidRPr="005E7233">
              <w:rPr>
                <w:rFonts w:cstheme="minorHAnsi"/>
                <w:sz w:val="20"/>
                <w:szCs w:val="20"/>
                <w:lang w:val="en-AU"/>
              </w:rPr>
              <w:t>, n(%)</w:t>
            </w:r>
          </w:p>
        </w:tc>
        <w:tc>
          <w:tcPr>
            <w:tcW w:w="993" w:type="dxa"/>
            <w:shd w:val="clear" w:color="auto" w:fill="auto"/>
          </w:tcPr>
          <w:p w14:paraId="7F422768"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27EEC7BB"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0E7109A8"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218C38C4"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1B6A7CAA"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39" w:type="dxa"/>
            <w:shd w:val="clear" w:color="auto" w:fill="auto"/>
          </w:tcPr>
          <w:p w14:paraId="5F3D47D8"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r>
      <w:tr w:rsidR="00ED4A7B" w:rsidRPr="005E7233" w14:paraId="1B4BF7F5" w14:textId="77777777" w:rsidTr="009C5765">
        <w:tc>
          <w:tcPr>
            <w:tcW w:w="1696" w:type="dxa"/>
            <w:shd w:val="clear" w:color="auto" w:fill="auto"/>
            <w:noWrap/>
            <w:hideMark/>
          </w:tcPr>
          <w:p w14:paraId="2F8E71AA" w14:textId="6636B10C"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leading to study discontinuation</w:t>
            </w:r>
            <w:r w:rsidR="008603E7" w:rsidRPr="005E7233">
              <w:rPr>
                <w:rFonts w:cstheme="minorHAnsi"/>
                <w:sz w:val="20"/>
                <w:szCs w:val="20"/>
                <w:lang w:val="en-AU"/>
              </w:rPr>
              <w:t>, n(%)</w:t>
            </w:r>
          </w:p>
        </w:tc>
        <w:tc>
          <w:tcPr>
            <w:tcW w:w="993" w:type="dxa"/>
            <w:shd w:val="clear" w:color="auto" w:fill="auto"/>
          </w:tcPr>
          <w:p w14:paraId="06AB515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755B39A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47BEF84F"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0448BD4E"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850" w:type="dxa"/>
            <w:shd w:val="clear" w:color="auto" w:fill="auto"/>
          </w:tcPr>
          <w:p w14:paraId="7592FB33"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39" w:type="dxa"/>
            <w:shd w:val="clear" w:color="auto" w:fill="auto"/>
          </w:tcPr>
          <w:p w14:paraId="22BBD7A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12DA0D61" w14:textId="77777777" w:rsidTr="009C5765">
        <w:tc>
          <w:tcPr>
            <w:tcW w:w="1696" w:type="dxa"/>
            <w:shd w:val="clear" w:color="auto" w:fill="auto"/>
            <w:noWrap/>
            <w:hideMark/>
          </w:tcPr>
          <w:p w14:paraId="4C743BE2" w14:textId="7CD44E89"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treatment-related TEAE leading to study discontinuation</w:t>
            </w:r>
            <w:r w:rsidR="008603E7" w:rsidRPr="005E7233">
              <w:rPr>
                <w:rFonts w:cstheme="minorHAnsi"/>
                <w:sz w:val="20"/>
                <w:szCs w:val="20"/>
                <w:lang w:val="en-AU"/>
              </w:rPr>
              <w:t>, n(%)</w:t>
            </w:r>
          </w:p>
        </w:tc>
        <w:tc>
          <w:tcPr>
            <w:tcW w:w="993" w:type="dxa"/>
            <w:shd w:val="clear" w:color="auto" w:fill="auto"/>
          </w:tcPr>
          <w:p w14:paraId="222A2AB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46B476C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143CBBA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78F6F07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347320E7"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39" w:type="dxa"/>
            <w:shd w:val="clear" w:color="auto" w:fill="auto"/>
          </w:tcPr>
          <w:p w14:paraId="3FC20F84"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385069AE" w14:textId="77777777" w:rsidTr="009C5765">
        <w:tc>
          <w:tcPr>
            <w:tcW w:w="1696" w:type="dxa"/>
            <w:shd w:val="clear" w:color="auto" w:fill="auto"/>
            <w:noWrap/>
            <w:hideMark/>
          </w:tcPr>
          <w:p w14:paraId="523FEE38" w14:textId="307C0576"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TEAEs leading to death</w:t>
            </w:r>
            <w:r w:rsidR="008603E7" w:rsidRPr="005E7233">
              <w:rPr>
                <w:rFonts w:cstheme="minorHAnsi"/>
                <w:sz w:val="20"/>
                <w:szCs w:val="20"/>
                <w:lang w:val="en-AU"/>
              </w:rPr>
              <w:t>, n(%)</w:t>
            </w:r>
          </w:p>
        </w:tc>
        <w:tc>
          <w:tcPr>
            <w:tcW w:w="993" w:type="dxa"/>
            <w:shd w:val="clear" w:color="auto" w:fill="auto"/>
          </w:tcPr>
          <w:p w14:paraId="79A2CC15"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757C377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92" w:type="dxa"/>
            <w:shd w:val="clear" w:color="auto" w:fill="auto"/>
            <w:noWrap/>
            <w:hideMark/>
          </w:tcPr>
          <w:p w14:paraId="3969ABF9"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93" w:type="dxa"/>
            <w:shd w:val="clear" w:color="auto" w:fill="auto"/>
          </w:tcPr>
          <w:p w14:paraId="25F7492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1ABDFA8B"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39" w:type="dxa"/>
            <w:shd w:val="clear" w:color="auto" w:fill="auto"/>
          </w:tcPr>
          <w:p w14:paraId="054161C5"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bl>
    <w:p w14:paraId="7FF30B01" w14:textId="77777777" w:rsidR="00ED4A7B" w:rsidRPr="005E7233" w:rsidRDefault="00ED4A7B" w:rsidP="00ED4A7B">
      <w:pPr>
        <w:pStyle w:val="FooterTableFigure"/>
        <w:keepNext/>
        <w:widowControl w:val="0"/>
        <w:rPr>
          <w:sz w:val="20"/>
        </w:rPr>
      </w:pPr>
      <w:r w:rsidRPr="005E7233">
        <w:t>Source: Table 2-40, p110 of the submission.</w:t>
      </w:r>
    </w:p>
    <w:p w14:paraId="29FA1A8E" w14:textId="77777777" w:rsidR="00ED4A7B" w:rsidRPr="005E7233" w:rsidRDefault="00ED4A7B" w:rsidP="00247536">
      <w:pPr>
        <w:pStyle w:val="FooterTableFigure"/>
        <w:widowControl w:val="0"/>
        <w:rPr>
          <w:rFonts w:eastAsia="Calibri"/>
        </w:rPr>
      </w:pPr>
      <w:r w:rsidRPr="005E7233">
        <w:rPr>
          <w:rFonts w:eastAsia="Calibri"/>
        </w:rPr>
        <w:t xml:space="preserve">NR = not reported; PBO = placebo; TEAE = treatment emergent adverse event; Tep = teprotumumab. </w:t>
      </w:r>
    </w:p>
    <w:p w14:paraId="02B84ACC" w14:textId="63354D08" w:rsidR="00ED4A7B" w:rsidRPr="005E7233" w:rsidRDefault="00ED4A7B" w:rsidP="00ED4A7B">
      <w:pPr>
        <w:pStyle w:val="3-BodyText"/>
        <w:rPr>
          <w:rFonts w:cstheme="minorHAnsi"/>
        </w:rPr>
      </w:pPr>
      <w:r w:rsidRPr="005E7233">
        <w:rPr>
          <w:rFonts w:cstheme="minorHAnsi"/>
        </w:rPr>
        <w:t>In the TEDRV01 study</w:t>
      </w:r>
      <w:r w:rsidR="00265F16" w:rsidRPr="005E7233">
        <w:rPr>
          <w:rFonts w:cstheme="minorHAnsi"/>
        </w:rPr>
        <w:t>, the</w:t>
      </w:r>
      <w:r w:rsidRPr="005E7233">
        <w:rPr>
          <w:rFonts w:cstheme="minorHAnsi"/>
        </w:rPr>
        <w:t xml:space="preserve"> </w:t>
      </w:r>
      <w:r w:rsidR="00265F16" w:rsidRPr="005E7233">
        <w:rPr>
          <w:rFonts w:cstheme="minorHAnsi"/>
        </w:rPr>
        <w:t xml:space="preserve">percentage </w:t>
      </w:r>
      <w:r w:rsidRPr="005E7233">
        <w:rPr>
          <w:rFonts w:cstheme="minorHAnsi"/>
        </w:rPr>
        <w:t xml:space="preserve">of subjects with </w:t>
      </w:r>
      <w:r w:rsidR="00FE1E3E" w:rsidRPr="005E7233">
        <w:rPr>
          <w:rFonts w:cstheme="minorHAnsi"/>
        </w:rPr>
        <w:t xml:space="preserve">treatment emergent </w:t>
      </w:r>
      <w:r w:rsidRPr="005E7233">
        <w:rPr>
          <w:rFonts w:cstheme="minorHAnsi"/>
        </w:rPr>
        <w:t>adverse events (</w:t>
      </w:r>
      <w:r w:rsidR="00FE1E3E" w:rsidRPr="005E7233">
        <w:rPr>
          <w:rFonts w:cstheme="minorHAnsi"/>
        </w:rPr>
        <w:t>TE</w:t>
      </w:r>
      <w:r w:rsidRPr="005E7233">
        <w:rPr>
          <w:rFonts w:cstheme="minorHAnsi"/>
        </w:rPr>
        <w:t xml:space="preserve">AEs) was similar in the teprotumumab and placebo groups: 32 (74.4%) and 32 (72.7%), respectively. The most common </w:t>
      </w:r>
      <w:r w:rsidR="00ED51EA" w:rsidRPr="005E7233">
        <w:rPr>
          <w:rFonts w:cstheme="minorHAnsi"/>
        </w:rPr>
        <w:t>TE</w:t>
      </w:r>
      <w:r w:rsidRPr="005E7233">
        <w:rPr>
          <w:rFonts w:cstheme="minorHAnsi"/>
        </w:rPr>
        <w:t>AEs in the teprotumumab group (&gt;5% and greater than placebo) were nausea (18.6%), muscle spasms (18.6%), diarrhea (14.0%), hyperglycaemia (11.6%), alopecia (7.0%), dry skin (7.0%), dysgeusia (7.0%), headache (7.0%), paraesthesia (7.0%), and weight decrease (7.0%).</w:t>
      </w:r>
    </w:p>
    <w:p w14:paraId="731A31C6" w14:textId="29048C55" w:rsidR="00ED4A7B" w:rsidRPr="005E7233" w:rsidRDefault="00ED4A7B" w:rsidP="00ED4A7B">
      <w:pPr>
        <w:pStyle w:val="3-BodyText"/>
        <w:rPr>
          <w:rFonts w:cstheme="minorHAnsi"/>
        </w:rPr>
      </w:pPr>
      <w:r w:rsidRPr="005E7233">
        <w:rPr>
          <w:rFonts w:cstheme="minorHAnsi"/>
        </w:rPr>
        <w:t>In the OPTIC trial, most subjects in both treatment groups experienced at least 1 TEAE (85.4% teprotumumab and 69.0% placebo) with a greater proportion being reported in the teprotumumab arm. TEAEs that occurred more commonly in the teprotumumab group compared to the placebo group (≥5.0% difference) included muscle spasms (31.7% versus 9.5%), alopecia (19.5% versus 11.9%), nausea (14.6% versus 9.5%), fatigue (12.2% versus 2.4%), dysgeusia (9.8% versus 0), dry skin (9.8% versus 0), dizziness (7.3% versus 0) and amenorrhoea (7.3% versus 0).</w:t>
      </w:r>
    </w:p>
    <w:p w14:paraId="4EF46594" w14:textId="58C391AC" w:rsidR="00ED4A7B" w:rsidRPr="005E7233" w:rsidRDefault="00427757" w:rsidP="733957FC">
      <w:pPr>
        <w:pStyle w:val="3-BodyText"/>
      </w:pPr>
      <w:r w:rsidRPr="005E7233">
        <w:t>The ESC noted that h</w:t>
      </w:r>
      <w:r w:rsidR="00ED4A7B" w:rsidRPr="005E7233">
        <w:t>earing impairment was deemed a TEAE of special interest</w:t>
      </w:r>
      <w:r w:rsidR="00F868AF" w:rsidRPr="005E7233">
        <w:t xml:space="preserve"> and that 4</w:t>
      </w:r>
      <w:r w:rsidR="00ED4A7B" w:rsidRPr="005E7233">
        <w:t xml:space="preserve"> (9.8%) subjects in the teprotumumab group</w:t>
      </w:r>
      <w:r w:rsidR="000425BC" w:rsidRPr="005E7233">
        <w:t xml:space="preserve"> in the OPTIC trial</w:t>
      </w:r>
      <w:r w:rsidR="00ED4A7B" w:rsidRPr="005E7233">
        <w:t xml:space="preserve"> had TEAEs related </w:t>
      </w:r>
      <w:r w:rsidR="00ED4A7B" w:rsidRPr="005E7233">
        <w:lastRenderedPageBreak/>
        <w:t>to hearing impairment</w:t>
      </w:r>
      <w:r w:rsidR="008F1FC3" w:rsidRPr="005E7233">
        <w:t xml:space="preserve"> versus none in the placebo group</w:t>
      </w:r>
      <w:r w:rsidR="00ED4A7B" w:rsidRPr="005E7233">
        <w:t>. The specific TEAE varied with deafness, hypoacusis, and tinnitus reported.</w:t>
      </w:r>
    </w:p>
    <w:p w14:paraId="10E9B7DC" w14:textId="77777777" w:rsidR="00ED4A7B" w:rsidRPr="005E7233" w:rsidRDefault="00ED4A7B" w:rsidP="733957FC">
      <w:pPr>
        <w:pStyle w:val="3-BodyText"/>
      </w:pPr>
      <w:r w:rsidRPr="005E7233">
        <w:t>In the OPTIC-X trial the overall incidence of adverse events was comparable between the OPTIC-X arms (previous teprotumumab treated and previous placebo treated patients) and the teprotumumab arm of the OPTIC trial. The only adverse event which was different was muscle spasms in the previous placebo treated patients (18/37, 49%) compared with teprotumumab treated OPTIC patients (13/41, 32%).</w:t>
      </w:r>
    </w:p>
    <w:p w14:paraId="713F2545" w14:textId="77777777" w:rsidR="00ED4A7B" w:rsidRPr="005E7233" w:rsidRDefault="00ED4A7B" w:rsidP="733957FC">
      <w:pPr>
        <w:pStyle w:val="3-BodyText"/>
      </w:pPr>
      <w:r w:rsidRPr="005E7233">
        <w:t>Although no deaths were reported from teprotumumab, a total of 5 (11.6%) subjects in the teprotumumab arm of the TEDRV01 trial reported serious AEs (SAEs). The reported SAEs were diarrhoea, inflammatory bowel disease, Escherichia sepsis, Hashimoto's encephalopathy, and urinary retention. None of the SAEs were reported in more than one patient. All SAEs in the teprotumumab group were deemed “serious” because hospitalisation occurred. These results indicate that teprotumumab has inferior safety to placebo.</w:t>
      </w:r>
    </w:p>
    <w:p w14:paraId="1E85CAAB" w14:textId="77777777" w:rsidR="00ED4A7B" w:rsidRPr="005E7233" w:rsidRDefault="00ED4A7B" w:rsidP="00ED4A7B">
      <w:pPr>
        <w:pStyle w:val="3-BodyText"/>
        <w:rPr>
          <w:rFonts w:cstheme="minorHAnsi"/>
        </w:rPr>
      </w:pPr>
      <w:r w:rsidRPr="005E7233">
        <w:rPr>
          <w:rFonts w:cstheme="minorHAnsi"/>
        </w:rPr>
        <w:t xml:space="preserve">The submission did not present a formal comparison of safety between teprotumumab and IVMP or tocilizumab. </w:t>
      </w:r>
    </w:p>
    <w:p w14:paraId="0DBCCCAE" w14:textId="106C7ABB" w:rsidR="00ED4A7B" w:rsidRPr="005E7233" w:rsidRDefault="00ED4A7B" w:rsidP="00ED4A7B">
      <w:pPr>
        <w:pStyle w:val="3-BodyText"/>
        <w:rPr>
          <w:rFonts w:cstheme="minorHAnsi"/>
        </w:rPr>
      </w:pPr>
      <w:r w:rsidRPr="005E7233">
        <w:rPr>
          <w:rFonts w:cstheme="minorHAnsi"/>
        </w:rPr>
        <w:t>The submission present</w:t>
      </w:r>
      <w:r w:rsidR="00143585" w:rsidRPr="005E7233">
        <w:rPr>
          <w:rFonts w:cstheme="minorHAnsi"/>
        </w:rPr>
        <w:t>ed</w:t>
      </w:r>
      <w:r w:rsidRPr="005E7233">
        <w:rPr>
          <w:rFonts w:cstheme="minorHAnsi"/>
        </w:rPr>
        <w:t xml:space="preserve"> a summary of life-threatening complications associated with IVMP used for the treatment of Graves’ orbitopathy (</w:t>
      </w:r>
      <w:r w:rsidRPr="005E7233">
        <w:rPr>
          <w:rFonts w:cstheme="minorHAnsi"/>
        </w:rPr>
        <w:fldChar w:fldCharType="begin"/>
      </w:r>
      <w:r w:rsidRPr="005E7233">
        <w:rPr>
          <w:rFonts w:cstheme="minorHAnsi"/>
        </w:rPr>
        <w:instrText xml:space="preserve"> REF _Ref185855550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12101B" w:rsidRPr="005E7233">
        <w:t xml:space="preserve">Table </w:t>
      </w:r>
      <w:r w:rsidR="0012101B">
        <w:rPr>
          <w:noProof/>
        </w:rPr>
        <w:t>11</w:t>
      </w:r>
      <w:r w:rsidRPr="005E7233">
        <w:rPr>
          <w:rFonts w:cstheme="minorHAnsi"/>
        </w:rPr>
        <w:fldChar w:fldCharType="end"/>
      </w:r>
      <w:r w:rsidRPr="005E7233">
        <w:rPr>
          <w:rFonts w:cstheme="minorHAnsi"/>
        </w:rPr>
        <w:t>).</w:t>
      </w:r>
    </w:p>
    <w:p w14:paraId="17EF7D54" w14:textId="7795882D" w:rsidR="00ED4A7B" w:rsidRPr="005E7233" w:rsidRDefault="00ED4A7B" w:rsidP="005206EB">
      <w:pPr>
        <w:pStyle w:val="Caption"/>
        <w:widowControl w:val="0"/>
      </w:pPr>
      <w:bookmarkStart w:id="60" w:name="_Ref185855550"/>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11</w:t>
      </w:r>
      <w:r w:rsidR="00FB1BE3">
        <w:rPr>
          <w:noProof/>
        </w:rPr>
        <w:fldChar w:fldCharType="end"/>
      </w:r>
      <w:bookmarkEnd w:id="60"/>
      <w:r w:rsidRPr="005E7233">
        <w:t xml:space="preserve">: </w:t>
      </w:r>
      <w:r w:rsidRPr="005E7233">
        <w:rPr>
          <w:rFonts w:cstheme="minorHAnsi"/>
          <w:szCs w:val="16"/>
        </w:rPr>
        <w:t>Life-threatening complications of high doses of intravenous methylprednisolone for treatment of Graves’ orbitopathy</w:t>
      </w:r>
    </w:p>
    <w:tbl>
      <w:tblPr>
        <w:tblStyle w:val="Submissionstandard"/>
        <w:tblW w:w="0" w:type="auto"/>
        <w:tblLook w:val="04A0" w:firstRow="1" w:lastRow="0" w:firstColumn="1" w:lastColumn="0" w:noHBand="0" w:noVBand="1"/>
      </w:tblPr>
      <w:tblGrid>
        <w:gridCol w:w="1310"/>
        <w:gridCol w:w="1662"/>
        <w:gridCol w:w="4961"/>
        <w:gridCol w:w="1084"/>
      </w:tblGrid>
      <w:tr w:rsidR="00ED4A7B" w:rsidRPr="005E7233" w14:paraId="52D15646" w14:textId="77777777" w:rsidTr="00CD3FF3">
        <w:trPr>
          <w:cnfStyle w:val="100000000000" w:firstRow="1" w:lastRow="0" w:firstColumn="0" w:lastColumn="0" w:oddVBand="0" w:evenVBand="0" w:oddHBand="0" w:evenHBand="0" w:firstRowFirstColumn="0" w:firstRowLastColumn="0" w:lastRowFirstColumn="0" w:lastRowLastColumn="0"/>
        </w:trPr>
        <w:tc>
          <w:tcPr>
            <w:tcW w:w="1310" w:type="dxa"/>
            <w:shd w:val="clear" w:color="auto" w:fill="auto"/>
          </w:tcPr>
          <w:p w14:paraId="59A7CE0A"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Organ system</w:t>
            </w:r>
          </w:p>
        </w:tc>
        <w:tc>
          <w:tcPr>
            <w:tcW w:w="1662" w:type="dxa"/>
            <w:shd w:val="clear" w:color="auto" w:fill="auto"/>
          </w:tcPr>
          <w:p w14:paraId="15983D43"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Report</w:t>
            </w:r>
          </w:p>
        </w:tc>
        <w:tc>
          <w:tcPr>
            <w:tcW w:w="4961" w:type="dxa"/>
            <w:shd w:val="clear" w:color="auto" w:fill="auto"/>
          </w:tcPr>
          <w:p w14:paraId="0C72EED6"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Complication</w:t>
            </w:r>
          </w:p>
        </w:tc>
        <w:tc>
          <w:tcPr>
            <w:tcW w:w="1084" w:type="dxa"/>
            <w:shd w:val="clear" w:color="auto" w:fill="auto"/>
          </w:tcPr>
          <w:p w14:paraId="304143C3"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Dose of IVMP</w:t>
            </w:r>
          </w:p>
        </w:tc>
      </w:tr>
      <w:tr w:rsidR="00ED4A7B" w:rsidRPr="005E7233" w14:paraId="15A4E253" w14:textId="77777777" w:rsidTr="00CD3FF3">
        <w:tc>
          <w:tcPr>
            <w:tcW w:w="1310" w:type="dxa"/>
            <w:vMerge w:val="restart"/>
            <w:shd w:val="clear" w:color="auto" w:fill="auto"/>
          </w:tcPr>
          <w:p w14:paraId="43E78B61"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Hepatic complications</w:t>
            </w:r>
          </w:p>
        </w:tc>
        <w:tc>
          <w:tcPr>
            <w:tcW w:w="1662" w:type="dxa"/>
            <w:shd w:val="clear" w:color="auto" w:fill="auto"/>
          </w:tcPr>
          <w:p w14:paraId="24DADAD0"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Marino et al., 2000</w:t>
            </w:r>
            <w:r w:rsidRPr="005E7233">
              <w:rPr>
                <w:rStyle w:val="FootnoteReference"/>
                <w:rFonts w:ascii="Arial Narrow" w:hAnsi="Arial Narrow" w:cstheme="minorHAnsi"/>
                <w:sz w:val="20"/>
                <w:szCs w:val="20"/>
                <w:lang w:val="en-AU"/>
              </w:rPr>
              <w:footnoteReference w:id="21"/>
            </w:r>
          </w:p>
        </w:tc>
        <w:tc>
          <w:tcPr>
            <w:tcW w:w="4961" w:type="dxa"/>
            <w:shd w:val="clear" w:color="auto" w:fill="auto"/>
          </w:tcPr>
          <w:p w14:paraId="7B09177B"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Acute liver failure (7 out of 800 patients, including 3 lethal cases)</w:t>
            </w:r>
          </w:p>
        </w:tc>
        <w:tc>
          <w:tcPr>
            <w:tcW w:w="1084" w:type="dxa"/>
            <w:shd w:val="clear" w:color="auto" w:fill="auto"/>
          </w:tcPr>
          <w:p w14:paraId="26D6B32F"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3.0–24.0</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027B2A82" w14:textId="77777777" w:rsidTr="00CD3FF3">
        <w:tc>
          <w:tcPr>
            <w:tcW w:w="1310" w:type="dxa"/>
            <w:vMerge/>
            <w:shd w:val="clear" w:color="auto" w:fill="auto"/>
          </w:tcPr>
          <w:p w14:paraId="718B523B" w14:textId="77777777" w:rsidR="00ED4A7B" w:rsidRPr="005E7233" w:rsidRDefault="00ED4A7B" w:rsidP="005206EB">
            <w:pPr>
              <w:keepNext/>
              <w:keepLines/>
              <w:widowControl w:val="0"/>
              <w:rPr>
                <w:rFonts w:ascii="Arial Narrow" w:hAnsi="Arial Narrow" w:cstheme="minorHAnsi"/>
                <w:sz w:val="20"/>
                <w:szCs w:val="20"/>
                <w:lang w:val="en-AU"/>
              </w:rPr>
            </w:pPr>
          </w:p>
        </w:tc>
        <w:tc>
          <w:tcPr>
            <w:tcW w:w="1662" w:type="dxa"/>
            <w:shd w:val="clear" w:color="auto" w:fill="auto"/>
          </w:tcPr>
          <w:p w14:paraId="08DE9799"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Weissel and Hauff 2000</w:t>
            </w:r>
            <w:r w:rsidRPr="005E7233">
              <w:rPr>
                <w:rStyle w:val="FootnoteReference"/>
                <w:rFonts w:ascii="Arial Narrow" w:hAnsi="Arial Narrow" w:cstheme="minorHAnsi"/>
                <w:sz w:val="20"/>
                <w:szCs w:val="20"/>
                <w:lang w:val="en-AU"/>
              </w:rPr>
              <w:footnoteReference w:id="22"/>
            </w:r>
          </w:p>
        </w:tc>
        <w:tc>
          <w:tcPr>
            <w:tcW w:w="4961" w:type="dxa"/>
            <w:shd w:val="clear" w:color="auto" w:fill="auto"/>
          </w:tcPr>
          <w:p w14:paraId="5E6A8D4A"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Acute liver failure (lethal, 1 patient)</w:t>
            </w:r>
          </w:p>
        </w:tc>
        <w:tc>
          <w:tcPr>
            <w:tcW w:w="1084" w:type="dxa"/>
            <w:shd w:val="clear" w:color="auto" w:fill="auto"/>
          </w:tcPr>
          <w:p w14:paraId="38BB3F60"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15.0</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11FE3442" w14:textId="77777777" w:rsidTr="00CD3FF3">
        <w:tc>
          <w:tcPr>
            <w:tcW w:w="1310" w:type="dxa"/>
            <w:vMerge/>
            <w:shd w:val="clear" w:color="auto" w:fill="auto"/>
          </w:tcPr>
          <w:p w14:paraId="4A1A6E87" w14:textId="77777777" w:rsidR="00ED4A7B" w:rsidRPr="005E7233" w:rsidRDefault="00ED4A7B" w:rsidP="005206EB">
            <w:pPr>
              <w:keepNext/>
              <w:keepLines/>
              <w:widowControl w:val="0"/>
              <w:rPr>
                <w:rFonts w:ascii="Arial Narrow" w:hAnsi="Arial Narrow" w:cstheme="minorHAnsi"/>
                <w:sz w:val="20"/>
                <w:szCs w:val="20"/>
                <w:lang w:val="en-AU"/>
              </w:rPr>
            </w:pPr>
          </w:p>
        </w:tc>
        <w:tc>
          <w:tcPr>
            <w:tcW w:w="1662" w:type="dxa"/>
            <w:shd w:val="clear" w:color="auto" w:fill="auto"/>
          </w:tcPr>
          <w:p w14:paraId="730F1ED0"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Salvi et al., 2004</w:t>
            </w:r>
            <w:r w:rsidRPr="005E7233">
              <w:rPr>
                <w:rStyle w:val="FootnoteReference"/>
                <w:rFonts w:ascii="Arial Narrow" w:hAnsi="Arial Narrow" w:cstheme="minorHAnsi"/>
                <w:sz w:val="20"/>
                <w:szCs w:val="20"/>
                <w:lang w:val="en-AU"/>
              </w:rPr>
              <w:footnoteReference w:id="23"/>
            </w:r>
          </w:p>
        </w:tc>
        <w:tc>
          <w:tcPr>
            <w:tcW w:w="4961" w:type="dxa"/>
            <w:shd w:val="clear" w:color="auto" w:fill="auto"/>
          </w:tcPr>
          <w:p w14:paraId="261E0661"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Acute liver failure (1 patient)</w:t>
            </w:r>
          </w:p>
        </w:tc>
        <w:tc>
          <w:tcPr>
            <w:tcW w:w="1084" w:type="dxa"/>
            <w:shd w:val="clear" w:color="auto" w:fill="auto"/>
          </w:tcPr>
          <w:p w14:paraId="68E7719B"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5.5</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71A93253" w14:textId="77777777" w:rsidTr="00CD3FF3">
        <w:tc>
          <w:tcPr>
            <w:tcW w:w="1310" w:type="dxa"/>
            <w:vMerge w:val="restart"/>
            <w:shd w:val="clear" w:color="auto" w:fill="auto"/>
          </w:tcPr>
          <w:p w14:paraId="60277F7F"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Cardiovascular complications</w:t>
            </w:r>
          </w:p>
        </w:tc>
        <w:tc>
          <w:tcPr>
            <w:tcW w:w="1662" w:type="dxa"/>
            <w:shd w:val="clear" w:color="auto" w:fill="auto"/>
          </w:tcPr>
          <w:p w14:paraId="66531BD4"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Owecki et al., 2006</w:t>
            </w:r>
            <w:r w:rsidRPr="005E7233">
              <w:rPr>
                <w:rStyle w:val="FootnoteReference"/>
                <w:rFonts w:ascii="Arial Narrow" w:hAnsi="Arial Narrow" w:cstheme="minorHAnsi"/>
                <w:sz w:val="20"/>
                <w:szCs w:val="20"/>
                <w:lang w:val="en-AU"/>
              </w:rPr>
              <w:footnoteReference w:id="24"/>
            </w:r>
          </w:p>
        </w:tc>
        <w:tc>
          <w:tcPr>
            <w:tcW w:w="4961" w:type="dxa"/>
            <w:shd w:val="clear" w:color="auto" w:fill="auto"/>
          </w:tcPr>
          <w:p w14:paraId="1D5F750D"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Severe hypertension leading to myocardial infarction (1 patient)</w:t>
            </w:r>
          </w:p>
        </w:tc>
        <w:tc>
          <w:tcPr>
            <w:tcW w:w="1084" w:type="dxa"/>
            <w:shd w:val="clear" w:color="auto" w:fill="auto"/>
          </w:tcPr>
          <w:p w14:paraId="721A2FD0"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5.0</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696B3E01" w14:textId="77777777" w:rsidTr="00CD3FF3">
        <w:tc>
          <w:tcPr>
            <w:tcW w:w="1310" w:type="dxa"/>
            <w:vMerge/>
            <w:shd w:val="clear" w:color="auto" w:fill="auto"/>
          </w:tcPr>
          <w:p w14:paraId="02FC8C6C" w14:textId="77777777" w:rsidR="00ED4A7B" w:rsidRPr="005E7233" w:rsidRDefault="00ED4A7B" w:rsidP="005206EB">
            <w:pPr>
              <w:keepNext/>
              <w:keepLines/>
              <w:widowControl w:val="0"/>
              <w:rPr>
                <w:rFonts w:ascii="Arial Narrow" w:hAnsi="Arial Narrow" w:cstheme="minorHAnsi"/>
                <w:sz w:val="20"/>
                <w:szCs w:val="20"/>
                <w:lang w:val="en-AU"/>
              </w:rPr>
            </w:pPr>
          </w:p>
        </w:tc>
        <w:tc>
          <w:tcPr>
            <w:tcW w:w="1662" w:type="dxa"/>
            <w:shd w:val="clear" w:color="auto" w:fill="auto"/>
          </w:tcPr>
          <w:p w14:paraId="2DA3BEDD"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Gursoy et al., 2006</w:t>
            </w:r>
            <w:r w:rsidRPr="005E7233">
              <w:rPr>
                <w:rStyle w:val="FootnoteReference"/>
                <w:rFonts w:ascii="Arial Narrow" w:hAnsi="Arial Narrow" w:cstheme="minorHAnsi"/>
                <w:sz w:val="20"/>
                <w:szCs w:val="20"/>
                <w:lang w:val="en-AU"/>
              </w:rPr>
              <w:footnoteReference w:id="25"/>
            </w:r>
          </w:p>
        </w:tc>
        <w:tc>
          <w:tcPr>
            <w:tcW w:w="4961" w:type="dxa"/>
            <w:shd w:val="clear" w:color="auto" w:fill="auto"/>
          </w:tcPr>
          <w:p w14:paraId="7DDDDD87"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Severe hypertension leading to acute hear failure without myocardial infarction (1 patient)</w:t>
            </w:r>
          </w:p>
        </w:tc>
        <w:tc>
          <w:tcPr>
            <w:tcW w:w="1084" w:type="dxa"/>
            <w:shd w:val="clear" w:color="auto" w:fill="auto"/>
          </w:tcPr>
          <w:p w14:paraId="4388928F"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2.0</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74D0E559" w14:textId="77777777" w:rsidTr="00CD3FF3">
        <w:tc>
          <w:tcPr>
            <w:tcW w:w="1310" w:type="dxa"/>
            <w:vMerge/>
            <w:shd w:val="clear" w:color="auto" w:fill="auto"/>
          </w:tcPr>
          <w:p w14:paraId="5236A632" w14:textId="77777777" w:rsidR="00ED4A7B" w:rsidRPr="005E7233" w:rsidRDefault="00ED4A7B" w:rsidP="005206EB">
            <w:pPr>
              <w:keepNext/>
              <w:keepLines/>
              <w:widowControl w:val="0"/>
              <w:rPr>
                <w:rFonts w:ascii="Arial Narrow" w:hAnsi="Arial Narrow" w:cstheme="minorHAnsi"/>
                <w:sz w:val="20"/>
                <w:szCs w:val="20"/>
                <w:lang w:val="en-AU"/>
              </w:rPr>
            </w:pPr>
          </w:p>
        </w:tc>
        <w:tc>
          <w:tcPr>
            <w:tcW w:w="1662" w:type="dxa"/>
            <w:shd w:val="clear" w:color="auto" w:fill="auto"/>
          </w:tcPr>
          <w:p w14:paraId="1592B358"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Lendorf et al., 2009</w:t>
            </w:r>
            <w:r w:rsidRPr="005E7233">
              <w:rPr>
                <w:rStyle w:val="FootnoteReference"/>
                <w:rFonts w:ascii="Arial Narrow" w:hAnsi="Arial Narrow" w:cstheme="minorHAnsi"/>
                <w:sz w:val="20"/>
                <w:szCs w:val="20"/>
                <w:lang w:val="en-AU"/>
              </w:rPr>
              <w:footnoteReference w:id="26"/>
            </w:r>
          </w:p>
        </w:tc>
        <w:tc>
          <w:tcPr>
            <w:tcW w:w="4961" w:type="dxa"/>
            <w:shd w:val="clear" w:color="auto" w:fill="auto"/>
          </w:tcPr>
          <w:p w14:paraId="37F6EF04"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 xml:space="preserve">Myocardial infarction (1 out of 49 patients) </w:t>
            </w:r>
          </w:p>
          <w:p w14:paraId="173C4133"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 xml:space="preserve">Angina pectoris (2 out of 49 patients) Ischemic stroke (lethal, 1 out of 49 patients) </w:t>
            </w:r>
          </w:p>
          <w:p w14:paraId="7D9E05B5"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Pulmonary embolism (lethal, 1 out of 49 patients)</w:t>
            </w:r>
          </w:p>
        </w:tc>
        <w:tc>
          <w:tcPr>
            <w:tcW w:w="1084" w:type="dxa"/>
            <w:shd w:val="clear" w:color="auto" w:fill="auto"/>
          </w:tcPr>
          <w:p w14:paraId="324DFC32"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2.0–5.0</w:t>
            </w:r>
            <w:r w:rsidRPr="005E7233">
              <w:rPr>
                <w:rFonts w:ascii="Arial" w:hAnsi="Arial"/>
                <w:sz w:val="20"/>
                <w:szCs w:val="20"/>
                <w:lang w:val="en-AU"/>
              </w:rPr>
              <w:t> </w:t>
            </w:r>
            <w:r w:rsidRPr="005E7233">
              <w:rPr>
                <w:rFonts w:ascii="Arial Narrow" w:hAnsi="Arial Narrow" w:cstheme="minorHAnsi"/>
                <w:sz w:val="20"/>
                <w:szCs w:val="20"/>
                <w:lang w:val="en-AU"/>
              </w:rPr>
              <w:t>g</w:t>
            </w:r>
          </w:p>
        </w:tc>
      </w:tr>
    </w:tbl>
    <w:p w14:paraId="0CFB89B6" w14:textId="77777777" w:rsidR="00ED4A7B" w:rsidRPr="005E7233" w:rsidRDefault="00ED4A7B" w:rsidP="005206EB">
      <w:pPr>
        <w:pStyle w:val="3-BodyText"/>
        <w:keepNext/>
        <w:keepLines/>
        <w:widowControl w:val="0"/>
        <w:numPr>
          <w:ilvl w:val="0"/>
          <w:numId w:val="0"/>
        </w:numPr>
        <w:spacing w:before="0" w:after="0"/>
        <w:ind w:left="720" w:hanging="720"/>
        <w:rPr>
          <w:rFonts w:ascii="Arial Narrow" w:hAnsi="Arial Narrow" w:cstheme="minorHAnsi"/>
          <w:sz w:val="18"/>
          <w:szCs w:val="18"/>
        </w:rPr>
      </w:pPr>
      <w:r w:rsidRPr="005E7233">
        <w:rPr>
          <w:rFonts w:ascii="Arial Narrow" w:hAnsi="Arial Narrow" w:cstheme="minorHAnsi"/>
          <w:sz w:val="18"/>
          <w:szCs w:val="18"/>
        </w:rPr>
        <w:t>Source: Table 2-91, p157 of the submission.</w:t>
      </w:r>
    </w:p>
    <w:p w14:paraId="28DEC0B1" w14:textId="77777777" w:rsidR="00ED4A7B" w:rsidRPr="005E7233" w:rsidRDefault="00ED4A7B" w:rsidP="00ED4A7B">
      <w:pPr>
        <w:pStyle w:val="3-BodyText"/>
        <w:widowControl w:val="0"/>
        <w:numPr>
          <w:ilvl w:val="0"/>
          <w:numId w:val="0"/>
        </w:numPr>
        <w:spacing w:before="0" w:after="0"/>
        <w:ind w:left="720" w:hanging="720"/>
        <w:rPr>
          <w:rFonts w:ascii="Arial Narrow" w:hAnsi="Arial Narrow" w:cstheme="minorHAnsi"/>
          <w:sz w:val="18"/>
          <w:szCs w:val="18"/>
        </w:rPr>
      </w:pPr>
      <w:r w:rsidRPr="005E7233">
        <w:rPr>
          <w:rFonts w:ascii="Arial Narrow" w:hAnsi="Arial Narrow" w:cstheme="minorHAnsi"/>
          <w:sz w:val="18"/>
          <w:szCs w:val="18"/>
        </w:rPr>
        <w:t>IVMP = IV methylprednisolone</w:t>
      </w:r>
    </w:p>
    <w:p w14:paraId="04931B46" w14:textId="77777777" w:rsidR="00ED4A7B" w:rsidRPr="005E7233" w:rsidRDefault="00ED4A7B" w:rsidP="733957FC">
      <w:pPr>
        <w:pStyle w:val="3-BodyText"/>
      </w:pPr>
      <w:r w:rsidRPr="005E7233">
        <w:t>The submission stated that IVMP for TED can be life-threatening if used in high doses. Additionally, minor adverse events caused by IVMP for TED have been reported to include Cushingoid appearance, weight gain, gastrointestinal symptoms, insomnia, hypertension, glucose intolerance, urinary tract infection, and palpitation. Reported serious adverse events include hepatotoxicity, major depression, psychosis, new onset diabetes mellitus, severe infection, profound muscle weakness, fulminant liver failure, cardiovascular events, and death.</w:t>
      </w:r>
    </w:p>
    <w:p w14:paraId="1A89FF29" w14:textId="7B9926A0" w:rsidR="00ED4A7B" w:rsidRPr="005E7233" w:rsidRDefault="00ED4A7B" w:rsidP="00ED4A7B">
      <w:pPr>
        <w:pStyle w:val="3-BodyText"/>
        <w:rPr>
          <w:rFonts w:cstheme="minorHAnsi"/>
        </w:rPr>
      </w:pPr>
      <w:r w:rsidRPr="005E7233">
        <w:rPr>
          <w:rFonts w:cstheme="minorHAnsi"/>
        </w:rPr>
        <w:t xml:space="preserve">The evidence </w:t>
      </w:r>
      <w:r w:rsidR="0002194F" w:rsidRPr="005E7233">
        <w:rPr>
          <w:rFonts w:cstheme="minorHAnsi"/>
        </w:rPr>
        <w:t xml:space="preserve">presented </w:t>
      </w:r>
      <w:r w:rsidRPr="005E7233">
        <w:rPr>
          <w:rFonts w:cstheme="minorHAnsi"/>
        </w:rPr>
        <w:t xml:space="preserve">does not allow for a formal safety comparison between teprotumumab and IVMP. The safety profile of IVMP is well established and is known to be associated with serious and life-threatening adverse events. However, without a formal comparison, a definitive assessment of the safety claim cannot be made as IVMP has been used in a much greater number of patients, increasing the likelihood of adverse events being reported. Furthermore, the safety reports associated with IVMP come from less controlled conditions than what is found in a clinical trial, introducing further confounding. </w:t>
      </w:r>
    </w:p>
    <w:p w14:paraId="35749F20" w14:textId="654A6EEF" w:rsidR="00ED4A7B" w:rsidRPr="005E7233" w:rsidRDefault="00ED4A7B" w:rsidP="733957FC">
      <w:pPr>
        <w:pStyle w:val="3-BodyText"/>
      </w:pPr>
      <w:r w:rsidRPr="005E7233">
        <w:lastRenderedPageBreak/>
        <w:fldChar w:fldCharType="begin"/>
      </w:r>
      <w:r w:rsidRPr="005E7233">
        <w:instrText xml:space="preserve"> REF _Ref185855570 \h </w:instrText>
      </w:r>
      <w:r w:rsidR="0066573D" w:rsidRPr="005E7233">
        <w:instrText xml:space="preserve"> \* MERGEFORMAT </w:instrText>
      </w:r>
      <w:r w:rsidRPr="005E7233">
        <w:fldChar w:fldCharType="separate"/>
      </w:r>
      <w:r w:rsidR="0012101B" w:rsidRPr="005E7233">
        <w:t xml:space="preserve">Table </w:t>
      </w:r>
      <w:r w:rsidR="0012101B">
        <w:rPr>
          <w:noProof/>
        </w:rPr>
        <w:t>12</w:t>
      </w:r>
      <w:r w:rsidRPr="005E7233">
        <w:fldChar w:fldCharType="end"/>
      </w:r>
      <w:r w:rsidRPr="005E7233">
        <w:t xml:space="preserve"> presents AEs associated with tocilizumab as reported in Perez-Moreiras et al. 2018</w:t>
      </w:r>
      <w:r w:rsidRPr="005E7233">
        <w:rPr>
          <w:vertAlign w:val="superscript"/>
        </w:rPr>
        <w:fldChar w:fldCharType="begin"/>
      </w:r>
      <w:r w:rsidRPr="005E7233">
        <w:rPr>
          <w:vertAlign w:val="superscript"/>
        </w:rPr>
        <w:instrText xml:space="preserve"> NOTEREF _Ref187679184 \h  \* MERGEFORMAT </w:instrText>
      </w:r>
      <w:r w:rsidRPr="005E7233">
        <w:rPr>
          <w:vertAlign w:val="superscript"/>
        </w:rPr>
      </w:r>
      <w:r w:rsidRPr="005E7233">
        <w:rPr>
          <w:vertAlign w:val="superscript"/>
        </w:rPr>
        <w:fldChar w:fldCharType="separate"/>
      </w:r>
      <w:r w:rsidR="0012101B">
        <w:rPr>
          <w:vertAlign w:val="superscript"/>
        </w:rPr>
        <w:t>13</w:t>
      </w:r>
      <w:r w:rsidRPr="005E7233">
        <w:rPr>
          <w:vertAlign w:val="superscript"/>
        </w:rPr>
        <w:fldChar w:fldCharType="end"/>
      </w:r>
      <w:r w:rsidRPr="005E7233">
        <w:t>. The Perez-Moreiras et al. 2018</w:t>
      </w:r>
      <w:r w:rsidRPr="005E7233">
        <w:rPr>
          <w:vertAlign w:val="superscript"/>
        </w:rPr>
        <w:fldChar w:fldCharType="begin"/>
      </w:r>
      <w:r w:rsidRPr="005E7233">
        <w:rPr>
          <w:vertAlign w:val="superscript"/>
        </w:rPr>
        <w:instrText xml:space="preserve"> NOTEREF _Ref187679184 \h  \* MERGEFORMAT </w:instrText>
      </w:r>
      <w:r w:rsidRPr="005E7233">
        <w:rPr>
          <w:vertAlign w:val="superscript"/>
        </w:rPr>
      </w:r>
      <w:r w:rsidRPr="005E7233">
        <w:rPr>
          <w:vertAlign w:val="superscript"/>
        </w:rPr>
        <w:fldChar w:fldCharType="separate"/>
      </w:r>
      <w:r w:rsidR="0012101B">
        <w:rPr>
          <w:vertAlign w:val="superscript"/>
        </w:rPr>
        <w:t>13</w:t>
      </w:r>
      <w:r w:rsidRPr="005E7233">
        <w:rPr>
          <w:vertAlign w:val="superscript"/>
        </w:rPr>
        <w:fldChar w:fldCharType="end"/>
      </w:r>
      <w:r w:rsidRPr="005E7233">
        <w:t xml:space="preserve"> paper reported total </w:t>
      </w:r>
      <w:r w:rsidR="000A2928" w:rsidRPr="005E7233">
        <w:t>adverse events (</w:t>
      </w:r>
      <w:r w:rsidRPr="005E7233">
        <w:t>AEs</w:t>
      </w:r>
      <w:r w:rsidR="000A2928" w:rsidRPr="005E7233">
        <w:t>)</w:t>
      </w:r>
      <w:r w:rsidRPr="005E7233">
        <w:t xml:space="preserve"> rather than the number or proportion of patients who experienced an AE. Additionally, the paper reported AEs at both week 16 and week 40. This makes a comparison to teprotumumab difficult.</w:t>
      </w:r>
    </w:p>
    <w:p w14:paraId="5609591A" w14:textId="6623FF1A" w:rsidR="00ED4A7B" w:rsidRPr="005E7233" w:rsidRDefault="00ED4A7B" w:rsidP="005206EB">
      <w:pPr>
        <w:pStyle w:val="Caption"/>
      </w:pPr>
      <w:bookmarkStart w:id="61" w:name="_Ref185855570"/>
      <w:r w:rsidRPr="005E7233">
        <w:t xml:space="preserve">Table </w:t>
      </w:r>
      <w:r w:rsidR="00FB1BE3">
        <w:fldChar w:fldCharType="begin"/>
      </w:r>
      <w:r w:rsidR="00FB1BE3">
        <w:instrText xml:space="preserve"> SEQ Table \* ARABIC </w:instrText>
      </w:r>
      <w:r w:rsidR="00FB1BE3">
        <w:fldChar w:fldCharType="separate"/>
      </w:r>
      <w:r w:rsidR="0012101B">
        <w:rPr>
          <w:noProof/>
        </w:rPr>
        <w:t>12</w:t>
      </w:r>
      <w:r w:rsidR="00FB1BE3">
        <w:rPr>
          <w:noProof/>
        </w:rPr>
        <w:fldChar w:fldCharType="end"/>
      </w:r>
      <w:bookmarkEnd w:id="61"/>
      <w:r w:rsidRPr="005E7233">
        <w:t xml:space="preserve">: </w:t>
      </w:r>
      <w:r w:rsidRPr="005E7233">
        <w:rPr>
          <w:rFonts w:cstheme="minorHAnsi"/>
          <w:szCs w:val="16"/>
        </w:rPr>
        <w:t>Adverse events of tocilizumab compared with placebo for active moderate-to-severe, treatment resistant thyroid eye disease.</w:t>
      </w:r>
    </w:p>
    <w:tbl>
      <w:tblPr>
        <w:tblStyle w:val="Submissionstandard"/>
        <w:tblW w:w="5000" w:type="pct"/>
        <w:tblLook w:val="04A0" w:firstRow="1" w:lastRow="0" w:firstColumn="1" w:lastColumn="0" w:noHBand="0" w:noVBand="1"/>
      </w:tblPr>
      <w:tblGrid>
        <w:gridCol w:w="2435"/>
        <w:gridCol w:w="1816"/>
        <w:gridCol w:w="1475"/>
        <w:gridCol w:w="1816"/>
        <w:gridCol w:w="1475"/>
      </w:tblGrid>
      <w:tr w:rsidR="00ED4A7B" w:rsidRPr="005E7233" w14:paraId="4A9E0235" w14:textId="77777777" w:rsidTr="009C5765">
        <w:trPr>
          <w:cnfStyle w:val="100000000000" w:firstRow="1" w:lastRow="0" w:firstColumn="0" w:lastColumn="0" w:oddVBand="0" w:evenVBand="0" w:oddHBand="0" w:evenHBand="0" w:firstRowFirstColumn="0" w:firstRowLastColumn="0" w:lastRowFirstColumn="0" w:lastRowLastColumn="0"/>
          <w:tblHeader/>
        </w:trPr>
        <w:tc>
          <w:tcPr>
            <w:tcW w:w="0" w:type="auto"/>
            <w:vMerge w:val="restart"/>
            <w:shd w:val="clear" w:color="auto" w:fill="auto"/>
          </w:tcPr>
          <w:p w14:paraId="3FAC296A" w14:textId="77777777" w:rsidR="00ED4A7B" w:rsidRPr="005E7233" w:rsidRDefault="00ED4A7B" w:rsidP="005206EB">
            <w:pPr>
              <w:keepNext/>
              <w:keepLines/>
              <w:rPr>
                <w:rFonts w:ascii="Arial Narrow" w:hAnsi="Arial Narrow" w:cstheme="minorHAnsi"/>
                <w:sz w:val="20"/>
                <w:szCs w:val="20"/>
                <w:lang w:val="en-AU"/>
              </w:rPr>
            </w:pPr>
          </w:p>
        </w:tc>
        <w:tc>
          <w:tcPr>
            <w:tcW w:w="0" w:type="auto"/>
            <w:gridSpan w:val="2"/>
            <w:shd w:val="clear" w:color="auto" w:fill="auto"/>
          </w:tcPr>
          <w:p w14:paraId="4ABDA1B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Week 16</w:t>
            </w:r>
          </w:p>
        </w:tc>
        <w:tc>
          <w:tcPr>
            <w:tcW w:w="0" w:type="auto"/>
            <w:gridSpan w:val="2"/>
            <w:shd w:val="clear" w:color="auto" w:fill="auto"/>
          </w:tcPr>
          <w:p w14:paraId="67F2045B"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Week 40</w:t>
            </w:r>
          </w:p>
        </w:tc>
      </w:tr>
      <w:tr w:rsidR="00ED4A7B" w:rsidRPr="005E7233" w14:paraId="48379221" w14:textId="77777777" w:rsidTr="009C5765">
        <w:trPr>
          <w:cnfStyle w:val="100000000000" w:firstRow="1" w:lastRow="0" w:firstColumn="0" w:lastColumn="0" w:oddVBand="0" w:evenVBand="0" w:oddHBand="0" w:evenHBand="0" w:firstRowFirstColumn="0" w:firstRowLastColumn="0" w:lastRowFirstColumn="0" w:lastRowLastColumn="0"/>
          <w:tblHeader/>
        </w:trPr>
        <w:tc>
          <w:tcPr>
            <w:tcW w:w="0" w:type="auto"/>
            <w:vMerge/>
            <w:shd w:val="clear" w:color="auto" w:fill="auto"/>
          </w:tcPr>
          <w:p w14:paraId="2AC77B5B" w14:textId="77777777" w:rsidR="00ED4A7B" w:rsidRPr="005E7233" w:rsidRDefault="00ED4A7B" w:rsidP="005206EB">
            <w:pPr>
              <w:keepNext/>
              <w:keepLines/>
              <w:rPr>
                <w:rFonts w:ascii="Arial Narrow" w:hAnsi="Arial Narrow" w:cstheme="minorHAnsi"/>
                <w:sz w:val="20"/>
                <w:szCs w:val="20"/>
                <w:lang w:val="en-AU"/>
              </w:rPr>
            </w:pPr>
          </w:p>
        </w:tc>
        <w:tc>
          <w:tcPr>
            <w:tcW w:w="0" w:type="auto"/>
            <w:shd w:val="clear" w:color="auto" w:fill="auto"/>
          </w:tcPr>
          <w:p w14:paraId="41D40C34" w14:textId="77777777" w:rsidR="00ED4A7B" w:rsidRPr="005E7233" w:rsidRDefault="00ED4A7B" w:rsidP="005206EB">
            <w:pPr>
              <w:keepNext/>
              <w:keepLines/>
              <w:jc w:val="center"/>
              <w:rPr>
                <w:rFonts w:ascii="Arial Narrow" w:hAnsi="Arial Narrow" w:cstheme="minorHAnsi"/>
                <w:b w:val="0"/>
                <w:bCs/>
                <w:sz w:val="20"/>
                <w:szCs w:val="20"/>
                <w:lang w:val="en-AU"/>
              </w:rPr>
            </w:pPr>
            <w:r w:rsidRPr="005E7233">
              <w:rPr>
                <w:rFonts w:ascii="Arial Narrow" w:hAnsi="Arial Narrow" w:cstheme="minorHAnsi"/>
                <w:bCs/>
                <w:sz w:val="20"/>
                <w:szCs w:val="20"/>
                <w:lang w:val="en-AU"/>
              </w:rPr>
              <w:t>Tocilizumab (n=15)</w:t>
            </w:r>
          </w:p>
        </w:tc>
        <w:tc>
          <w:tcPr>
            <w:tcW w:w="0" w:type="auto"/>
            <w:shd w:val="clear" w:color="auto" w:fill="auto"/>
          </w:tcPr>
          <w:p w14:paraId="7EE4FEEE" w14:textId="77777777" w:rsidR="00ED4A7B" w:rsidRPr="005E7233" w:rsidRDefault="00ED4A7B" w:rsidP="005206EB">
            <w:pPr>
              <w:keepNext/>
              <w:keepLines/>
              <w:jc w:val="center"/>
              <w:rPr>
                <w:rFonts w:ascii="Arial Narrow" w:hAnsi="Arial Narrow" w:cstheme="minorHAnsi"/>
                <w:b w:val="0"/>
                <w:bCs/>
                <w:sz w:val="20"/>
                <w:szCs w:val="20"/>
                <w:lang w:val="en-AU"/>
              </w:rPr>
            </w:pPr>
            <w:r w:rsidRPr="005E7233">
              <w:rPr>
                <w:rFonts w:ascii="Arial Narrow" w:hAnsi="Arial Narrow" w:cstheme="minorHAnsi"/>
                <w:bCs/>
                <w:sz w:val="20"/>
                <w:szCs w:val="20"/>
                <w:lang w:val="en-AU"/>
              </w:rPr>
              <w:t>Placebo (n=17)</w:t>
            </w:r>
          </w:p>
        </w:tc>
        <w:tc>
          <w:tcPr>
            <w:tcW w:w="0" w:type="auto"/>
            <w:shd w:val="clear" w:color="auto" w:fill="auto"/>
          </w:tcPr>
          <w:p w14:paraId="3214DAB6" w14:textId="77777777" w:rsidR="00ED4A7B" w:rsidRPr="005E7233" w:rsidRDefault="00ED4A7B" w:rsidP="005206EB">
            <w:pPr>
              <w:keepNext/>
              <w:keepLines/>
              <w:jc w:val="center"/>
              <w:rPr>
                <w:rFonts w:ascii="Arial Narrow" w:hAnsi="Arial Narrow" w:cstheme="minorHAnsi"/>
                <w:b w:val="0"/>
                <w:bCs/>
                <w:sz w:val="20"/>
                <w:szCs w:val="20"/>
                <w:lang w:val="en-AU"/>
              </w:rPr>
            </w:pPr>
            <w:r w:rsidRPr="005E7233">
              <w:rPr>
                <w:rFonts w:ascii="Arial Narrow" w:hAnsi="Arial Narrow" w:cstheme="minorHAnsi"/>
                <w:bCs/>
                <w:sz w:val="20"/>
                <w:szCs w:val="20"/>
                <w:lang w:val="en-AU"/>
              </w:rPr>
              <w:t>Tocilizumab (n=15)</w:t>
            </w:r>
          </w:p>
        </w:tc>
        <w:tc>
          <w:tcPr>
            <w:tcW w:w="0" w:type="auto"/>
            <w:shd w:val="clear" w:color="auto" w:fill="auto"/>
          </w:tcPr>
          <w:p w14:paraId="65174178" w14:textId="77777777" w:rsidR="00ED4A7B" w:rsidRPr="005E7233" w:rsidRDefault="00ED4A7B" w:rsidP="005206EB">
            <w:pPr>
              <w:keepNext/>
              <w:keepLines/>
              <w:jc w:val="center"/>
              <w:rPr>
                <w:rFonts w:ascii="Arial Narrow" w:hAnsi="Arial Narrow" w:cstheme="minorHAnsi"/>
                <w:b w:val="0"/>
                <w:bCs/>
                <w:sz w:val="20"/>
                <w:szCs w:val="20"/>
                <w:lang w:val="en-AU"/>
              </w:rPr>
            </w:pPr>
            <w:r w:rsidRPr="005E7233">
              <w:rPr>
                <w:rFonts w:ascii="Arial Narrow" w:hAnsi="Arial Narrow" w:cstheme="minorHAnsi"/>
                <w:bCs/>
                <w:sz w:val="20"/>
                <w:szCs w:val="20"/>
                <w:lang w:val="en-AU"/>
              </w:rPr>
              <w:t>Placebo (n=17)</w:t>
            </w:r>
          </w:p>
        </w:tc>
      </w:tr>
      <w:tr w:rsidR="00ED4A7B" w:rsidRPr="005E7233" w14:paraId="0D2BE66D" w14:textId="77777777" w:rsidTr="009C5765">
        <w:tc>
          <w:tcPr>
            <w:tcW w:w="0" w:type="auto"/>
            <w:shd w:val="clear" w:color="auto" w:fill="auto"/>
          </w:tcPr>
          <w:p w14:paraId="16EDC74B"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Total AEs</w:t>
            </w:r>
          </w:p>
        </w:tc>
        <w:tc>
          <w:tcPr>
            <w:tcW w:w="0" w:type="auto"/>
            <w:shd w:val="clear" w:color="auto" w:fill="auto"/>
          </w:tcPr>
          <w:p w14:paraId="3B0350C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43</w:t>
            </w:r>
          </w:p>
        </w:tc>
        <w:tc>
          <w:tcPr>
            <w:tcW w:w="0" w:type="auto"/>
            <w:shd w:val="clear" w:color="auto" w:fill="auto"/>
          </w:tcPr>
          <w:p w14:paraId="093EB58B"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19</w:t>
            </w:r>
          </w:p>
        </w:tc>
        <w:tc>
          <w:tcPr>
            <w:tcW w:w="0" w:type="auto"/>
            <w:shd w:val="clear" w:color="auto" w:fill="auto"/>
          </w:tcPr>
          <w:p w14:paraId="45C7416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58</w:t>
            </w:r>
          </w:p>
        </w:tc>
        <w:tc>
          <w:tcPr>
            <w:tcW w:w="0" w:type="auto"/>
            <w:shd w:val="clear" w:color="auto" w:fill="auto"/>
          </w:tcPr>
          <w:p w14:paraId="0824F73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33</w:t>
            </w:r>
          </w:p>
        </w:tc>
      </w:tr>
      <w:tr w:rsidR="00ED4A7B" w:rsidRPr="005E7233" w14:paraId="5EDC1771" w14:textId="77777777" w:rsidTr="009C5765">
        <w:tc>
          <w:tcPr>
            <w:tcW w:w="0" w:type="auto"/>
            <w:shd w:val="clear" w:color="auto" w:fill="auto"/>
          </w:tcPr>
          <w:p w14:paraId="68338BFB"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Infections</w:t>
            </w:r>
          </w:p>
        </w:tc>
        <w:tc>
          <w:tcPr>
            <w:tcW w:w="0" w:type="auto"/>
            <w:shd w:val="clear" w:color="auto" w:fill="auto"/>
          </w:tcPr>
          <w:p w14:paraId="1C8E18B8"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12</w:t>
            </w:r>
          </w:p>
        </w:tc>
        <w:tc>
          <w:tcPr>
            <w:tcW w:w="0" w:type="auto"/>
            <w:shd w:val="clear" w:color="auto" w:fill="auto"/>
          </w:tcPr>
          <w:p w14:paraId="1256F9F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5</w:t>
            </w:r>
          </w:p>
        </w:tc>
        <w:tc>
          <w:tcPr>
            <w:tcW w:w="0" w:type="auto"/>
            <w:shd w:val="clear" w:color="auto" w:fill="auto"/>
          </w:tcPr>
          <w:p w14:paraId="2DC0A8F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17</w:t>
            </w:r>
          </w:p>
        </w:tc>
        <w:tc>
          <w:tcPr>
            <w:tcW w:w="0" w:type="auto"/>
            <w:shd w:val="clear" w:color="auto" w:fill="auto"/>
          </w:tcPr>
          <w:p w14:paraId="531EC79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7</w:t>
            </w:r>
          </w:p>
        </w:tc>
      </w:tr>
      <w:tr w:rsidR="00ED4A7B" w:rsidRPr="005E7233" w14:paraId="188AAB82" w14:textId="77777777" w:rsidTr="009C5765">
        <w:tc>
          <w:tcPr>
            <w:tcW w:w="0" w:type="auto"/>
            <w:shd w:val="clear" w:color="auto" w:fill="auto"/>
          </w:tcPr>
          <w:p w14:paraId="3C7C223E" w14:textId="77777777" w:rsidR="00ED4A7B" w:rsidRPr="005E7233" w:rsidRDefault="00ED4A7B" w:rsidP="005206EB">
            <w:pPr>
              <w:keepNext/>
              <w:keepLines/>
              <w:ind w:left="164"/>
              <w:rPr>
                <w:rFonts w:ascii="Arial Narrow" w:hAnsi="Arial Narrow" w:cstheme="minorHAnsi"/>
                <w:sz w:val="20"/>
                <w:szCs w:val="20"/>
                <w:lang w:val="en-AU"/>
              </w:rPr>
            </w:pPr>
            <w:r w:rsidRPr="005E7233">
              <w:rPr>
                <w:rFonts w:ascii="Arial Narrow" w:hAnsi="Arial Narrow" w:cstheme="minorHAnsi"/>
                <w:sz w:val="20"/>
                <w:szCs w:val="20"/>
                <w:lang w:val="en-AU"/>
              </w:rPr>
              <w:t>Respiratory tract</w:t>
            </w:r>
          </w:p>
        </w:tc>
        <w:tc>
          <w:tcPr>
            <w:tcW w:w="0" w:type="auto"/>
            <w:shd w:val="clear" w:color="auto" w:fill="auto"/>
          </w:tcPr>
          <w:p w14:paraId="013A765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6</w:t>
            </w:r>
          </w:p>
        </w:tc>
        <w:tc>
          <w:tcPr>
            <w:tcW w:w="0" w:type="auto"/>
            <w:shd w:val="clear" w:color="auto" w:fill="auto"/>
          </w:tcPr>
          <w:p w14:paraId="3ADAF54C"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7D012A9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c>
          <w:tcPr>
            <w:tcW w:w="0" w:type="auto"/>
            <w:shd w:val="clear" w:color="auto" w:fill="auto"/>
          </w:tcPr>
          <w:p w14:paraId="30CBE130"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r>
      <w:tr w:rsidR="00ED4A7B" w:rsidRPr="005E7233" w14:paraId="55DD0BDE" w14:textId="77777777" w:rsidTr="009C5765">
        <w:tc>
          <w:tcPr>
            <w:tcW w:w="0" w:type="auto"/>
            <w:shd w:val="clear" w:color="auto" w:fill="auto"/>
          </w:tcPr>
          <w:p w14:paraId="1AE24F21" w14:textId="77777777" w:rsidR="00ED4A7B" w:rsidRPr="005E7233" w:rsidRDefault="00ED4A7B" w:rsidP="005206EB">
            <w:pPr>
              <w:keepNext/>
              <w:keepLines/>
              <w:ind w:left="164"/>
              <w:rPr>
                <w:rFonts w:ascii="Arial Narrow" w:hAnsi="Arial Narrow" w:cstheme="minorHAnsi"/>
                <w:sz w:val="20"/>
                <w:szCs w:val="20"/>
                <w:lang w:val="en-AU"/>
              </w:rPr>
            </w:pPr>
            <w:r w:rsidRPr="005E7233">
              <w:rPr>
                <w:rFonts w:ascii="Arial Narrow" w:hAnsi="Arial Narrow" w:cstheme="minorHAnsi"/>
                <w:sz w:val="20"/>
                <w:szCs w:val="20"/>
                <w:lang w:val="en-AU"/>
              </w:rPr>
              <w:t>Gastroenteritis</w:t>
            </w:r>
          </w:p>
        </w:tc>
        <w:tc>
          <w:tcPr>
            <w:tcW w:w="0" w:type="auto"/>
            <w:shd w:val="clear" w:color="auto" w:fill="auto"/>
          </w:tcPr>
          <w:p w14:paraId="7702619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31674F20"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635353F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c>
          <w:tcPr>
            <w:tcW w:w="0" w:type="auto"/>
            <w:shd w:val="clear" w:color="auto" w:fill="auto"/>
          </w:tcPr>
          <w:p w14:paraId="0EC926A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r>
      <w:tr w:rsidR="00ED4A7B" w:rsidRPr="005E7233" w14:paraId="2CB2F365" w14:textId="77777777" w:rsidTr="009C5765">
        <w:tc>
          <w:tcPr>
            <w:tcW w:w="0" w:type="auto"/>
            <w:shd w:val="clear" w:color="auto" w:fill="auto"/>
          </w:tcPr>
          <w:p w14:paraId="1C1D21C3" w14:textId="77777777" w:rsidR="00ED4A7B" w:rsidRPr="005E7233" w:rsidRDefault="00ED4A7B" w:rsidP="005206EB">
            <w:pPr>
              <w:keepNext/>
              <w:keepLines/>
              <w:ind w:left="164"/>
              <w:rPr>
                <w:rFonts w:ascii="Arial Narrow" w:hAnsi="Arial Narrow" w:cstheme="minorHAnsi"/>
                <w:sz w:val="20"/>
                <w:szCs w:val="20"/>
                <w:lang w:val="en-AU"/>
              </w:rPr>
            </w:pPr>
            <w:r w:rsidRPr="005E7233">
              <w:rPr>
                <w:rFonts w:ascii="Arial Narrow" w:hAnsi="Arial Narrow" w:cstheme="minorHAnsi"/>
                <w:sz w:val="20"/>
                <w:szCs w:val="20"/>
                <w:lang w:val="en-AU"/>
              </w:rPr>
              <w:t>Urinary tract infections</w:t>
            </w:r>
          </w:p>
        </w:tc>
        <w:tc>
          <w:tcPr>
            <w:tcW w:w="0" w:type="auto"/>
            <w:shd w:val="clear" w:color="auto" w:fill="auto"/>
          </w:tcPr>
          <w:p w14:paraId="24A4EEB6"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666690C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07CD529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6AE6A0C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r>
      <w:tr w:rsidR="00ED4A7B" w:rsidRPr="005E7233" w14:paraId="2BAE2B69" w14:textId="77777777" w:rsidTr="009C5765">
        <w:tc>
          <w:tcPr>
            <w:tcW w:w="0" w:type="auto"/>
            <w:shd w:val="clear" w:color="auto" w:fill="auto"/>
          </w:tcPr>
          <w:p w14:paraId="68304254"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Headache</w:t>
            </w:r>
          </w:p>
        </w:tc>
        <w:tc>
          <w:tcPr>
            <w:tcW w:w="0" w:type="auto"/>
            <w:shd w:val="clear" w:color="auto" w:fill="auto"/>
          </w:tcPr>
          <w:p w14:paraId="1E6D8C26"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9</w:t>
            </w:r>
          </w:p>
        </w:tc>
        <w:tc>
          <w:tcPr>
            <w:tcW w:w="0" w:type="auto"/>
            <w:shd w:val="clear" w:color="auto" w:fill="auto"/>
          </w:tcPr>
          <w:p w14:paraId="6BA65C6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6833CA03"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11</w:t>
            </w:r>
          </w:p>
        </w:tc>
        <w:tc>
          <w:tcPr>
            <w:tcW w:w="0" w:type="auto"/>
            <w:shd w:val="clear" w:color="auto" w:fill="auto"/>
          </w:tcPr>
          <w:p w14:paraId="25D9B2D4"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4</w:t>
            </w:r>
          </w:p>
        </w:tc>
      </w:tr>
      <w:tr w:rsidR="00ED4A7B" w:rsidRPr="005E7233" w14:paraId="75F618ED" w14:textId="77777777" w:rsidTr="009C5765">
        <w:tc>
          <w:tcPr>
            <w:tcW w:w="0" w:type="auto"/>
            <w:shd w:val="clear" w:color="auto" w:fill="auto"/>
          </w:tcPr>
          <w:p w14:paraId="53C41E0E"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Anaemia</w:t>
            </w:r>
          </w:p>
        </w:tc>
        <w:tc>
          <w:tcPr>
            <w:tcW w:w="0" w:type="auto"/>
            <w:shd w:val="clear" w:color="auto" w:fill="auto"/>
          </w:tcPr>
          <w:p w14:paraId="25C1E0CB"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19D9A031"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c>
          <w:tcPr>
            <w:tcW w:w="0" w:type="auto"/>
            <w:shd w:val="clear" w:color="auto" w:fill="auto"/>
          </w:tcPr>
          <w:p w14:paraId="4CE3467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46138585"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r>
      <w:tr w:rsidR="00ED4A7B" w:rsidRPr="005E7233" w14:paraId="2FC8A401" w14:textId="77777777" w:rsidTr="009C5765">
        <w:tc>
          <w:tcPr>
            <w:tcW w:w="0" w:type="auto"/>
            <w:shd w:val="clear" w:color="auto" w:fill="auto"/>
          </w:tcPr>
          <w:p w14:paraId="7D274596"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Ocular symptoms (pain)</w:t>
            </w:r>
          </w:p>
        </w:tc>
        <w:tc>
          <w:tcPr>
            <w:tcW w:w="0" w:type="auto"/>
            <w:shd w:val="clear" w:color="auto" w:fill="auto"/>
          </w:tcPr>
          <w:p w14:paraId="66A597AE"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79B8E8B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45C4B40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263A9090"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r>
      <w:tr w:rsidR="00ED4A7B" w:rsidRPr="005E7233" w14:paraId="03E65427" w14:textId="77777777" w:rsidTr="009C5765">
        <w:tc>
          <w:tcPr>
            <w:tcW w:w="0" w:type="auto"/>
            <w:shd w:val="clear" w:color="auto" w:fill="auto"/>
          </w:tcPr>
          <w:p w14:paraId="3F487CFA"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Hypercholesterolemia</w:t>
            </w:r>
          </w:p>
        </w:tc>
        <w:tc>
          <w:tcPr>
            <w:tcW w:w="0" w:type="auto"/>
            <w:shd w:val="clear" w:color="auto" w:fill="auto"/>
          </w:tcPr>
          <w:p w14:paraId="5AEF48A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28C3139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5ED3A1C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c>
          <w:tcPr>
            <w:tcW w:w="0" w:type="auto"/>
            <w:shd w:val="clear" w:color="auto" w:fill="auto"/>
          </w:tcPr>
          <w:p w14:paraId="77F16CC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r>
      <w:tr w:rsidR="00ED4A7B" w:rsidRPr="005E7233" w14:paraId="3CD54C68" w14:textId="77777777" w:rsidTr="009C5765">
        <w:tc>
          <w:tcPr>
            <w:tcW w:w="0" w:type="auto"/>
            <w:shd w:val="clear" w:color="auto" w:fill="auto"/>
          </w:tcPr>
          <w:p w14:paraId="36371171"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Neutropenia (Grade I)</w:t>
            </w:r>
          </w:p>
        </w:tc>
        <w:tc>
          <w:tcPr>
            <w:tcW w:w="0" w:type="auto"/>
            <w:shd w:val="clear" w:color="auto" w:fill="auto"/>
          </w:tcPr>
          <w:p w14:paraId="79A4FB8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495193CD"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599FF6C3"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68CA8821"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r>
      <w:tr w:rsidR="00ED4A7B" w:rsidRPr="005E7233" w14:paraId="667E6A7B" w14:textId="77777777" w:rsidTr="009C5765">
        <w:tc>
          <w:tcPr>
            <w:tcW w:w="0" w:type="auto"/>
            <w:shd w:val="clear" w:color="auto" w:fill="auto"/>
          </w:tcPr>
          <w:p w14:paraId="5DE0F344"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Thrombocytopenia (Grade I)</w:t>
            </w:r>
          </w:p>
        </w:tc>
        <w:tc>
          <w:tcPr>
            <w:tcW w:w="0" w:type="auto"/>
            <w:shd w:val="clear" w:color="auto" w:fill="auto"/>
          </w:tcPr>
          <w:p w14:paraId="19E16E78"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7857A13F"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54D1DBCE"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11EA59A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r>
      <w:tr w:rsidR="00ED4A7B" w:rsidRPr="005E7233" w14:paraId="76BEF908" w14:textId="77777777" w:rsidTr="009C5765">
        <w:tc>
          <w:tcPr>
            <w:tcW w:w="0" w:type="auto"/>
            <w:shd w:val="clear" w:color="auto" w:fill="auto"/>
          </w:tcPr>
          <w:p w14:paraId="1AC7D278"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Patients with &gt;1 AEs, n</w:t>
            </w:r>
          </w:p>
        </w:tc>
        <w:tc>
          <w:tcPr>
            <w:tcW w:w="0" w:type="auto"/>
            <w:shd w:val="clear" w:color="auto" w:fill="auto"/>
          </w:tcPr>
          <w:p w14:paraId="7EE1FAA4"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9</w:t>
            </w:r>
          </w:p>
        </w:tc>
        <w:tc>
          <w:tcPr>
            <w:tcW w:w="0" w:type="auto"/>
            <w:shd w:val="clear" w:color="auto" w:fill="auto"/>
          </w:tcPr>
          <w:p w14:paraId="3E59567F"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4</w:t>
            </w:r>
          </w:p>
        </w:tc>
        <w:tc>
          <w:tcPr>
            <w:tcW w:w="0" w:type="auto"/>
            <w:shd w:val="clear" w:color="auto" w:fill="auto"/>
          </w:tcPr>
          <w:p w14:paraId="045815C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12</w:t>
            </w:r>
          </w:p>
        </w:tc>
        <w:tc>
          <w:tcPr>
            <w:tcW w:w="0" w:type="auto"/>
            <w:shd w:val="clear" w:color="auto" w:fill="auto"/>
          </w:tcPr>
          <w:p w14:paraId="42489D15"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7</w:t>
            </w:r>
          </w:p>
        </w:tc>
      </w:tr>
      <w:tr w:rsidR="00ED4A7B" w:rsidRPr="005E7233" w14:paraId="7701BC25" w14:textId="77777777" w:rsidTr="009C5765">
        <w:tc>
          <w:tcPr>
            <w:tcW w:w="0" w:type="auto"/>
            <w:shd w:val="clear" w:color="auto" w:fill="auto"/>
          </w:tcPr>
          <w:p w14:paraId="17648FE9"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Total SAEs, n</w:t>
            </w:r>
          </w:p>
        </w:tc>
        <w:tc>
          <w:tcPr>
            <w:tcW w:w="0" w:type="auto"/>
            <w:shd w:val="clear" w:color="auto" w:fill="auto"/>
          </w:tcPr>
          <w:p w14:paraId="07F1959F"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5A059C2C"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244532A8"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0DB51560"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r>
    </w:tbl>
    <w:p w14:paraId="189BC118" w14:textId="77777777" w:rsidR="00ED4A7B" w:rsidRPr="005E7233" w:rsidRDefault="00ED4A7B" w:rsidP="005206EB">
      <w:pPr>
        <w:pStyle w:val="FooterTableFigure"/>
        <w:keepNext/>
        <w:keepLines/>
      </w:pPr>
      <w:r w:rsidRPr="005E7233">
        <w:t>Source: Table 2-91, pp157-158 of the submission.</w:t>
      </w:r>
    </w:p>
    <w:p w14:paraId="2A4B6DB1" w14:textId="77777777" w:rsidR="00ED4A7B" w:rsidRPr="005E7233" w:rsidRDefault="00ED4A7B" w:rsidP="00ED4A7B">
      <w:pPr>
        <w:pStyle w:val="FooterTableFigure"/>
      </w:pPr>
      <w:r w:rsidRPr="005E7233">
        <w:t>AEs = adverse events; SAEs = serious adverse event.</w:t>
      </w:r>
    </w:p>
    <w:p w14:paraId="0682E093" w14:textId="42268663" w:rsidR="00ED4A7B" w:rsidRPr="005E7233" w:rsidRDefault="00ED4A7B" w:rsidP="00ED4A7B">
      <w:pPr>
        <w:pStyle w:val="3-BodyText"/>
      </w:pPr>
      <w:bookmarkStart w:id="62" w:name="_Hlk191300769"/>
      <w:r w:rsidRPr="005E7233">
        <w:t xml:space="preserve">Given the </w:t>
      </w:r>
      <w:bookmarkEnd w:id="62"/>
      <w:r w:rsidRPr="005E7233">
        <w:t>lack of a formal comparison of safety and the differences in reporting between Perez-Moreiras et al. 2018</w:t>
      </w:r>
      <w:r w:rsidRPr="005E7233">
        <w:rPr>
          <w:vertAlign w:val="superscript"/>
        </w:rPr>
        <w:fldChar w:fldCharType="begin"/>
      </w:r>
      <w:r w:rsidRPr="005E7233">
        <w:rPr>
          <w:vertAlign w:val="superscript"/>
        </w:rPr>
        <w:instrText xml:space="preserve"> NOTEREF _Ref187679184 \h  \* MERGEFORMAT </w:instrText>
      </w:r>
      <w:r w:rsidRPr="005E7233">
        <w:rPr>
          <w:vertAlign w:val="superscript"/>
        </w:rPr>
      </w:r>
      <w:r w:rsidRPr="005E7233">
        <w:rPr>
          <w:vertAlign w:val="superscript"/>
        </w:rPr>
        <w:fldChar w:fldCharType="separate"/>
      </w:r>
      <w:r w:rsidR="0012101B">
        <w:rPr>
          <w:vertAlign w:val="superscript"/>
        </w:rPr>
        <w:t>13</w:t>
      </w:r>
      <w:r w:rsidRPr="005E7233">
        <w:rPr>
          <w:vertAlign w:val="superscript"/>
        </w:rPr>
        <w:fldChar w:fldCharType="end"/>
      </w:r>
      <w:r w:rsidRPr="005E7233">
        <w:t xml:space="preserve"> and the teprotumumab studies,</w:t>
      </w:r>
      <w:r w:rsidR="00422F2B" w:rsidRPr="005E7233">
        <w:t xml:space="preserve"> the evaluation considered that</w:t>
      </w:r>
      <w:r w:rsidRPr="005E7233">
        <w:t xml:space="preserve"> it </w:t>
      </w:r>
      <w:r w:rsidR="00422F2B" w:rsidRPr="005E7233">
        <w:t>wa</w:t>
      </w:r>
      <w:r w:rsidRPr="005E7233">
        <w:t>s not possible to conclude if the evidence provided supports the claim of non-inferior safety.</w:t>
      </w:r>
    </w:p>
    <w:p w14:paraId="65EE25BE" w14:textId="77777777" w:rsidR="00ED4A7B" w:rsidRPr="005E7233" w:rsidRDefault="00ED4A7B" w:rsidP="00ED4A7B">
      <w:pPr>
        <w:pStyle w:val="4-SubsectionHeading"/>
      </w:pPr>
      <w:bookmarkStart w:id="63" w:name="_Toc22897643"/>
      <w:bookmarkStart w:id="64" w:name="_Toc187681850"/>
      <w:bookmarkStart w:id="65" w:name="_Toc187759717"/>
      <w:r w:rsidRPr="005E7233">
        <w:t>Benefits/harms</w:t>
      </w:r>
      <w:bookmarkEnd w:id="63"/>
      <w:bookmarkEnd w:id="64"/>
      <w:bookmarkEnd w:id="65"/>
    </w:p>
    <w:p w14:paraId="7C2AC8A8" w14:textId="216BD124" w:rsidR="00ED4A7B" w:rsidRPr="005E7233" w:rsidRDefault="00ED4A7B" w:rsidP="00126DB5">
      <w:pPr>
        <w:pStyle w:val="3-BodyText"/>
        <w:rPr>
          <w:b/>
        </w:rPr>
      </w:pPr>
      <w:r w:rsidRPr="005E7233">
        <w:rPr>
          <w:bCs/>
        </w:rPr>
        <w:t xml:space="preserve">A summary of the comparative benefits for teprotumumab versus </w:t>
      </w:r>
      <w:r w:rsidR="002F5F1A" w:rsidRPr="005E7233">
        <w:rPr>
          <w:bCs/>
        </w:rPr>
        <w:t xml:space="preserve">placebo </w:t>
      </w:r>
      <w:r w:rsidRPr="005E7233">
        <w:rPr>
          <w:bCs/>
        </w:rPr>
        <w:t>i</w:t>
      </w:r>
      <w:r w:rsidR="0047745E" w:rsidRPr="005E7233">
        <w:rPr>
          <w:bCs/>
        </w:rPr>
        <w:t>s</w:t>
      </w:r>
      <w:r w:rsidRPr="005E7233">
        <w:rPr>
          <w:bCs/>
        </w:rPr>
        <w:t xml:space="preserve"> presented in</w:t>
      </w:r>
      <w:r w:rsidR="00AB0689" w:rsidRPr="005E7233">
        <w:rPr>
          <w:bCs/>
        </w:rPr>
        <w:t xml:space="preserve"> </w:t>
      </w:r>
      <w:r w:rsidR="00996812" w:rsidRPr="005E7233">
        <w:rPr>
          <w:bCs/>
        </w:rPr>
        <w:t>Table 13.</w:t>
      </w:r>
      <w:r w:rsidR="00BA60DC" w:rsidRPr="005E7233">
        <w:rPr>
          <w:bCs/>
        </w:rPr>
        <w:t xml:space="preserve"> </w:t>
      </w:r>
      <w:r w:rsidR="00D05804" w:rsidRPr="005E7233">
        <w:t>Due to</w:t>
      </w:r>
      <w:r w:rsidR="00CF3D3B" w:rsidRPr="005E7233">
        <w:t xml:space="preserve"> the </w:t>
      </w:r>
      <w:r w:rsidR="00D05804" w:rsidRPr="005E7233">
        <w:t>identified issues with the indirect comparison versus IVMP</w:t>
      </w:r>
      <w:r w:rsidR="005E4C35" w:rsidRPr="005E7233">
        <w:t xml:space="preserve">, this comparison is not presented in </w:t>
      </w:r>
      <w:r w:rsidR="0033417A" w:rsidRPr="005E7233">
        <w:fldChar w:fldCharType="begin"/>
      </w:r>
      <w:r w:rsidR="0033417A" w:rsidRPr="005E7233">
        <w:instrText xml:space="preserve"> REF _Ref187675476 \h  \* MERGEFORMAT </w:instrText>
      </w:r>
      <w:r w:rsidR="0033417A" w:rsidRPr="005E7233">
        <w:fldChar w:fldCharType="separate"/>
      </w:r>
      <w:r w:rsidR="0012101B" w:rsidRPr="005E7233">
        <w:t xml:space="preserve">Table </w:t>
      </w:r>
      <w:r w:rsidR="0012101B">
        <w:t>13</w:t>
      </w:r>
      <w:r w:rsidR="0033417A" w:rsidRPr="005E7233">
        <w:fldChar w:fldCharType="end"/>
      </w:r>
      <w:r w:rsidR="008C5AF1" w:rsidRPr="005E7233">
        <w:t xml:space="preserve">. </w:t>
      </w:r>
      <w:r w:rsidRPr="005E7233">
        <w:rPr>
          <w:bCs/>
        </w:rPr>
        <w:t>As the submission did not present a formal comparison of safety, a summary of harms could not be presented. Key safety concerns for teprotumumab are presented above.</w:t>
      </w:r>
    </w:p>
    <w:p w14:paraId="1060BEAF" w14:textId="7ED00BF0" w:rsidR="00ED4A7B" w:rsidRPr="005E7233" w:rsidRDefault="00ED4A7B" w:rsidP="00601678">
      <w:pPr>
        <w:pStyle w:val="Caption"/>
        <w:rPr>
          <w:rStyle w:val="CommentReference"/>
          <w:b/>
          <w:szCs w:val="24"/>
        </w:rPr>
      </w:pPr>
      <w:bookmarkStart w:id="66" w:name="_Ref187675476"/>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13</w:t>
      </w:r>
      <w:r w:rsidR="00FB1BE3">
        <w:rPr>
          <w:noProof/>
        </w:rPr>
        <w:fldChar w:fldCharType="end"/>
      </w:r>
      <w:bookmarkEnd w:id="66"/>
      <w:r w:rsidRPr="005E7233">
        <w:t xml:space="preserve">: </w:t>
      </w:r>
      <w:r w:rsidRPr="005E7233">
        <w:rPr>
          <w:rStyle w:val="CommentReference"/>
          <w:b/>
          <w:szCs w:val="24"/>
        </w:rPr>
        <w:t xml:space="preserve">Summary of comparative benefits for teprotumumab and </w:t>
      </w:r>
      <w:r w:rsidR="00CF3D3B" w:rsidRPr="005E7233">
        <w:rPr>
          <w:rStyle w:val="CommentReference"/>
          <w:b/>
          <w:szCs w:val="24"/>
        </w:rPr>
        <w:t>placebo</w:t>
      </w:r>
    </w:p>
    <w:tbl>
      <w:tblPr>
        <w:tblW w:w="5000" w:type="pct"/>
        <w:tblLayout w:type="fixed"/>
        <w:tblCellMar>
          <w:left w:w="28" w:type="dxa"/>
          <w:right w:w="28" w:type="dxa"/>
        </w:tblCellMar>
        <w:tblLook w:val="04A0" w:firstRow="1" w:lastRow="0" w:firstColumn="1" w:lastColumn="0" w:noHBand="0" w:noVBand="1"/>
      </w:tblPr>
      <w:tblGrid>
        <w:gridCol w:w="1142"/>
        <w:gridCol w:w="1145"/>
        <w:gridCol w:w="1284"/>
        <w:gridCol w:w="292"/>
        <w:gridCol w:w="1262"/>
        <w:gridCol w:w="1223"/>
        <w:gridCol w:w="341"/>
        <w:gridCol w:w="786"/>
        <w:gridCol w:w="1542"/>
      </w:tblGrid>
      <w:tr w:rsidR="003C4385" w:rsidRPr="005E7233" w14:paraId="050FAB4E" w14:textId="77777777">
        <w:trPr>
          <w:cantSplit/>
          <w:trHeight w:val="15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FAEE2F" w14:textId="77777777" w:rsidR="003C4385" w:rsidRPr="005E7233" w:rsidRDefault="003C4385" w:rsidP="00601678">
            <w:pPr>
              <w:keepNext/>
              <w:keepLines/>
              <w:jc w:val="left"/>
              <w:rPr>
                <w:rFonts w:ascii="Arial Narrow" w:eastAsiaTheme="majorEastAsia" w:hAnsi="Arial Narrow" w:cs="Times New Roman"/>
                <w:b/>
                <w:sz w:val="20"/>
              </w:rPr>
            </w:pPr>
            <w:r w:rsidRPr="005E7233">
              <w:rPr>
                <w:rFonts w:ascii="Arial Narrow" w:eastAsiaTheme="majorEastAsia" w:hAnsi="Arial Narrow" w:cs="Times New Roman"/>
                <w:b/>
                <w:sz w:val="20"/>
              </w:rPr>
              <w:t>Trial</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14:paraId="62BB7CB6" w14:textId="244AFC84" w:rsidR="003C4385" w:rsidRPr="005E7233" w:rsidRDefault="00E606AC" w:rsidP="00601678">
            <w:pPr>
              <w:keepNext/>
              <w:keepLines/>
              <w:jc w:val="center"/>
              <w:rPr>
                <w:rFonts w:ascii="Arial Narrow" w:eastAsiaTheme="majorEastAsia" w:hAnsi="Arial Narrow" w:cs="Times New Roman"/>
                <w:b/>
                <w:sz w:val="20"/>
              </w:rPr>
            </w:pPr>
            <w:r w:rsidRPr="005E7233">
              <w:rPr>
                <w:rFonts w:ascii="Arial Narrow" w:eastAsiaTheme="minorHAnsi" w:hAnsi="Arial Narrow" w:cstheme="minorBidi"/>
                <w:b/>
                <w:bCs/>
                <w:sz w:val="18"/>
                <w:szCs w:val="18"/>
              </w:rPr>
              <w:t>Teprotumumab</w:t>
            </w:r>
            <w:r w:rsidRPr="005E7233">
              <w:rPr>
                <w:rFonts w:ascii="Arial Narrow" w:eastAsiaTheme="minorHAnsi" w:hAnsi="Arial Narrow" w:cstheme="minorBidi"/>
                <w:sz w:val="18"/>
                <w:szCs w:val="18"/>
              </w:rPr>
              <w:t xml:space="preserve"> </w:t>
            </w:r>
            <w:r w:rsidR="003C4385" w:rsidRPr="005E7233">
              <w:rPr>
                <w:rFonts w:ascii="Arial Narrow" w:eastAsiaTheme="majorEastAsia" w:hAnsi="Arial Narrow" w:cs="Times New Roman"/>
                <w:b/>
                <w:sz w:val="20"/>
              </w:rPr>
              <w:t>n/N</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4DAC4B80"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PBO</w:t>
            </w:r>
          </w:p>
          <w:p w14:paraId="65D9513A"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n/N</w:t>
            </w:r>
          </w:p>
        </w:tc>
        <w:tc>
          <w:tcPr>
            <w:tcW w:w="862" w:type="pct"/>
            <w:gridSpan w:val="2"/>
            <w:vMerge w:val="restart"/>
            <w:tcBorders>
              <w:top w:val="single" w:sz="4" w:space="0" w:color="auto"/>
              <w:left w:val="single" w:sz="4" w:space="0" w:color="auto"/>
              <w:bottom w:val="single" w:sz="4" w:space="0" w:color="auto"/>
              <w:right w:val="single" w:sz="4" w:space="0" w:color="auto"/>
            </w:tcBorders>
            <w:vAlign w:val="center"/>
          </w:tcPr>
          <w:p w14:paraId="5D0E1534"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RR</w:t>
            </w:r>
          </w:p>
          <w:p w14:paraId="005064C1"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(95% CI)</w:t>
            </w:r>
          </w:p>
        </w:tc>
        <w:tc>
          <w:tcPr>
            <w:tcW w:w="1303" w:type="pct"/>
            <w:gridSpan w:val="3"/>
            <w:tcBorders>
              <w:top w:val="single" w:sz="4" w:space="0" w:color="auto"/>
              <w:left w:val="single" w:sz="4" w:space="0" w:color="auto"/>
              <w:bottom w:val="single" w:sz="4" w:space="0" w:color="auto"/>
              <w:right w:val="single" w:sz="4" w:space="0" w:color="auto"/>
            </w:tcBorders>
            <w:vAlign w:val="center"/>
          </w:tcPr>
          <w:p w14:paraId="2735F311"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Event rate/100 patients*</w:t>
            </w:r>
          </w:p>
        </w:tc>
        <w:tc>
          <w:tcPr>
            <w:tcW w:w="855" w:type="pct"/>
            <w:vMerge w:val="restart"/>
            <w:tcBorders>
              <w:top w:val="single" w:sz="4" w:space="0" w:color="auto"/>
              <w:left w:val="single" w:sz="4" w:space="0" w:color="auto"/>
              <w:bottom w:val="single" w:sz="4" w:space="0" w:color="auto"/>
              <w:right w:val="single" w:sz="4" w:space="0" w:color="auto"/>
            </w:tcBorders>
            <w:vAlign w:val="center"/>
          </w:tcPr>
          <w:p w14:paraId="5BBA9A6F"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RD</w:t>
            </w:r>
          </w:p>
          <w:p w14:paraId="20C37296"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(95% CI)</w:t>
            </w:r>
          </w:p>
        </w:tc>
      </w:tr>
      <w:tr w:rsidR="003C4385" w:rsidRPr="005E7233" w14:paraId="2FEA2F62" w14:textId="77777777">
        <w:trPr>
          <w:cantSplit/>
          <w:trHeight w:val="31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2B7566" w14:textId="77777777" w:rsidR="003C4385" w:rsidRPr="005E7233" w:rsidRDefault="003C4385" w:rsidP="00601678">
            <w:pPr>
              <w:keepNext/>
              <w:keepLines/>
              <w:jc w:val="center"/>
              <w:rPr>
                <w:rFonts w:ascii="Arial Narrow" w:eastAsiaTheme="majorEastAsia" w:hAnsi="Arial Narrow" w:cs="Times New Roman"/>
                <w:b/>
                <w:sz w:val="20"/>
              </w:rPr>
            </w:pPr>
          </w:p>
        </w:tc>
        <w:tc>
          <w:tcPr>
            <w:tcW w:w="635" w:type="pct"/>
            <w:vMerge/>
            <w:tcBorders>
              <w:top w:val="single" w:sz="4" w:space="0" w:color="auto"/>
              <w:left w:val="single" w:sz="4" w:space="0" w:color="auto"/>
              <w:bottom w:val="single" w:sz="4" w:space="0" w:color="auto"/>
              <w:right w:val="single" w:sz="4" w:space="0" w:color="auto"/>
            </w:tcBorders>
            <w:vAlign w:val="center"/>
          </w:tcPr>
          <w:p w14:paraId="2F43AE63" w14:textId="77777777" w:rsidR="003C4385" w:rsidRPr="005E7233" w:rsidRDefault="003C4385" w:rsidP="00601678">
            <w:pPr>
              <w:keepNext/>
              <w:keepLines/>
              <w:jc w:val="center"/>
              <w:rPr>
                <w:rFonts w:ascii="Arial Narrow" w:eastAsiaTheme="majorEastAsia" w:hAnsi="Arial Narrow" w:cs="Times New Roman"/>
                <w:b/>
                <w:sz w:val="20"/>
              </w:rPr>
            </w:pPr>
          </w:p>
        </w:tc>
        <w:tc>
          <w:tcPr>
            <w:tcW w:w="712" w:type="pct"/>
            <w:vMerge/>
            <w:tcBorders>
              <w:top w:val="single" w:sz="4" w:space="0" w:color="auto"/>
              <w:left w:val="single" w:sz="4" w:space="0" w:color="auto"/>
              <w:bottom w:val="single" w:sz="4" w:space="0" w:color="auto"/>
              <w:right w:val="single" w:sz="4" w:space="0" w:color="auto"/>
            </w:tcBorders>
            <w:vAlign w:val="center"/>
          </w:tcPr>
          <w:p w14:paraId="5285C7C2" w14:textId="77777777" w:rsidR="003C4385" w:rsidRPr="005E7233" w:rsidRDefault="003C4385" w:rsidP="00601678">
            <w:pPr>
              <w:keepNext/>
              <w:keepLines/>
              <w:jc w:val="center"/>
              <w:rPr>
                <w:rFonts w:ascii="Arial Narrow" w:eastAsiaTheme="majorEastAsia" w:hAnsi="Arial Narrow" w:cs="Times New Roman"/>
                <w:b/>
                <w:sz w:val="20"/>
              </w:rPr>
            </w:pPr>
          </w:p>
        </w:tc>
        <w:tc>
          <w:tcPr>
            <w:tcW w:w="862" w:type="pct"/>
            <w:gridSpan w:val="2"/>
            <w:vMerge/>
            <w:tcBorders>
              <w:top w:val="single" w:sz="4" w:space="0" w:color="auto"/>
              <w:left w:val="single" w:sz="4" w:space="0" w:color="auto"/>
              <w:bottom w:val="single" w:sz="4" w:space="0" w:color="auto"/>
              <w:right w:val="single" w:sz="4" w:space="0" w:color="auto"/>
            </w:tcBorders>
            <w:vAlign w:val="center"/>
          </w:tcPr>
          <w:p w14:paraId="714D355D" w14:textId="77777777" w:rsidR="003C4385" w:rsidRPr="005E7233" w:rsidRDefault="003C4385" w:rsidP="00601678">
            <w:pPr>
              <w:keepNext/>
              <w:keepLines/>
              <w:jc w:val="center"/>
              <w:rPr>
                <w:rFonts w:ascii="Arial Narrow" w:eastAsiaTheme="majorEastAsia" w:hAnsi="Arial Narrow" w:cs="Times New Roman"/>
                <w:b/>
                <w:sz w:val="20"/>
              </w:rPr>
            </w:pPr>
          </w:p>
        </w:tc>
        <w:tc>
          <w:tcPr>
            <w:tcW w:w="678" w:type="pct"/>
            <w:tcBorders>
              <w:top w:val="single" w:sz="4" w:space="0" w:color="auto"/>
              <w:left w:val="single" w:sz="4" w:space="0" w:color="auto"/>
              <w:bottom w:val="single" w:sz="4" w:space="0" w:color="auto"/>
              <w:right w:val="single" w:sz="4" w:space="0" w:color="auto"/>
            </w:tcBorders>
            <w:vAlign w:val="center"/>
          </w:tcPr>
          <w:p w14:paraId="3A053376" w14:textId="3D6BCD33" w:rsidR="003C4385" w:rsidRPr="005E7233" w:rsidRDefault="00CD6B79" w:rsidP="00601678">
            <w:pPr>
              <w:keepNext/>
              <w:keepLines/>
              <w:jc w:val="center"/>
              <w:rPr>
                <w:rFonts w:ascii="Arial Narrow" w:eastAsiaTheme="majorEastAsia" w:hAnsi="Arial Narrow" w:cs="Times New Roman"/>
                <w:b/>
                <w:sz w:val="20"/>
              </w:rPr>
            </w:pPr>
            <w:r w:rsidRPr="005E7233">
              <w:rPr>
                <w:rFonts w:ascii="Arial Narrow" w:eastAsiaTheme="minorHAnsi" w:hAnsi="Arial Narrow" w:cstheme="minorBidi"/>
                <w:b/>
                <w:bCs/>
                <w:sz w:val="18"/>
                <w:szCs w:val="18"/>
              </w:rPr>
              <w:t>Teprotumumab</w:t>
            </w: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74940750"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PBO</w:t>
            </w:r>
          </w:p>
        </w:tc>
        <w:tc>
          <w:tcPr>
            <w:tcW w:w="855" w:type="pct"/>
            <w:vMerge/>
            <w:tcBorders>
              <w:top w:val="single" w:sz="4" w:space="0" w:color="auto"/>
              <w:left w:val="single" w:sz="4" w:space="0" w:color="auto"/>
              <w:bottom w:val="single" w:sz="4" w:space="0" w:color="auto"/>
              <w:right w:val="single" w:sz="4" w:space="0" w:color="auto"/>
            </w:tcBorders>
            <w:vAlign w:val="center"/>
          </w:tcPr>
          <w:p w14:paraId="6DE972E8" w14:textId="77777777" w:rsidR="003C4385" w:rsidRPr="005E7233" w:rsidRDefault="003C4385" w:rsidP="00601678">
            <w:pPr>
              <w:keepNext/>
              <w:keepLines/>
              <w:jc w:val="center"/>
              <w:rPr>
                <w:rFonts w:ascii="Arial Narrow" w:eastAsiaTheme="majorEastAsia" w:hAnsi="Arial Narrow" w:cs="Times New Roman"/>
                <w:b/>
                <w:sz w:val="20"/>
              </w:rPr>
            </w:pPr>
          </w:p>
        </w:tc>
      </w:tr>
      <w:tr w:rsidR="003C4385" w:rsidRPr="005E7233" w14:paraId="1ED86ECB" w14:textId="77777777">
        <w:trPr>
          <w:cantSplit/>
        </w:trPr>
        <w:tc>
          <w:tcPr>
            <w:tcW w:w="5000" w:type="pct"/>
            <w:gridSpan w:val="9"/>
            <w:tcBorders>
              <w:top w:val="single" w:sz="4" w:space="0" w:color="auto"/>
              <w:left w:val="single" w:sz="4" w:space="0" w:color="auto"/>
              <w:bottom w:val="double" w:sz="4" w:space="0" w:color="auto"/>
              <w:right w:val="single" w:sz="4" w:space="0" w:color="auto"/>
            </w:tcBorders>
            <w:shd w:val="clear" w:color="auto" w:fill="auto"/>
            <w:vAlign w:val="center"/>
          </w:tcPr>
          <w:p w14:paraId="46289B3E" w14:textId="77777777" w:rsidR="003C4385" w:rsidRPr="005E7233" w:rsidRDefault="003C4385" w:rsidP="00601678">
            <w:pPr>
              <w:keepNext/>
              <w:keepLines/>
              <w:jc w:val="left"/>
              <w:rPr>
                <w:rFonts w:ascii="Arial Narrow" w:eastAsiaTheme="majorEastAsia" w:hAnsi="Arial Narrow" w:cs="Times New Roman"/>
                <w:b/>
                <w:sz w:val="20"/>
              </w:rPr>
            </w:pPr>
            <w:r w:rsidRPr="005E7233">
              <w:rPr>
                <w:rFonts w:ascii="Arial Narrow" w:eastAsiaTheme="majorEastAsia" w:hAnsi="Arial Narrow" w:cs="Times New Roman"/>
                <w:b/>
                <w:sz w:val="20"/>
              </w:rPr>
              <w:t>Benefits</w:t>
            </w:r>
          </w:p>
        </w:tc>
      </w:tr>
      <w:tr w:rsidR="003C4385" w:rsidRPr="005E7233" w14:paraId="778E8E8F" w14:textId="77777777">
        <w:trPr>
          <w:cantSplit/>
        </w:trPr>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701F3058" w14:textId="77777777" w:rsidR="003C4385" w:rsidRPr="005E7233" w:rsidRDefault="003C4385" w:rsidP="00601678">
            <w:pPr>
              <w:keepNext/>
              <w:keepLines/>
              <w:jc w:val="left"/>
              <w:rPr>
                <w:rFonts w:ascii="Arial Narrow" w:eastAsiaTheme="majorEastAsia" w:hAnsi="Arial Narrow" w:cs="Times New Roman"/>
                <w:b/>
                <w:sz w:val="20"/>
              </w:rPr>
            </w:pPr>
            <w:r w:rsidRPr="005E7233">
              <w:rPr>
                <w:rFonts w:ascii="Arial Narrow" w:eastAsiaTheme="majorEastAsia" w:hAnsi="Arial Narrow" w:cs="Times New Roman"/>
                <w:b/>
                <w:sz w:val="20"/>
              </w:rPr>
              <w:t>Diplopia improvement</w:t>
            </w:r>
          </w:p>
        </w:tc>
      </w:tr>
      <w:tr w:rsidR="003C4385" w:rsidRPr="005E7233" w14:paraId="7286F23C" w14:textId="77777777">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300080D" w14:textId="2D562C61" w:rsidR="003C4385" w:rsidRPr="005E7233" w:rsidRDefault="003C4385" w:rsidP="00601678">
            <w:pPr>
              <w:keepNext/>
              <w:keepLines/>
              <w:jc w:val="left"/>
              <w:rPr>
                <w:rFonts w:ascii="Arial Narrow" w:eastAsiaTheme="majorEastAsia" w:hAnsi="Arial Narrow" w:cstheme="majorBidi"/>
                <w:bCs/>
                <w:sz w:val="20"/>
              </w:rPr>
            </w:pPr>
            <w:r w:rsidRPr="005E7233">
              <w:rPr>
                <w:rFonts w:ascii="Arial Narrow" w:eastAsiaTheme="majorEastAsia" w:hAnsi="Arial Narrow" w:cstheme="majorBidi"/>
                <w:bCs/>
                <w:sz w:val="20"/>
              </w:rPr>
              <w:t xml:space="preserve">Pooled </w:t>
            </w:r>
            <w:r w:rsidR="00E606AC" w:rsidRPr="005E7233">
              <w:rPr>
                <w:rFonts w:ascii="Arial Narrow" w:eastAsiaTheme="minorHAnsi" w:hAnsi="Arial Narrow" w:cstheme="minorBidi"/>
                <w:sz w:val="18"/>
                <w:szCs w:val="18"/>
              </w:rPr>
              <w:t xml:space="preserve">teprotumumab </w:t>
            </w:r>
            <w:r w:rsidRPr="005E7233">
              <w:rPr>
                <w:rFonts w:ascii="Arial Narrow" w:eastAsiaTheme="majorEastAsia" w:hAnsi="Arial Narrow" w:cstheme="majorBidi"/>
                <w:bCs/>
                <w:sz w:val="20"/>
              </w:rPr>
              <w:t>trials</w:t>
            </w:r>
          </w:p>
        </w:tc>
        <w:tc>
          <w:tcPr>
            <w:tcW w:w="635" w:type="pct"/>
            <w:tcBorders>
              <w:top w:val="single" w:sz="4" w:space="0" w:color="auto"/>
              <w:left w:val="single" w:sz="4" w:space="0" w:color="auto"/>
              <w:bottom w:val="single" w:sz="4" w:space="0" w:color="auto"/>
              <w:right w:val="single" w:sz="4" w:space="0" w:color="auto"/>
            </w:tcBorders>
            <w:vAlign w:val="center"/>
          </w:tcPr>
          <w:p w14:paraId="23419731"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46/66</w:t>
            </w:r>
          </w:p>
        </w:tc>
        <w:tc>
          <w:tcPr>
            <w:tcW w:w="712" w:type="pct"/>
            <w:tcBorders>
              <w:top w:val="single" w:sz="4" w:space="0" w:color="auto"/>
              <w:left w:val="single" w:sz="4" w:space="0" w:color="auto"/>
              <w:bottom w:val="single" w:sz="4" w:space="0" w:color="auto"/>
              <w:right w:val="single" w:sz="4" w:space="0" w:color="auto"/>
            </w:tcBorders>
            <w:vAlign w:val="center"/>
          </w:tcPr>
          <w:p w14:paraId="2651FCAF"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18/59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32577CCC" w14:textId="77777777" w:rsidR="003C4385" w:rsidRPr="005E7233" w:rsidRDefault="003C4385" w:rsidP="00601678">
            <w:pPr>
              <w:keepNext/>
              <w:keepLines/>
              <w:jc w:val="center"/>
              <w:rPr>
                <w:rFonts w:ascii="Arial Narrow" w:eastAsiaTheme="majorEastAsia" w:hAnsi="Arial Narrow" w:cstheme="majorBidi"/>
                <w:b/>
                <w:sz w:val="20"/>
              </w:rPr>
            </w:pPr>
            <w:r w:rsidRPr="005E7233">
              <w:rPr>
                <w:rFonts w:ascii="Arial Narrow" w:eastAsiaTheme="majorEastAsia" w:hAnsi="Arial Narrow" w:cstheme="majorBidi"/>
                <w:b/>
                <w:sz w:val="20"/>
              </w:rPr>
              <w:t>2.29</w:t>
            </w:r>
          </w:p>
          <w:p w14:paraId="615B72ED"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
                <w:sz w:val="20"/>
              </w:rPr>
              <w:t>(1.51, 3.47)</w:t>
            </w:r>
          </w:p>
        </w:tc>
        <w:tc>
          <w:tcPr>
            <w:tcW w:w="678" w:type="pct"/>
            <w:tcBorders>
              <w:top w:val="single" w:sz="4" w:space="0" w:color="auto"/>
              <w:left w:val="single" w:sz="4" w:space="0" w:color="auto"/>
              <w:bottom w:val="single" w:sz="4" w:space="0" w:color="auto"/>
              <w:right w:val="single" w:sz="4" w:space="0" w:color="auto"/>
            </w:tcBorders>
            <w:vAlign w:val="center"/>
          </w:tcPr>
          <w:p w14:paraId="0C54DF9E"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70</w:t>
            </w: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2F136AFE"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31</w:t>
            </w:r>
          </w:p>
        </w:tc>
        <w:tc>
          <w:tcPr>
            <w:tcW w:w="855" w:type="pct"/>
            <w:tcBorders>
              <w:top w:val="single" w:sz="4" w:space="0" w:color="auto"/>
              <w:left w:val="single" w:sz="4" w:space="0" w:color="auto"/>
              <w:bottom w:val="single" w:sz="4" w:space="0" w:color="auto"/>
              <w:right w:val="single" w:sz="4" w:space="0" w:color="auto"/>
            </w:tcBorders>
            <w:vAlign w:val="center"/>
          </w:tcPr>
          <w:p w14:paraId="16FC6DC4" w14:textId="77777777" w:rsidR="003C4385" w:rsidRPr="005E7233" w:rsidRDefault="003C4385" w:rsidP="00601678">
            <w:pPr>
              <w:keepNext/>
              <w:keepLines/>
              <w:jc w:val="center"/>
              <w:rPr>
                <w:rFonts w:ascii="Arial Narrow" w:eastAsiaTheme="majorEastAsia" w:hAnsi="Arial Narrow" w:cstheme="majorBidi"/>
                <w:b/>
                <w:sz w:val="20"/>
              </w:rPr>
            </w:pPr>
            <w:r w:rsidRPr="005E7233">
              <w:rPr>
                <w:rFonts w:ascii="Arial Narrow" w:eastAsiaTheme="majorEastAsia" w:hAnsi="Arial Narrow" w:cstheme="majorBidi"/>
                <w:b/>
                <w:sz w:val="20"/>
              </w:rPr>
              <w:t>0.39</w:t>
            </w:r>
          </w:p>
          <w:p w14:paraId="6D0BA35C"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
                <w:sz w:val="20"/>
              </w:rPr>
              <w:t>(0.23, 0.55)</w:t>
            </w:r>
          </w:p>
        </w:tc>
      </w:tr>
      <w:tr w:rsidR="003C4385" w:rsidRPr="005E7233" w14:paraId="4FDD9F70" w14:textId="77777777">
        <w:trPr>
          <w:cantSplit/>
        </w:trPr>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3E07E4B4" w14:textId="77777777" w:rsidR="003C4385" w:rsidRPr="005E7233" w:rsidRDefault="003C4385" w:rsidP="00601678">
            <w:pPr>
              <w:keepNext/>
              <w:keepLines/>
              <w:jc w:val="left"/>
              <w:rPr>
                <w:rFonts w:ascii="Arial Narrow" w:eastAsiaTheme="majorEastAsia" w:hAnsi="Arial Narrow" w:cs="Times New Roman"/>
                <w:b/>
                <w:sz w:val="20"/>
              </w:rPr>
            </w:pPr>
            <w:r w:rsidRPr="005E7233">
              <w:rPr>
                <w:rFonts w:ascii="Arial Narrow" w:eastAsiaTheme="majorEastAsia" w:hAnsi="Arial Narrow" w:cs="Times New Roman"/>
                <w:b/>
                <w:sz w:val="20"/>
              </w:rPr>
              <w:t>Change from baseline: proptosis</w:t>
            </w:r>
          </w:p>
        </w:tc>
      </w:tr>
      <w:tr w:rsidR="003C4385" w:rsidRPr="005E7233" w14:paraId="5FDBDA3E" w14:textId="77777777">
        <w:trPr>
          <w:cantSplit/>
          <w:trHeight w:val="225"/>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3A618F" w14:textId="77777777" w:rsidR="003C4385" w:rsidRPr="005E7233" w:rsidRDefault="003C4385" w:rsidP="00601678">
            <w:pPr>
              <w:keepNext/>
              <w:keepLines/>
              <w:jc w:val="left"/>
              <w:rPr>
                <w:rFonts w:ascii="Arial Narrow" w:eastAsiaTheme="majorEastAsia" w:hAnsi="Arial Narrow" w:cstheme="majorBidi"/>
                <w:bCs/>
                <w:sz w:val="20"/>
              </w:rPr>
            </w:pPr>
          </w:p>
        </w:tc>
        <w:tc>
          <w:tcPr>
            <w:tcW w:w="1496" w:type="pct"/>
            <w:gridSpan w:val="3"/>
            <w:tcBorders>
              <w:top w:val="single" w:sz="4" w:space="0" w:color="auto"/>
              <w:left w:val="single" w:sz="4" w:space="0" w:color="auto"/>
              <w:bottom w:val="single" w:sz="4" w:space="0" w:color="auto"/>
              <w:right w:val="single" w:sz="4" w:space="0" w:color="auto"/>
            </w:tcBorders>
            <w:vAlign w:val="center"/>
          </w:tcPr>
          <w:p w14:paraId="4EBD6492" w14:textId="27937313" w:rsidR="003C4385" w:rsidRPr="005E7233" w:rsidRDefault="00E606AC" w:rsidP="00601678">
            <w:pPr>
              <w:keepNext/>
              <w:keepLines/>
              <w:jc w:val="center"/>
              <w:rPr>
                <w:rFonts w:ascii="Arial Narrow" w:eastAsiaTheme="majorEastAsia" w:hAnsi="Arial Narrow" w:cs="Times New Roman"/>
                <w:b/>
                <w:bCs/>
                <w:sz w:val="20"/>
              </w:rPr>
            </w:pPr>
            <w:r w:rsidRPr="005E7233">
              <w:rPr>
                <w:rFonts w:ascii="Arial Narrow" w:eastAsiaTheme="minorHAnsi" w:hAnsi="Arial Narrow" w:cstheme="minorBidi"/>
                <w:b/>
                <w:bCs/>
                <w:sz w:val="18"/>
                <w:szCs w:val="18"/>
              </w:rPr>
              <w:t>Teprotumumab</w:t>
            </w:r>
          </w:p>
        </w:tc>
        <w:tc>
          <w:tcPr>
            <w:tcW w:w="1565" w:type="pct"/>
            <w:gridSpan w:val="3"/>
            <w:tcBorders>
              <w:top w:val="single" w:sz="4" w:space="0" w:color="auto"/>
              <w:left w:val="single" w:sz="4" w:space="0" w:color="auto"/>
              <w:bottom w:val="single" w:sz="4" w:space="0" w:color="auto"/>
              <w:right w:val="single" w:sz="4" w:space="0" w:color="auto"/>
            </w:tcBorders>
            <w:vAlign w:val="center"/>
          </w:tcPr>
          <w:p w14:paraId="52C802AA"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 xml:space="preserve"> PBO</w:t>
            </w:r>
          </w:p>
        </w:tc>
        <w:tc>
          <w:tcPr>
            <w:tcW w:w="1306" w:type="pct"/>
            <w:gridSpan w:val="2"/>
            <w:vMerge w:val="restart"/>
            <w:tcBorders>
              <w:top w:val="single" w:sz="4" w:space="0" w:color="auto"/>
              <w:left w:val="single" w:sz="4" w:space="0" w:color="auto"/>
              <w:bottom w:val="single" w:sz="4" w:space="0" w:color="auto"/>
              <w:right w:val="single" w:sz="4" w:space="0" w:color="auto"/>
            </w:tcBorders>
            <w:vAlign w:val="center"/>
          </w:tcPr>
          <w:p w14:paraId="5E1B147D"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Mean difference*:</w:t>
            </w:r>
          </w:p>
          <w:p w14:paraId="4FEDEC5B" w14:textId="63C6EEB4" w:rsidR="003C4385" w:rsidRPr="005E7233" w:rsidRDefault="0068748B"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 xml:space="preserve">Teprotumumab </w:t>
            </w:r>
            <w:r w:rsidR="003C4385" w:rsidRPr="005E7233">
              <w:rPr>
                <w:rFonts w:ascii="Arial Narrow" w:eastAsiaTheme="majorEastAsia" w:hAnsi="Arial Narrow" w:cs="Times New Roman"/>
                <w:b/>
                <w:sz w:val="20"/>
              </w:rPr>
              <w:t>vs. PBO</w:t>
            </w:r>
          </w:p>
          <w:p w14:paraId="75913CF1"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(95% CI)</w:t>
            </w:r>
          </w:p>
        </w:tc>
      </w:tr>
      <w:tr w:rsidR="00F27979" w:rsidRPr="005E7233" w14:paraId="1C47664E" w14:textId="77777777" w:rsidTr="00F27979">
        <w:trPr>
          <w:cantSplit/>
          <w:trHeight w:val="22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505D8F" w14:textId="77777777" w:rsidR="00F27979" w:rsidRPr="005E7233" w:rsidRDefault="00F27979" w:rsidP="00601678">
            <w:pPr>
              <w:keepNext/>
              <w:keepLines/>
              <w:rPr>
                <w:rFonts w:ascii="Arial Narrow" w:hAnsi="Arial Narrow"/>
                <w:color w:val="000000"/>
                <w:sz w:val="20"/>
                <w:szCs w:val="18"/>
              </w:rPr>
            </w:pPr>
          </w:p>
        </w:tc>
        <w:tc>
          <w:tcPr>
            <w:tcW w:w="622" w:type="pct"/>
            <w:tcBorders>
              <w:top w:val="single" w:sz="4" w:space="0" w:color="auto"/>
              <w:left w:val="single" w:sz="4" w:space="0" w:color="auto"/>
              <w:bottom w:val="single" w:sz="4" w:space="0" w:color="auto"/>
              <w:right w:val="single" w:sz="4" w:space="0" w:color="auto"/>
            </w:tcBorders>
            <w:vAlign w:val="center"/>
          </w:tcPr>
          <w:p w14:paraId="7621F30A" w14:textId="77777777" w:rsidR="00F27979" w:rsidRPr="005E7233" w:rsidRDefault="00F27979"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N</w:t>
            </w:r>
          </w:p>
        </w:tc>
        <w:tc>
          <w:tcPr>
            <w:tcW w:w="874" w:type="pct"/>
            <w:gridSpan w:val="2"/>
            <w:tcBorders>
              <w:top w:val="single" w:sz="4" w:space="0" w:color="auto"/>
              <w:left w:val="single" w:sz="4" w:space="0" w:color="auto"/>
              <w:bottom w:val="single" w:sz="4" w:space="0" w:color="auto"/>
              <w:right w:val="single" w:sz="4" w:space="0" w:color="auto"/>
            </w:tcBorders>
            <w:vAlign w:val="center"/>
          </w:tcPr>
          <w:p w14:paraId="327CA6F5" w14:textId="2E63F3EE" w:rsidR="00F27979" w:rsidRPr="005E7233" w:rsidRDefault="00F27979"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Mean ∆ baseline (proptosis)</w:t>
            </w:r>
          </w:p>
        </w:tc>
        <w:tc>
          <w:tcPr>
            <w:tcW w:w="698" w:type="pct"/>
            <w:tcBorders>
              <w:top w:val="single" w:sz="4" w:space="0" w:color="auto"/>
              <w:left w:val="single" w:sz="4" w:space="0" w:color="auto"/>
              <w:bottom w:val="single" w:sz="4" w:space="0" w:color="auto"/>
              <w:right w:val="single" w:sz="4" w:space="0" w:color="auto"/>
            </w:tcBorders>
            <w:vAlign w:val="center"/>
          </w:tcPr>
          <w:p w14:paraId="731DDEEA" w14:textId="77777777" w:rsidR="00F27979" w:rsidRPr="005E7233" w:rsidRDefault="00F27979"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N</w:t>
            </w: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2F3C666F" w14:textId="324B6663" w:rsidR="00F27979" w:rsidRPr="005E7233" w:rsidRDefault="00F27979"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Mean ∆ baseline (proptosis)</w:t>
            </w:r>
          </w:p>
        </w:tc>
        <w:tc>
          <w:tcPr>
            <w:tcW w:w="1306" w:type="pct"/>
            <w:gridSpan w:val="2"/>
            <w:vMerge/>
            <w:tcBorders>
              <w:top w:val="single" w:sz="4" w:space="0" w:color="auto"/>
              <w:left w:val="single" w:sz="4" w:space="0" w:color="auto"/>
              <w:bottom w:val="single" w:sz="4" w:space="0" w:color="auto"/>
              <w:right w:val="single" w:sz="4" w:space="0" w:color="auto"/>
            </w:tcBorders>
            <w:vAlign w:val="center"/>
          </w:tcPr>
          <w:p w14:paraId="3B3285E5" w14:textId="77777777" w:rsidR="00F27979" w:rsidRPr="005E7233" w:rsidRDefault="00F27979" w:rsidP="00601678">
            <w:pPr>
              <w:keepNext/>
              <w:keepLines/>
              <w:jc w:val="center"/>
              <w:rPr>
                <w:rFonts w:ascii="Arial Narrow" w:hAnsi="Arial Narrow"/>
                <w:b/>
                <w:sz w:val="20"/>
                <w:szCs w:val="18"/>
              </w:rPr>
            </w:pPr>
          </w:p>
        </w:tc>
      </w:tr>
      <w:tr w:rsidR="00F27979" w:rsidRPr="005E7233" w14:paraId="6D19C2DD" w14:textId="77777777" w:rsidTr="00F27979">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A2C7614" w14:textId="10C0E987" w:rsidR="00F27979" w:rsidRPr="005E7233" w:rsidRDefault="00F27979" w:rsidP="00601678">
            <w:pPr>
              <w:keepNext/>
              <w:keepLines/>
              <w:jc w:val="left"/>
              <w:rPr>
                <w:rFonts w:ascii="Arial Narrow" w:eastAsiaTheme="majorEastAsia" w:hAnsi="Arial Narrow" w:cstheme="majorBidi"/>
                <w:bCs/>
                <w:sz w:val="20"/>
              </w:rPr>
            </w:pPr>
            <w:r w:rsidRPr="005E7233">
              <w:rPr>
                <w:rFonts w:ascii="Arial Narrow" w:eastAsiaTheme="majorEastAsia" w:hAnsi="Arial Narrow" w:cstheme="majorBidi"/>
                <w:bCs/>
                <w:sz w:val="20"/>
              </w:rPr>
              <w:t xml:space="preserve">Pooled </w:t>
            </w:r>
            <w:r w:rsidRPr="005E7233">
              <w:rPr>
                <w:rFonts w:ascii="Arial Narrow" w:eastAsiaTheme="minorHAnsi" w:hAnsi="Arial Narrow" w:cstheme="minorBidi"/>
                <w:sz w:val="18"/>
                <w:szCs w:val="18"/>
              </w:rPr>
              <w:t xml:space="preserve">teprotumumab </w:t>
            </w:r>
            <w:r w:rsidRPr="005E7233">
              <w:rPr>
                <w:rFonts w:ascii="Arial Narrow" w:eastAsiaTheme="majorEastAsia" w:hAnsi="Arial Narrow" w:cstheme="majorBidi"/>
                <w:bCs/>
                <w:sz w:val="20"/>
              </w:rPr>
              <w:t>trials</w:t>
            </w:r>
          </w:p>
        </w:tc>
        <w:tc>
          <w:tcPr>
            <w:tcW w:w="622" w:type="pct"/>
            <w:tcBorders>
              <w:top w:val="single" w:sz="4" w:space="0" w:color="auto"/>
              <w:left w:val="single" w:sz="4" w:space="0" w:color="auto"/>
              <w:bottom w:val="single" w:sz="4" w:space="0" w:color="auto"/>
              <w:right w:val="single" w:sz="4" w:space="0" w:color="auto"/>
            </w:tcBorders>
            <w:vAlign w:val="center"/>
          </w:tcPr>
          <w:p w14:paraId="16BAE2DE" w14:textId="77777777"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84</w:t>
            </w:r>
          </w:p>
        </w:tc>
        <w:tc>
          <w:tcPr>
            <w:tcW w:w="874" w:type="pct"/>
            <w:gridSpan w:val="2"/>
            <w:tcBorders>
              <w:top w:val="single" w:sz="4" w:space="0" w:color="auto"/>
              <w:left w:val="single" w:sz="4" w:space="0" w:color="auto"/>
              <w:bottom w:val="single" w:sz="4" w:space="0" w:color="auto"/>
              <w:right w:val="single" w:sz="4" w:space="0" w:color="auto"/>
            </w:tcBorders>
            <w:vAlign w:val="center"/>
          </w:tcPr>
          <w:p w14:paraId="3C66B017" w14:textId="12AF5F66"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-3.14 mm</w:t>
            </w:r>
          </w:p>
        </w:tc>
        <w:tc>
          <w:tcPr>
            <w:tcW w:w="698" w:type="pct"/>
            <w:tcBorders>
              <w:top w:val="single" w:sz="4" w:space="0" w:color="auto"/>
              <w:left w:val="single" w:sz="4" w:space="0" w:color="auto"/>
              <w:bottom w:val="single" w:sz="4" w:space="0" w:color="auto"/>
              <w:right w:val="single" w:sz="4" w:space="0" w:color="auto"/>
            </w:tcBorders>
            <w:vAlign w:val="center"/>
          </w:tcPr>
          <w:p w14:paraId="4A7E476F" w14:textId="77777777"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87</w:t>
            </w: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05F2C5BC" w14:textId="6CB43BF3"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-0.37 mm</w:t>
            </w:r>
          </w:p>
        </w:tc>
        <w:tc>
          <w:tcPr>
            <w:tcW w:w="1306" w:type="pct"/>
            <w:gridSpan w:val="2"/>
            <w:tcBorders>
              <w:top w:val="single" w:sz="4" w:space="0" w:color="auto"/>
              <w:left w:val="single" w:sz="4" w:space="0" w:color="auto"/>
              <w:bottom w:val="single" w:sz="4" w:space="0" w:color="auto"/>
              <w:right w:val="single" w:sz="4" w:space="0" w:color="auto"/>
            </w:tcBorders>
            <w:vAlign w:val="center"/>
          </w:tcPr>
          <w:p w14:paraId="4D9876FE" w14:textId="77777777"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hAnsi="Arial Narrow" w:cstheme="minorHAnsi"/>
                <w:b/>
                <w:bCs/>
                <w:color w:val="222222"/>
                <w:sz w:val="20"/>
                <w:szCs w:val="20"/>
                <w:lang w:eastAsia="en-IN"/>
              </w:rPr>
              <w:t>-2.77 mm (-3.23, -2.31)</w:t>
            </w:r>
          </w:p>
        </w:tc>
      </w:tr>
    </w:tbl>
    <w:p w14:paraId="10559B43" w14:textId="77777777" w:rsidR="003C4385" w:rsidRPr="005E7233" w:rsidRDefault="003C4385" w:rsidP="00601678">
      <w:pPr>
        <w:keepNext/>
        <w:keepLines/>
        <w:rPr>
          <w:rFonts w:ascii="Arial Narrow" w:eastAsiaTheme="minorHAnsi" w:hAnsi="Arial Narrow" w:cstheme="minorBidi"/>
          <w:bCs/>
          <w:sz w:val="18"/>
          <w:szCs w:val="18"/>
        </w:rPr>
      </w:pPr>
      <w:r w:rsidRPr="005E7233">
        <w:rPr>
          <w:rFonts w:ascii="Arial Narrow" w:eastAsiaTheme="minorHAnsi" w:hAnsi="Arial Narrow" w:cstheme="minorBidi"/>
          <w:bCs/>
          <w:sz w:val="18"/>
          <w:szCs w:val="18"/>
        </w:rPr>
        <w:t>Source: Table 2-26, p95 and Table 2-55, p123 of the submission, and Figure 2-17, p133, and Figure 2-18, p133 of the submission.</w:t>
      </w:r>
    </w:p>
    <w:p w14:paraId="4372067E" w14:textId="039550E7" w:rsidR="00ED4A7B" w:rsidRPr="005E7233" w:rsidRDefault="00ED4A7B" w:rsidP="00601678">
      <w:pPr>
        <w:keepNext/>
        <w:keepLines/>
        <w:rPr>
          <w:rFonts w:ascii="Arial Narrow" w:eastAsiaTheme="minorHAnsi" w:hAnsi="Arial Narrow"/>
          <w:sz w:val="18"/>
          <w:szCs w:val="18"/>
        </w:rPr>
      </w:pPr>
      <w:r w:rsidRPr="005E7233">
        <w:rPr>
          <w:rFonts w:ascii="Arial Narrow" w:eastAsiaTheme="minorHAnsi" w:hAnsi="Arial Narrow"/>
          <w:sz w:val="18"/>
          <w:szCs w:val="18"/>
        </w:rPr>
        <w:t>CI = confidence interval; OR = odd ratio; PBO = placebo; RD = risk difference; RR = risk ratio;</w:t>
      </w:r>
      <w:r w:rsidR="00CD1457" w:rsidRPr="005E7233">
        <w:rPr>
          <w:rFonts w:ascii="Arial Narrow" w:eastAsiaTheme="minorHAnsi" w:hAnsi="Arial Narrow" w:cstheme="minorBidi"/>
          <w:sz w:val="18"/>
          <w:szCs w:val="18"/>
        </w:rPr>
        <w:t xml:space="preserve"> SD = standard deviation</w:t>
      </w:r>
    </w:p>
    <w:p w14:paraId="086FF0E2" w14:textId="5CCF1BB7" w:rsidR="00ED4A7B" w:rsidRPr="005E7233" w:rsidRDefault="00ED4A7B" w:rsidP="00601678">
      <w:pPr>
        <w:keepNext/>
        <w:keepLines/>
        <w:rPr>
          <w:rFonts w:ascii="Arial Narrow" w:eastAsiaTheme="minorHAnsi" w:hAnsi="Arial Narrow" w:cstheme="minorBidi"/>
          <w:sz w:val="18"/>
          <w:szCs w:val="18"/>
        </w:rPr>
      </w:pPr>
      <w:r w:rsidRPr="005E7233">
        <w:rPr>
          <w:rFonts w:ascii="Arial Narrow" w:eastAsiaTheme="minorHAnsi" w:hAnsi="Arial Narrow" w:cstheme="minorBidi"/>
          <w:sz w:val="18"/>
          <w:szCs w:val="18"/>
        </w:rPr>
        <w:t>* The results for the teprotumumab trial were reported at 24 weeks</w:t>
      </w:r>
      <w:r w:rsidR="003C4385" w:rsidRPr="005E7233">
        <w:rPr>
          <w:rFonts w:ascii="Arial Narrow" w:eastAsiaTheme="minorHAnsi" w:hAnsi="Arial Narrow" w:cstheme="minorBidi"/>
          <w:sz w:val="18"/>
          <w:szCs w:val="18"/>
        </w:rPr>
        <w:t xml:space="preserve"> and for placebo at week 12 (Douglas et al, 2022) </w:t>
      </w:r>
    </w:p>
    <w:p w14:paraId="591C8D6C" w14:textId="3E5D854E" w:rsidR="003C4385" w:rsidRPr="005E7233" w:rsidRDefault="00ED4A7B" w:rsidP="003C4385">
      <w:pPr>
        <w:rPr>
          <w:rFonts w:ascii="Arial Narrow" w:eastAsiaTheme="minorHAnsi" w:hAnsi="Arial Narrow"/>
          <w:sz w:val="18"/>
          <w:szCs w:val="18"/>
        </w:rPr>
      </w:pPr>
      <w:r w:rsidRPr="005E7233">
        <w:rPr>
          <w:rFonts w:ascii="Arial Narrow" w:eastAsiaTheme="minorHAnsi" w:hAnsi="Arial Narrow"/>
          <w:b/>
          <w:sz w:val="18"/>
          <w:szCs w:val="18"/>
        </w:rPr>
        <w:t>Bold</w:t>
      </w:r>
      <w:r w:rsidRPr="005E7233">
        <w:rPr>
          <w:rFonts w:ascii="Arial Narrow" w:eastAsiaTheme="minorHAnsi" w:hAnsi="Arial Narrow"/>
          <w:sz w:val="18"/>
          <w:szCs w:val="18"/>
        </w:rPr>
        <w:t xml:space="preserve"> = statistically significant.</w:t>
      </w:r>
    </w:p>
    <w:p w14:paraId="1730D756" w14:textId="53E4DBDA" w:rsidR="00ED4A7B" w:rsidRPr="005E7233" w:rsidRDefault="00ED4A7B" w:rsidP="00ED4A7B">
      <w:pPr>
        <w:pStyle w:val="3-BodyText"/>
      </w:pPr>
      <w:r w:rsidRPr="005E7233">
        <w:t xml:space="preserve">On the basis of </w:t>
      </w:r>
      <w:r w:rsidR="00C5665D" w:rsidRPr="005E7233">
        <w:t>pooled results from the teprotumumab trials TEDRV01 and OPTIC</w:t>
      </w:r>
      <w:r w:rsidR="00F27979" w:rsidRPr="005E7233">
        <w:t>, as derived from Kahaly et al., 2021</w:t>
      </w:r>
      <w:r w:rsidR="00F27979" w:rsidRPr="005E7233">
        <w:rPr>
          <w:rStyle w:val="FootnoteReference"/>
        </w:rPr>
        <w:footnoteReference w:id="27"/>
      </w:r>
      <w:r w:rsidR="00F27979" w:rsidRPr="005E7233">
        <w:t xml:space="preserve"> and</w:t>
      </w:r>
      <w:r w:rsidR="00C5665D" w:rsidRPr="005E7233">
        <w:t xml:space="preserve"> </w:t>
      </w:r>
      <w:r w:rsidRPr="005E7233">
        <w:t xml:space="preserve">presented by the submission, </w:t>
      </w:r>
      <w:r w:rsidR="00BA29EF" w:rsidRPr="005E7233">
        <w:t xml:space="preserve">patients with MS </w:t>
      </w:r>
      <w:r w:rsidR="00A35764" w:rsidRPr="005E7233">
        <w:t>TED treated with teprotumumab</w:t>
      </w:r>
      <w:r w:rsidR="003655B3" w:rsidRPr="005E7233">
        <w:t xml:space="preserve"> in comparison to </w:t>
      </w:r>
      <w:r w:rsidR="00B165AC" w:rsidRPr="005E7233">
        <w:t>placebo</w:t>
      </w:r>
      <w:r w:rsidR="003655B3" w:rsidRPr="005E7233">
        <w:t>, over 24 weeks would on average experience:</w:t>
      </w:r>
    </w:p>
    <w:p w14:paraId="47C1CDAB" w14:textId="180929A3" w:rsidR="00ED4A7B" w:rsidRPr="005E7233" w:rsidRDefault="00ED4A7B" w:rsidP="00601678">
      <w:pPr>
        <w:pStyle w:val="ListParagraph"/>
        <w:ind w:left="1134"/>
        <w:jc w:val="both"/>
      </w:pPr>
      <w:r w:rsidRPr="005E7233">
        <w:rPr>
          <w:snapToGrid/>
        </w:rPr>
        <w:t>Approximately a 2.</w:t>
      </w:r>
      <w:r w:rsidR="00B165AC" w:rsidRPr="005E7233">
        <w:t>77</w:t>
      </w:r>
      <w:r w:rsidR="006D10C3" w:rsidRPr="005E7233">
        <w:rPr>
          <w:snapToGrid/>
        </w:rPr>
        <w:t xml:space="preserve"> </w:t>
      </w:r>
      <w:r w:rsidRPr="005E7233">
        <w:rPr>
          <w:snapToGrid/>
        </w:rPr>
        <w:t xml:space="preserve">mm </w:t>
      </w:r>
      <w:r w:rsidR="00EE2CE1" w:rsidRPr="005E7233">
        <w:t xml:space="preserve">greater </w:t>
      </w:r>
      <w:r w:rsidRPr="005E7233">
        <w:rPr>
          <w:snapToGrid/>
        </w:rPr>
        <w:t>reduction of proptosis</w:t>
      </w:r>
      <w:r w:rsidR="00E70300" w:rsidRPr="005E7233">
        <w:t>.</w:t>
      </w:r>
    </w:p>
    <w:p w14:paraId="7676EBB1" w14:textId="328F08D7" w:rsidR="002D4ED2" w:rsidRPr="005E7233" w:rsidRDefault="00642645" w:rsidP="00FA118A">
      <w:pPr>
        <w:pStyle w:val="3-BodyText"/>
        <w:numPr>
          <w:ilvl w:val="0"/>
          <w:numId w:val="0"/>
        </w:numPr>
        <w:ind w:left="720"/>
      </w:pPr>
      <w:r w:rsidRPr="005E7233">
        <w:t>F</w:t>
      </w:r>
      <w:r w:rsidR="002D4ED2" w:rsidRPr="005E7233">
        <w:t>or every 100 patients</w:t>
      </w:r>
      <w:r w:rsidR="0070553B" w:rsidRPr="005E7233">
        <w:t xml:space="preserve"> with</w:t>
      </w:r>
      <w:r w:rsidR="002D4ED2" w:rsidRPr="005E7233">
        <w:t xml:space="preserve"> MS TED treated with teprotumumab in comparison to </w:t>
      </w:r>
      <w:r w:rsidR="00B165AC" w:rsidRPr="005E7233">
        <w:t>placebo</w:t>
      </w:r>
      <w:r w:rsidR="002D4ED2" w:rsidRPr="005E7233">
        <w:t>,</w:t>
      </w:r>
      <w:r w:rsidR="00D3784C" w:rsidRPr="005E7233">
        <w:t xml:space="preserve"> over 24 weeks:</w:t>
      </w:r>
    </w:p>
    <w:p w14:paraId="70FBE146" w14:textId="7B480CBC" w:rsidR="00ED4A7B" w:rsidRPr="005E7233" w:rsidRDefault="00ED4A7B" w:rsidP="00601678">
      <w:pPr>
        <w:pStyle w:val="ListParagraph"/>
        <w:ind w:left="1134"/>
        <w:jc w:val="both"/>
      </w:pPr>
      <w:r w:rsidRPr="005E7233">
        <w:rPr>
          <w:snapToGrid/>
        </w:rPr>
        <w:t xml:space="preserve">Approximately </w:t>
      </w:r>
      <w:r w:rsidR="00B165AC" w:rsidRPr="005E7233">
        <w:rPr>
          <w:snapToGrid/>
        </w:rPr>
        <w:t>39</w:t>
      </w:r>
      <w:r w:rsidR="009D50A4" w:rsidRPr="005E7233">
        <w:rPr>
          <w:snapToGrid/>
        </w:rPr>
        <w:t xml:space="preserve"> </w:t>
      </w:r>
      <w:r w:rsidRPr="005E7233">
        <w:rPr>
          <w:snapToGrid/>
        </w:rPr>
        <w:t xml:space="preserve">more patients </w:t>
      </w:r>
      <w:r w:rsidR="00186834" w:rsidRPr="005E7233">
        <w:rPr>
          <w:snapToGrid/>
        </w:rPr>
        <w:t xml:space="preserve">would experience </w:t>
      </w:r>
      <w:r w:rsidRPr="005E7233">
        <w:rPr>
          <w:snapToGrid/>
        </w:rPr>
        <w:t>improvement in diplopia of ≥1 grade</w:t>
      </w:r>
      <w:r w:rsidR="00D52BEF" w:rsidRPr="005E7233">
        <w:rPr>
          <w:snapToGrid/>
        </w:rPr>
        <w:t>.</w:t>
      </w:r>
    </w:p>
    <w:p w14:paraId="09FE3790" w14:textId="77777777" w:rsidR="00ED4A7B" w:rsidRPr="005E7233" w:rsidRDefault="00ED4A7B" w:rsidP="00ED4A7B">
      <w:pPr>
        <w:pStyle w:val="4-SubsectionHeading"/>
      </w:pPr>
      <w:bookmarkStart w:id="67" w:name="_Toc22897644"/>
      <w:bookmarkStart w:id="68" w:name="_Toc187681851"/>
      <w:bookmarkStart w:id="69" w:name="_Toc187759718"/>
      <w:r w:rsidRPr="005E7233">
        <w:t>Clinical claim</w:t>
      </w:r>
      <w:bookmarkEnd w:id="67"/>
      <w:bookmarkEnd w:id="68"/>
      <w:bookmarkEnd w:id="69"/>
    </w:p>
    <w:p w14:paraId="78A64FF9" w14:textId="71A87C2D" w:rsidR="00ED4A7B" w:rsidRPr="005E7233" w:rsidRDefault="00ED4A7B" w:rsidP="00ED4A7B">
      <w:pPr>
        <w:pStyle w:val="3-BodyText"/>
        <w:rPr>
          <w:rFonts w:eastAsia="Calibri"/>
        </w:rPr>
      </w:pPr>
      <w:r w:rsidRPr="005E7233">
        <w:rPr>
          <w:rFonts w:eastAsia="Calibri"/>
        </w:rPr>
        <w:t xml:space="preserve">The submission described teprotumumab as superior in terms of effectiveness compared to SoC comprising of IVMP with or without MMF in the 1L setting and tocilizumab in the 2L setting. </w:t>
      </w:r>
    </w:p>
    <w:p w14:paraId="10CFAFEB" w14:textId="252803C3" w:rsidR="00953C73" w:rsidRPr="005E7233" w:rsidRDefault="00ED4A7B" w:rsidP="733957FC">
      <w:pPr>
        <w:pStyle w:val="3-BodyText"/>
        <w:rPr>
          <w:rFonts w:eastAsia="Calibri"/>
        </w:rPr>
      </w:pPr>
      <w:bookmarkStart w:id="70" w:name="_Ref187683068"/>
      <w:bookmarkStart w:id="71" w:name="_Ref195420294"/>
      <w:r w:rsidRPr="005E7233">
        <w:rPr>
          <w:rFonts w:eastAsia="Calibri"/>
        </w:rPr>
        <w:t xml:space="preserve">The </w:t>
      </w:r>
      <w:r w:rsidR="00C568EF" w:rsidRPr="005E7233">
        <w:rPr>
          <w:rFonts w:eastAsia="Calibri"/>
        </w:rPr>
        <w:t>ESC</w:t>
      </w:r>
      <w:r w:rsidR="00DE2E26" w:rsidRPr="005E7233">
        <w:rPr>
          <w:rFonts w:eastAsia="Calibri"/>
        </w:rPr>
        <w:t xml:space="preserve"> considered the </w:t>
      </w:r>
      <w:r w:rsidRPr="005E7233">
        <w:rPr>
          <w:rFonts w:eastAsia="Calibri"/>
        </w:rPr>
        <w:t xml:space="preserve">claim of superior efficacy for teprotumumab over IVMP with or without MMF </w:t>
      </w:r>
      <w:r w:rsidR="00905ECA" w:rsidRPr="005E7233">
        <w:rPr>
          <w:rFonts w:eastAsia="Calibri"/>
        </w:rPr>
        <w:t>was uncertain</w:t>
      </w:r>
      <w:r w:rsidRPr="005E7233">
        <w:rPr>
          <w:rFonts w:eastAsia="Calibri"/>
        </w:rPr>
        <w:t xml:space="preserve">. The presented MAIC had a number of issues that resulted in considerable uncertainty in the estimate of effectiveness of teprotumumab vs IVMP. </w:t>
      </w:r>
      <w:r w:rsidRPr="005E7233">
        <w:t>The MAIC results for diplopia outcomes showed that teprotumumab was associated with greater odds of diplopia response compared to IVMP (OR:</w:t>
      </w:r>
      <w:r w:rsidR="001924CE" w:rsidRPr="005E7233">
        <w:t xml:space="preserve"> </w:t>
      </w:r>
      <w:r w:rsidRPr="005E7233">
        <w:t xml:space="preserve">2.32, 95% CI: 1.07, 5.03) and that teprotumumab was associated with a statistically significantly greater change from baseline in proptosis compared with IVMP (MD, </w:t>
      </w:r>
      <w:r w:rsidR="00940A62" w:rsidRPr="005E7233">
        <w:t>-</w:t>
      </w:r>
      <w:r w:rsidRPr="005E7233">
        <w:t xml:space="preserve">2.31 mm; 95% CI: </w:t>
      </w:r>
      <w:r w:rsidR="00940A62" w:rsidRPr="005E7233">
        <w:t>-</w:t>
      </w:r>
      <w:r w:rsidRPr="005E7233">
        <w:t xml:space="preserve">3.45, </w:t>
      </w:r>
      <w:r w:rsidR="00940A62" w:rsidRPr="005E7233">
        <w:t>-</w:t>
      </w:r>
      <w:r w:rsidRPr="005E7233">
        <w:t xml:space="preserve">1.17). Although the results of the MAIC indicated that teprotumumab was </w:t>
      </w:r>
      <w:r w:rsidRPr="005E7233">
        <w:lastRenderedPageBreak/>
        <w:t>superior to IVMP for the treatment of active MS TED, the lack of a common comparator arm, the limited adjustments for covariates, the reduction in effective sample size, and the differences in study design introduce</w:t>
      </w:r>
      <w:r w:rsidR="005801D8" w:rsidRPr="005E7233">
        <w:t>d</w:t>
      </w:r>
      <w:r w:rsidRPr="005E7233">
        <w:t xml:space="preserve"> bias. </w:t>
      </w:r>
      <w:r w:rsidRPr="005E7233">
        <w:rPr>
          <w:rFonts w:eastAsia="Calibri"/>
        </w:rPr>
        <w:t>Additionally, none of the IVMP studies included MMF as a treatment and so this comparison was not representative of SoC in Australia.</w:t>
      </w:r>
      <w:bookmarkEnd w:id="70"/>
      <w:r w:rsidR="006E7174" w:rsidRPr="005E7233">
        <w:rPr>
          <w:rFonts w:eastAsia="Calibri"/>
        </w:rPr>
        <w:t xml:space="preserve"> </w:t>
      </w:r>
      <w:r w:rsidR="00431D9F" w:rsidRPr="005E7233">
        <w:t xml:space="preserve">Furthermore, the ESC noted that the unanchored MAIC concluded that IVMP is no </w:t>
      </w:r>
      <w:r w:rsidR="00D16241" w:rsidRPr="005E7233">
        <w:t>more effective</w:t>
      </w:r>
      <w:r w:rsidR="00431D9F" w:rsidRPr="005E7233">
        <w:t xml:space="preserve"> than placebo</w:t>
      </w:r>
      <w:r w:rsidR="00573754" w:rsidRPr="005E7233">
        <w:t xml:space="preserve"> and that this may have been due to the timing </w:t>
      </w:r>
      <w:r w:rsidR="009C09A8" w:rsidRPr="005E7233">
        <w:t xml:space="preserve">of treatment as well as </w:t>
      </w:r>
      <w:r w:rsidR="00673375" w:rsidRPr="005E7233">
        <w:t xml:space="preserve">the </w:t>
      </w:r>
      <w:r w:rsidR="009C09A8" w:rsidRPr="005E7233">
        <w:t>IVMP dose. The ESC</w:t>
      </w:r>
      <w:r w:rsidR="00431D9F" w:rsidRPr="005E7233">
        <w:t xml:space="preserve"> therefore considered that it may not provide a reliable basis for comparisons to teprotumumab.</w:t>
      </w:r>
      <w:r w:rsidR="008712A0" w:rsidRPr="005E7233">
        <w:t xml:space="preserve"> Overall</w:t>
      </w:r>
      <w:r w:rsidR="00673375" w:rsidRPr="005E7233">
        <w:t>,</w:t>
      </w:r>
      <w:r w:rsidR="008712A0" w:rsidRPr="005E7233">
        <w:t xml:space="preserve"> the ESC considered that </w:t>
      </w:r>
      <w:r w:rsidR="009A5D86" w:rsidRPr="005E7233">
        <w:t xml:space="preserve">the MAIC </w:t>
      </w:r>
      <w:r w:rsidR="0081780B">
        <w:t xml:space="preserve">was unreliable and </w:t>
      </w:r>
      <w:r w:rsidR="009A5D86" w:rsidRPr="005E7233">
        <w:t>did not adequately account for the complexity of treatment of thyroid eye disease.</w:t>
      </w:r>
      <w:bookmarkEnd w:id="71"/>
    </w:p>
    <w:p w14:paraId="6ED11CB2" w14:textId="170AE0DC" w:rsidR="00775529" w:rsidRPr="005E7233" w:rsidRDefault="00953C73" w:rsidP="733957FC">
      <w:pPr>
        <w:pStyle w:val="3-BodyText"/>
      </w:pPr>
      <w:bookmarkStart w:id="72" w:name="_Ref195419636"/>
      <w:r w:rsidRPr="005E7233">
        <w:t xml:space="preserve">The ESC noted that the PSCR </w:t>
      </w:r>
      <w:r w:rsidR="002D38AC" w:rsidRPr="005E7233">
        <w:t>stated</w:t>
      </w:r>
      <w:r w:rsidRPr="005E7233">
        <w:t xml:space="preserve"> that there </w:t>
      </w:r>
      <w:r w:rsidR="002D38AC" w:rsidRPr="005E7233">
        <w:t>was</w:t>
      </w:r>
      <w:r w:rsidRPr="005E7233">
        <w:t xml:space="preserve"> one comparative study comparing IVMP+MMF with IVMP (Kahaly et. al. 2018)</w:t>
      </w:r>
      <w:r w:rsidR="00DD1336" w:rsidRPr="005E7233">
        <w:t xml:space="preserve"> and that </w:t>
      </w:r>
      <w:r w:rsidRPr="005E7233">
        <w:t>this study showed that the response to treatment at 12 weeks was not statistically different between the two arms (OR: 1.76</w:t>
      </w:r>
      <w:r w:rsidR="006F5DB8" w:rsidRPr="005E7233">
        <w:t xml:space="preserve">, 95% CI: </w:t>
      </w:r>
      <w:r w:rsidRPr="005E7233">
        <w:t xml:space="preserve">0.92, 3.39; p=0.089). The PSCR argued that as there is no evidence of a statistically significant difference between IVMP and IVMP+MMF, the comparison between IVMP and teprotumumab is reflective of any comparison between IVMP+MMF and teprotumumab. </w:t>
      </w:r>
      <w:r w:rsidR="00DD1336" w:rsidRPr="005E7233">
        <w:t xml:space="preserve">The PSCR </w:t>
      </w:r>
      <w:r w:rsidR="005C7A88" w:rsidRPr="005E7233">
        <w:t>stated that this was reflective of</w:t>
      </w:r>
      <w:r w:rsidRPr="005E7233">
        <w:t xml:space="preserve"> the ETA/ATA guidelines (Burch et. al. 2022)</w:t>
      </w:r>
      <w:r w:rsidR="005C7A88" w:rsidRPr="005E7233">
        <w:t xml:space="preserve"> which</w:t>
      </w:r>
      <w:r w:rsidR="00C51BDA" w:rsidRPr="005E7233">
        <w:t xml:space="preserve"> also state</w:t>
      </w:r>
      <w:r w:rsidRPr="005E7233">
        <w:t xml:space="preserve"> there is no difference between IVMP and IVMP+MMF. </w:t>
      </w:r>
      <w:r w:rsidR="00ED4FCB" w:rsidRPr="005E7233">
        <w:t xml:space="preserve">The ESC considered that the comparative effect of teprotumumab versus IVMP+MMF and the added benefit of MMF was difficult to quantify with the available evidence. </w:t>
      </w:r>
      <w:r w:rsidR="00C51BDA" w:rsidRPr="005E7233">
        <w:t>The ESC</w:t>
      </w:r>
      <w:r w:rsidR="00D0272D" w:rsidRPr="005E7233">
        <w:t xml:space="preserve"> noted that a network meta-</w:t>
      </w:r>
      <w:r w:rsidR="001103BC" w:rsidRPr="005E7233">
        <w:t>analysis</w:t>
      </w:r>
      <w:r w:rsidR="0068429A" w:rsidRPr="005E7233">
        <w:t xml:space="preserve"> (NMA) </w:t>
      </w:r>
      <w:r w:rsidR="001103BC" w:rsidRPr="005E7233">
        <w:t xml:space="preserve">suggested there </w:t>
      </w:r>
      <w:r w:rsidR="009260C7" w:rsidRPr="005E7233">
        <w:t>may be</w:t>
      </w:r>
      <w:r w:rsidR="001103BC" w:rsidRPr="005E7233">
        <w:t xml:space="preserve"> a small effect</w:t>
      </w:r>
      <w:r w:rsidRPr="005E7233">
        <w:rPr>
          <w:rStyle w:val="FootnoteReference"/>
        </w:rPr>
        <w:footnoteReference w:id="28"/>
      </w:r>
      <w:r w:rsidR="001103BC" w:rsidRPr="005E7233">
        <w:t>.</w:t>
      </w:r>
      <w:bookmarkEnd w:id="72"/>
    </w:p>
    <w:p w14:paraId="1F56FA4C" w14:textId="4C280D27" w:rsidR="00ED4A7B" w:rsidRPr="00596AB7" w:rsidRDefault="008A620C" w:rsidP="00596AB7">
      <w:pPr>
        <w:pStyle w:val="3-BodyText"/>
      </w:pPr>
      <w:r w:rsidRPr="005E7233">
        <w:rPr>
          <w:rFonts w:eastAsia="Calibri"/>
        </w:rPr>
        <w:t xml:space="preserve">The ESC noted that the </w:t>
      </w:r>
      <w:r w:rsidR="00E84ED2" w:rsidRPr="005E7233">
        <w:rPr>
          <w:rFonts w:eastAsia="Calibri"/>
        </w:rPr>
        <w:t xml:space="preserve">relative benefit of treatment </w:t>
      </w:r>
      <w:r w:rsidR="000C3F91" w:rsidRPr="005E7233">
        <w:t>appeared to vary according to the clinical outcome measured</w:t>
      </w:r>
      <w:r w:rsidR="009267FE" w:rsidRPr="005E7233">
        <w:t xml:space="preserve"> and methodological approach</w:t>
      </w:r>
      <w:r w:rsidR="000C3F91" w:rsidRPr="005E7233">
        <w:t>.</w:t>
      </w:r>
      <w:r w:rsidR="00720E94" w:rsidRPr="005E7233">
        <w:t xml:space="preserve"> </w:t>
      </w:r>
      <w:r w:rsidR="004F0693" w:rsidRPr="005E7233">
        <w:t>Based on the Li 2022</w:t>
      </w:r>
      <w:r w:rsidR="00F16A77" w:rsidRPr="005E7233">
        <w:rPr>
          <w:rStyle w:val="FootnoteReference"/>
        </w:rPr>
        <w:footnoteReference w:id="29"/>
      </w:r>
      <w:r w:rsidR="004F0693" w:rsidRPr="005E7233">
        <w:t xml:space="preserve"> </w:t>
      </w:r>
      <w:r w:rsidR="00721B15" w:rsidRPr="005E7233">
        <w:t>network meta-analysis</w:t>
      </w:r>
      <w:r w:rsidR="00490E36" w:rsidRPr="005E7233">
        <w:t xml:space="preserve">, the </w:t>
      </w:r>
      <w:r w:rsidR="003E2F63" w:rsidRPr="005E7233">
        <w:t>benefit of</w:t>
      </w:r>
      <w:r w:rsidR="004F0693" w:rsidRPr="005E7233">
        <w:t xml:space="preserve"> </w:t>
      </w:r>
      <w:r w:rsidR="005E484A" w:rsidRPr="005E7233">
        <w:rPr>
          <w:rFonts w:eastAsia="Calibri"/>
        </w:rPr>
        <w:t xml:space="preserve">teprotumumab over IVMP </w:t>
      </w:r>
      <w:r w:rsidR="00C60CB4" w:rsidRPr="005E7233">
        <w:rPr>
          <w:rFonts w:eastAsia="Calibri"/>
        </w:rPr>
        <w:t xml:space="preserve">in the 1L setting </w:t>
      </w:r>
      <w:r w:rsidR="00AE6312" w:rsidRPr="005E7233">
        <w:rPr>
          <w:rFonts w:eastAsia="Calibri"/>
        </w:rPr>
        <w:t xml:space="preserve">appeared to relate </w:t>
      </w:r>
      <w:r w:rsidR="00CA27C6" w:rsidRPr="005E7233">
        <w:rPr>
          <w:rFonts w:eastAsia="Calibri"/>
        </w:rPr>
        <w:t>to change in</w:t>
      </w:r>
      <w:r w:rsidR="00C71C73" w:rsidRPr="005E7233">
        <w:rPr>
          <w:rFonts w:eastAsia="Calibri"/>
        </w:rPr>
        <w:t xml:space="preserve"> proptosis</w:t>
      </w:r>
      <w:r w:rsidR="004A264F" w:rsidRPr="005E7233">
        <w:t>, while the Alves Junior 2024 meta-analysis</w:t>
      </w:r>
      <w:r w:rsidR="004A264F" w:rsidRPr="005E7233">
        <w:rPr>
          <w:rStyle w:val="FootnoteReference"/>
        </w:rPr>
        <w:footnoteReference w:id="30"/>
      </w:r>
      <w:r w:rsidR="004A264F" w:rsidRPr="005E7233">
        <w:t xml:space="preserve"> (for treatment &lt;6 months of disease duration) suggested the benefit was driven by diplopia. In both these analyses no difference in change in CAS was demonstrated between these two therapies.</w:t>
      </w:r>
      <w:r w:rsidR="00CD51F1">
        <w:t xml:space="preserve"> </w:t>
      </w:r>
      <w:r w:rsidR="00FA786C">
        <w:t xml:space="preserve">The Pre-PBAC response </w:t>
      </w:r>
      <w:r w:rsidR="00A50745">
        <w:t xml:space="preserve">noted that the lack of a difference in CAS reduction between teprotumumab and IVMP is not unexpected, as IVMP is an effective anti-inflammatory treatment. </w:t>
      </w:r>
      <w:r w:rsidR="00FC6DE0">
        <w:t xml:space="preserve">The Response stated that </w:t>
      </w:r>
      <w:r w:rsidR="00A50745">
        <w:t xml:space="preserve">CAS is a composite outcome which includes changes in pain, swelling (chemosis), redness, bloodshot eyes (conjunctival injection), and inflammation of the caruncle or plica. </w:t>
      </w:r>
      <w:r w:rsidR="00F674F3">
        <w:t xml:space="preserve">The </w:t>
      </w:r>
      <w:r w:rsidR="00F674F3">
        <w:lastRenderedPageBreak/>
        <w:t xml:space="preserve">Response also stated that while </w:t>
      </w:r>
      <w:r w:rsidR="00A50745">
        <w:t xml:space="preserve">CAS is an established tool used to assess disease activity, it is not applicable for a comparative efficacy analysis because CAS assigns equal weight to each component of the score, which is not reflective of their clinical value to patients </w:t>
      </w:r>
      <w:r w:rsidR="00F656E5">
        <w:t>or</w:t>
      </w:r>
      <w:r w:rsidR="00A50745">
        <w:t xml:space="preserve"> clinicians. </w:t>
      </w:r>
      <w:r w:rsidR="00596AB7">
        <w:t xml:space="preserve">The Response also </w:t>
      </w:r>
      <w:r w:rsidR="00C02A2E">
        <w:t>stated that there were</w:t>
      </w:r>
      <w:r w:rsidR="00596AB7">
        <w:t xml:space="preserve"> </w:t>
      </w:r>
      <w:r w:rsidR="00EB2921">
        <w:t xml:space="preserve">a number of </w:t>
      </w:r>
      <w:r w:rsidR="00596AB7">
        <w:t xml:space="preserve">limitations associated with </w:t>
      </w:r>
      <w:r w:rsidR="00EB2921">
        <w:t xml:space="preserve">the </w:t>
      </w:r>
      <w:r w:rsidR="00A50745">
        <w:t>Li et al (2022) and Alves Junior (2024)</w:t>
      </w:r>
      <w:r w:rsidR="00EB2921">
        <w:t xml:space="preserve"> studies</w:t>
      </w:r>
      <w:r w:rsidR="00596AB7">
        <w:t>, however noted that</w:t>
      </w:r>
      <w:r w:rsidR="00A50745">
        <w:t xml:space="preserve"> </w:t>
      </w:r>
      <w:r w:rsidR="00596AB7">
        <w:t xml:space="preserve">the </w:t>
      </w:r>
      <w:r w:rsidR="00A50745">
        <w:t>result</w:t>
      </w:r>
      <w:r w:rsidR="00596AB7">
        <w:t>s</w:t>
      </w:r>
      <w:r w:rsidR="00A50745">
        <w:t xml:space="preserve"> </w:t>
      </w:r>
      <w:r w:rsidR="001054E2">
        <w:t xml:space="preserve">of both studies demonstrated that </w:t>
      </w:r>
      <w:r w:rsidR="00A50745">
        <w:t>teprotumumab is superio</w:t>
      </w:r>
      <w:r w:rsidR="001054E2">
        <w:t xml:space="preserve">r, </w:t>
      </w:r>
      <w:r w:rsidR="00A50745">
        <w:t>in terms of proptosis reduction and diplopia improvement</w:t>
      </w:r>
      <w:r w:rsidR="001054E2">
        <w:t xml:space="preserve">, compared </w:t>
      </w:r>
      <w:r w:rsidR="00A50745">
        <w:t>to IVMP in the 1L setting</w:t>
      </w:r>
      <w:r w:rsidR="00EB2921">
        <w:t>.</w:t>
      </w:r>
    </w:p>
    <w:p w14:paraId="61D5AF02" w14:textId="551340C2" w:rsidR="00233FE6" w:rsidRPr="005E7233" w:rsidRDefault="00ED4A7B" w:rsidP="733957FC">
      <w:pPr>
        <w:pStyle w:val="3-BodyText"/>
        <w:rPr>
          <w:rFonts w:eastAsia="Calibri"/>
        </w:rPr>
      </w:pPr>
      <w:bookmarkStart w:id="73" w:name="_Ref195423717"/>
      <w:r w:rsidRPr="005E7233">
        <w:rPr>
          <w:rFonts w:eastAsia="Calibri"/>
        </w:rPr>
        <w:t xml:space="preserve">The </w:t>
      </w:r>
      <w:r w:rsidR="002831F9" w:rsidRPr="005E7233">
        <w:rPr>
          <w:rFonts w:eastAsia="Calibri"/>
        </w:rPr>
        <w:t xml:space="preserve">evaluation and the ESC considered the </w:t>
      </w:r>
      <w:r w:rsidRPr="005E7233">
        <w:rPr>
          <w:rFonts w:eastAsia="Calibri"/>
        </w:rPr>
        <w:t xml:space="preserve">claim of superior efficacy for teprotumumab over tocilizumab </w:t>
      </w:r>
      <w:r w:rsidR="00C60CB4" w:rsidRPr="005E7233">
        <w:rPr>
          <w:rFonts w:eastAsia="Calibri"/>
        </w:rPr>
        <w:t xml:space="preserve">in the 2L setting </w:t>
      </w:r>
      <w:r w:rsidRPr="005E7233">
        <w:rPr>
          <w:rFonts w:eastAsia="Calibri"/>
        </w:rPr>
        <w:t xml:space="preserve">was not adequately supported. The submission used a Bucher ITC to compare teprotumumab to tocilizumab using placebo as a common comparator. Using this method </w:t>
      </w:r>
      <w:r w:rsidRPr="005E7233">
        <w:t xml:space="preserve">the submission estimated the relative risk of proptosis response was 2.6 (95% CI: 1.25, 5.41) in favour of teprotumumab, and estimated that patients treated with tocilizumab are twice as likely to be non-responders compared with patients treated with teprotumumab (0.47, 95% CI: 0.34, 0.66) in terms of diplopia. However, all patients in the teprotumumab trial received teprotumumab as a 1L treatment while patients in the tocilizumab trial received the study drug as second-line treatment, subsequent to steroid resistance. Additionally, the results in the teprotumumab trials were measured at 24 weeks, whereas the tocilizumab results were measured </w:t>
      </w:r>
      <w:r w:rsidR="007C0EC6">
        <w:t xml:space="preserve">at </w:t>
      </w:r>
      <w:r w:rsidR="0027386B" w:rsidRPr="005E7233">
        <w:t>1</w:t>
      </w:r>
      <w:r w:rsidRPr="005E7233">
        <w:t xml:space="preserve">6 weeks. </w:t>
      </w:r>
      <w:r w:rsidR="0084181A" w:rsidRPr="005E7233">
        <w:t xml:space="preserve">The ESC further noted that the time to treatment also varied across the teprotumumab studies (~6 months) versus the tocilizumab studies (~1 year). </w:t>
      </w:r>
      <w:r w:rsidRPr="005E7233">
        <w:t>The</w:t>
      </w:r>
      <w:r w:rsidR="0084181A" w:rsidRPr="005E7233">
        <w:t xml:space="preserve"> ESC considered that these</w:t>
      </w:r>
      <w:r w:rsidRPr="005E7233">
        <w:t xml:space="preserve"> issues ma</w:t>
      </w:r>
      <w:r w:rsidR="0084181A" w:rsidRPr="005E7233">
        <w:t>d</w:t>
      </w:r>
      <w:r w:rsidRPr="005E7233">
        <w:t>e the results unreliable.</w:t>
      </w:r>
      <w:bookmarkEnd w:id="73"/>
      <w:r w:rsidR="00736B98" w:rsidRPr="005E7233">
        <w:t xml:space="preserve"> </w:t>
      </w:r>
    </w:p>
    <w:p w14:paraId="18B57B81" w14:textId="6960A5EA" w:rsidR="00735558" w:rsidRDefault="00892950" w:rsidP="00ED4A7B">
      <w:pPr>
        <w:pStyle w:val="3-BodyText"/>
        <w:rPr>
          <w:rFonts w:eastAsia="Calibri"/>
        </w:rPr>
      </w:pPr>
      <w:bookmarkStart w:id="74" w:name="_Ref191268488"/>
      <w:r w:rsidRPr="005E7233">
        <w:rPr>
          <w:rFonts w:cstheme="minorHAnsi"/>
        </w:rPr>
        <w:t>T</w:t>
      </w:r>
      <w:r w:rsidR="00736B98" w:rsidRPr="005E7233">
        <w:rPr>
          <w:rFonts w:cstheme="minorHAnsi"/>
        </w:rPr>
        <w:t xml:space="preserve">he ESC </w:t>
      </w:r>
      <w:r w:rsidR="00E34520" w:rsidRPr="005E7233">
        <w:rPr>
          <w:rFonts w:cstheme="minorHAnsi"/>
        </w:rPr>
        <w:t xml:space="preserve">noted that the submission had also presented </w:t>
      </w:r>
      <w:r w:rsidR="00736B98" w:rsidRPr="005E7233">
        <w:rPr>
          <w:rFonts w:cstheme="minorHAnsi"/>
        </w:rPr>
        <w:t>data</w:t>
      </w:r>
      <w:r w:rsidR="00E76ABB" w:rsidRPr="005E7233">
        <w:rPr>
          <w:rFonts w:cstheme="minorHAnsi"/>
        </w:rPr>
        <w:t xml:space="preserve"> reported </w:t>
      </w:r>
      <w:r w:rsidR="00FE11A4" w:rsidRPr="005E7233">
        <w:rPr>
          <w:rFonts w:cstheme="minorHAnsi"/>
        </w:rPr>
        <w:t>by</w:t>
      </w:r>
      <w:r w:rsidR="00E76ABB" w:rsidRPr="005E7233">
        <w:rPr>
          <w:rFonts w:cstheme="minorHAnsi"/>
        </w:rPr>
        <w:t xml:space="preserve"> Men et al. 2024 and Toro</w:t>
      </w:r>
      <w:r w:rsidR="00157100" w:rsidRPr="005E7233">
        <w:rPr>
          <w:rFonts w:cstheme="minorHAnsi"/>
        </w:rPr>
        <w:t xml:space="preserve"> </w:t>
      </w:r>
      <w:r w:rsidR="00E76ABB" w:rsidRPr="005E7233">
        <w:rPr>
          <w:rFonts w:cstheme="minorHAnsi"/>
        </w:rPr>
        <w:t>Tob</w:t>
      </w:r>
      <w:r w:rsidR="00157100" w:rsidRPr="005E7233">
        <w:rPr>
          <w:rFonts w:cstheme="minorHAnsi"/>
        </w:rPr>
        <w:t>o</w:t>
      </w:r>
      <w:r w:rsidR="002D290C" w:rsidRPr="005E7233">
        <w:rPr>
          <w:rFonts w:cstheme="minorHAnsi"/>
        </w:rPr>
        <w:t>n</w:t>
      </w:r>
      <w:r w:rsidR="00E76ABB" w:rsidRPr="005E7233">
        <w:rPr>
          <w:rFonts w:cstheme="minorHAnsi"/>
        </w:rPr>
        <w:t xml:space="preserve"> et al. 202</w:t>
      </w:r>
      <w:r w:rsidR="00157100" w:rsidRPr="005E7233">
        <w:rPr>
          <w:rFonts w:cstheme="minorHAnsi"/>
        </w:rPr>
        <w:t>3</w:t>
      </w:r>
      <w:r w:rsidR="008D0C93" w:rsidRPr="005E7233">
        <w:rPr>
          <w:rStyle w:val="FootnoteReference"/>
        </w:rPr>
        <w:footnoteReference w:id="31"/>
      </w:r>
      <w:r w:rsidR="00E76ABB" w:rsidRPr="005E7233">
        <w:rPr>
          <w:rFonts w:cstheme="minorHAnsi"/>
        </w:rPr>
        <w:t xml:space="preserve"> </w:t>
      </w:r>
      <w:r w:rsidR="00BA7631" w:rsidRPr="005E7233">
        <w:rPr>
          <w:rFonts w:cstheme="minorHAnsi"/>
        </w:rPr>
        <w:t>to support the use of teprotumumab</w:t>
      </w:r>
      <w:r w:rsidR="00E76ABB" w:rsidRPr="005E7233">
        <w:rPr>
          <w:rFonts w:cstheme="minorHAnsi"/>
        </w:rPr>
        <w:t xml:space="preserve"> in the 2L </w:t>
      </w:r>
      <w:r w:rsidR="00F549CE" w:rsidRPr="005E7233">
        <w:rPr>
          <w:rFonts w:cstheme="minorHAnsi"/>
        </w:rPr>
        <w:t>setting</w:t>
      </w:r>
      <w:r w:rsidR="008D0C93" w:rsidRPr="005E7233">
        <w:rPr>
          <w:rFonts w:cstheme="minorHAnsi"/>
        </w:rPr>
        <w:t xml:space="preserve"> (</w:t>
      </w:r>
      <w:r w:rsidR="00F73D7F" w:rsidRPr="005E7233">
        <w:rPr>
          <w:rFonts w:cstheme="minorHAnsi"/>
        </w:rPr>
        <w:t xml:space="preserve">also </w:t>
      </w:r>
      <w:r w:rsidR="00DB60E0" w:rsidRPr="005E7233">
        <w:rPr>
          <w:rFonts w:cstheme="minorHAnsi"/>
        </w:rPr>
        <w:t xml:space="preserve">see </w:t>
      </w:r>
      <w:r w:rsidR="008D0C93" w:rsidRPr="005E7233">
        <w:rPr>
          <w:rFonts w:cstheme="minorHAnsi"/>
        </w:rPr>
        <w:t xml:space="preserve">paragraph </w:t>
      </w:r>
      <w:r w:rsidR="00DB60E0" w:rsidRPr="005E7233">
        <w:rPr>
          <w:rFonts w:cstheme="minorHAnsi"/>
        </w:rPr>
        <w:fldChar w:fldCharType="begin"/>
      </w:r>
      <w:r w:rsidR="00DB60E0" w:rsidRPr="005E7233">
        <w:rPr>
          <w:rFonts w:cstheme="minorHAnsi"/>
        </w:rPr>
        <w:instrText xml:space="preserve"> REF _Ref191268370 \r \h </w:instrText>
      </w:r>
      <w:r w:rsidR="0066573D" w:rsidRPr="005E7233">
        <w:rPr>
          <w:rFonts w:cstheme="minorHAnsi"/>
        </w:rPr>
        <w:instrText xml:space="preserve"> \* MERGEFORMAT </w:instrText>
      </w:r>
      <w:r w:rsidR="00DB60E0" w:rsidRPr="005E7233">
        <w:rPr>
          <w:rFonts w:cstheme="minorHAnsi"/>
        </w:rPr>
      </w:r>
      <w:r w:rsidR="00DB60E0" w:rsidRPr="005E7233">
        <w:rPr>
          <w:rFonts w:cstheme="minorHAnsi"/>
        </w:rPr>
        <w:fldChar w:fldCharType="separate"/>
      </w:r>
      <w:r w:rsidR="0012101B">
        <w:rPr>
          <w:rFonts w:cstheme="minorHAnsi"/>
        </w:rPr>
        <w:t>3.5</w:t>
      </w:r>
      <w:r w:rsidR="00DB60E0" w:rsidRPr="005E7233">
        <w:rPr>
          <w:rFonts w:cstheme="minorHAnsi"/>
        </w:rPr>
        <w:fldChar w:fldCharType="end"/>
      </w:r>
      <w:r w:rsidR="00DB60E0" w:rsidRPr="005E7233">
        <w:rPr>
          <w:rFonts w:cstheme="minorHAnsi"/>
        </w:rPr>
        <w:t>)</w:t>
      </w:r>
      <w:r w:rsidR="008F0261" w:rsidRPr="005E7233">
        <w:rPr>
          <w:rFonts w:cstheme="minorHAnsi"/>
        </w:rPr>
        <w:t>.</w:t>
      </w:r>
      <w:r w:rsidR="00273B50" w:rsidRPr="005E7233">
        <w:rPr>
          <w:rFonts w:cstheme="minorHAnsi"/>
        </w:rPr>
        <w:t xml:space="preserve"> </w:t>
      </w:r>
      <w:r w:rsidR="008535DD" w:rsidRPr="005E7233">
        <w:rPr>
          <w:rFonts w:cstheme="minorHAnsi"/>
        </w:rPr>
        <w:t xml:space="preserve">The ESC noted that although the analysis by Toro Tobon et al. 2023 did not </w:t>
      </w:r>
      <w:r w:rsidR="00095C68" w:rsidRPr="005E7233">
        <w:rPr>
          <w:rFonts w:cstheme="minorHAnsi"/>
        </w:rPr>
        <w:t>report</w:t>
      </w:r>
      <w:r w:rsidR="006A680C" w:rsidRPr="005E7233">
        <w:rPr>
          <w:rFonts w:cstheme="minorHAnsi"/>
        </w:rPr>
        <w:t xml:space="preserve"> differences between the steroid naïve and steroid experienced patients treated with teprotumumab, that th</w:t>
      </w:r>
      <w:r w:rsidR="00091D6A" w:rsidRPr="005E7233">
        <w:rPr>
          <w:rFonts w:cstheme="minorHAnsi"/>
        </w:rPr>
        <w:t xml:space="preserve">e comparison was limited due to the </w:t>
      </w:r>
      <w:r w:rsidR="006A680C" w:rsidRPr="005E7233">
        <w:rPr>
          <w:rFonts w:cstheme="minorHAnsi"/>
        </w:rPr>
        <w:t>small numbers of patients in each arm</w:t>
      </w:r>
      <w:r w:rsidR="00095C68" w:rsidRPr="005E7233">
        <w:rPr>
          <w:rFonts w:cstheme="minorHAnsi"/>
        </w:rPr>
        <w:t>,</w:t>
      </w:r>
      <w:r w:rsidR="006A680C" w:rsidRPr="005E7233">
        <w:rPr>
          <w:rFonts w:cstheme="minorHAnsi"/>
        </w:rPr>
        <w:t xml:space="preserve"> as well as the inherent bias </w:t>
      </w:r>
      <w:r w:rsidR="00091D6A" w:rsidRPr="005E7233">
        <w:rPr>
          <w:rFonts w:cstheme="minorHAnsi"/>
        </w:rPr>
        <w:t xml:space="preserve">associated with </w:t>
      </w:r>
      <w:r w:rsidR="006A680C" w:rsidRPr="005E7233">
        <w:rPr>
          <w:rFonts w:cstheme="minorHAnsi"/>
        </w:rPr>
        <w:t>case-control studies</w:t>
      </w:r>
      <w:r w:rsidR="00091D6A" w:rsidRPr="005E7233">
        <w:rPr>
          <w:rFonts w:cstheme="minorHAnsi"/>
        </w:rPr>
        <w:t xml:space="preserve">. </w:t>
      </w:r>
      <w:r w:rsidR="00DE64ED" w:rsidRPr="005E7233">
        <w:rPr>
          <w:rFonts w:cstheme="minorHAnsi"/>
        </w:rPr>
        <w:t>T</w:t>
      </w:r>
      <w:r w:rsidR="00DB75B3" w:rsidRPr="005E7233">
        <w:rPr>
          <w:rFonts w:cstheme="minorHAnsi"/>
        </w:rPr>
        <w:t>he ESC noted t</w:t>
      </w:r>
      <w:r w:rsidR="00F549CE" w:rsidRPr="005E7233">
        <w:rPr>
          <w:rFonts w:cstheme="minorHAnsi"/>
        </w:rPr>
        <w:t xml:space="preserve">hat </w:t>
      </w:r>
      <w:r w:rsidR="00210A6A" w:rsidRPr="005E7233">
        <w:rPr>
          <w:rFonts w:cstheme="minorHAnsi"/>
        </w:rPr>
        <w:t>patients with recalcitrant disease</w:t>
      </w:r>
      <w:r w:rsidR="00DB75B3" w:rsidRPr="005E7233">
        <w:rPr>
          <w:rFonts w:cstheme="minorHAnsi"/>
        </w:rPr>
        <w:t xml:space="preserve"> treated with teprotumumab</w:t>
      </w:r>
      <w:r w:rsidR="00210A6A" w:rsidRPr="005E7233">
        <w:rPr>
          <w:rFonts w:cstheme="minorHAnsi"/>
        </w:rPr>
        <w:t xml:space="preserve"> </w:t>
      </w:r>
      <w:r w:rsidR="00663953" w:rsidRPr="005E7233">
        <w:rPr>
          <w:rFonts w:cstheme="minorHAnsi"/>
        </w:rPr>
        <w:t>in Men et al. 2024</w:t>
      </w:r>
      <w:r w:rsidR="008D0C93" w:rsidRPr="005E7233">
        <w:rPr>
          <w:rStyle w:val="FootnoteReference"/>
        </w:rPr>
        <w:footnoteReference w:id="32"/>
      </w:r>
      <w:r w:rsidR="00663953" w:rsidRPr="005E7233">
        <w:rPr>
          <w:rFonts w:cstheme="minorHAnsi"/>
        </w:rPr>
        <w:t xml:space="preserve"> </w:t>
      </w:r>
      <w:r w:rsidR="00FA093A" w:rsidRPr="005E7233">
        <w:rPr>
          <w:rFonts w:cstheme="minorHAnsi"/>
        </w:rPr>
        <w:t>had similar</w:t>
      </w:r>
      <w:r w:rsidR="0020575A" w:rsidRPr="005E7233">
        <w:rPr>
          <w:rFonts w:cstheme="minorHAnsi"/>
        </w:rPr>
        <w:t xml:space="preserve"> outcomes </w:t>
      </w:r>
      <w:r w:rsidR="00FA093A" w:rsidRPr="005E7233">
        <w:rPr>
          <w:rFonts w:cstheme="minorHAnsi"/>
        </w:rPr>
        <w:t xml:space="preserve">to those </w:t>
      </w:r>
      <w:r w:rsidR="00663953" w:rsidRPr="005E7233">
        <w:rPr>
          <w:rFonts w:cstheme="minorHAnsi"/>
        </w:rPr>
        <w:t xml:space="preserve">reported </w:t>
      </w:r>
      <w:r w:rsidR="0020575A" w:rsidRPr="005E7233">
        <w:rPr>
          <w:rFonts w:cstheme="minorHAnsi"/>
        </w:rPr>
        <w:t xml:space="preserve">in </w:t>
      </w:r>
      <w:r w:rsidR="004354C2" w:rsidRPr="005E7233">
        <w:rPr>
          <w:rFonts w:cstheme="minorHAnsi"/>
        </w:rPr>
        <w:t>1</w:t>
      </w:r>
      <w:r w:rsidR="0020575A" w:rsidRPr="005E7233">
        <w:rPr>
          <w:rFonts w:cstheme="minorHAnsi"/>
        </w:rPr>
        <w:t>L studie</w:t>
      </w:r>
      <w:r w:rsidR="00DE64ED" w:rsidRPr="005E7233">
        <w:rPr>
          <w:rFonts w:cstheme="minorHAnsi"/>
        </w:rPr>
        <w:t>s</w:t>
      </w:r>
      <w:r w:rsidR="005C31D7" w:rsidRPr="005E7233">
        <w:rPr>
          <w:rFonts w:cstheme="minorHAnsi"/>
        </w:rPr>
        <w:t>, however</w:t>
      </w:r>
      <w:r w:rsidR="00DB75B3" w:rsidRPr="005E7233">
        <w:rPr>
          <w:rFonts w:cstheme="minorHAnsi"/>
        </w:rPr>
        <w:t xml:space="preserve">, </w:t>
      </w:r>
      <w:r w:rsidR="001A0760" w:rsidRPr="005E7233">
        <w:rPr>
          <w:rFonts w:cstheme="minorHAnsi"/>
        </w:rPr>
        <w:t xml:space="preserve">the ESC considered </w:t>
      </w:r>
      <w:r w:rsidR="004354C2" w:rsidRPr="005E7233">
        <w:rPr>
          <w:rFonts w:cstheme="minorHAnsi"/>
        </w:rPr>
        <w:t xml:space="preserve">that overall </w:t>
      </w:r>
      <w:r w:rsidR="001A0760" w:rsidRPr="005E7233">
        <w:rPr>
          <w:rFonts w:cstheme="minorHAnsi"/>
        </w:rPr>
        <w:t>the</w:t>
      </w:r>
      <w:r w:rsidR="00A70FFA" w:rsidRPr="005E7233">
        <w:rPr>
          <w:rFonts w:cstheme="minorHAnsi"/>
        </w:rPr>
        <w:t xml:space="preserve">re was insufficient data </w:t>
      </w:r>
      <w:r w:rsidR="00ED6583" w:rsidRPr="005E7233">
        <w:rPr>
          <w:rFonts w:cstheme="minorHAnsi"/>
        </w:rPr>
        <w:t>available</w:t>
      </w:r>
      <w:r w:rsidR="00A70FFA" w:rsidRPr="005E7233">
        <w:rPr>
          <w:rFonts w:cstheme="minorHAnsi"/>
        </w:rPr>
        <w:t xml:space="preserve"> to support using the efficacy derived from 1</w:t>
      </w:r>
      <w:r w:rsidR="002733D2" w:rsidRPr="005E7233">
        <w:rPr>
          <w:rFonts w:cstheme="minorHAnsi"/>
        </w:rPr>
        <w:t>L studies as a proxy for 2L use of teprotumumab in an indirect comparison to 2L tocilizumab</w:t>
      </w:r>
      <w:r w:rsidR="00E830DB" w:rsidRPr="005E7233">
        <w:rPr>
          <w:rFonts w:cstheme="minorHAnsi"/>
        </w:rPr>
        <w:t>.</w:t>
      </w:r>
      <w:bookmarkEnd w:id="74"/>
      <w:r w:rsidR="00E36B0A" w:rsidRPr="00E36B0A">
        <w:rPr>
          <w:rFonts w:eastAsia="Calibri"/>
        </w:rPr>
        <w:t xml:space="preserve"> </w:t>
      </w:r>
    </w:p>
    <w:p w14:paraId="66CCEC61" w14:textId="08AA546E" w:rsidR="00ED4A7B" w:rsidRPr="005E7233" w:rsidRDefault="00E36B0A" w:rsidP="00ED4A7B">
      <w:pPr>
        <w:pStyle w:val="3-BodyText"/>
        <w:rPr>
          <w:rFonts w:eastAsia="Calibri"/>
        </w:rPr>
      </w:pPr>
      <w:r w:rsidRPr="005E7233">
        <w:rPr>
          <w:rFonts w:eastAsia="Calibri"/>
        </w:rPr>
        <w:t xml:space="preserve">The pre-PBAC </w:t>
      </w:r>
      <w:r w:rsidR="004A4DBC">
        <w:rPr>
          <w:rFonts w:eastAsia="Calibri"/>
        </w:rPr>
        <w:t>r</w:t>
      </w:r>
      <w:r w:rsidRPr="005E7233">
        <w:rPr>
          <w:rFonts w:eastAsia="Calibri"/>
        </w:rPr>
        <w:t>esponse acknowledged there was methodological limitations associated with the comparative evidence presented in the submission,</w:t>
      </w:r>
      <w:r w:rsidR="00203CA1">
        <w:rPr>
          <w:rFonts w:eastAsia="Calibri"/>
        </w:rPr>
        <w:t xml:space="preserve"> </w:t>
      </w:r>
      <w:r w:rsidRPr="005E7233">
        <w:rPr>
          <w:rFonts w:eastAsia="Calibri"/>
        </w:rPr>
        <w:t xml:space="preserve">however </w:t>
      </w:r>
      <w:r w:rsidRPr="005E7233">
        <w:rPr>
          <w:rFonts w:eastAsia="Calibri"/>
        </w:rPr>
        <w:lastRenderedPageBreak/>
        <w:t xml:space="preserve">noted </w:t>
      </w:r>
      <w:r>
        <w:rPr>
          <w:rFonts w:eastAsia="Calibri"/>
        </w:rPr>
        <w:t>that the</w:t>
      </w:r>
      <w:r w:rsidRPr="005E7233">
        <w:rPr>
          <w:rFonts w:eastAsia="Calibri"/>
        </w:rPr>
        <w:t xml:space="preserve"> </w:t>
      </w:r>
      <w:r w:rsidRPr="005E7233">
        <w:rPr>
          <w:rFonts w:cstheme="minorHAnsi"/>
          <w:iCs/>
        </w:rPr>
        <w:t xml:space="preserve">consistency of the findings favouring </w:t>
      </w:r>
      <w:r>
        <w:rPr>
          <w:rFonts w:cstheme="minorHAnsi"/>
          <w:iCs/>
        </w:rPr>
        <w:t>teprotumumab</w:t>
      </w:r>
      <w:r w:rsidRPr="005E7233">
        <w:rPr>
          <w:rFonts w:cstheme="minorHAnsi"/>
          <w:iCs/>
        </w:rPr>
        <w:t xml:space="preserve"> across multiple analyses </w:t>
      </w:r>
      <w:r>
        <w:rPr>
          <w:rFonts w:cstheme="minorHAnsi"/>
          <w:iCs/>
        </w:rPr>
        <w:t xml:space="preserve">were collectively </w:t>
      </w:r>
      <w:r w:rsidRPr="005E7233">
        <w:rPr>
          <w:rFonts w:cstheme="minorHAnsi"/>
          <w:iCs/>
        </w:rPr>
        <w:t>supportive of the clinical claim in the 1L setting.</w:t>
      </w:r>
      <w:r>
        <w:rPr>
          <w:rFonts w:cstheme="minorHAnsi"/>
          <w:iCs/>
        </w:rPr>
        <w:t xml:space="preserve"> The Response </w:t>
      </w:r>
      <w:r>
        <w:rPr>
          <w:rFonts w:cstheme="minorHAnsi"/>
          <w:iCs/>
          <w:lang w:val="en-US"/>
        </w:rPr>
        <w:t xml:space="preserve">acknowledged that the clinical evidence </w:t>
      </w:r>
      <w:r w:rsidRPr="0044582A">
        <w:rPr>
          <w:rFonts w:cstheme="minorHAnsi"/>
          <w:iCs/>
          <w:lang w:val="en-US"/>
        </w:rPr>
        <w:t xml:space="preserve">in </w:t>
      </w:r>
      <w:r>
        <w:rPr>
          <w:rFonts w:cstheme="minorHAnsi"/>
          <w:iCs/>
          <w:lang w:val="en-US"/>
        </w:rPr>
        <w:t xml:space="preserve">the </w:t>
      </w:r>
      <w:r w:rsidRPr="0044582A">
        <w:rPr>
          <w:rFonts w:cstheme="minorHAnsi"/>
          <w:iCs/>
          <w:lang w:val="en-US"/>
        </w:rPr>
        <w:t>2L</w:t>
      </w:r>
      <w:r>
        <w:rPr>
          <w:rFonts w:cstheme="minorHAnsi"/>
          <w:iCs/>
          <w:lang w:val="en-US"/>
        </w:rPr>
        <w:t xml:space="preserve"> setting was less robust;</w:t>
      </w:r>
      <w:r w:rsidRPr="0044582A">
        <w:rPr>
          <w:rFonts w:cstheme="minorHAnsi"/>
          <w:iCs/>
          <w:lang w:val="en-US"/>
        </w:rPr>
        <w:t xml:space="preserve"> however, </w:t>
      </w:r>
      <w:r>
        <w:rPr>
          <w:rFonts w:cstheme="minorHAnsi"/>
          <w:iCs/>
          <w:lang w:val="en-US"/>
        </w:rPr>
        <w:t xml:space="preserve">again noted </w:t>
      </w:r>
      <w:r w:rsidRPr="0044582A">
        <w:rPr>
          <w:rFonts w:cstheme="minorHAnsi"/>
          <w:iCs/>
          <w:lang w:val="en-US"/>
        </w:rPr>
        <w:t>multiple methodologies demonstrate</w:t>
      </w:r>
      <w:r>
        <w:rPr>
          <w:rFonts w:cstheme="minorHAnsi"/>
          <w:iCs/>
          <w:lang w:val="en-US"/>
        </w:rPr>
        <w:t>d</w:t>
      </w:r>
      <w:r w:rsidRPr="0044582A">
        <w:rPr>
          <w:rFonts w:cstheme="minorHAnsi"/>
          <w:iCs/>
          <w:lang w:val="en-US"/>
        </w:rPr>
        <w:t xml:space="preserve"> a consistently significant benefit for teprotumumab over tocilizumab</w:t>
      </w:r>
      <w:r>
        <w:rPr>
          <w:rFonts w:cstheme="minorHAnsi"/>
          <w:iCs/>
          <w:lang w:val="en-US"/>
        </w:rPr>
        <w:t>.</w:t>
      </w:r>
    </w:p>
    <w:p w14:paraId="7F613CD1" w14:textId="47586FCB" w:rsidR="005F7588" w:rsidRPr="005E7233" w:rsidRDefault="00ED4A7B" w:rsidP="00ED4A7B">
      <w:pPr>
        <w:pStyle w:val="3-BodyText"/>
        <w:rPr>
          <w:rFonts w:eastAsia="Calibri"/>
        </w:rPr>
      </w:pPr>
      <w:r w:rsidRPr="005E7233">
        <w:rPr>
          <w:rFonts w:eastAsia="Calibri"/>
        </w:rPr>
        <w:t>The submission described teprotumumab as non-inferior</w:t>
      </w:r>
      <w:r w:rsidR="0039328A" w:rsidRPr="005E7233">
        <w:rPr>
          <w:rFonts w:eastAsia="Calibri"/>
        </w:rPr>
        <w:t xml:space="preserve"> (with the strong possibility of superiority)</w:t>
      </w:r>
      <w:r w:rsidRPr="005E7233">
        <w:rPr>
          <w:rFonts w:eastAsia="Calibri"/>
        </w:rPr>
        <w:t xml:space="preserve"> in terms of safety compared to IVMP with or without MMF in the 1L setting and </w:t>
      </w:r>
      <w:r w:rsidR="00515912" w:rsidRPr="005E7233">
        <w:rPr>
          <w:rFonts w:eastAsia="Calibri"/>
        </w:rPr>
        <w:t xml:space="preserve">non-inferior </w:t>
      </w:r>
      <w:r w:rsidRPr="005E7233">
        <w:rPr>
          <w:rFonts w:eastAsia="Calibri"/>
        </w:rPr>
        <w:t xml:space="preserve">in </w:t>
      </w:r>
      <w:r w:rsidR="00515912" w:rsidRPr="005E7233">
        <w:rPr>
          <w:rFonts w:eastAsia="Calibri"/>
        </w:rPr>
        <w:t>terms of safety compared to</w:t>
      </w:r>
      <w:r w:rsidRPr="005E7233">
        <w:rPr>
          <w:rFonts w:eastAsia="Calibri"/>
        </w:rPr>
        <w:t xml:space="preserve"> tocilizumab in the 2L setting. </w:t>
      </w:r>
      <w:r w:rsidR="009166EA" w:rsidRPr="005E7233">
        <w:rPr>
          <w:rFonts w:eastAsia="Calibri"/>
        </w:rPr>
        <w:t>The PSCR further clarified that the safety profiles of teprotumumab are ‘non-inferior but different’.</w:t>
      </w:r>
      <w:r w:rsidRPr="005E7233">
        <w:rPr>
          <w:rFonts w:eastAsia="Calibri"/>
        </w:rPr>
        <w:t xml:space="preserve"> Th</w:t>
      </w:r>
      <w:r w:rsidR="001E6396" w:rsidRPr="005E7233">
        <w:rPr>
          <w:rFonts w:eastAsia="Calibri"/>
        </w:rPr>
        <w:t>e ESC considered th</w:t>
      </w:r>
      <w:r w:rsidRPr="005E7233">
        <w:rPr>
          <w:rFonts w:eastAsia="Calibri"/>
        </w:rPr>
        <w:t xml:space="preserve">is claim was not adequately supported as the </w:t>
      </w:r>
      <w:r w:rsidRPr="005E7233">
        <w:t>submission did not present a formal comparison of safety between teprotumumab and IVMP or tocilizumab</w:t>
      </w:r>
      <w:r w:rsidRPr="005E7233">
        <w:rPr>
          <w:rFonts w:eastAsia="Calibri"/>
        </w:rPr>
        <w:t>. The submission correctly state</w:t>
      </w:r>
      <w:r w:rsidR="00E8540E" w:rsidRPr="005E7233">
        <w:rPr>
          <w:rFonts w:eastAsia="Calibri"/>
        </w:rPr>
        <w:t>d</w:t>
      </w:r>
      <w:r w:rsidRPr="005E7233">
        <w:rPr>
          <w:rFonts w:eastAsia="Calibri"/>
        </w:rPr>
        <w:t xml:space="preserve"> that the safety of IVMP is well known and that the use of high dose IVMP, as seen in TED, is associated with a variety of serious AEs, including fatal AEs. However, </w:t>
      </w:r>
      <w:r w:rsidRPr="005E7233">
        <w:t xml:space="preserve">without a formal comparison, a definitive assessment of the safety claim cannot be made as IVMP has been used in a much greater number of patients, increasing the likelihood of adverse events being reported. Furthermore, the safety reports associated with IVMP come from less controlled conditions than what is found in a clinical trial, introducing further confounding. </w:t>
      </w:r>
      <w:r w:rsidR="008759C7" w:rsidRPr="005E7233">
        <w:t xml:space="preserve">The ESC also noted that there were significant safety concerns associated with teprotumumab </w:t>
      </w:r>
      <w:r w:rsidR="00F41EA6" w:rsidRPr="005E7233">
        <w:t>including</w:t>
      </w:r>
      <w:r w:rsidR="008759C7" w:rsidRPr="005E7233">
        <w:t xml:space="preserve"> permanent hearing impairment</w:t>
      </w:r>
      <w:r w:rsidR="00F41EA6" w:rsidRPr="005E7233">
        <w:t xml:space="preserve"> as week as other common adverse events</w:t>
      </w:r>
      <w:r w:rsidR="003F6395" w:rsidRPr="005E7233">
        <w:t>.</w:t>
      </w:r>
      <w:r w:rsidRPr="005E7233">
        <w:t xml:space="preserve"> Likewise, no formal comparison of safety was made between teprotumumab and tocilizumab and so </w:t>
      </w:r>
      <w:r w:rsidR="001E6396" w:rsidRPr="005E7233">
        <w:t xml:space="preserve">the ESC considered the </w:t>
      </w:r>
      <w:r w:rsidRPr="005E7233">
        <w:t>claim of non-inferior safety</w:t>
      </w:r>
      <w:r w:rsidR="001E6396" w:rsidRPr="005E7233">
        <w:t xml:space="preserve"> was not supported</w:t>
      </w:r>
      <w:r w:rsidR="007C70FF" w:rsidRPr="005E7233">
        <w:rPr>
          <w:rFonts w:eastAsia="Calibri"/>
        </w:rPr>
        <w:t>.</w:t>
      </w:r>
      <w:r w:rsidR="004D0027" w:rsidRPr="005E7233">
        <w:rPr>
          <w:rFonts w:eastAsia="Calibri"/>
        </w:rPr>
        <w:t xml:space="preserve"> The ESC further considered that </w:t>
      </w:r>
      <w:r w:rsidR="005575DC" w:rsidRPr="005E7233">
        <w:rPr>
          <w:rFonts w:eastAsia="Calibri"/>
        </w:rPr>
        <w:t xml:space="preserve">the possibility that </w:t>
      </w:r>
      <w:r w:rsidR="004D0027" w:rsidRPr="005E7233">
        <w:rPr>
          <w:rFonts w:eastAsia="Calibri"/>
        </w:rPr>
        <w:t xml:space="preserve">teprotumumab </w:t>
      </w:r>
      <w:r w:rsidR="005575DC" w:rsidRPr="005E7233">
        <w:rPr>
          <w:rFonts w:eastAsia="Calibri"/>
        </w:rPr>
        <w:t xml:space="preserve">has inferior safety </w:t>
      </w:r>
      <w:r w:rsidR="00CB58E7" w:rsidRPr="005E7233">
        <w:rPr>
          <w:rFonts w:eastAsia="Calibri"/>
        </w:rPr>
        <w:t xml:space="preserve">compared to tocilizumab </w:t>
      </w:r>
      <w:r w:rsidR="004D0027" w:rsidRPr="005E7233">
        <w:rPr>
          <w:rFonts w:eastAsia="Calibri"/>
        </w:rPr>
        <w:t xml:space="preserve">could not </w:t>
      </w:r>
      <w:r w:rsidR="00A328AA" w:rsidRPr="005E7233">
        <w:rPr>
          <w:rFonts w:eastAsia="Calibri"/>
        </w:rPr>
        <w:t>excluded</w:t>
      </w:r>
      <w:r w:rsidR="00CB58E7" w:rsidRPr="005E7233">
        <w:rPr>
          <w:rFonts w:eastAsia="Calibri"/>
        </w:rPr>
        <w:t>.</w:t>
      </w:r>
    </w:p>
    <w:p w14:paraId="4689D862" w14:textId="5C72EF99" w:rsidR="0066573D" w:rsidRPr="005E7233" w:rsidRDefault="000C5F47" w:rsidP="0066573D">
      <w:pPr>
        <w:pStyle w:val="3-BodyText"/>
      </w:pPr>
      <w:bookmarkStart w:id="75" w:name="_Hlk76376200"/>
      <w:r>
        <w:t xml:space="preserve">Overall, the PBAC considered that while there was significant uncertainty related to the ITCs presented, the totality of the available evidence suggests that </w:t>
      </w:r>
      <w:r w:rsidR="00CF1898">
        <w:t>the claim of</w:t>
      </w:r>
      <w:r>
        <w:t xml:space="preserve"> superior efficacy</w:t>
      </w:r>
      <w:r w:rsidR="00CF1898">
        <w:t xml:space="preserve"> of teprotumumab</w:t>
      </w:r>
      <w:r>
        <w:t xml:space="preserve"> </w:t>
      </w:r>
      <w:r w:rsidR="00CF1898">
        <w:t>versus</w:t>
      </w:r>
      <w:r>
        <w:t xml:space="preserve"> IVMP in the 1L setting and tocilizumab in the 2L setting</w:t>
      </w:r>
      <w:r w:rsidR="00CF1898">
        <w:t xml:space="preserve"> was likely reasonable</w:t>
      </w:r>
      <w:r>
        <w:t xml:space="preserve">. </w:t>
      </w:r>
      <w:r w:rsidR="00961234">
        <w:t xml:space="preserve">However, the PBAC </w:t>
      </w:r>
      <w:r w:rsidR="00436B3D">
        <w:t>considered</w:t>
      </w:r>
      <w:r w:rsidR="00961234">
        <w:t xml:space="preserve"> that the </w:t>
      </w:r>
      <w:r w:rsidR="005923CD">
        <w:t>magnitude</w:t>
      </w:r>
      <w:r w:rsidR="00961234">
        <w:t xml:space="preserve"> of treatment effect of teprotumumab versus </w:t>
      </w:r>
      <w:r w:rsidR="00CB7001">
        <w:t>SoC</w:t>
      </w:r>
      <w:r w:rsidR="00961234">
        <w:t xml:space="preserve"> </w:t>
      </w:r>
      <w:r w:rsidR="00CD3CC0">
        <w:t>was</w:t>
      </w:r>
      <w:r w:rsidR="00961234">
        <w:t xml:space="preserve"> uncertain due to the substantial transitivity violations across the comparisons.</w:t>
      </w:r>
    </w:p>
    <w:p w14:paraId="313F0F14" w14:textId="12B9E3C8" w:rsidR="0066573D" w:rsidRPr="0028083C" w:rsidRDefault="005C4CD4" w:rsidP="0066573D">
      <w:pPr>
        <w:pStyle w:val="3-BodyText"/>
      </w:pPr>
      <w:r w:rsidRPr="005E7233">
        <w:rPr>
          <w:rFonts w:eastAsia="Times New Roman" w:cs="Arial"/>
          <w:snapToGrid w:val="0"/>
          <w:szCs w:val="24"/>
          <w:lang w:eastAsia="en-US"/>
        </w:rPr>
        <w:t xml:space="preserve">The PBAC noted that while there were significant safety concerns </w:t>
      </w:r>
      <w:r w:rsidR="001A5048">
        <w:rPr>
          <w:rFonts w:eastAsia="Times New Roman" w:cs="Arial"/>
          <w:snapToGrid w:val="0"/>
          <w:szCs w:val="24"/>
          <w:lang w:eastAsia="en-US"/>
        </w:rPr>
        <w:t>related</w:t>
      </w:r>
      <w:r w:rsidRPr="005E7233">
        <w:rPr>
          <w:rFonts w:eastAsia="Times New Roman" w:cs="Arial"/>
          <w:snapToGrid w:val="0"/>
          <w:szCs w:val="24"/>
          <w:lang w:eastAsia="en-US"/>
        </w:rPr>
        <w:t xml:space="preserve"> </w:t>
      </w:r>
      <w:r w:rsidR="001A5048">
        <w:rPr>
          <w:rFonts w:eastAsia="Times New Roman" w:cs="Arial"/>
          <w:snapToGrid w:val="0"/>
          <w:szCs w:val="24"/>
          <w:lang w:eastAsia="en-US"/>
        </w:rPr>
        <w:t>to</w:t>
      </w:r>
      <w:r w:rsidRPr="005E7233">
        <w:rPr>
          <w:rFonts w:eastAsia="Times New Roman" w:cs="Arial"/>
          <w:snapToGrid w:val="0"/>
          <w:szCs w:val="24"/>
          <w:lang w:eastAsia="en-US"/>
        </w:rPr>
        <w:t xml:space="preserve"> teprotumumab, including permanent hearing impairment, that IVMP</w:t>
      </w:r>
      <w:r>
        <w:rPr>
          <w:rFonts w:eastAsia="Times New Roman" w:cs="Arial"/>
          <w:snapToGrid w:val="0"/>
          <w:szCs w:val="24"/>
          <w:lang w:eastAsia="en-US"/>
        </w:rPr>
        <w:t xml:space="preserve"> with or without MMF</w:t>
      </w:r>
      <w:r w:rsidRPr="005E7233">
        <w:rPr>
          <w:rFonts w:eastAsia="Times New Roman" w:cs="Arial"/>
          <w:snapToGrid w:val="0"/>
          <w:szCs w:val="24"/>
          <w:lang w:eastAsia="en-US"/>
        </w:rPr>
        <w:t xml:space="preserve"> and tocilizumab </w:t>
      </w:r>
      <w:r w:rsidR="001D3CFC">
        <w:rPr>
          <w:rFonts w:eastAsia="Times New Roman" w:cs="Arial"/>
          <w:snapToGrid w:val="0"/>
          <w:szCs w:val="24"/>
          <w:lang w:eastAsia="en-US"/>
        </w:rPr>
        <w:t>were</w:t>
      </w:r>
      <w:r w:rsidRPr="005E7233">
        <w:rPr>
          <w:rFonts w:eastAsia="Times New Roman" w:cs="Arial"/>
          <w:snapToGrid w:val="0"/>
          <w:szCs w:val="24"/>
          <w:lang w:eastAsia="en-US"/>
        </w:rPr>
        <w:t xml:space="preserve"> also </w:t>
      </w:r>
      <w:r>
        <w:rPr>
          <w:rFonts w:eastAsia="Times New Roman" w:cs="Arial"/>
          <w:snapToGrid w:val="0"/>
          <w:szCs w:val="24"/>
          <w:lang w:eastAsia="en-US"/>
        </w:rPr>
        <w:t>associated with</w:t>
      </w:r>
      <w:r w:rsidRPr="005E7233">
        <w:rPr>
          <w:rFonts w:eastAsia="Times New Roman" w:cs="Arial"/>
          <w:snapToGrid w:val="0"/>
          <w:szCs w:val="24"/>
          <w:lang w:eastAsia="en-US"/>
        </w:rPr>
        <w:t xml:space="preserve"> </w:t>
      </w:r>
      <w:r>
        <w:rPr>
          <w:rFonts w:eastAsia="Times New Roman" w:cs="Arial"/>
          <w:snapToGrid w:val="0"/>
          <w:szCs w:val="24"/>
          <w:lang w:eastAsia="en-US"/>
        </w:rPr>
        <w:t xml:space="preserve">significant </w:t>
      </w:r>
      <w:r w:rsidRPr="005E7233">
        <w:rPr>
          <w:rFonts w:eastAsia="Times New Roman" w:cs="Arial"/>
          <w:snapToGrid w:val="0"/>
          <w:szCs w:val="24"/>
          <w:lang w:eastAsia="en-US"/>
        </w:rPr>
        <w:t xml:space="preserve">safety risks. </w:t>
      </w:r>
      <w:r>
        <w:rPr>
          <w:rFonts w:eastAsia="Times New Roman" w:cs="Arial"/>
          <w:snapToGrid w:val="0"/>
          <w:szCs w:val="24"/>
          <w:lang w:eastAsia="en-US"/>
        </w:rPr>
        <w:t>Overall, t</w:t>
      </w:r>
      <w:r w:rsidRPr="00385AE7">
        <w:rPr>
          <w:rFonts w:eastAsia="Times New Roman" w:cs="Arial"/>
          <w:snapToGrid w:val="0"/>
          <w:szCs w:val="24"/>
          <w:lang w:eastAsia="en-US"/>
        </w:rPr>
        <w:t xml:space="preserve">he PBAC considered that the claim of non-inferior comparative safety of teprotumumab </w:t>
      </w:r>
      <w:r w:rsidR="00241B78">
        <w:rPr>
          <w:rFonts w:eastAsia="Times New Roman" w:cs="Arial"/>
          <w:snapToGrid w:val="0"/>
          <w:szCs w:val="24"/>
          <w:lang w:eastAsia="en-US"/>
        </w:rPr>
        <w:t>versus</w:t>
      </w:r>
      <w:r w:rsidRPr="00385AE7">
        <w:rPr>
          <w:rFonts w:eastAsia="Times New Roman" w:cs="Arial"/>
          <w:snapToGrid w:val="0"/>
          <w:szCs w:val="24"/>
          <w:lang w:eastAsia="en-US"/>
        </w:rPr>
        <w:t xml:space="preserve"> </w:t>
      </w:r>
      <w:r>
        <w:rPr>
          <w:rFonts w:eastAsia="Times New Roman" w:cs="Arial"/>
          <w:snapToGrid w:val="0"/>
          <w:szCs w:val="24"/>
          <w:lang w:eastAsia="en-US"/>
        </w:rPr>
        <w:t>the current SoC therapies</w:t>
      </w:r>
      <w:r w:rsidRPr="00385AE7">
        <w:rPr>
          <w:rFonts w:eastAsia="Times New Roman" w:cs="Arial"/>
          <w:snapToGrid w:val="0"/>
          <w:szCs w:val="24"/>
          <w:lang w:eastAsia="en-US"/>
        </w:rPr>
        <w:t xml:space="preserve"> to be uncertain, but likely reasonable.</w:t>
      </w:r>
      <w:r>
        <w:rPr>
          <w:rFonts w:eastAsia="Times New Roman" w:cs="Arial"/>
          <w:snapToGrid w:val="0"/>
          <w:szCs w:val="24"/>
          <w:lang w:eastAsia="en-US"/>
        </w:rPr>
        <w:t xml:space="preserve"> </w:t>
      </w:r>
    </w:p>
    <w:p w14:paraId="74A1172E" w14:textId="51CD48B1" w:rsidR="00B60939" w:rsidRPr="005E7233" w:rsidRDefault="00B60939" w:rsidP="00E9094A">
      <w:pPr>
        <w:pStyle w:val="4-SubsectionHeading"/>
      </w:pPr>
      <w:bookmarkStart w:id="76" w:name="_Toc22897645"/>
      <w:bookmarkStart w:id="77" w:name="_Toc187759719"/>
      <w:bookmarkEnd w:id="75"/>
      <w:r w:rsidRPr="005E7233">
        <w:t>Economic analysis</w:t>
      </w:r>
      <w:bookmarkEnd w:id="76"/>
      <w:bookmarkEnd w:id="77"/>
    </w:p>
    <w:p w14:paraId="7D565B41" w14:textId="77777777" w:rsidR="003560C0" w:rsidRPr="005E7233" w:rsidRDefault="003560C0" w:rsidP="003560C0">
      <w:pPr>
        <w:pStyle w:val="3-BodyText"/>
      </w:pPr>
      <w:bookmarkStart w:id="78" w:name="_Ref187655196"/>
      <w:bookmarkStart w:id="79" w:name="_Toc22897646"/>
      <w:r w:rsidRPr="005E7233">
        <w:t>Three comparisons were presented in the submission’s economic analysis:</w:t>
      </w:r>
      <w:bookmarkEnd w:id="78"/>
    </w:p>
    <w:p w14:paraId="74F7BB94" w14:textId="65D0395A" w:rsidR="003560C0" w:rsidRPr="005E7233" w:rsidRDefault="003560C0" w:rsidP="00B0527A">
      <w:pPr>
        <w:pStyle w:val="Bulletpoints"/>
        <w:spacing w:before="120"/>
        <w:ind w:left="1134" w:hanging="357"/>
        <w:contextualSpacing w:val="0"/>
        <w:jc w:val="both"/>
      </w:pPr>
      <w:r w:rsidRPr="005E7233">
        <w:t>Teprotumumab vs IVMP in the 1L setting</w:t>
      </w:r>
    </w:p>
    <w:p w14:paraId="5EE41D6A" w14:textId="77777777" w:rsidR="003560C0" w:rsidRPr="005E7233" w:rsidRDefault="003560C0" w:rsidP="00B0527A">
      <w:pPr>
        <w:pStyle w:val="Bulletpoints"/>
        <w:spacing w:before="120"/>
        <w:ind w:left="1134" w:hanging="357"/>
        <w:contextualSpacing w:val="0"/>
        <w:jc w:val="both"/>
      </w:pPr>
      <w:r w:rsidRPr="005E7233">
        <w:t>Teprotumumab vs IVMP + MMF in the 1L setting</w:t>
      </w:r>
    </w:p>
    <w:p w14:paraId="70496710" w14:textId="129763F0" w:rsidR="003560C0" w:rsidRPr="005E7233" w:rsidRDefault="003560C0" w:rsidP="00B0527A">
      <w:pPr>
        <w:pStyle w:val="Bulletpoints"/>
        <w:spacing w:before="120"/>
        <w:ind w:left="1134" w:hanging="357"/>
        <w:contextualSpacing w:val="0"/>
        <w:jc w:val="both"/>
      </w:pPr>
      <w:r w:rsidRPr="005E7233">
        <w:t>Teprotumumab vs tocilizumab in the 2L setting</w:t>
      </w:r>
    </w:p>
    <w:p w14:paraId="4B03BECF" w14:textId="12D25463" w:rsidR="003560C0" w:rsidRPr="005E7233" w:rsidRDefault="003560C0" w:rsidP="003560C0">
      <w:pPr>
        <w:pStyle w:val="3-BodyText"/>
        <w:numPr>
          <w:ilvl w:val="0"/>
          <w:numId w:val="0"/>
        </w:numPr>
        <w:ind w:left="720"/>
      </w:pPr>
      <w:r w:rsidRPr="005E7233">
        <w:lastRenderedPageBreak/>
        <w:t>Neither comparison in the 1L setting reflect</w:t>
      </w:r>
      <w:r w:rsidR="00AC0B15" w:rsidRPr="005E7233">
        <w:t>s</w:t>
      </w:r>
      <w:r w:rsidRPr="005E7233">
        <w:t xml:space="preserve"> current practice, where MMF would be used in patients with minimal response after three infusions of IVMP, and orbital radiotherapy at 12 weeks if there is ongoing severe disease.</w:t>
      </w:r>
      <w:r w:rsidR="00233C2D" w:rsidRPr="005E7233">
        <w:rPr>
          <w:vertAlign w:val="superscript"/>
        </w:rPr>
        <w:fldChar w:fldCharType="begin"/>
      </w:r>
      <w:r w:rsidR="00233C2D" w:rsidRPr="005E7233">
        <w:rPr>
          <w:vertAlign w:val="superscript"/>
        </w:rPr>
        <w:instrText xml:space="preserve"> NOTEREF _Ref187682944 \h  \* MERGEFORMAT </w:instrText>
      </w:r>
      <w:r w:rsidR="00233C2D" w:rsidRPr="005E7233">
        <w:rPr>
          <w:vertAlign w:val="superscript"/>
        </w:rPr>
      </w:r>
      <w:r w:rsidR="00233C2D" w:rsidRPr="005E7233">
        <w:rPr>
          <w:vertAlign w:val="superscript"/>
        </w:rPr>
        <w:fldChar w:fldCharType="separate"/>
      </w:r>
      <w:r w:rsidR="0012101B">
        <w:rPr>
          <w:vertAlign w:val="superscript"/>
        </w:rPr>
        <w:t>11</w:t>
      </w:r>
      <w:r w:rsidR="00233C2D" w:rsidRPr="005E7233">
        <w:rPr>
          <w:vertAlign w:val="superscript"/>
        </w:rPr>
        <w:fldChar w:fldCharType="end"/>
      </w:r>
      <w:r w:rsidRPr="005E7233">
        <w:t xml:space="preserve"> </w:t>
      </w:r>
      <w:r w:rsidR="00567F4B">
        <w:t>The evaluation considered that</w:t>
      </w:r>
      <w:r w:rsidRPr="005E7233">
        <w:t xml:space="preserve"> due to the lack of clinical evidence presented in the submission to support the comparison of teprotumumab to IVMP + MMF, or the use of teprotumumab in the 2L setting, these cost-effectiveness analyses </w:t>
      </w:r>
      <w:r w:rsidR="001E1B79">
        <w:t>were</w:t>
      </w:r>
      <w:r w:rsidR="001E1B79" w:rsidRPr="005E7233">
        <w:t xml:space="preserve"> </w:t>
      </w:r>
      <w:r w:rsidRPr="005E7233">
        <w:t xml:space="preserve">not likely to be informative for PBAC decision-making. Therefore, </w:t>
      </w:r>
      <w:r w:rsidR="004220BA" w:rsidRPr="005E7233">
        <w:t>th</w:t>
      </w:r>
      <w:r w:rsidR="008B438F">
        <w:t xml:space="preserve">e analyses presented herein </w:t>
      </w:r>
      <w:r w:rsidR="004220BA" w:rsidRPr="005E7233">
        <w:t xml:space="preserve">focus on </w:t>
      </w:r>
      <w:r w:rsidRPr="005E7233">
        <w:t>1L teprotumumab therapy relative to IVMP.</w:t>
      </w:r>
      <w:r w:rsidR="00C543C1" w:rsidRPr="005E7233">
        <w:t xml:space="preserve"> </w:t>
      </w:r>
    </w:p>
    <w:p w14:paraId="4785A929" w14:textId="44D062E8" w:rsidR="00E327E9" w:rsidRPr="005E7233" w:rsidRDefault="00E327E9" w:rsidP="00E327E9">
      <w:pPr>
        <w:pStyle w:val="3-BodyText"/>
      </w:pPr>
      <w:r w:rsidRPr="005E7233">
        <w:t xml:space="preserve">The submission presented a stepped economic evaluation based on </w:t>
      </w:r>
      <w:r w:rsidR="00CA7F5C" w:rsidRPr="005E7233">
        <w:t xml:space="preserve">the </w:t>
      </w:r>
      <w:r w:rsidRPr="005E7233">
        <w:t>unanchored MAIC</w:t>
      </w:r>
      <w:r w:rsidR="00CD16B2" w:rsidRPr="005E7233">
        <w:t xml:space="preserve"> (Douglas et al. 2022)</w:t>
      </w:r>
      <w:r w:rsidR="00233C2D" w:rsidRPr="005E7233">
        <w:rPr>
          <w:vertAlign w:val="superscript"/>
        </w:rPr>
        <w:fldChar w:fldCharType="begin"/>
      </w:r>
      <w:r w:rsidR="00233C2D" w:rsidRPr="005E7233">
        <w:rPr>
          <w:vertAlign w:val="superscript"/>
        </w:rPr>
        <w:instrText xml:space="preserve"> NOTEREF _Ref187679202 \h  \* MERGEFORMAT </w:instrText>
      </w:r>
      <w:r w:rsidR="00233C2D" w:rsidRPr="005E7233">
        <w:rPr>
          <w:vertAlign w:val="superscript"/>
        </w:rPr>
      </w:r>
      <w:r w:rsidR="00233C2D" w:rsidRPr="005E7233">
        <w:rPr>
          <w:vertAlign w:val="superscript"/>
        </w:rPr>
        <w:fldChar w:fldCharType="separate"/>
      </w:r>
      <w:r w:rsidR="0012101B">
        <w:rPr>
          <w:vertAlign w:val="superscript"/>
        </w:rPr>
        <w:t>14</w:t>
      </w:r>
      <w:r w:rsidR="00233C2D" w:rsidRPr="005E7233">
        <w:rPr>
          <w:vertAlign w:val="superscript"/>
        </w:rPr>
        <w:fldChar w:fldCharType="end"/>
      </w:r>
      <w:r w:rsidR="008A6ADB" w:rsidRPr="005E7233">
        <w:t xml:space="preserve"> </w:t>
      </w:r>
      <w:r w:rsidR="00A17279" w:rsidRPr="005E7233">
        <w:t xml:space="preserve">that </w:t>
      </w:r>
      <w:r w:rsidRPr="005E7233">
        <w:t>compared pooled data from the teprotumumab TED01RV and OPTIC trials to IVMP in patients with active MS TED. The type of economic evaluation presented was a cost-utility analysis.</w:t>
      </w:r>
    </w:p>
    <w:p w14:paraId="6DB7775D" w14:textId="1BCF0CE7" w:rsidR="00E327E9" w:rsidRPr="005E7233" w:rsidRDefault="00E327E9" w:rsidP="00E327E9">
      <w:pPr>
        <w:pStyle w:val="3-BodyText"/>
      </w:pPr>
      <w:r w:rsidRPr="005E7233">
        <w:rPr>
          <w:highlight w:val="yellow"/>
        </w:rPr>
        <w:fldChar w:fldCharType="begin"/>
      </w:r>
      <w:r w:rsidRPr="005E7233">
        <w:instrText xml:space="preserve"> REF _Ref185984113 \h </w:instrText>
      </w:r>
      <w:r w:rsidR="0066573D" w:rsidRPr="005E7233">
        <w:rPr>
          <w:highlight w:val="yellow"/>
        </w:rPr>
        <w:instrText xml:space="preserve"> \* MERGEFORMAT </w:instrText>
      </w:r>
      <w:r w:rsidRPr="005E7233">
        <w:rPr>
          <w:highlight w:val="yellow"/>
        </w:rPr>
      </w:r>
      <w:r w:rsidRPr="005E7233">
        <w:rPr>
          <w:highlight w:val="yellow"/>
        </w:rPr>
        <w:fldChar w:fldCharType="separate"/>
      </w:r>
      <w:r w:rsidR="0012101B" w:rsidRPr="005E7233">
        <w:t xml:space="preserve">Table </w:t>
      </w:r>
      <w:r w:rsidR="0012101B">
        <w:rPr>
          <w:noProof/>
        </w:rPr>
        <w:t>14</w:t>
      </w:r>
      <w:r w:rsidRPr="005E7233">
        <w:rPr>
          <w:highlight w:val="yellow"/>
        </w:rPr>
        <w:fldChar w:fldCharType="end"/>
      </w:r>
      <w:r w:rsidRPr="005E7233">
        <w:t xml:space="preserve"> summarises the key components of the economic evaluation.</w:t>
      </w:r>
    </w:p>
    <w:p w14:paraId="326B1316" w14:textId="1504D443" w:rsidR="00E327E9" w:rsidRPr="005E7233" w:rsidRDefault="00E327E9" w:rsidP="733957FC">
      <w:pPr>
        <w:pStyle w:val="TableFigureHeading"/>
        <w:rPr>
          <w:rStyle w:val="CommentReference"/>
          <w:b/>
        </w:rPr>
      </w:pPr>
      <w:bookmarkStart w:id="80" w:name="_Ref185984113"/>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14</w:t>
      </w:r>
      <w:r w:rsidR="00FB1BE3">
        <w:rPr>
          <w:noProof/>
        </w:rPr>
        <w:fldChar w:fldCharType="end"/>
      </w:r>
      <w:bookmarkEnd w:id="80"/>
      <w:r w:rsidRPr="005E7233">
        <w:t>:</w:t>
      </w:r>
      <w:r w:rsidRPr="005E7233">
        <w:rPr>
          <w:rStyle w:val="CommentReference"/>
          <w:b/>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E327E9" w:rsidRPr="005E7233" w14:paraId="3A49C9DC" w14:textId="77777777" w:rsidTr="733957FC">
        <w:trPr>
          <w:tblHeader/>
        </w:trPr>
        <w:tc>
          <w:tcPr>
            <w:tcW w:w="784" w:type="pct"/>
            <w:shd w:val="clear" w:color="auto" w:fill="auto"/>
            <w:vAlign w:val="center"/>
          </w:tcPr>
          <w:p w14:paraId="50C806D6" w14:textId="77777777" w:rsidR="00E327E9" w:rsidRPr="005E7233" w:rsidRDefault="00E327E9">
            <w:pPr>
              <w:pStyle w:val="In-tableHeading"/>
              <w:rPr>
                <w:lang w:val="en-AU"/>
              </w:rPr>
            </w:pPr>
            <w:r w:rsidRPr="005E7233">
              <w:rPr>
                <w:lang w:val="en-AU"/>
              </w:rPr>
              <w:t>Component</w:t>
            </w:r>
          </w:p>
        </w:tc>
        <w:tc>
          <w:tcPr>
            <w:tcW w:w="4216" w:type="pct"/>
            <w:shd w:val="clear" w:color="auto" w:fill="auto"/>
            <w:vAlign w:val="center"/>
          </w:tcPr>
          <w:p w14:paraId="24BB2366" w14:textId="6568DC4A" w:rsidR="00E327E9" w:rsidRPr="005E7233" w:rsidRDefault="00E327E9">
            <w:pPr>
              <w:pStyle w:val="In-tableHeading"/>
              <w:rPr>
                <w:lang w:val="en-AU"/>
              </w:rPr>
            </w:pPr>
            <w:r w:rsidRPr="005E7233">
              <w:rPr>
                <w:lang w:val="en-AU"/>
              </w:rPr>
              <w:t>Summary</w:t>
            </w:r>
          </w:p>
        </w:tc>
      </w:tr>
      <w:tr w:rsidR="00E327E9" w:rsidRPr="005E7233" w14:paraId="3DCD59AE" w14:textId="77777777" w:rsidTr="733957FC">
        <w:tc>
          <w:tcPr>
            <w:tcW w:w="784" w:type="pct"/>
            <w:shd w:val="clear" w:color="auto" w:fill="auto"/>
            <w:vAlign w:val="center"/>
          </w:tcPr>
          <w:p w14:paraId="3BD1D38A" w14:textId="77777777" w:rsidR="00E327E9" w:rsidRPr="005E7233" w:rsidRDefault="00E327E9">
            <w:pPr>
              <w:pStyle w:val="TableText0"/>
            </w:pPr>
            <w:r w:rsidRPr="005E7233">
              <w:t>Treatments</w:t>
            </w:r>
          </w:p>
        </w:tc>
        <w:tc>
          <w:tcPr>
            <w:tcW w:w="4216" w:type="pct"/>
            <w:shd w:val="clear" w:color="auto" w:fill="auto"/>
            <w:vAlign w:val="center"/>
          </w:tcPr>
          <w:p w14:paraId="7BAD2E12" w14:textId="28F25871" w:rsidR="00E327E9" w:rsidRPr="005E7233" w:rsidRDefault="00E327E9">
            <w:pPr>
              <w:pStyle w:val="TableText0"/>
            </w:pPr>
            <w:r w:rsidRPr="005E7233">
              <w:t xml:space="preserve">Three analyses were presented: (1L) teprotumumab vs IVMP; (1L) teprotumumab vs IVMP + MMF; and 2L teprotumumab vs tocilizumab. </w:t>
            </w:r>
          </w:p>
        </w:tc>
      </w:tr>
      <w:tr w:rsidR="00E327E9" w:rsidRPr="005E7233" w14:paraId="07409257" w14:textId="77777777" w:rsidTr="733957FC">
        <w:tc>
          <w:tcPr>
            <w:tcW w:w="784" w:type="pct"/>
            <w:shd w:val="clear" w:color="auto" w:fill="auto"/>
            <w:vAlign w:val="center"/>
          </w:tcPr>
          <w:p w14:paraId="09F64CD8" w14:textId="77777777" w:rsidR="00E327E9" w:rsidRPr="005E7233" w:rsidRDefault="00E327E9">
            <w:pPr>
              <w:pStyle w:val="TableText0"/>
            </w:pPr>
            <w:r w:rsidRPr="005E7233">
              <w:t>Time horizon</w:t>
            </w:r>
          </w:p>
        </w:tc>
        <w:tc>
          <w:tcPr>
            <w:tcW w:w="4216" w:type="pct"/>
            <w:shd w:val="clear" w:color="auto" w:fill="auto"/>
            <w:vAlign w:val="center"/>
          </w:tcPr>
          <w:p w14:paraId="48EEABC5" w14:textId="093510C1" w:rsidR="00E327E9" w:rsidRPr="005E7233" w:rsidRDefault="00E327E9">
            <w:pPr>
              <w:pStyle w:val="TableText0"/>
            </w:pPr>
            <w:r w:rsidRPr="005E7233">
              <w:t xml:space="preserve">Lifetime (47 years) in the model base case vs. 72 weeks follow-up from teprotumumab trials. </w:t>
            </w:r>
          </w:p>
        </w:tc>
      </w:tr>
      <w:tr w:rsidR="00E327E9" w:rsidRPr="005E7233" w14:paraId="5A344991" w14:textId="77777777" w:rsidTr="733957FC">
        <w:tc>
          <w:tcPr>
            <w:tcW w:w="784" w:type="pct"/>
            <w:shd w:val="clear" w:color="auto" w:fill="auto"/>
            <w:vAlign w:val="center"/>
          </w:tcPr>
          <w:p w14:paraId="533ACB0D" w14:textId="77777777" w:rsidR="00E327E9" w:rsidRPr="005E7233" w:rsidRDefault="00E327E9">
            <w:pPr>
              <w:pStyle w:val="TableText0"/>
            </w:pPr>
            <w:r w:rsidRPr="005E7233">
              <w:t>Outcomes</w:t>
            </w:r>
          </w:p>
        </w:tc>
        <w:tc>
          <w:tcPr>
            <w:tcW w:w="4216" w:type="pct"/>
            <w:shd w:val="clear" w:color="auto" w:fill="auto"/>
            <w:vAlign w:val="center"/>
          </w:tcPr>
          <w:p w14:paraId="118C9B73" w14:textId="33D54735" w:rsidR="00E327E9" w:rsidRPr="005E7233" w:rsidRDefault="00E327E9">
            <w:pPr>
              <w:pStyle w:val="TableText0"/>
            </w:pPr>
            <w:r w:rsidRPr="005E7233">
              <w:t>QALYs</w:t>
            </w:r>
            <w:r w:rsidR="00426B4A" w:rsidRPr="005E7233">
              <w:t>, based on improved symptom severity</w:t>
            </w:r>
            <w:r w:rsidRPr="005E7233">
              <w:t xml:space="preserve">. </w:t>
            </w:r>
          </w:p>
        </w:tc>
      </w:tr>
      <w:tr w:rsidR="00E327E9" w:rsidRPr="005E7233" w14:paraId="376B897D" w14:textId="77777777" w:rsidTr="733957FC">
        <w:tc>
          <w:tcPr>
            <w:tcW w:w="784" w:type="pct"/>
            <w:shd w:val="clear" w:color="auto" w:fill="auto"/>
            <w:vAlign w:val="center"/>
          </w:tcPr>
          <w:p w14:paraId="22F721C2" w14:textId="77777777" w:rsidR="00E327E9" w:rsidRPr="005E7233" w:rsidRDefault="00E327E9">
            <w:pPr>
              <w:pStyle w:val="TableText0"/>
            </w:pPr>
            <w:r w:rsidRPr="005E7233">
              <w:t>Methods used to generate results</w:t>
            </w:r>
          </w:p>
        </w:tc>
        <w:tc>
          <w:tcPr>
            <w:tcW w:w="4216" w:type="pct"/>
            <w:shd w:val="clear" w:color="auto" w:fill="auto"/>
            <w:vAlign w:val="center"/>
          </w:tcPr>
          <w:p w14:paraId="7DD6E065" w14:textId="7F4A607B" w:rsidR="00E327E9" w:rsidRPr="005E7233" w:rsidRDefault="00E327E9">
            <w:pPr>
              <w:pStyle w:val="TableText0"/>
            </w:pPr>
            <w:r w:rsidRPr="005E7233">
              <w:t xml:space="preserve">Markov cohort expected value. </w:t>
            </w:r>
          </w:p>
        </w:tc>
      </w:tr>
      <w:tr w:rsidR="00E327E9" w:rsidRPr="005E7233" w14:paraId="18CAADCF" w14:textId="77777777" w:rsidTr="733957FC">
        <w:tc>
          <w:tcPr>
            <w:tcW w:w="784" w:type="pct"/>
            <w:shd w:val="clear" w:color="auto" w:fill="auto"/>
            <w:vAlign w:val="center"/>
          </w:tcPr>
          <w:p w14:paraId="3386518F" w14:textId="77777777" w:rsidR="00E327E9" w:rsidRPr="005E7233" w:rsidRDefault="00E327E9">
            <w:pPr>
              <w:pStyle w:val="TableText0"/>
            </w:pPr>
            <w:r w:rsidRPr="005E7233">
              <w:t>Health states</w:t>
            </w:r>
          </w:p>
        </w:tc>
        <w:tc>
          <w:tcPr>
            <w:tcW w:w="4216" w:type="pct"/>
            <w:shd w:val="clear" w:color="auto" w:fill="auto"/>
            <w:vAlign w:val="center"/>
          </w:tcPr>
          <w:p w14:paraId="42F3A9EC" w14:textId="5D4B225A" w:rsidR="00E327E9" w:rsidRPr="005E7233" w:rsidRDefault="00E327E9">
            <w:pPr>
              <w:pStyle w:val="TableText0"/>
            </w:pPr>
            <w:r w:rsidRPr="005E7233">
              <w:t xml:space="preserve">Nine health states: SPND, LPND, SPID, LPID, SPCD, LPCD, Surgery, Post-surgery, Dead. </w:t>
            </w:r>
          </w:p>
        </w:tc>
      </w:tr>
      <w:tr w:rsidR="00E327E9" w:rsidRPr="005E7233" w14:paraId="042E311D" w14:textId="77777777" w:rsidTr="733957FC">
        <w:tc>
          <w:tcPr>
            <w:tcW w:w="784" w:type="pct"/>
            <w:shd w:val="clear" w:color="auto" w:fill="auto"/>
            <w:vAlign w:val="center"/>
          </w:tcPr>
          <w:p w14:paraId="327AA755" w14:textId="77777777" w:rsidR="00E327E9" w:rsidRPr="005E7233" w:rsidRDefault="00E327E9">
            <w:pPr>
              <w:pStyle w:val="TableText0"/>
            </w:pPr>
            <w:r w:rsidRPr="005E7233">
              <w:t>Cycle length</w:t>
            </w:r>
          </w:p>
        </w:tc>
        <w:tc>
          <w:tcPr>
            <w:tcW w:w="4216" w:type="pct"/>
            <w:shd w:val="clear" w:color="auto" w:fill="auto"/>
            <w:vAlign w:val="center"/>
          </w:tcPr>
          <w:p w14:paraId="26722625" w14:textId="77777777" w:rsidR="00E327E9" w:rsidRPr="005E7233" w:rsidRDefault="00E327E9">
            <w:pPr>
              <w:pStyle w:val="TableText0"/>
            </w:pPr>
            <w:r w:rsidRPr="005E7233">
              <w:t>6 weeks</w:t>
            </w:r>
          </w:p>
        </w:tc>
      </w:tr>
      <w:tr w:rsidR="00E327E9" w:rsidRPr="005E7233" w14:paraId="1EC7038B" w14:textId="77777777" w:rsidTr="733957FC">
        <w:tc>
          <w:tcPr>
            <w:tcW w:w="784" w:type="pct"/>
            <w:shd w:val="clear" w:color="auto" w:fill="auto"/>
            <w:vAlign w:val="center"/>
          </w:tcPr>
          <w:p w14:paraId="7B1EC693" w14:textId="77777777" w:rsidR="00E327E9" w:rsidRPr="005E7233" w:rsidRDefault="00E327E9">
            <w:pPr>
              <w:pStyle w:val="TableText0"/>
            </w:pPr>
            <w:r w:rsidRPr="005E7233">
              <w:t>Transition probabilities</w:t>
            </w:r>
          </w:p>
        </w:tc>
        <w:tc>
          <w:tcPr>
            <w:tcW w:w="4216" w:type="pct"/>
            <w:shd w:val="clear" w:color="auto" w:fill="auto"/>
            <w:vAlign w:val="center"/>
          </w:tcPr>
          <w:p w14:paraId="66B4F993" w14:textId="2E47174D" w:rsidR="00E327E9" w:rsidRPr="005E7233" w:rsidRDefault="00E327E9">
            <w:pPr>
              <w:pStyle w:val="TableText0"/>
            </w:pPr>
            <w:r w:rsidRPr="005E7233">
              <w:rPr>
                <w:u w:val="single"/>
              </w:rPr>
              <w:t>Treatment phase (cycles 1–4</w:t>
            </w:r>
            <w:r w:rsidR="001962B5" w:rsidRPr="005E7233">
              <w:rPr>
                <w:u w:val="single"/>
              </w:rPr>
              <w:t>/week 1–24</w:t>
            </w:r>
            <w:r w:rsidRPr="005E7233">
              <w:rPr>
                <w:u w:val="single"/>
              </w:rPr>
              <w:t>):</w:t>
            </w:r>
            <w:r w:rsidRPr="005E7233">
              <w:t xml:space="preserve"> </w:t>
            </w:r>
            <w:r w:rsidR="00635A16" w:rsidRPr="005E7233">
              <w:t xml:space="preserve">time-varying </w:t>
            </w:r>
            <w:r w:rsidRPr="005E7233">
              <w:t>transitions of</w:t>
            </w:r>
            <w:r w:rsidR="003560C0" w:rsidRPr="005E7233">
              <w:t xml:space="preserve"> symptom</w:t>
            </w:r>
            <w:r w:rsidRPr="005E7233">
              <w:t xml:space="preserve"> improvement and relapse</w:t>
            </w:r>
            <w:r w:rsidR="00483F23" w:rsidRPr="005E7233">
              <w:t xml:space="preserve"> were</w:t>
            </w:r>
            <w:r w:rsidRPr="005E7233">
              <w:t xml:space="preserve"> informed by pooled data from TED01RV and OPTIC, with the IVMP treatment effect, relative to placebo, derived from a</w:t>
            </w:r>
            <w:r w:rsidR="00DD3A5E" w:rsidRPr="005E7233">
              <w:t>n unanchored</w:t>
            </w:r>
            <w:r w:rsidRPr="005E7233">
              <w:t xml:space="preserve"> MAIC (Douglas et al. 2022).</w:t>
            </w:r>
            <w:r w:rsidR="00B135C1" w:rsidRPr="005E7233">
              <w:t xml:space="preserve"> </w:t>
            </w:r>
            <w:r w:rsidR="00936980" w:rsidRPr="005E7233">
              <w:t xml:space="preserve">Teprotumumab discontinuation (8.4% over the 24-week treatment course) was also based on the pooled teprotumumab trial data, with </w:t>
            </w:r>
            <w:r w:rsidR="00B135C1" w:rsidRPr="005E7233">
              <w:t>IVMP discontinuation</w:t>
            </w:r>
            <w:r w:rsidR="00936980" w:rsidRPr="005E7233">
              <w:t xml:space="preserve"> (2.7% over the 12-week treatment course)</w:t>
            </w:r>
            <w:r w:rsidR="00B135C1" w:rsidRPr="005E7233">
              <w:t xml:space="preserve"> based on</w:t>
            </w:r>
            <w:r w:rsidR="00013B01" w:rsidRPr="005E7233">
              <w:t xml:space="preserve"> Kahaly et al. (2018)</w:t>
            </w:r>
            <w:r w:rsidR="00D90033">
              <w:rPr>
                <w:rStyle w:val="FootnoteReference"/>
              </w:rPr>
              <w:footnoteReference w:id="33"/>
            </w:r>
            <w:r w:rsidR="00013B01" w:rsidRPr="005E7233">
              <w:t>.</w:t>
            </w:r>
            <w:r w:rsidRPr="005E7233">
              <w:t xml:space="preserve"> </w:t>
            </w:r>
          </w:p>
          <w:p w14:paraId="47D76620" w14:textId="0CA2C1F2" w:rsidR="00E327E9" w:rsidRPr="005E7233" w:rsidRDefault="00E327E9">
            <w:pPr>
              <w:pStyle w:val="TableText0"/>
            </w:pPr>
            <w:r w:rsidRPr="005E7233">
              <w:rPr>
                <w:u w:val="single"/>
              </w:rPr>
              <w:t>Extrapolation (cycles 5–12</w:t>
            </w:r>
            <w:r w:rsidR="005211E0" w:rsidRPr="005E7233">
              <w:rPr>
                <w:u w:val="single"/>
              </w:rPr>
              <w:t>/</w:t>
            </w:r>
            <w:r w:rsidR="001962B5" w:rsidRPr="005E7233">
              <w:rPr>
                <w:u w:val="single"/>
              </w:rPr>
              <w:t xml:space="preserve">week </w:t>
            </w:r>
            <w:r w:rsidR="003218C4" w:rsidRPr="005E7233">
              <w:rPr>
                <w:u w:val="single"/>
              </w:rPr>
              <w:t>24</w:t>
            </w:r>
            <w:r w:rsidR="005211E0" w:rsidRPr="005E7233">
              <w:rPr>
                <w:u w:val="single"/>
              </w:rPr>
              <w:t>–72</w:t>
            </w:r>
            <w:r w:rsidRPr="005E7233">
              <w:rPr>
                <w:u w:val="single"/>
              </w:rPr>
              <w:t>):</w:t>
            </w:r>
            <w:r w:rsidRPr="005E7233">
              <w:t xml:space="preserve"> transitions of relapse were informed by follow-up data up to 72 weeks (</w:t>
            </w:r>
            <w:r w:rsidR="003D5D7C" w:rsidRPr="005E7233">
              <w:t>based on overall relapse rate of 30%</w:t>
            </w:r>
            <w:r w:rsidR="00C91D09" w:rsidRPr="005E7233">
              <w:t xml:space="preserve"> [</w:t>
            </w:r>
            <w:r w:rsidR="00752E1D" w:rsidRPr="005E7233">
              <w:t>OPTIC</w:t>
            </w:r>
            <w:r w:rsidR="00C91D09" w:rsidRPr="005E7233">
              <w:t>] following teprotumumab</w:t>
            </w:r>
            <w:r w:rsidR="00752E1D" w:rsidRPr="005E7233">
              <w:t xml:space="preserve">; </w:t>
            </w:r>
            <w:r w:rsidR="003D5D7C" w:rsidRPr="005E7233">
              <w:t xml:space="preserve">and 50% </w:t>
            </w:r>
            <w:r w:rsidR="00C91D09" w:rsidRPr="005E7233">
              <w:t>[</w:t>
            </w:r>
            <w:r w:rsidR="00752E1D" w:rsidRPr="005E7233">
              <w:t>Salvi et al. 2015</w:t>
            </w:r>
            <w:r w:rsidR="00AC7BAA">
              <w:rPr>
                <w:rStyle w:val="FootnoteReference"/>
              </w:rPr>
              <w:footnoteReference w:id="34"/>
            </w:r>
            <w:r w:rsidR="00C91D09" w:rsidRPr="005E7233">
              <w:t>] following IVMP</w:t>
            </w:r>
            <w:r w:rsidRPr="005E7233">
              <w:t xml:space="preserve">). </w:t>
            </w:r>
          </w:p>
          <w:p w14:paraId="16C53A8B" w14:textId="492E1AA4" w:rsidR="00E327E9" w:rsidRPr="005E7233" w:rsidRDefault="00E327E9">
            <w:pPr>
              <w:pStyle w:val="TableText0"/>
            </w:pPr>
            <w:r w:rsidRPr="005E7233">
              <w:rPr>
                <w:u w:val="single"/>
              </w:rPr>
              <w:t>Long-term extrapolation (cycles 13+</w:t>
            </w:r>
            <w:r w:rsidR="004A1035" w:rsidRPr="005E7233">
              <w:rPr>
                <w:u w:val="single"/>
              </w:rPr>
              <w:t>/week 72+</w:t>
            </w:r>
            <w:r w:rsidRPr="005E7233">
              <w:rPr>
                <w:u w:val="single"/>
              </w:rPr>
              <w:t>):</w:t>
            </w:r>
            <w:r w:rsidRPr="005E7233">
              <w:t xml:space="preserve"> TED symptoms </w:t>
            </w:r>
            <w:r w:rsidR="0098188E" w:rsidRPr="005E7233">
              <w:t xml:space="preserve">were </w:t>
            </w:r>
            <w:r w:rsidRPr="005E7233">
              <w:t>assumed to be stable. Rehabilitative surgery was assumed</w:t>
            </w:r>
            <w:r w:rsidR="00103305" w:rsidRPr="005E7233">
              <w:t xml:space="preserve"> as a one-off </w:t>
            </w:r>
            <w:r w:rsidR="00B135C1" w:rsidRPr="005E7233">
              <w:t>in cycle 26 (i.e. beginning of inactive phase)</w:t>
            </w:r>
            <w:r w:rsidRPr="005E7233">
              <w:t>, where use varied by symptom severity</w:t>
            </w:r>
            <w:r w:rsidR="003D5D7C" w:rsidRPr="005E7233">
              <w:t xml:space="preserve"> (SPND/SPID: 5.0%; LPND: 38.1%; LPID: 41.3%; SPCD/LPCD: 43.8%)</w:t>
            </w:r>
            <w:r w:rsidRPr="005E7233">
              <w:t>, and was informed from clinician opinion.</w:t>
            </w:r>
            <w:r w:rsidR="00936980" w:rsidRPr="005E7233">
              <w:t xml:space="preserve"> All patients alive </w:t>
            </w:r>
            <w:r w:rsidR="004B1016" w:rsidRPr="005E7233">
              <w:t xml:space="preserve">in the Surgery health state </w:t>
            </w:r>
            <w:r w:rsidR="00936980" w:rsidRPr="005E7233">
              <w:t>in cycle 56 were assumed to transition to the Post-surgery health state.</w:t>
            </w:r>
            <w:r w:rsidRPr="005E7233">
              <w:t xml:space="preserve"> </w:t>
            </w:r>
          </w:p>
          <w:p w14:paraId="310EC5CC" w14:textId="40312E8C" w:rsidR="00936980" w:rsidRPr="005E7233" w:rsidRDefault="00936980">
            <w:pPr>
              <w:pStyle w:val="TableText0"/>
            </w:pPr>
            <w:r w:rsidRPr="005E7233">
              <w:t>Across all phases, patients remain at-risk of death based on ABS Life Tables (2020–2022).</w:t>
            </w:r>
          </w:p>
        </w:tc>
      </w:tr>
      <w:tr w:rsidR="00E327E9" w:rsidRPr="005E7233" w14:paraId="68329630" w14:textId="77777777" w:rsidTr="733957FC">
        <w:tc>
          <w:tcPr>
            <w:tcW w:w="784" w:type="pct"/>
            <w:shd w:val="clear" w:color="auto" w:fill="auto"/>
            <w:vAlign w:val="center"/>
          </w:tcPr>
          <w:p w14:paraId="53DFBC91" w14:textId="77777777" w:rsidR="00E327E9" w:rsidRPr="005E7233" w:rsidRDefault="00E327E9">
            <w:pPr>
              <w:pStyle w:val="TableText0"/>
            </w:pPr>
            <w:r w:rsidRPr="005E7233">
              <w:t>Health related quality of life</w:t>
            </w:r>
          </w:p>
        </w:tc>
        <w:tc>
          <w:tcPr>
            <w:tcW w:w="4216" w:type="pct"/>
            <w:shd w:val="clear" w:color="auto" w:fill="auto"/>
            <w:vAlign w:val="center"/>
          </w:tcPr>
          <w:p w14:paraId="4951F50B" w14:textId="535797B0" w:rsidR="00E327E9" w:rsidRPr="005E7233" w:rsidRDefault="00E327E9">
            <w:pPr>
              <w:pStyle w:val="TableText0"/>
            </w:pPr>
            <w:r w:rsidRPr="005E7233">
              <w:t>TTO methodology was used to elicit utility scores for TED health state vignettes from a sample of the general US population (SPND: 0.60; LPND: 0.46; SPID: 0.52; LPID: 0.43; SPCD: 0.34; LPCD: 0.30) (Smith et al. 2023)</w:t>
            </w:r>
            <w:r w:rsidR="00964CEC">
              <w:rPr>
                <w:rStyle w:val="FootnoteReference"/>
              </w:rPr>
              <w:footnoteReference w:id="35"/>
            </w:r>
            <w:r w:rsidRPr="005E7233">
              <w:t xml:space="preserve">. Utilities for the Surgery and Post-surgery health states were assumed based on the lowest (0.30) and median (0.43) </w:t>
            </w:r>
            <w:r w:rsidR="00483F23" w:rsidRPr="005E7233">
              <w:t xml:space="preserve">active MS TED health state </w:t>
            </w:r>
            <w:r w:rsidRPr="005E7233">
              <w:t xml:space="preserve">values, respectively. Utility decrements were included for Grade ≥3 AEs which occurred in ≥5% of patients and </w:t>
            </w:r>
            <w:r w:rsidR="0098188E" w:rsidRPr="005E7233">
              <w:t xml:space="preserve">for </w:t>
            </w:r>
            <w:r w:rsidRPr="005E7233">
              <w:t xml:space="preserve">IV administration. </w:t>
            </w:r>
          </w:p>
        </w:tc>
      </w:tr>
    </w:tbl>
    <w:p w14:paraId="77B89E8E" w14:textId="77777777" w:rsidR="00E327E9" w:rsidRPr="005E7233" w:rsidRDefault="00E327E9" w:rsidP="00C75534">
      <w:pPr>
        <w:pStyle w:val="TableFigureFooter"/>
        <w:jc w:val="both"/>
      </w:pPr>
      <w:r w:rsidRPr="005E7233">
        <w:t>Source: Adapted from Table3–1, pp167–168 of the submission.</w:t>
      </w:r>
    </w:p>
    <w:p w14:paraId="00A795BE" w14:textId="2EFF671B" w:rsidR="00E327E9" w:rsidRPr="005E7233" w:rsidRDefault="00E327E9" w:rsidP="00DB2919">
      <w:pPr>
        <w:pStyle w:val="TableFigureFooter"/>
        <w:jc w:val="both"/>
      </w:pPr>
      <w:r w:rsidRPr="005E7233">
        <w:t xml:space="preserve">1L = first-line; 2L = second-line; </w:t>
      </w:r>
      <w:r w:rsidR="0098188E" w:rsidRPr="005E7233">
        <w:t xml:space="preserve">AEs = adverse events; </w:t>
      </w:r>
      <w:r w:rsidRPr="005E7233">
        <w:t xml:space="preserve">IV = intravenous; IVMP = intravenous methylprednisolone; LPCD = large proptosis with constant diplopia; LPID = large proptosis with </w:t>
      </w:r>
      <w:r w:rsidR="00C34E13" w:rsidRPr="005E7233">
        <w:t>intermittent</w:t>
      </w:r>
      <w:r w:rsidRPr="005E7233">
        <w:t xml:space="preserve">/inconstant diplopia; LPND = large proptosis with no diplopia; MAIC = matching-adjusted indirect comparison; MMF = mycophenolate mofetil; MS TED = moderate-to-severe thyroid eye disease; </w:t>
      </w:r>
      <w:r w:rsidR="003759C8" w:rsidRPr="005E7233">
        <w:t xml:space="preserve">QALY = quality-adjusted life year; </w:t>
      </w:r>
      <w:r w:rsidRPr="005E7233">
        <w:t xml:space="preserve">QoL = quality-of-life; SPCD = small proptosis with constant diplopia; SPID = small proptosis with </w:t>
      </w:r>
      <w:r w:rsidR="00C34E13" w:rsidRPr="005E7233">
        <w:t>intermittent</w:t>
      </w:r>
      <w:r w:rsidRPr="005E7233">
        <w:t>/inconstant diplopia; SPND = small proptosis with no diplopia; TED = thyroid eye disease; TTO = time trade-off</w:t>
      </w:r>
      <w:r w:rsidR="003759C8" w:rsidRPr="005E7233">
        <w:t>.</w:t>
      </w:r>
    </w:p>
    <w:p w14:paraId="398DC8D5" w14:textId="4C54C996" w:rsidR="00E327E9" w:rsidRPr="005E7233" w:rsidRDefault="00E327E9" w:rsidP="005945E5">
      <w:pPr>
        <w:pStyle w:val="3-BodyText"/>
      </w:pPr>
      <w:r w:rsidRPr="005E7233">
        <w:t xml:space="preserve">The structure of the economic model is presented in </w:t>
      </w:r>
      <w:r w:rsidRPr="005E7233">
        <w:rPr>
          <w:highlight w:val="yellow"/>
        </w:rPr>
        <w:fldChar w:fldCharType="begin"/>
      </w:r>
      <w:r w:rsidRPr="005E7233">
        <w:instrText xml:space="preserve"> REF _Ref185984179 \h </w:instrText>
      </w:r>
      <w:r w:rsidR="0066573D" w:rsidRPr="005E7233">
        <w:rPr>
          <w:highlight w:val="yellow"/>
        </w:rPr>
        <w:instrText xml:space="preserve"> \* MERGEFORMAT </w:instrText>
      </w:r>
      <w:r w:rsidRPr="005E7233">
        <w:rPr>
          <w:highlight w:val="yellow"/>
        </w:rPr>
      </w:r>
      <w:r w:rsidRPr="005E7233">
        <w:rPr>
          <w:highlight w:val="yellow"/>
        </w:rPr>
        <w:fldChar w:fldCharType="separate"/>
      </w:r>
      <w:r w:rsidR="0012101B" w:rsidRPr="005E7233">
        <w:t xml:space="preserve">Figure </w:t>
      </w:r>
      <w:r w:rsidR="0012101B">
        <w:rPr>
          <w:noProof/>
        </w:rPr>
        <w:t>5</w:t>
      </w:r>
      <w:r w:rsidRPr="005E7233">
        <w:rPr>
          <w:highlight w:val="yellow"/>
        </w:rPr>
        <w:fldChar w:fldCharType="end"/>
      </w:r>
      <w:r w:rsidRPr="005E7233">
        <w:t>. Patients enter</w:t>
      </w:r>
      <w:r w:rsidR="0098188E" w:rsidRPr="005E7233">
        <w:t>ing</w:t>
      </w:r>
      <w:r w:rsidRPr="005E7233">
        <w:t xml:space="preserve"> the model </w:t>
      </w:r>
      <w:r w:rsidR="0098188E" w:rsidRPr="005E7233">
        <w:t xml:space="preserve">were </w:t>
      </w:r>
      <w:r w:rsidRPr="005E7233">
        <w:t xml:space="preserve">distributed across six health states reflecting levels of proptosis (small and large) and diplopia (none; intermittent or inconstant; </w:t>
      </w:r>
      <w:r w:rsidR="0098188E" w:rsidRPr="005E7233">
        <w:t>and</w:t>
      </w:r>
      <w:r w:rsidRPr="005E7233">
        <w:t xml:space="preserve"> constant)</w:t>
      </w:r>
      <w:r w:rsidR="0098188E" w:rsidRPr="005E7233">
        <w:rPr>
          <w:rStyle w:val="FootnoteReference"/>
        </w:rPr>
        <w:footnoteReference w:id="36"/>
      </w:r>
      <w:r w:rsidRPr="005E7233">
        <w:t>.</w:t>
      </w:r>
      <w:r w:rsidR="0053498B" w:rsidRPr="005E7233">
        <w:t xml:space="preserve"> </w:t>
      </w:r>
      <w:r w:rsidR="00383D09" w:rsidRPr="005E7233">
        <w:t>Additional health states (Surgery and Post-surgery) were included in the model to reflect rehabilitative surgery (implemented across the cohort as a one-off</w:t>
      </w:r>
      <w:r w:rsidR="00613A6F" w:rsidRPr="005E7233">
        <w:t xml:space="preserve"> at three years</w:t>
      </w:r>
      <w:r w:rsidR="00383D09" w:rsidRPr="005E7233">
        <w:t xml:space="preserve">) to </w:t>
      </w:r>
      <w:r w:rsidR="00383D09" w:rsidRPr="005E7233">
        <w:lastRenderedPageBreak/>
        <w:t>correct the sequelae of active disease once TED has become inactive (inflammation has subsided).</w:t>
      </w:r>
      <w:r w:rsidR="00426B4A" w:rsidRPr="005E7233">
        <w:t xml:space="preserve"> </w:t>
      </w:r>
      <w:r w:rsidR="008C4319">
        <w:t>The evaluation considered that g</w:t>
      </w:r>
      <w:r w:rsidR="0053498B" w:rsidRPr="005E7233">
        <w:t>iven that a number of the model assumptions could be accounted for using a simpler decision analytic structure – i.e. no changes in TED symptoms after 72 weeks and that surgery is assumed in all patients who require it at the same time</w:t>
      </w:r>
      <w:r w:rsidR="007C2C9F" w:rsidRPr="005E7233">
        <w:t xml:space="preserve"> (para </w:t>
      </w:r>
      <w:r w:rsidR="007C2C9F" w:rsidRPr="005E7233">
        <w:fldChar w:fldCharType="begin"/>
      </w:r>
      <w:r w:rsidR="007C2C9F" w:rsidRPr="005E7233">
        <w:instrText xml:space="preserve"> REF _Ref188345741 \n \h </w:instrText>
      </w:r>
      <w:r w:rsidR="0066573D" w:rsidRPr="005E7233">
        <w:instrText xml:space="preserve"> \* MERGEFORMAT </w:instrText>
      </w:r>
      <w:r w:rsidR="007C2C9F" w:rsidRPr="005E7233">
        <w:fldChar w:fldCharType="separate"/>
      </w:r>
      <w:r w:rsidR="0012101B">
        <w:t>6.73</w:t>
      </w:r>
      <w:r w:rsidR="007C2C9F" w:rsidRPr="005E7233">
        <w:fldChar w:fldCharType="end"/>
      </w:r>
      <w:r w:rsidR="007C2C9F" w:rsidRPr="005E7233">
        <w:t xml:space="preserve">) </w:t>
      </w:r>
      <w:r w:rsidR="0053498B" w:rsidRPr="005E7233">
        <w:t>– the use of a more complex Markov model structure was not well justified.</w:t>
      </w:r>
      <w:r w:rsidR="00383D09" w:rsidRPr="005E7233">
        <w:t xml:space="preserve"> </w:t>
      </w:r>
    </w:p>
    <w:p w14:paraId="0F5E60A2" w14:textId="2D1BB6A6" w:rsidR="00E327E9" w:rsidRPr="005E7233" w:rsidRDefault="00E327E9" w:rsidP="00E327E9">
      <w:pPr>
        <w:pStyle w:val="TableFigureHeading"/>
      </w:pPr>
      <w:bookmarkStart w:id="81" w:name="_Ref185984179"/>
      <w:r w:rsidRPr="005E7233">
        <w:t xml:space="preserve">Figure </w:t>
      </w:r>
      <w:r w:rsidR="00FB1BE3">
        <w:fldChar w:fldCharType="begin"/>
      </w:r>
      <w:r w:rsidR="00FB1BE3">
        <w:instrText xml:space="preserve"> SEQ Figure \* ARABIC </w:instrText>
      </w:r>
      <w:r w:rsidR="00FB1BE3">
        <w:fldChar w:fldCharType="separate"/>
      </w:r>
      <w:r w:rsidR="0012101B">
        <w:rPr>
          <w:noProof/>
        </w:rPr>
        <w:t>5</w:t>
      </w:r>
      <w:r w:rsidR="00FB1BE3">
        <w:rPr>
          <w:noProof/>
        </w:rPr>
        <w:fldChar w:fldCharType="end"/>
      </w:r>
      <w:bookmarkEnd w:id="81"/>
      <w:r w:rsidRPr="005E7233">
        <w:t>: Structure of the economic model</w:t>
      </w:r>
    </w:p>
    <w:p w14:paraId="2F4D1D0B" w14:textId="779D7349" w:rsidR="0067675D" w:rsidRPr="005E7233" w:rsidRDefault="008B1F9F" w:rsidP="00E327E9">
      <w:pPr>
        <w:keepNext/>
      </w:pPr>
      <w:r w:rsidRPr="005E7233">
        <w:rPr>
          <w:noProof/>
        </w:rPr>
        <w:drawing>
          <wp:inline distT="0" distB="0" distL="0" distR="0" wp14:anchorId="4404095D" wp14:editId="6070B7D4">
            <wp:extent cx="5757103" cy="3192259"/>
            <wp:effectExtent l="0" t="0" r="0" b="8255"/>
            <wp:docPr id="1354059538" name="Picture 5" descr="Figure 5: Structure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59538" name="Picture 5" descr="Figure 5: Structure of the economic mod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668" cy="3204216"/>
                    </a:xfrm>
                    <a:prstGeom prst="rect">
                      <a:avLst/>
                    </a:prstGeom>
                    <a:noFill/>
                  </pic:spPr>
                </pic:pic>
              </a:graphicData>
            </a:graphic>
          </wp:inline>
        </w:drawing>
      </w:r>
    </w:p>
    <w:p w14:paraId="542D2836" w14:textId="77777777" w:rsidR="00E327E9" w:rsidRPr="005E7233" w:rsidRDefault="00E327E9" w:rsidP="00E327E9">
      <w:pPr>
        <w:pStyle w:val="TableFigureFooter"/>
      </w:pPr>
      <w:r w:rsidRPr="005E7233">
        <w:t xml:space="preserve">Source: Constructed during the evaluation based on Figure 3.2–1, p176 of the submission. </w:t>
      </w:r>
    </w:p>
    <w:p w14:paraId="636C7BA1" w14:textId="17D37863" w:rsidR="00E327E9" w:rsidRPr="005E7233" w:rsidRDefault="00E327E9" w:rsidP="00E327E9">
      <w:pPr>
        <w:pStyle w:val="TableFigureFooter"/>
      </w:pPr>
      <w:r w:rsidRPr="005E7233">
        <w:t>LPCD = large proptosis with constant diplopia; LP</w:t>
      </w:r>
      <w:r w:rsidR="003A6464" w:rsidRPr="005E7233">
        <w:t>I</w:t>
      </w:r>
      <w:r w:rsidRPr="005E7233">
        <w:t>D = large proptosis with intermittent/inconstant diplopia; LPND = large proptosis with no diplopia; SPCD = small proptosis with constant diplopia; SP</w:t>
      </w:r>
      <w:r w:rsidR="003A6464" w:rsidRPr="005E7233">
        <w:t>I</w:t>
      </w:r>
      <w:r w:rsidRPr="005E7233">
        <w:t>D = small proptosis with intermittent/inconstant diplopia; SPND = small proptosis with no diplopia; TED = thyroid eye disease</w:t>
      </w:r>
      <w:r w:rsidR="00A13903" w:rsidRPr="005E7233">
        <w:t>; ULN = upper limit of normal for race and sex</w:t>
      </w:r>
      <w:r w:rsidRPr="005E7233">
        <w:t>.</w:t>
      </w:r>
    </w:p>
    <w:p w14:paraId="53CFAB6D" w14:textId="6A66B3EF" w:rsidR="00E327E9" w:rsidRPr="005E7233" w:rsidRDefault="001461AB" w:rsidP="00E76506">
      <w:pPr>
        <w:pStyle w:val="TableFigureFooter"/>
        <w:jc w:val="both"/>
      </w:pPr>
      <w:r w:rsidRPr="005E7233">
        <w:t xml:space="preserve">* </w:t>
      </w:r>
      <w:r w:rsidR="00E327E9" w:rsidRPr="005E7233">
        <w:t xml:space="preserve">Not all transitions between TED health states </w:t>
      </w:r>
      <w:r w:rsidRPr="005E7233">
        <w:t xml:space="preserve">in the active phase </w:t>
      </w:r>
      <w:r w:rsidR="00E327E9" w:rsidRPr="005E7233">
        <w:t xml:space="preserve">have been depicted nor are all allowed throughout the </w:t>
      </w:r>
      <w:r w:rsidRPr="005E7233">
        <w:t xml:space="preserve">phase </w:t>
      </w:r>
      <w:r w:rsidR="00013B01" w:rsidRPr="005E7233">
        <w:t>due to limitations of data and other model assumptions</w:t>
      </w:r>
      <w:r w:rsidR="00E327E9" w:rsidRPr="005E7233">
        <w:t xml:space="preserve">. Symptom improvements are modelled only to </w:t>
      </w:r>
      <w:r w:rsidR="00AA1821" w:rsidRPr="005E7233">
        <w:t>w</w:t>
      </w:r>
      <w:r w:rsidR="00E327E9" w:rsidRPr="005E7233">
        <w:t xml:space="preserve">eek 24 (cycle 4 – duration of comparative trial data), whereas relapses are modelled up to week 72 (cycle 12 – extent of observed data). After week 72, TED symptoms are assumed to stabilise and patients remain in that health state </w:t>
      </w:r>
      <w:r w:rsidRPr="005E7233">
        <w:t>until the end of the active phase</w:t>
      </w:r>
      <w:r w:rsidR="00E327E9" w:rsidRPr="005E7233">
        <w:t>.</w:t>
      </w:r>
    </w:p>
    <w:p w14:paraId="3D3C44B0" w14:textId="0111B843" w:rsidR="001461AB" w:rsidRPr="005E7233" w:rsidRDefault="008B1F9F" w:rsidP="00E76506">
      <w:pPr>
        <w:pStyle w:val="TableFigureFooter"/>
        <w:jc w:val="both"/>
      </w:pPr>
      <w:r w:rsidRPr="005E7233">
        <w:rPr>
          <w:vertAlign w:val="superscript"/>
        </w:rPr>
        <w:t>$</w:t>
      </w:r>
      <w:r w:rsidRPr="005E7233">
        <w:t xml:space="preserve"> </w:t>
      </w:r>
      <w:r w:rsidR="001461AB" w:rsidRPr="005E7233">
        <w:t>In the Inactive phase</w:t>
      </w:r>
      <w:r w:rsidRPr="005E7233">
        <w:t xml:space="preserve"> (3 years after model entry)</w:t>
      </w:r>
      <w:r w:rsidR="001461AB" w:rsidRPr="005E7233">
        <w:t xml:space="preserve">, unless patients receive rehabilitative surgery – assumed to occur only in Cycle 26 – the level of TED symptoms </w:t>
      </w:r>
      <w:r w:rsidR="00E76506" w:rsidRPr="005E7233">
        <w:t>is</w:t>
      </w:r>
      <w:r w:rsidRPr="005E7233">
        <w:t xml:space="preserve"> assumed to </w:t>
      </w:r>
      <w:r w:rsidR="001461AB" w:rsidRPr="005E7233">
        <w:t>remain unchanged throughout the model time horizon</w:t>
      </w:r>
      <w:r w:rsidRPr="005E7233">
        <w:t xml:space="preserve"> (i.e. no transitions between TED symptom health states)</w:t>
      </w:r>
      <w:r w:rsidR="001461AB" w:rsidRPr="005E7233">
        <w:t xml:space="preserve">. All patients who remain alive in the Surgery health state in cycle 56 </w:t>
      </w:r>
      <w:r w:rsidRPr="005E7233">
        <w:t xml:space="preserve">(approx. 3.5 years after rehabilitative surgery) </w:t>
      </w:r>
      <w:r w:rsidR="001461AB" w:rsidRPr="005E7233">
        <w:t>are assumed to transition to the Post-surgery health state.</w:t>
      </w:r>
    </w:p>
    <w:p w14:paraId="57106125" w14:textId="1491156F" w:rsidR="001461AB" w:rsidRPr="005E7233" w:rsidRDefault="001461AB" w:rsidP="00E76506">
      <w:pPr>
        <w:pStyle w:val="TableFigureFooter"/>
        <w:jc w:val="both"/>
      </w:pPr>
      <w:r w:rsidRPr="005E7233">
        <w:rPr>
          <w:vertAlign w:val="superscript"/>
        </w:rPr>
        <w:t>#</w:t>
      </w:r>
      <w:r w:rsidRPr="005E7233">
        <w:t xml:space="preserve"> Transitions to the Surgery health state vary by TED symptom health state</w:t>
      </w:r>
      <w:r w:rsidR="00BC6F9B" w:rsidRPr="005E7233">
        <w:t xml:space="preserve"> (</w:t>
      </w:r>
      <w:r w:rsidRPr="005E7233">
        <w:t>SPND/SPID: 5.0%; LPND: 38.1%; LPID: 41.3%; SPCD/LPCD: 43.8%</w:t>
      </w:r>
      <w:r w:rsidR="00BC6F9B" w:rsidRPr="005E7233">
        <w:t>)</w:t>
      </w:r>
    </w:p>
    <w:p w14:paraId="7D4318C3" w14:textId="63BDF27C" w:rsidR="00E327E9" w:rsidRPr="005E7233" w:rsidRDefault="00E327E9" w:rsidP="00A4425B">
      <w:pPr>
        <w:pStyle w:val="TableFigureFooter"/>
        <w:jc w:val="both"/>
      </w:pPr>
      <w:r w:rsidRPr="005E7233">
        <w:t>^ No patients are assumed to remain in the Surgery health state in cycle 56</w:t>
      </w:r>
    </w:p>
    <w:p w14:paraId="218882CE" w14:textId="5EC970D0" w:rsidR="00103305" w:rsidRPr="005E7233" w:rsidRDefault="00CC3E8D" w:rsidP="00E327E9">
      <w:pPr>
        <w:pStyle w:val="3-BodyText"/>
      </w:pPr>
      <w:bookmarkStart w:id="82" w:name="_Ref188347277"/>
      <w:bookmarkStart w:id="83" w:name="_Ref187657908"/>
      <w:r w:rsidRPr="005E7233">
        <w:t xml:space="preserve">The following issues were noted </w:t>
      </w:r>
      <w:r w:rsidR="00B25347" w:rsidRPr="005E7233">
        <w:t xml:space="preserve">by the evaluation </w:t>
      </w:r>
      <w:r w:rsidRPr="005E7233">
        <w:t>regarding the</w:t>
      </w:r>
      <w:r w:rsidR="00A4425B" w:rsidRPr="005E7233">
        <w:t xml:space="preserve"> model</w:t>
      </w:r>
      <w:r w:rsidRPr="005E7233">
        <w:t xml:space="preserve"> structure, which likely limit the reliability of the model for decision-making purposes:</w:t>
      </w:r>
      <w:bookmarkEnd w:id="82"/>
    </w:p>
    <w:p w14:paraId="66B3FCB4" w14:textId="3540CDD3" w:rsidR="00CC3E8D" w:rsidRPr="005E7233" w:rsidRDefault="00CC3E8D" w:rsidP="003B2AE9">
      <w:pPr>
        <w:pStyle w:val="ListParagraph"/>
        <w:ind w:left="1134"/>
        <w:jc w:val="both"/>
      </w:pPr>
      <w:r w:rsidRPr="005E7233">
        <w:t xml:space="preserve">The submission has not adequately supported </w:t>
      </w:r>
      <w:r w:rsidR="005A4920" w:rsidRPr="005E7233">
        <w:t>that</w:t>
      </w:r>
      <w:r w:rsidRPr="005E7233">
        <w:t xml:space="preserve"> the TED symptom health states chosen</w:t>
      </w:r>
      <w:r w:rsidR="005A4920" w:rsidRPr="005E7233">
        <w:t xml:space="preserve"> reflect meaningful differences in QoL</w:t>
      </w:r>
      <w:r w:rsidRPr="005E7233">
        <w:t xml:space="preserve">. Significant differences in health state utility were not observed between all (vignette-based) health states in a time trade-off (TTO) study in a sample of the general US population (n = 111) </w:t>
      </w:r>
      <w:r w:rsidRPr="005E7233">
        <w:lastRenderedPageBreak/>
        <w:t>(Smith et al. 2023)</w:t>
      </w:r>
      <w:bookmarkStart w:id="84" w:name="_Ref188356500"/>
      <w:r w:rsidRPr="005E7233">
        <w:rPr>
          <w:vertAlign w:val="superscript"/>
        </w:rPr>
        <w:footnoteReference w:id="37"/>
      </w:r>
      <w:bookmarkEnd w:id="84"/>
      <w:r w:rsidRPr="005E7233">
        <w:t>, nor were clinically meaningful differences observed in QoL between these health states at baseline in the teprotumumab trials (Smith et al. 2024)</w:t>
      </w:r>
      <w:r w:rsidR="00DF3EE2" w:rsidRPr="005E7233">
        <w:rPr>
          <w:vertAlign w:val="superscript"/>
        </w:rPr>
        <w:footnoteReference w:id="38"/>
      </w:r>
      <w:r w:rsidRPr="005E7233">
        <w:t>. The vignette study considered that changes between states may be difficult to detect (e.g. from intermittent/inconstant diplopia to no diplopia) or that symptoms have similar impacts on daily life</w:t>
      </w:r>
      <w:r w:rsidR="00DF3EE2" w:rsidRPr="005E7233">
        <w:t>.</w:t>
      </w:r>
      <w:r w:rsidR="00325D34" w:rsidRPr="005E7233">
        <w:rPr>
          <w:vertAlign w:val="superscript"/>
        </w:rPr>
        <w:fldChar w:fldCharType="begin"/>
      </w:r>
      <w:r w:rsidR="00325D34" w:rsidRPr="005E7233">
        <w:rPr>
          <w:vertAlign w:val="superscript"/>
        </w:rPr>
        <w:instrText xml:space="preserve"> NOTEREF _Ref188356500 \h  \* MERGEFORMAT </w:instrText>
      </w:r>
      <w:r w:rsidR="00325D34" w:rsidRPr="005E7233">
        <w:rPr>
          <w:vertAlign w:val="superscript"/>
        </w:rPr>
      </w:r>
      <w:r w:rsidR="00325D34" w:rsidRPr="005E7233">
        <w:rPr>
          <w:vertAlign w:val="superscript"/>
        </w:rPr>
        <w:fldChar w:fldCharType="separate"/>
      </w:r>
      <w:r w:rsidR="0012101B">
        <w:rPr>
          <w:vertAlign w:val="superscript"/>
        </w:rPr>
        <w:t>36</w:t>
      </w:r>
      <w:r w:rsidR="00325D34" w:rsidRPr="005E7233">
        <w:rPr>
          <w:vertAlign w:val="superscript"/>
        </w:rPr>
        <w:fldChar w:fldCharType="end"/>
      </w:r>
      <w:r w:rsidRPr="005E7233">
        <w:t xml:space="preserve"> While resource use for disease management and the proportion of patients who require rehabilitative surgery were also assumed to vary by health state, these differences were informed by expert opinion. </w:t>
      </w:r>
    </w:p>
    <w:p w14:paraId="67CE9C61" w14:textId="041EA1EB" w:rsidR="00CC3E8D" w:rsidRPr="005E7233" w:rsidRDefault="00CC3E8D" w:rsidP="003B2AE9">
      <w:pPr>
        <w:pStyle w:val="ListParagraph"/>
        <w:ind w:left="1134"/>
        <w:jc w:val="both"/>
      </w:pPr>
      <w:r w:rsidRPr="005E7233">
        <w:t xml:space="preserve">Based on the utility values applied </w:t>
      </w:r>
      <w:r w:rsidR="000C58CA" w:rsidRPr="005E7233">
        <w:t>to</w:t>
      </w:r>
      <w:r w:rsidRPr="005E7233">
        <w:t xml:space="preserve"> the TED symptom health states, these represent active MS TED, with limited distinction modelled between the active (characterised by presence of inflammation) and inactive (once inflammation has subsided) phases. This was not likely to be reasonable as active disease is associated with pain, grittiness, chemosis and photophobia</w:t>
      </w:r>
      <w:r w:rsidR="00DF3EE2" w:rsidRPr="005E7233">
        <w:t xml:space="preserve">, </w:t>
      </w:r>
      <w:r w:rsidRPr="005E7233">
        <w:t>which may subside in the inactive phase</w:t>
      </w:r>
      <w:r w:rsidR="00B246A4" w:rsidRPr="005E7233">
        <w:t>, and lead to improvement in QoL</w:t>
      </w:r>
      <w:r w:rsidRPr="005E7233">
        <w:t>.</w:t>
      </w:r>
    </w:p>
    <w:p w14:paraId="4B3CB926" w14:textId="43038523" w:rsidR="00E327E9" w:rsidRPr="005E7233" w:rsidRDefault="00CC3E8D" w:rsidP="003B2AE9">
      <w:pPr>
        <w:pStyle w:val="ListParagraph"/>
        <w:ind w:left="1134"/>
        <w:jc w:val="both"/>
      </w:pPr>
      <w:r w:rsidRPr="005E7233">
        <w:t>The model d</w:t>
      </w:r>
      <w:r w:rsidR="00D4373C" w:rsidRPr="005E7233">
        <w:t>id</w:t>
      </w:r>
      <w:r w:rsidRPr="005E7233">
        <w:t xml:space="preserve"> not account for other relevant aspects of disease, such as progression to sight-threatening TED</w:t>
      </w:r>
      <w:r w:rsidR="00B246A4" w:rsidRPr="005E7233">
        <w:t xml:space="preserve"> (which requires urgent surgery during the active phase of disease)</w:t>
      </w:r>
      <w:r w:rsidRPr="005E7233">
        <w:t xml:space="preserve">, </w:t>
      </w:r>
      <w:bookmarkStart w:id="85" w:name="_Hlk188348242"/>
      <w:r w:rsidRPr="005E7233">
        <w:t>resolution of TED symptoms to mild disease nor reactivation after active disease has subsided</w:t>
      </w:r>
      <w:bookmarkEnd w:id="85"/>
      <w:r w:rsidR="00DF3EE2" w:rsidRPr="005E7233">
        <w:t xml:space="preserve"> and t</w:t>
      </w:r>
      <w:r w:rsidRPr="005E7233">
        <w:t>he health states as modelled represent heterogeneous patients (e.g. TED symptom health states represent patients on 1L treatment, patients on 2L treatment, patients who have relapsed, etc. and the Surgery/Post-surgery health states represent patients with mixed TED symptoms).</w:t>
      </w:r>
      <w:bookmarkEnd w:id="83"/>
      <w:r w:rsidR="00CC09A9" w:rsidRPr="005E7233">
        <w:t xml:space="preserve"> </w:t>
      </w:r>
      <w:r w:rsidR="00A86056" w:rsidRPr="005E7233">
        <w:t>The evaluation considered that it</w:t>
      </w:r>
      <w:r w:rsidR="001B43BB" w:rsidRPr="005E7233">
        <w:t xml:space="preserve"> may be </w:t>
      </w:r>
      <w:r w:rsidR="00E327E9" w:rsidRPr="005E7233">
        <w:t xml:space="preserve">reasonable to collapse some of the health states </w:t>
      </w:r>
      <w:r w:rsidR="003560C0" w:rsidRPr="005E7233">
        <w:t xml:space="preserve">(e.g. large proptosis with no diplopia [LPND], small proptosis with intermittent/inconstant diplopia [SPID] and large proptosis with intermittent/inconstant diplopia [LPID]; and small proptosis with constant diplopia [SPCD] and </w:t>
      </w:r>
      <w:r w:rsidR="00A17E71" w:rsidRPr="005E7233">
        <w:t>large proptosis with constant diplopia [</w:t>
      </w:r>
      <w:r w:rsidR="003560C0" w:rsidRPr="005E7233">
        <w:t>LPCD</w:t>
      </w:r>
      <w:r w:rsidR="00A17E71" w:rsidRPr="005E7233">
        <w:t>]</w:t>
      </w:r>
      <w:r w:rsidR="003560C0" w:rsidRPr="005E7233">
        <w:t>)</w:t>
      </w:r>
      <w:r w:rsidR="00E327E9" w:rsidRPr="005E7233">
        <w:t>, which would increase the observed data available to inform each of the probabilities of transitioning in the model.</w:t>
      </w:r>
    </w:p>
    <w:p w14:paraId="2069C31B" w14:textId="23F2A124" w:rsidR="00517815" w:rsidRDefault="0090356D" w:rsidP="00517815">
      <w:pPr>
        <w:ind w:left="774"/>
      </w:pPr>
      <w:r w:rsidRPr="005E7233">
        <w:t>The ESC considered that</w:t>
      </w:r>
      <w:r w:rsidR="00692BBC" w:rsidRPr="005E7233">
        <w:t xml:space="preserve"> the health states</w:t>
      </w:r>
      <w:r w:rsidR="00305653" w:rsidRPr="005E7233">
        <w:t xml:space="preserve"> likely</w:t>
      </w:r>
      <w:r w:rsidR="00692BBC" w:rsidRPr="005E7233">
        <w:t xml:space="preserve"> reflect</w:t>
      </w:r>
      <w:r w:rsidRPr="005E7233">
        <w:t>ed</w:t>
      </w:r>
      <w:r w:rsidR="00692BBC" w:rsidRPr="005E7233">
        <w:t xml:space="preserve"> </w:t>
      </w:r>
      <w:r w:rsidR="008411DC" w:rsidRPr="005E7233">
        <w:t xml:space="preserve">clinically </w:t>
      </w:r>
      <w:r w:rsidR="00692BBC" w:rsidRPr="005E7233">
        <w:t>meaningful differences</w:t>
      </w:r>
      <w:r w:rsidRPr="005E7233">
        <w:t xml:space="preserve"> </w:t>
      </w:r>
      <w:r w:rsidR="008F78A2" w:rsidRPr="005E7233">
        <w:t>for MS TED patients</w:t>
      </w:r>
      <w:r w:rsidR="00692BBC" w:rsidRPr="005E7233">
        <w:t>,</w:t>
      </w:r>
      <w:r w:rsidRPr="005E7233">
        <w:t xml:space="preserve"> however</w:t>
      </w:r>
      <w:r w:rsidR="00692BBC" w:rsidRPr="005E7233">
        <w:t xml:space="preserve"> there was insufficient data to reliably inform </w:t>
      </w:r>
      <w:r w:rsidR="001C105E" w:rsidRPr="005E7233">
        <w:t>a complex model with numerous transition probabilities</w:t>
      </w:r>
      <w:r w:rsidR="00692BBC" w:rsidRPr="005E7233">
        <w:t xml:space="preserve">. </w:t>
      </w:r>
      <w:r w:rsidRPr="005E7233">
        <w:t xml:space="preserve">The ESC noted that a number of transition probabilities in the transition matrix appeared anomalous, likely due to being derived from small patient numbers. </w:t>
      </w:r>
      <w:r w:rsidR="00240E6C" w:rsidRPr="005E7233">
        <w:t xml:space="preserve">The ESC </w:t>
      </w:r>
      <w:r w:rsidR="00F801B2" w:rsidRPr="005E7233">
        <w:t xml:space="preserve">considered, that in the context of limited data, </w:t>
      </w:r>
      <w:r w:rsidR="00935CAB" w:rsidRPr="005E7233">
        <w:t xml:space="preserve">it </w:t>
      </w:r>
      <w:r w:rsidR="00AA10AF" w:rsidRPr="005E7233">
        <w:t>may</w:t>
      </w:r>
      <w:r w:rsidR="00935CAB" w:rsidRPr="005E7233">
        <w:t xml:space="preserve"> be more appropriate to </w:t>
      </w:r>
      <w:r w:rsidR="00811F0D" w:rsidRPr="005E7233">
        <w:t>aggregate</w:t>
      </w:r>
      <w:r w:rsidR="00935CAB" w:rsidRPr="005E7233">
        <w:t xml:space="preserve"> health states</w:t>
      </w:r>
      <w:r w:rsidR="00F801B2" w:rsidRPr="005E7233">
        <w:t xml:space="preserve"> to improve </w:t>
      </w:r>
      <w:r w:rsidR="00BD3CA6" w:rsidRPr="005E7233">
        <w:t xml:space="preserve">the </w:t>
      </w:r>
      <w:r w:rsidR="007839B1" w:rsidRPr="005E7233">
        <w:t>reliability</w:t>
      </w:r>
      <w:r w:rsidR="00BD3CA6" w:rsidRPr="005E7233">
        <w:t xml:space="preserve"> of the model</w:t>
      </w:r>
      <w:r w:rsidR="00426563" w:rsidRPr="005E7233">
        <w:t>.</w:t>
      </w:r>
      <w:r w:rsidR="00240E6C" w:rsidRPr="005E7233">
        <w:t xml:space="preserve"> </w:t>
      </w:r>
      <w:r w:rsidR="00517815" w:rsidRPr="005E7233">
        <w:t xml:space="preserve">Overall, the ESC considered that the model </w:t>
      </w:r>
      <w:r w:rsidR="00F2159C" w:rsidRPr="005E7233">
        <w:t xml:space="preserve">was </w:t>
      </w:r>
      <w:r w:rsidR="00637BBD" w:rsidRPr="005E7233">
        <w:t xml:space="preserve">likely </w:t>
      </w:r>
      <w:r w:rsidR="00F2159C" w:rsidRPr="005E7233">
        <w:t>not reliable for decision making.</w:t>
      </w:r>
      <w:r w:rsidR="00314BA0" w:rsidRPr="005E7233">
        <w:t xml:space="preserve"> </w:t>
      </w:r>
    </w:p>
    <w:p w14:paraId="2B53ACFB" w14:textId="21BA0BD7" w:rsidR="00F17322" w:rsidRPr="005E7233" w:rsidRDefault="00F17322" w:rsidP="00C833BF">
      <w:pPr>
        <w:pStyle w:val="3-BodyText"/>
      </w:pPr>
      <w:r>
        <w:lastRenderedPageBreak/>
        <w:t xml:space="preserve">The </w:t>
      </w:r>
      <w:r w:rsidR="00A15B89">
        <w:t>P</w:t>
      </w:r>
      <w:r>
        <w:t xml:space="preserve">re-PBAC response maintained that the economic model </w:t>
      </w:r>
      <w:r w:rsidR="00C833BF" w:rsidRPr="00C833BF">
        <w:t>appropriately reflect</w:t>
      </w:r>
      <w:r w:rsidR="00D47B77">
        <w:t>ed</w:t>
      </w:r>
      <w:r w:rsidR="00C833BF" w:rsidRPr="00C833BF">
        <w:t xml:space="preserve"> TED as a biphasic disease where the active phase includes 1-2 lines of first-line treatment followed by an inactive phase and surgical procedures. Active disease can be considered in 3 phases itself (active treatment, subsequent regression or relapse, and stable disease). Late reactivation of disease is uncommon and hence was not incorporated, as it would have added unnecessary complexity to the model.</w:t>
      </w:r>
    </w:p>
    <w:p w14:paraId="189A6242" w14:textId="2E00C411" w:rsidR="00E327E9" w:rsidRPr="005E7233" w:rsidRDefault="00E327E9" w:rsidP="009C5765">
      <w:pPr>
        <w:pStyle w:val="3-BodyText"/>
      </w:pPr>
      <w:r w:rsidRPr="005E7233">
        <w:t xml:space="preserve">As there are no </w:t>
      </w:r>
      <w:r w:rsidR="008178BC" w:rsidRPr="005E7233">
        <w:t xml:space="preserve">explicit stopping or continuing criteria </w:t>
      </w:r>
      <w:r w:rsidRPr="005E7233">
        <w:t>proposed for the listing of teprotumumab and given that there is some evidence for use of teprotumumab as retreatment – due to lack of response, relapse during the active phase, or reactivation following inactive disease – these uses should have been included in the model.</w:t>
      </w:r>
      <w:r w:rsidR="00910C42" w:rsidRPr="005E7233">
        <w:t xml:space="preserve"> A scenario was presented in the submission exploring the impact of </w:t>
      </w:r>
      <w:r w:rsidR="002530AD" w:rsidRPr="005E7233">
        <w:t xml:space="preserve">teprotumumab </w:t>
      </w:r>
      <w:r w:rsidR="00910C42" w:rsidRPr="005E7233">
        <w:t xml:space="preserve">retreatment on the incremental cost-effectiveness ratio (ICER), however as described in para </w:t>
      </w:r>
      <w:r w:rsidR="00910C42" w:rsidRPr="005E7233">
        <w:fldChar w:fldCharType="begin"/>
      </w:r>
      <w:r w:rsidR="00910C42" w:rsidRPr="005E7233">
        <w:instrText xml:space="preserve"> REF _Ref187666764 \n \h </w:instrText>
      </w:r>
      <w:r w:rsidR="0066573D" w:rsidRPr="005E7233">
        <w:instrText xml:space="preserve"> \* MERGEFORMAT </w:instrText>
      </w:r>
      <w:r w:rsidR="00910C42" w:rsidRPr="005E7233">
        <w:fldChar w:fldCharType="separate"/>
      </w:r>
      <w:r w:rsidR="0012101B">
        <w:t>6.87</w:t>
      </w:r>
      <w:r w:rsidR="00910C42" w:rsidRPr="005E7233">
        <w:fldChar w:fldCharType="end"/>
      </w:r>
      <w:r w:rsidR="00910C42" w:rsidRPr="005E7233">
        <w:t xml:space="preserve">, the assumptions applied </w:t>
      </w:r>
      <w:r w:rsidR="009D4887" w:rsidRPr="005E7233">
        <w:t>were highly uncertain</w:t>
      </w:r>
      <w:r w:rsidR="00C57793" w:rsidRPr="005E7233">
        <w:t xml:space="preserve"> and likely underestimate this impact</w:t>
      </w:r>
      <w:r w:rsidR="009D4887" w:rsidRPr="005E7233">
        <w:t>.</w:t>
      </w:r>
    </w:p>
    <w:p w14:paraId="75B8472E" w14:textId="7BA23EB3" w:rsidR="00E327E9" w:rsidRPr="005E7233" w:rsidRDefault="00E327E9" w:rsidP="00E327E9">
      <w:pPr>
        <w:pStyle w:val="3-BodyText"/>
      </w:pPr>
      <w:r w:rsidRPr="005E7233">
        <w:t xml:space="preserve">A summary of the </w:t>
      </w:r>
      <w:r w:rsidR="00227EAE" w:rsidRPr="005E7233">
        <w:t xml:space="preserve">model and </w:t>
      </w:r>
      <w:r w:rsidRPr="005E7233">
        <w:t xml:space="preserve">treatment effects by disease phase is presented in </w:t>
      </w:r>
      <w:r w:rsidRPr="005E7233">
        <w:rPr>
          <w:highlight w:val="yellow"/>
        </w:rPr>
        <w:fldChar w:fldCharType="begin"/>
      </w:r>
      <w:r w:rsidRPr="005E7233">
        <w:instrText xml:space="preserve"> REF _Ref185984130 \h </w:instrText>
      </w:r>
      <w:r w:rsidR="0066573D" w:rsidRPr="005E7233">
        <w:rPr>
          <w:highlight w:val="yellow"/>
        </w:rPr>
        <w:instrText xml:space="preserve"> \* MERGEFORMAT </w:instrText>
      </w:r>
      <w:r w:rsidRPr="005E7233">
        <w:rPr>
          <w:highlight w:val="yellow"/>
        </w:rPr>
      </w:r>
      <w:r w:rsidRPr="005E7233">
        <w:rPr>
          <w:highlight w:val="yellow"/>
        </w:rPr>
        <w:fldChar w:fldCharType="separate"/>
      </w:r>
      <w:r w:rsidR="0012101B" w:rsidRPr="005E7233">
        <w:t xml:space="preserve">Table </w:t>
      </w:r>
      <w:r w:rsidR="0012101B">
        <w:rPr>
          <w:noProof/>
        </w:rPr>
        <w:t>15</w:t>
      </w:r>
      <w:r w:rsidRPr="005E7233">
        <w:rPr>
          <w:highlight w:val="yellow"/>
        </w:rPr>
        <w:fldChar w:fldCharType="end"/>
      </w:r>
      <w:r w:rsidRPr="005E7233">
        <w:t xml:space="preserve">. </w:t>
      </w:r>
      <w:r w:rsidR="00227EAE" w:rsidRPr="005E7233">
        <w:t xml:space="preserve">The modelled results are driven by a greater reduction in symptom severity following teprotumumab than IVMP. The magnitude of this reduction is highly uncertain given the evidence presented against IVMP and the durability of this effect beyond the trial data is unknown. The reduction in symptom severity was assumed to persist beyond the trial data (i.e. no worsening of proptosis or diplopia assumed in Cycles 13+) and is effectively used as a surrogate for use of rehabilitative surgery and subsequent treatment. </w:t>
      </w:r>
      <w:bookmarkStart w:id="86" w:name="_Hlk188350107"/>
      <w:r w:rsidR="00227EAE" w:rsidRPr="005E7233">
        <w:t xml:space="preserve">No evidence was available to support a difference in use of rehabilitative surgeries following teprotumumab treatment due to reduced symptom severity, nor presented to support the transformation of symptom severity into surgeries required. </w:t>
      </w:r>
      <w:bookmarkEnd w:id="86"/>
      <w:r w:rsidR="00227EAE" w:rsidRPr="005E7233">
        <w:t>It is unclear whether teprotumumab temporarily modulates the disease or whether it results in true disease modification.</w:t>
      </w:r>
      <w:r w:rsidR="00227EAE" w:rsidRPr="005E7233">
        <w:rPr>
          <w:rStyle w:val="FootnoteReference"/>
        </w:rPr>
        <w:footnoteReference w:id="39"/>
      </w:r>
      <w:r w:rsidR="00227EAE" w:rsidRPr="005E7233">
        <w:t xml:space="preserve"> </w:t>
      </w:r>
    </w:p>
    <w:p w14:paraId="398F9B4F" w14:textId="015CBD47" w:rsidR="00E327E9" w:rsidRPr="005E7233" w:rsidRDefault="00E327E9" w:rsidP="00E327E9">
      <w:pPr>
        <w:pStyle w:val="TableFigureHeading"/>
      </w:pPr>
      <w:bookmarkStart w:id="87" w:name="_Ref185984130"/>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15</w:t>
      </w:r>
      <w:r w:rsidR="00FB1BE3">
        <w:rPr>
          <w:noProof/>
        </w:rPr>
        <w:fldChar w:fldCharType="end"/>
      </w:r>
      <w:bookmarkEnd w:id="87"/>
      <w:r w:rsidRPr="005E7233">
        <w:t>:</w:t>
      </w:r>
      <w:r w:rsidRPr="005E7233">
        <w:rPr>
          <w:rStyle w:val="CommentReference"/>
          <w:b/>
          <w:szCs w:val="24"/>
        </w:rPr>
        <w:t xml:space="preserve"> </w:t>
      </w:r>
      <w:r w:rsidRPr="005E7233">
        <w:t xml:space="preserve">Summary of </w:t>
      </w:r>
      <w:r w:rsidR="00E61F84" w:rsidRPr="005E7233">
        <w:t xml:space="preserve">the </w:t>
      </w:r>
      <w:r w:rsidRPr="005E7233">
        <w:t>model</w:t>
      </w:r>
      <w:r w:rsidR="00E61F84" w:rsidRPr="005E7233">
        <w:t>, as it relates to phases of disease, and the model</w:t>
      </w:r>
      <w:r w:rsidRPr="005E7233">
        <w:t xml:space="preserve">led effect of </w:t>
      </w:r>
      <w:r w:rsidR="00E61F84" w:rsidRPr="005E7233">
        <w:t>treatment</w:t>
      </w:r>
    </w:p>
    <w:tbl>
      <w:tblPr>
        <w:tblStyle w:val="TableGrid"/>
        <w:tblW w:w="0" w:type="auto"/>
        <w:tblLayout w:type="fixed"/>
        <w:tblLook w:val="04A0" w:firstRow="1" w:lastRow="0" w:firstColumn="1" w:lastColumn="0" w:noHBand="0" w:noVBand="1"/>
      </w:tblPr>
      <w:tblGrid>
        <w:gridCol w:w="1980"/>
        <w:gridCol w:w="4111"/>
        <w:gridCol w:w="2926"/>
      </w:tblGrid>
      <w:tr w:rsidR="00E327E9" w:rsidRPr="005E7233" w14:paraId="31E2B857" w14:textId="77777777" w:rsidTr="006E6F9A">
        <w:tc>
          <w:tcPr>
            <w:tcW w:w="1980" w:type="dxa"/>
          </w:tcPr>
          <w:p w14:paraId="5545F93E" w14:textId="60BA836A" w:rsidR="00E327E9" w:rsidRPr="005E7233" w:rsidRDefault="00E327E9">
            <w:pPr>
              <w:pStyle w:val="In-tableHeading"/>
              <w:rPr>
                <w:lang w:val="en-AU"/>
              </w:rPr>
            </w:pPr>
            <w:bookmarkStart w:id="88" w:name="_Hlk188355575"/>
            <w:r w:rsidRPr="005E7233">
              <w:rPr>
                <w:lang w:val="en-AU"/>
              </w:rPr>
              <w:t>Phase</w:t>
            </w:r>
            <w:r w:rsidR="00146A13" w:rsidRPr="005E7233">
              <w:rPr>
                <w:lang w:val="en-AU"/>
              </w:rPr>
              <w:t xml:space="preserve"> summary</w:t>
            </w:r>
          </w:p>
        </w:tc>
        <w:tc>
          <w:tcPr>
            <w:tcW w:w="4111" w:type="dxa"/>
          </w:tcPr>
          <w:p w14:paraId="7877ADAA" w14:textId="06ECDEEA" w:rsidR="00E327E9" w:rsidRPr="005E7233" w:rsidRDefault="00146A13">
            <w:pPr>
              <w:pStyle w:val="In-tableHeading"/>
              <w:rPr>
                <w:lang w:val="en-AU"/>
              </w:rPr>
            </w:pPr>
            <w:r w:rsidRPr="005E7233">
              <w:rPr>
                <w:lang w:val="en-AU"/>
              </w:rPr>
              <w:t>Model approach</w:t>
            </w:r>
          </w:p>
        </w:tc>
        <w:tc>
          <w:tcPr>
            <w:tcW w:w="2926" w:type="dxa"/>
          </w:tcPr>
          <w:p w14:paraId="224E5369" w14:textId="73306D89" w:rsidR="00E327E9" w:rsidRPr="005E7233" w:rsidRDefault="00E327E9">
            <w:pPr>
              <w:pStyle w:val="In-tableHeading"/>
              <w:rPr>
                <w:lang w:val="en-AU"/>
              </w:rPr>
            </w:pPr>
            <w:r w:rsidRPr="005E7233">
              <w:rPr>
                <w:lang w:val="en-AU"/>
              </w:rPr>
              <w:t>Modelled benefit of teprotumumab</w:t>
            </w:r>
          </w:p>
        </w:tc>
      </w:tr>
      <w:tr w:rsidR="00E327E9" w:rsidRPr="005E7233" w14:paraId="7469B347" w14:textId="77777777" w:rsidTr="006E6F9A">
        <w:tc>
          <w:tcPr>
            <w:tcW w:w="1980" w:type="dxa"/>
          </w:tcPr>
          <w:p w14:paraId="77FE0DD1" w14:textId="77777777" w:rsidR="00E327E9" w:rsidRPr="005E7233" w:rsidRDefault="00E327E9">
            <w:pPr>
              <w:pStyle w:val="TableText0"/>
              <w:rPr>
                <w:b/>
                <w:bCs w:val="0"/>
              </w:rPr>
            </w:pPr>
            <w:r w:rsidRPr="005E7233">
              <w:rPr>
                <w:b/>
                <w:bCs w:val="0"/>
              </w:rPr>
              <w:t>Active</w:t>
            </w:r>
          </w:p>
          <w:p w14:paraId="5C4190F0" w14:textId="77777777" w:rsidR="00146A13" w:rsidRPr="005E7233" w:rsidRDefault="00146A13">
            <w:pPr>
              <w:pStyle w:val="TableText0"/>
            </w:pPr>
          </w:p>
          <w:p w14:paraId="39A8CB7B" w14:textId="77777777" w:rsidR="00146A13" w:rsidRPr="005E7233" w:rsidRDefault="00146A13">
            <w:pPr>
              <w:pStyle w:val="TableText0"/>
            </w:pPr>
            <w:r w:rsidRPr="005E7233">
              <w:t xml:space="preserve">Inflammation present and symptoms can worsen. </w:t>
            </w:r>
          </w:p>
          <w:p w14:paraId="37DEA461" w14:textId="77777777" w:rsidR="00146A13" w:rsidRPr="005E7233" w:rsidRDefault="00146A13">
            <w:pPr>
              <w:pStyle w:val="TableText0"/>
            </w:pPr>
          </w:p>
          <w:p w14:paraId="5C17606B" w14:textId="25F9DA08" w:rsidR="00146A13" w:rsidRPr="005E7233" w:rsidRDefault="00146A13">
            <w:pPr>
              <w:pStyle w:val="TableText0"/>
            </w:pPr>
            <w:r w:rsidRPr="005E7233">
              <w:t xml:space="preserve">Treatment is required, including urgent surgery if symptoms become sight-threatening, which can improve symptoms. </w:t>
            </w:r>
          </w:p>
          <w:p w14:paraId="4B59EACD" w14:textId="77777777" w:rsidR="00146A13" w:rsidRPr="005E7233" w:rsidRDefault="00146A13">
            <w:pPr>
              <w:pStyle w:val="TableText0"/>
            </w:pPr>
          </w:p>
          <w:p w14:paraId="61C6A93C" w14:textId="4A6CA88E" w:rsidR="00146A13" w:rsidRPr="005E7233" w:rsidRDefault="00146A13">
            <w:pPr>
              <w:pStyle w:val="TableText0"/>
            </w:pPr>
            <w:r w:rsidRPr="005E7233">
              <w:t>Patients who discontinue or do not respond to 1L treatment or relapse may require further treatment.</w:t>
            </w:r>
          </w:p>
        </w:tc>
        <w:tc>
          <w:tcPr>
            <w:tcW w:w="4111" w:type="dxa"/>
          </w:tcPr>
          <w:p w14:paraId="41848757" w14:textId="38CFA195" w:rsidR="00E327E9" w:rsidRPr="005E7233" w:rsidRDefault="00146A13">
            <w:pPr>
              <w:pStyle w:val="TableText0"/>
            </w:pPr>
            <w:r w:rsidRPr="005E7233">
              <w:t>In Cycles 1–4 (weeks 1–24), patients can transition between all of the TED symptom health states (i.e. symptoms can improve or deteriorate). If symptoms such as proptosis (</w:t>
            </w:r>
            <w:r w:rsidRPr="005E7233">
              <w:rPr>
                <w:rFonts w:cstheme="minorBidi"/>
              </w:rPr>
              <w:t>≥</w:t>
            </w:r>
            <w:r w:rsidRPr="005E7233">
              <w:t>3mm ULN) and/or constant diplopia persist after completion of 1L treatment, patients receive 2L therapy</w:t>
            </w:r>
            <w:r w:rsidR="00E61F84" w:rsidRPr="005E7233">
              <w:t xml:space="preserve"> (cost impact only)</w:t>
            </w:r>
            <w:r w:rsidRPr="005E7233">
              <w:t xml:space="preserve">. </w:t>
            </w:r>
          </w:p>
          <w:p w14:paraId="118452B5" w14:textId="77777777" w:rsidR="00146A13" w:rsidRPr="005E7233" w:rsidRDefault="00146A13">
            <w:pPr>
              <w:pStyle w:val="TableText0"/>
            </w:pPr>
          </w:p>
          <w:p w14:paraId="5971414A" w14:textId="2BCA2607" w:rsidR="00146A13" w:rsidRPr="005E7233" w:rsidRDefault="00146A13">
            <w:pPr>
              <w:pStyle w:val="TableText0"/>
            </w:pPr>
            <w:r w:rsidRPr="005E7233">
              <w:t>In Cycles 5–12 (weeks 24–72), transitions reflecting a relapse (i.e. deterioration of symptoms) are allowed between TED symptom health states.</w:t>
            </w:r>
            <w:r w:rsidR="00A54840" w:rsidRPr="005E7233">
              <w:rPr>
                <w:vertAlign w:val="superscript"/>
              </w:rPr>
              <w:t>a</w:t>
            </w:r>
            <w:r w:rsidRPr="005E7233">
              <w:t xml:space="preserve"> </w:t>
            </w:r>
            <w:r w:rsidR="00E61F84" w:rsidRPr="005E7233">
              <w:t>However</w:t>
            </w:r>
            <w:r w:rsidR="00DB0306" w:rsidRPr="005E7233">
              <w:t>,</w:t>
            </w:r>
            <w:r w:rsidR="00E61F84" w:rsidRPr="005E7233">
              <w:t xml:space="preserve"> additional treatment was not modelled in patients who relapsed. </w:t>
            </w:r>
            <w:r w:rsidRPr="005E7233">
              <w:t>Once patients experienced one relapse, they are not at-risk of experiencing further relapses.</w:t>
            </w:r>
            <w:r w:rsidR="002B4AF7" w:rsidRPr="005E7233">
              <w:t xml:space="preserve"> No further transitions between TED states were assumed </w:t>
            </w:r>
            <w:r w:rsidR="008136BE">
              <w:t>after</w:t>
            </w:r>
            <w:r w:rsidR="002B4AF7" w:rsidRPr="005E7233">
              <w:t xml:space="preserve"> Cycle 13.</w:t>
            </w:r>
          </w:p>
          <w:p w14:paraId="2604D7E4" w14:textId="77777777" w:rsidR="00146A13" w:rsidRPr="005E7233" w:rsidRDefault="00146A13">
            <w:pPr>
              <w:pStyle w:val="TableText0"/>
            </w:pPr>
          </w:p>
          <w:p w14:paraId="1D575584" w14:textId="2D87F572" w:rsidR="00146A13" w:rsidRPr="005E7233" w:rsidRDefault="00146A13">
            <w:pPr>
              <w:pStyle w:val="TableText0"/>
            </w:pPr>
            <w:r w:rsidRPr="005E7233">
              <w:t xml:space="preserve">No difference was assumed </w:t>
            </w:r>
            <w:r w:rsidR="00623505" w:rsidRPr="005E7233">
              <w:t xml:space="preserve">across treatment arms in terms of </w:t>
            </w:r>
            <w:r w:rsidRPr="005E7233">
              <w:t>surgery due to sight-threatening TED, or duration of active disease.</w:t>
            </w:r>
          </w:p>
        </w:tc>
        <w:tc>
          <w:tcPr>
            <w:tcW w:w="2926" w:type="dxa"/>
          </w:tcPr>
          <w:p w14:paraId="3A785FF3" w14:textId="5DBE3516" w:rsidR="00E327E9" w:rsidRPr="005E7233" w:rsidRDefault="0048224C">
            <w:pPr>
              <w:pStyle w:val="TableText0"/>
            </w:pPr>
            <w:r w:rsidRPr="005E7233">
              <w:t>Teprotumumab</w:t>
            </w:r>
            <w:r w:rsidR="00BB1379">
              <w:t xml:space="preserve"> wa</w:t>
            </w:r>
            <w:r w:rsidRPr="005E7233">
              <w:t>s associated with r</w:t>
            </w:r>
            <w:r w:rsidR="00E327E9" w:rsidRPr="005E7233">
              <w:t>educed symptom severity</w:t>
            </w:r>
            <w:r w:rsidRPr="005E7233">
              <w:t xml:space="preserve"> (i.e. more transitions to less severe health states)</w:t>
            </w:r>
            <w:r w:rsidR="00E327E9" w:rsidRPr="005E7233">
              <w:t xml:space="preserve">, which </w:t>
            </w:r>
            <w:r w:rsidR="001C6723">
              <w:t>wa</w:t>
            </w:r>
            <w:r w:rsidR="00E327E9" w:rsidRPr="005E7233">
              <w:t xml:space="preserve">s associated with improved QoL and lower costs of disease management. </w:t>
            </w:r>
            <w:r w:rsidR="004E639D" w:rsidRPr="005E7233">
              <w:t>R</w:t>
            </w:r>
            <w:r w:rsidR="00E327E9" w:rsidRPr="005E7233">
              <w:t xml:space="preserve">educed symptom severity </w:t>
            </w:r>
            <w:r w:rsidR="00A45632" w:rsidRPr="005E7233">
              <w:t xml:space="preserve">following teprotumumab </w:t>
            </w:r>
            <w:r w:rsidR="00E327E9" w:rsidRPr="005E7233">
              <w:t>led to a reduction in 2L treatment required.</w:t>
            </w:r>
          </w:p>
          <w:p w14:paraId="4048AB97" w14:textId="77777777" w:rsidR="00A45632" w:rsidRPr="005E7233" w:rsidRDefault="00A45632">
            <w:pPr>
              <w:pStyle w:val="TableText0"/>
            </w:pPr>
          </w:p>
          <w:p w14:paraId="7591C619" w14:textId="65077344" w:rsidR="00E327E9" w:rsidRPr="005E7233" w:rsidRDefault="00A45632" w:rsidP="00146A13">
            <w:pPr>
              <w:pStyle w:val="TableText0"/>
            </w:pPr>
            <w:r w:rsidRPr="005E7233">
              <w:t xml:space="preserve">Teprotumumab </w:t>
            </w:r>
            <w:r w:rsidR="004A1852">
              <w:t>wa</w:t>
            </w:r>
            <w:r w:rsidRPr="005E7233">
              <w:t xml:space="preserve">s associated with a lower relapse rate </w:t>
            </w:r>
            <w:r w:rsidR="00E61F84" w:rsidRPr="005E7233">
              <w:t>in Cycles 5–12 (30% vs 50%)</w:t>
            </w:r>
            <w:r w:rsidR="00E327E9" w:rsidRPr="005E7233">
              <w:t>, which further reduces the relative symptom severity by the end of the active phase.</w:t>
            </w:r>
          </w:p>
        </w:tc>
      </w:tr>
      <w:tr w:rsidR="00E327E9" w:rsidRPr="005E7233" w14:paraId="58C92E0F" w14:textId="77777777" w:rsidTr="006E6F9A">
        <w:tc>
          <w:tcPr>
            <w:tcW w:w="1980" w:type="dxa"/>
          </w:tcPr>
          <w:p w14:paraId="1582AC8C" w14:textId="508C21EC" w:rsidR="00E327E9" w:rsidRPr="005E7233" w:rsidRDefault="00146A13">
            <w:pPr>
              <w:pStyle w:val="TableText0"/>
              <w:rPr>
                <w:b/>
                <w:bCs w:val="0"/>
              </w:rPr>
            </w:pPr>
            <w:r w:rsidRPr="005E7233">
              <w:rPr>
                <w:b/>
                <w:bCs w:val="0"/>
              </w:rPr>
              <w:t>I</w:t>
            </w:r>
            <w:r w:rsidR="00E327E9" w:rsidRPr="005E7233">
              <w:rPr>
                <w:b/>
                <w:bCs w:val="0"/>
              </w:rPr>
              <w:t>nactive</w:t>
            </w:r>
          </w:p>
          <w:p w14:paraId="39DDAEED" w14:textId="77777777" w:rsidR="00146A13" w:rsidRPr="005E7233" w:rsidRDefault="00146A13">
            <w:pPr>
              <w:pStyle w:val="TableText0"/>
            </w:pPr>
          </w:p>
          <w:p w14:paraId="611AC4BF" w14:textId="77777777" w:rsidR="00146A13" w:rsidRPr="005E7233" w:rsidRDefault="00146A13" w:rsidP="00146A13">
            <w:pPr>
              <w:pStyle w:val="TableText0"/>
            </w:pPr>
            <w:r w:rsidRPr="005E7233">
              <w:t xml:space="preserve">Sequelae of inflammation remain (e.g. symptoms of proptosis and/or diplopia), although symptoms of local inflammation have subsided. </w:t>
            </w:r>
          </w:p>
          <w:p w14:paraId="5AFACA99" w14:textId="77777777" w:rsidR="00146A13" w:rsidRPr="005E7233" w:rsidRDefault="00146A13" w:rsidP="00146A13">
            <w:pPr>
              <w:pStyle w:val="TableText0"/>
            </w:pPr>
          </w:p>
          <w:p w14:paraId="160F90EC" w14:textId="623B290B" w:rsidR="00146A13" w:rsidRPr="005E7233" w:rsidRDefault="00146A13" w:rsidP="00146A13">
            <w:pPr>
              <w:pStyle w:val="TableText0"/>
            </w:pPr>
            <w:r w:rsidRPr="005E7233">
              <w:t>Rehabilitative surgery can occur to correct residual symptoms, though may not be able to restore pre-morbid appearance.</w:t>
            </w:r>
          </w:p>
        </w:tc>
        <w:tc>
          <w:tcPr>
            <w:tcW w:w="4111" w:type="dxa"/>
          </w:tcPr>
          <w:p w14:paraId="0D4EE8DF" w14:textId="4C46A74C" w:rsidR="00146A13" w:rsidRPr="005E7233" w:rsidRDefault="00146A13">
            <w:pPr>
              <w:pStyle w:val="TableText0"/>
            </w:pPr>
            <w:r w:rsidRPr="005E7233">
              <w:t xml:space="preserve">The inactive phase is modelled from Cycle 26 (i.e. 3 years after model entry), based on the timing in the model of rehabilitative surgery (implemented as a one-off in a proportion of patients in Cycle 26). No difference </w:t>
            </w:r>
            <w:r w:rsidR="004E639D" w:rsidRPr="005E7233">
              <w:t xml:space="preserve">is </w:t>
            </w:r>
            <w:r w:rsidRPr="005E7233">
              <w:t xml:space="preserve">assumed in the utility applied for the TED symptom health states to reflect </w:t>
            </w:r>
            <w:r w:rsidR="000348A5" w:rsidRPr="005E7233">
              <w:t xml:space="preserve">this </w:t>
            </w:r>
            <w:r w:rsidRPr="005E7233">
              <w:t>disease phase. Lower disease management costs were applied in Cycle 36+ which may reflect lower disease management costs in the inactive phase, though the delay (i.e. from Cycle 26 to Cycle 36) in application of the reduced cost was not explained.</w:t>
            </w:r>
          </w:p>
          <w:p w14:paraId="617FB0DA" w14:textId="77777777" w:rsidR="00146A13" w:rsidRPr="005E7233" w:rsidRDefault="00146A13">
            <w:pPr>
              <w:pStyle w:val="TableText0"/>
            </w:pPr>
          </w:p>
          <w:p w14:paraId="6E377763" w14:textId="55401A99" w:rsidR="00E327E9" w:rsidRPr="005E7233" w:rsidRDefault="00146A13">
            <w:pPr>
              <w:pStyle w:val="TableText0"/>
            </w:pPr>
            <w:r w:rsidRPr="005E7233">
              <w:t>The need for and number of rehabilitative surgeries are assumed to be directly related to symptom severity. Patients remain in the Surgery health state for 3 years (i.e. from Cycle 26 to Cycle 55) and then transition to the Post-surgery health state.</w:t>
            </w:r>
          </w:p>
        </w:tc>
        <w:tc>
          <w:tcPr>
            <w:tcW w:w="2926" w:type="dxa"/>
          </w:tcPr>
          <w:p w14:paraId="60EC0002" w14:textId="69DDF595" w:rsidR="00146A13" w:rsidRPr="005E7233" w:rsidRDefault="00146A13" w:rsidP="008A7BD5">
            <w:pPr>
              <w:pStyle w:val="TableText0"/>
            </w:pPr>
            <w:r w:rsidRPr="005E7233">
              <w:t>W</w:t>
            </w:r>
            <w:r w:rsidR="00E327E9" w:rsidRPr="005E7233">
              <w:t>ith reduced symptom severity</w:t>
            </w:r>
            <w:r w:rsidRPr="005E7233">
              <w:t xml:space="preserve"> at the end of the active phase</w:t>
            </w:r>
            <w:r w:rsidR="00E327E9" w:rsidRPr="005E7233">
              <w:t xml:space="preserve">, a modelled benefit of teprotumumab </w:t>
            </w:r>
            <w:r w:rsidR="007003BF">
              <w:t>wa</w:t>
            </w:r>
            <w:r w:rsidR="00E327E9" w:rsidRPr="005E7233">
              <w:t>s a reduction in the proportion of patients requiring</w:t>
            </w:r>
            <w:r w:rsidR="00200823" w:rsidRPr="005E7233">
              <w:t xml:space="preserve"> rehabilitative</w:t>
            </w:r>
            <w:r w:rsidR="00E327E9" w:rsidRPr="005E7233">
              <w:t xml:space="preserve"> surgery</w:t>
            </w:r>
            <w:r w:rsidR="00E61F84" w:rsidRPr="005E7233">
              <w:t xml:space="preserve"> (model output: 21% vs 34%)</w:t>
            </w:r>
            <w:r w:rsidR="00E327E9" w:rsidRPr="005E7233">
              <w:t>, and in those who require surgery, a reduction in the number of procedures performed.</w:t>
            </w:r>
          </w:p>
        </w:tc>
      </w:tr>
      <w:tr w:rsidR="00E327E9" w:rsidRPr="005E7233" w14:paraId="548542FA" w14:textId="77777777" w:rsidTr="006E6F9A">
        <w:tc>
          <w:tcPr>
            <w:tcW w:w="1980" w:type="dxa"/>
          </w:tcPr>
          <w:p w14:paraId="30627C22" w14:textId="77777777" w:rsidR="00E327E9" w:rsidRPr="005E7233" w:rsidRDefault="00E327E9">
            <w:pPr>
              <w:pStyle w:val="TableText0"/>
            </w:pPr>
            <w:r w:rsidRPr="005E7233">
              <w:rPr>
                <w:b/>
                <w:bCs w:val="0"/>
              </w:rPr>
              <w:t>Reactivation</w:t>
            </w:r>
          </w:p>
          <w:p w14:paraId="6E76F45A" w14:textId="77777777" w:rsidR="002B4AF7" w:rsidRPr="005E7233" w:rsidRDefault="002B4AF7">
            <w:pPr>
              <w:pStyle w:val="TableText0"/>
            </w:pPr>
          </w:p>
          <w:p w14:paraId="38F8CD6A" w14:textId="40D00DAB" w:rsidR="002B4AF7" w:rsidRPr="005E7233" w:rsidRDefault="002B4AF7">
            <w:pPr>
              <w:pStyle w:val="TableText0"/>
            </w:pPr>
            <w:r w:rsidRPr="005E7233">
              <w:t xml:space="preserve">Reactivation </w:t>
            </w:r>
            <w:r w:rsidR="00E61F84" w:rsidRPr="005E7233">
              <w:t xml:space="preserve">≥6 months of </w:t>
            </w:r>
            <w:r w:rsidRPr="005E7233">
              <w:t>disease stability of TED symptoms has been reported in the literature.</w:t>
            </w:r>
            <w:r w:rsidR="00F13156">
              <w:rPr>
                <w:rStyle w:val="FootnoteReference"/>
              </w:rPr>
              <w:footnoteReference w:id="40"/>
            </w:r>
            <w:r w:rsidR="00F13156">
              <w:rPr>
                <w:vertAlign w:val="superscript"/>
              </w:rPr>
              <w:t>,</w:t>
            </w:r>
            <w:r w:rsidR="00F13156">
              <w:rPr>
                <w:rStyle w:val="FootnoteReference"/>
              </w:rPr>
              <w:footnoteReference w:id="41"/>
            </w:r>
            <w:r w:rsidRPr="005E7233">
              <w:t xml:space="preserve"> </w:t>
            </w:r>
            <w:r w:rsidR="00E61F84" w:rsidRPr="005E7233">
              <w:t>These may require further treatment.</w:t>
            </w:r>
          </w:p>
        </w:tc>
        <w:tc>
          <w:tcPr>
            <w:tcW w:w="4111" w:type="dxa"/>
          </w:tcPr>
          <w:p w14:paraId="3BED3ECA" w14:textId="213BAD55" w:rsidR="00E327E9" w:rsidRPr="005E7233" w:rsidRDefault="006C0242">
            <w:pPr>
              <w:pStyle w:val="TableText0"/>
            </w:pPr>
            <w:r w:rsidRPr="005E7233">
              <w:t>No reactivations of disease were modelled</w:t>
            </w:r>
            <w:r w:rsidR="00623505" w:rsidRPr="005E7233">
              <w:t xml:space="preserve">. </w:t>
            </w:r>
          </w:p>
        </w:tc>
        <w:tc>
          <w:tcPr>
            <w:tcW w:w="2926" w:type="dxa"/>
          </w:tcPr>
          <w:p w14:paraId="49D81D23" w14:textId="3E9E975F" w:rsidR="00A54840" w:rsidRPr="005E7233" w:rsidRDefault="00A54840">
            <w:pPr>
              <w:pStyle w:val="TableText0"/>
            </w:pPr>
            <w:r w:rsidRPr="005E7233">
              <w:t>Teprotumumab was implicitly assumed to have no impact on the incidence of relapse in Cycle 13+ or reactivations in the inactive phase.</w:t>
            </w:r>
          </w:p>
          <w:p w14:paraId="56B87B11" w14:textId="77777777" w:rsidR="00A54840" w:rsidRPr="005E7233" w:rsidRDefault="00A54840">
            <w:pPr>
              <w:pStyle w:val="TableText0"/>
            </w:pPr>
          </w:p>
          <w:p w14:paraId="178E98B6" w14:textId="406CD868" w:rsidR="00E327E9" w:rsidRPr="005E7233" w:rsidRDefault="00A54840">
            <w:pPr>
              <w:pStyle w:val="TableText0"/>
            </w:pPr>
            <w:r w:rsidRPr="005E7233">
              <w:t xml:space="preserve">Teprotumumab </w:t>
            </w:r>
            <w:r w:rsidR="00E327E9" w:rsidRPr="005E7233">
              <w:t>retreatment may occur</w:t>
            </w:r>
            <w:r w:rsidRPr="005E7233">
              <w:t xml:space="preserve"> as this use is allowed within the proposed PBS listing, and as there is evidence supporting this use. </w:t>
            </w:r>
          </w:p>
        </w:tc>
      </w:tr>
    </w:tbl>
    <w:bookmarkEnd w:id="88"/>
    <w:p w14:paraId="703DABD9" w14:textId="45F0EB77" w:rsidR="00E327E9" w:rsidRPr="005E7233" w:rsidRDefault="00E327E9" w:rsidP="00E327E9">
      <w:pPr>
        <w:pStyle w:val="TableFigureFooter"/>
      </w:pPr>
      <w:r w:rsidRPr="005E7233">
        <w:t>Source: Constructed during the evaluation based on Section 3 of the submission.</w:t>
      </w:r>
      <w:r w:rsidR="006E6F9A">
        <w:t xml:space="preserve"> </w:t>
      </w:r>
      <w:r w:rsidRPr="005E7233">
        <w:t>1L = first-line; 2L = second-line; QALY = quality-adjusted life year; QoL = quality-of-life; TED = thyroid eye disease; ULN = upper limit of normal</w:t>
      </w:r>
    </w:p>
    <w:p w14:paraId="678F763F" w14:textId="20B87DCD" w:rsidR="009D0F84" w:rsidRPr="005E7233" w:rsidRDefault="00A54840" w:rsidP="006E6F9A">
      <w:pPr>
        <w:pStyle w:val="TableFigureFooter"/>
        <w:contextualSpacing w:val="0"/>
      </w:pPr>
      <w:r w:rsidRPr="005E7233">
        <w:rPr>
          <w:vertAlign w:val="superscript"/>
        </w:rPr>
        <w:t>a</w:t>
      </w:r>
      <w:r w:rsidRPr="005E7233">
        <w:t xml:space="preserve"> For diplopia, one-step relapse only has been assumed – e.g. only transition from ND to ID, not to CD</w:t>
      </w:r>
    </w:p>
    <w:p w14:paraId="13E68414" w14:textId="1551615C" w:rsidR="00E327E9" w:rsidRPr="005E7233" w:rsidRDefault="00E327E9" w:rsidP="00E327E9">
      <w:pPr>
        <w:pStyle w:val="3-BodyText"/>
      </w:pPr>
      <w:bookmarkStart w:id="89" w:name="_Ref187657948"/>
      <w:r w:rsidRPr="005E7233">
        <w:lastRenderedPageBreak/>
        <w:t>In the first four model cycles (24 weeks), TED symptoms could improve or relapse in response to treatment. Transition probabilities for teprotumumab</w:t>
      </w:r>
      <w:r w:rsidR="00C91D09" w:rsidRPr="005E7233">
        <w:t>, including</w:t>
      </w:r>
      <w:r w:rsidRPr="005E7233">
        <w:t xml:space="preserve"> </w:t>
      </w:r>
      <w:r w:rsidR="003560C0" w:rsidRPr="005E7233">
        <w:t xml:space="preserve">treatment discontinuation </w:t>
      </w:r>
      <w:r w:rsidR="00883184" w:rsidRPr="005E7233">
        <w:t>(2.18% per model cycle, based on 8.4% of patients discontinuing over the 24-week treatment period)</w:t>
      </w:r>
      <w:r w:rsidR="00C91D09" w:rsidRPr="005E7233">
        <w:t>,</w:t>
      </w:r>
      <w:r w:rsidR="00883184" w:rsidRPr="005E7233">
        <w:t xml:space="preserve"> </w:t>
      </w:r>
      <w:r w:rsidRPr="005E7233">
        <w:t xml:space="preserve">were based on </w:t>
      </w:r>
      <w:r w:rsidR="00827DB8" w:rsidRPr="005E7233">
        <w:t xml:space="preserve">the </w:t>
      </w:r>
      <w:r w:rsidRPr="005E7233">
        <w:t xml:space="preserve">pooled </w:t>
      </w:r>
      <w:r w:rsidR="00827DB8" w:rsidRPr="005E7233">
        <w:t>individual patient-level data (</w:t>
      </w:r>
      <w:r w:rsidRPr="005E7233">
        <w:t>IPD</w:t>
      </w:r>
      <w:r w:rsidR="00827DB8" w:rsidRPr="005E7233">
        <w:t>)</w:t>
      </w:r>
      <w:r w:rsidRPr="005E7233">
        <w:t xml:space="preserve"> from the TED01RV and OPTIC trials. </w:t>
      </w:r>
      <w:r w:rsidR="001543FC" w:rsidRPr="005E7233">
        <w:t>As shown in</w:t>
      </w:r>
      <w:r w:rsidRPr="005E7233">
        <w:t xml:space="preserve"> </w:t>
      </w:r>
      <w:r w:rsidRPr="005E7233">
        <w:rPr>
          <w:highlight w:val="yellow"/>
        </w:rPr>
        <w:fldChar w:fldCharType="begin"/>
      </w:r>
      <w:r w:rsidRPr="005E7233">
        <w:instrText xml:space="preserve"> REF _Ref185984179 \h </w:instrText>
      </w:r>
      <w:r w:rsidRPr="005E7233">
        <w:rPr>
          <w:highlight w:val="yellow"/>
        </w:rPr>
        <w:instrText xml:space="preserve"> \* MERGEFORMAT </w:instrText>
      </w:r>
      <w:r w:rsidRPr="005E7233">
        <w:rPr>
          <w:highlight w:val="yellow"/>
        </w:rPr>
      </w:r>
      <w:r w:rsidRPr="005E7233">
        <w:rPr>
          <w:highlight w:val="yellow"/>
        </w:rPr>
        <w:fldChar w:fldCharType="separate"/>
      </w:r>
      <w:r w:rsidR="0012101B" w:rsidRPr="005E7233">
        <w:t xml:space="preserve">Figure </w:t>
      </w:r>
      <w:r w:rsidR="0012101B">
        <w:rPr>
          <w:noProof/>
        </w:rPr>
        <w:t>5</w:t>
      </w:r>
      <w:r w:rsidRPr="005E7233">
        <w:rPr>
          <w:highlight w:val="yellow"/>
        </w:rPr>
        <w:fldChar w:fldCharType="end"/>
      </w:r>
      <w:r w:rsidRPr="005E7233">
        <w:t xml:space="preserve">, </w:t>
      </w:r>
      <w:r w:rsidR="002E51D4">
        <w:t xml:space="preserve">there were </w:t>
      </w:r>
      <w:r w:rsidRPr="005E7233">
        <w:t xml:space="preserve">36 </w:t>
      </w:r>
      <w:r w:rsidR="002E51D4">
        <w:t xml:space="preserve">possible </w:t>
      </w:r>
      <w:r w:rsidRPr="005E7233">
        <w:t>transitions for each model cycle</w:t>
      </w:r>
      <w:r w:rsidR="00B335AF" w:rsidRPr="005E7233">
        <w:t xml:space="preserve"> between the TED symptom health states</w:t>
      </w:r>
      <w:r w:rsidRPr="005E7233">
        <w:t xml:space="preserve">. Given that the number of observations used to inform these transitions was relatively small (maximum observations in the teprotumumab arm was 80), each of the individual transitions </w:t>
      </w:r>
      <w:r w:rsidR="00B335AF" w:rsidRPr="005E7233">
        <w:t>are</w:t>
      </w:r>
      <w:r w:rsidRPr="005E7233">
        <w:t xml:space="preserve"> likely to be associated with a high degree of uncertainty with small differences likely having a large impact on the </w:t>
      </w:r>
      <w:r w:rsidR="00E45F6F" w:rsidRPr="005E7233">
        <w:t>modelled</w:t>
      </w:r>
      <w:r w:rsidRPr="005E7233">
        <w:t xml:space="preserve"> </w:t>
      </w:r>
      <w:r w:rsidR="00B335AF" w:rsidRPr="005E7233">
        <w:t>probabilities</w:t>
      </w:r>
      <w:r w:rsidRPr="005E7233">
        <w:t>.</w:t>
      </w:r>
      <w:bookmarkEnd w:id="89"/>
      <w:r w:rsidR="00C765F8" w:rsidRPr="005E7233">
        <w:t xml:space="preserve"> </w:t>
      </w:r>
      <w:r w:rsidR="00227EAE" w:rsidRPr="005E7233">
        <w:t xml:space="preserve">As noted in para </w:t>
      </w:r>
      <w:r w:rsidRPr="005E7233">
        <w:fldChar w:fldCharType="begin"/>
      </w:r>
      <w:r w:rsidRPr="005E7233">
        <w:instrText xml:space="preserve"> REF _Ref188347277 \n \h </w:instrText>
      </w:r>
      <w:r w:rsidR="0066573D" w:rsidRPr="005E7233">
        <w:instrText xml:space="preserve"> \* MERGEFORMAT </w:instrText>
      </w:r>
      <w:r w:rsidRPr="005E7233">
        <w:fldChar w:fldCharType="separate"/>
      </w:r>
      <w:r w:rsidR="0012101B">
        <w:t>6.66</w:t>
      </w:r>
      <w:r w:rsidRPr="005E7233">
        <w:fldChar w:fldCharType="end"/>
      </w:r>
      <w:r w:rsidR="00227EAE" w:rsidRPr="005E7233">
        <w:t xml:space="preserve">, it may </w:t>
      </w:r>
      <w:r w:rsidR="006833B2" w:rsidRPr="005E7233">
        <w:t>have been</w:t>
      </w:r>
      <w:r w:rsidR="00227EAE" w:rsidRPr="005E7233">
        <w:t xml:space="preserve"> reasonable to collapse some of the health states, increasing the observed data available to inform transition probabilities.</w:t>
      </w:r>
    </w:p>
    <w:p w14:paraId="0D659CC8" w14:textId="370F3F74" w:rsidR="00E327E9" w:rsidRPr="005E7233" w:rsidRDefault="00E327E9" w:rsidP="00E327E9">
      <w:pPr>
        <w:pStyle w:val="3-BodyText"/>
      </w:pPr>
      <w:bookmarkStart w:id="90" w:name="_Ref195436204"/>
      <w:r w:rsidRPr="005E7233">
        <w:t xml:space="preserve">Transition probabilities for IVMP were based on </w:t>
      </w:r>
      <w:r w:rsidR="008178BC" w:rsidRPr="005E7233">
        <w:t xml:space="preserve">the </w:t>
      </w:r>
      <w:r w:rsidRPr="005E7233">
        <w:t>pooled IPD data from the placebo arms of the TED01RV and OPTIC trials. In cycles 1 and 2, pseudo-IPD for the change in proptosis symptoms were generated by applying the mean difference from baseline in proptosis for IVMP relative to placebo at 12 weeks, based on the Douglas et al.</w:t>
      </w:r>
      <w:r w:rsidR="00233C2D" w:rsidRPr="005E7233">
        <w:rPr>
          <w:vertAlign w:val="superscript"/>
        </w:rPr>
        <w:fldChar w:fldCharType="begin"/>
      </w:r>
      <w:r w:rsidR="00233C2D" w:rsidRPr="005E7233">
        <w:rPr>
          <w:vertAlign w:val="superscript"/>
        </w:rPr>
        <w:instrText xml:space="preserve"> NOTEREF _Ref187679202 \h  \* MERGEFORMAT </w:instrText>
      </w:r>
      <w:r w:rsidR="00233C2D" w:rsidRPr="005E7233">
        <w:rPr>
          <w:vertAlign w:val="superscript"/>
        </w:rPr>
      </w:r>
      <w:r w:rsidR="00233C2D" w:rsidRPr="005E7233">
        <w:rPr>
          <w:vertAlign w:val="superscript"/>
        </w:rPr>
        <w:fldChar w:fldCharType="separate"/>
      </w:r>
      <w:r w:rsidR="0012101B">
        <w:rPr>
          <w:vertAlign w:val="superscript"/>
        </w:rPr>
        <w:t>14</w:t>
      </w:r>
      <w:r w:rsidR="00233C2D" w:rsidRPr="005E7233">
        <w:rPr>
          <w:vertAlign w:val="superscript"/>
        </w:rPr>
        <w:fldChar w:fldCharType="end"/>
      </w:r>
      <w:r w:rsidRPr="005E7233">
        <w:t xml:space="preserve"> MAIC (</w:t>
      </w:r>
      <w:r w:rsidR="004F347E">
        <w:t>-</w:t>
      </w:r>
      <w:r w:rsidRPr="005E7233">
        <w:t xml:space="preserve">0.16 mm). As discussed in </w:t>
      </w:r>
      <w:r w:rsidR="00F8620C" w:rsidRPr="005E7233">
        <w:t xml:space="preserve">para </w:t>
      </w:r>
      <w:r w:rsidR="00233C2D" w:rsidRPr="005E7233">
        <w:fldChar w:fldCharType="begin"/>
      </w:r>
      <w:r w:rsidR="00233C2D" w:rsidRPr="005E7233">
        <w:instrText xml:space="preserve"> REF _Ref187683068 \n \h  \* MERGEFORMAT </w:instrText>
      </w:r>
      <w:r w:rsidR="00233C2D" w:rsidRPr="005E7233">
        <w:fldChar w:fldCharType="separate"/>
      </w:r>
      <w:r w:rsidR="0012101B">
        <w:t>6.53</w:t>
      </w:r>
      <w:r w:rsidR="00233C2D" w:rsidRPr="005E7233">
        <w:fldChar w:fldCharType="end"/>
      </w:r>
      <w:r w:rsidRPr="005E7233">
        <w:t xml:space="preserve">, the MAIC presented was associated with </w:t>
      </w:r>
      <w:r w:rsidR="00E45F6F" w:rsidRPr="005E7233">
        <w:t>considerable uncertainty</w:t>
      </w:r>
      <w:r w:rsidR="00F14605" w:rsidRPr="005E7233">
        <w:t xml:space="preserve"> and the resulting estimates likely prone to bias</w:t>
      </w:r>
      <w:r w:rsidR="00E45F6F" w:rsidRPr="005E7233">
        <w:t xml:space="preserve">. </w:t>
      </w:r>
      <w:r w:rsidRPr="005E7233">
        <w:t xml:space="preserve">The ICER was moderately sensitive to changes in the mean difference applied (see </w:t>
      </w:r>
      <w:r w:rsidR="00E530F8" w:rsidRPr="005E7233">
        <w:rPr>
          <w:highlight w:val="yellow"/>
        </w:rPr>
        <w:fldChar w:fldCharType="begin"/>
      </w:r>
      <w:r w:rsidR="00E530F8" w:rsidRPr="005E7233">
        <w:instrText xml:space="preserve"> REF _Ref104804865 \h </w:instrText>
      </w:r>
      <w:r w:rsidR="00E530F8" w:rsidRPr="005E7233">
        <w:rPr>
          <w:highlight w:val="yellow"/>
        </w:rPr>
        <w:instrText xml:space="preserve"> \* MERGEFORMAT </w:instrText>
      </w:r>
      <w:r w:rsidR="00E530F8" w:rsidRPr="005E7233">
        <w:rPr>
          <w:highlight w:val="yellow"/>
        </w:rPr>
      </w:r>
      <w:r w:rsidR="00E530F8" w:rsidRPr="005E7233">
        <w:rPr>
          <w:highlight w:val="yellow"/>
        </w:rPr>
        <w:fldChar w:fldCharType="separate"/>
      </w:r>
      <w:r w:rsidR="0012101B" w:rsidRPr="005E7233">
        <w:t xml:space="preserve">Table </w:t>
      </w:r>
      <w:r w:rsidR="0012101B">
        <w:rPr>
          <w:noProof/>
        </w:rPr>
        <w:t>19</w:t>
      </w:r>
      <w:r w:rsidR="00E530F8" w:rsidRPr="005E7233">
        <w:rPr>
          <w:highlight w:val="yellow"/>
        </w:rPr>
        <w:fldChar w:fldCharType="end"/>
      </w:r>
      <w:r w:rsidRPr="005E7233">
        <w:t>). For changes in diplopia symptoms, an RR</w:t>
      </w:r>
      <w:r w:rsidRPr="005E7233">
        <w:rPr>
          <w:rStyle w:val="FootnoteReference"/>
        </w:rPr>
        <w:footnoteReference w:id="42"/>
      </w:r>
      <w:r w:rsidRPr="005E7233">
        <w:t xml:space="preserve"> (2.09) was applied to transition probabilities </w:t>
      </w:r>
      <w:r w:rsidR="00A17E71" w:rsidRPr="005E7233">
        <w:t>related to improving diplopia response for</w:t>
      </w:r>
      <w:r w:rsidRPr="005E7233">
        <w:t xml:space="preserve"> placebo from the pooled set. The RR was applied in cycle 1 only (i.e. to week 6), which was not consistent with the data from the MAIC</w:t>
      </w:r>
      <w:r w:rsidR="00233C2D" w:rsidRPr="005E7233">
        <w:rPr>
          <w:vertAlign w:val="superscript"/>
        </w:rPr>
        <w:fldChar w:fldCharType="begin"/>
      </w:r>
      <w:r w:rsidR="00233C2D" w:rsidRPr="005E7233">
        <w:rPr>
          <w:vertAlign w:val="superscript"/>
        </w:rPr>
        <w:instrText xml:space="preserve"> NOTEREF _Ref187679202 \h  \* MERGEFORMAT </w:instrText>
      </w:r>
      <w:r w:rsidR="00233C2D" w:rsidRPr="005E7233">
        <w:rPr>
          <w:vertAlign w:val="superscript"/>
        </w:rPr>
      </w:r>
      <w:r w:rsidR="00233C2D" w:rsidRPr="005E7233">
        <w:rPr>
          <w:vertAlign w:val="superscript"/>
        </w:rPr>
        <w:fldChar w:fldCharType="separate"/>
      </w:r>
      <w:r w:rsidR="0012101B">
        <w:rPr>
          <w:vertAlign w:val="superscript"/>
        </w:rPr>
        <w:t>14</w:t>
      </w:r>
      <w:r w:rsidR="00233C2D" w:rsidRPr="005E7233">
        <w:rPr>
          <w:vertAlign w:val="superscript"/>
        </w:rPr>
        <w:fldChar w:fldCharType="end"/>
      </w:r>
      <w:r w:rsidR="007D36CE" w:rsidRPr="005E7233">
        <w:t xml:space="preserve"> </w:t>
      </w:r>
      <w:r w:rsidRPr="005E7233">
        <w:t>which reported improved response to 12 weeks. Further</w:t>
      </w:r>
      <w:r w:rsidR="009677B0" w:rsidRPr="005E7233">
        <w:t>,</w:t>
      </w:r>
      <w:r w:rsidRPr="005E7233">
        <w:t xml:space="preserve"> the placebo data used in cycle 2 were derived from changes in diplopia response between week 6 and week 24. These approaches were not justified in the submission. It may be more appropriate to use placebo data from week 6 to week 12 </w:t>
      </w:r>
      <w:r w:rsidR="009677B0" w:rsidRPr="005E7233">
        <w:t xml:space="preserve">in cycle 2 </w:t>
      </w:r>
      <w:r w:rsidRPr="005E7233">
        <w:t xml:space="preserve">and apply the RR. The ICER </w:t>
      </w:r>
      <w:r w:rsidR="00827DB8" w:rsidRPr="005E7233">
        <w:t>wa</w:t>
      </w:r>
      <w:r w:rsidRPr="005E7233">
        <w:t xml:space="preserve">s moderately sensitive to this change (see </w:t>
      </w:r>
      <w:r w:rsidR="00E530F8" w:rsidRPr="005E7233">
        <w:rPr>
          <w:highlight w:val="yellow"/>
        </w:rPr>
        <w:fldChar w:fldCharType="begin"/>
      </w:r>
      <w:r w:rsidR="00E530F8" w:rsidRPr="005E7233">
        <w:instrText xml:space="preserve"> REF _Ref104804865 \h </w:instrText>
      </w:r>
      <w:r w:rsidR="00E530F8" w:rsidRPr="005E7233">
        <w:rPr>
          <w:highlight w:val="yellow"/>
        </w:rPr>
        <w:instrText xml:space="preserve"> \* MERGEFORMAT </w:instrText>
      </w:r>
      <w:r w:rsidR="00E530F8" w:rsidRPr="005E7233">
        <w:rPr>
          <w:highlight w:val="yellow"/>
        </w:rPr>
      </w:r>
      <w:r w:rsidR="00E530F8" w:rsidRPr="005E7233">
        <w:rPr>
          <w:highlight w:val="yellow"/>
        </w:rPr>
        <w:fldChar w:fldCharType="separate"/>
      </w:r>
      <w:r w:rsidR="0012101B" w:rsidRPr="005E7233">
        <w:t xml:space="preserve">Table </w:t>
      </w:r>
      <w:r w:rsidR="0012101B">
        <w:rPr>
          <w:noProof/>
        </w:rPr>
        <w:t>19</w:t>
      </w:r>
      <w:r w:rsidR="00E530F8" w:rsidRPr="005E7233">
        <w:rPr>
          <w:highlight w:val="yellow"/>
        </w:rPr>
        <w:fldChar w:fldCharType="end"/>
      </w:r>
      <w:r w:rsidRPr="005E7233">
        <w:t>).</w:t>
      </w:r>
      <w:bookmarkEnd w:id="90"/>
    </w:p>
    <w:p w14:paraId="1BC1B652" w14:textId="26F2BA2A" w:rsidR="00883184" w:rsidRPr="005E7233" w:rsidRDefault="00883184" w:rsidP="00883184">
      <w:pPr>
        <w:pStyle w:val="3-BodyText"/>
      </w:pPr>
      <w:r w:rsidRPr="005E7233">
        <w:t xml:space="preserve">Between model cycles 5–12 (weeks 24–72), in patients who completed 1L treatment, TED symptoms could continue to relapse. Once patients had relapsed during this phase, no further changes in TED symptoms were assumed. This assumption was not justified and resulted in patients who experience worsening in one symptom not being at risk of subsequent worsening in the other symptom – for example, a patient who transitions from </w:t>
      </w:r>
      <w:r w:rsidR="00A17E71" w:rsidRPr="005E7233">
        <w:t>small proptosis with no diplopia (</w:t>
      </w:r>
      <w:r w:rsidRPr="005E7233">
        <w:t>SPND</w:t>
      </w:r>
      <w:r w:rsidR="00A17E71" w:rsidRPr="005E7233">
        <w:t>)</w:t>
      </w:r>
      <w:r w:rsidRPr="005E7233">
        <w:t xml:space="preserve"> to SPID would no longer be at risk of developing large proptosis – which may not be reasonable. This also meant that patients with no diplopia could relapse to intermittent/inconstant diplopia but would not be at further risk of developing constant diplopia. Relapse rates of 30% and 50% were assumed in the teprotumumab and IVMP model arms, respectively, based </w:t>
      </w:r>
      <w:r w:rsidRPr="005E7233">
        <w:lastRenderedPageBreak/>
        <w:t>on teprotumumab data to 72 weeks (OPTIC) and IVMP data to 52 weeks.</w:t>
      </w:r>
      <w:bookmarkStart w:id="91" w:name="_Ref187653049"/>
      <w:r w:rsidRPr="005E7233">
        <w:rPr>
          <w:rStyle w:val="FootnoteReference"/>
        </w:rPr>
        <w:footnoteReference w:id="43"/>
      </w:r>
      <w:bookmarkEnd w:id="91"/>
      <w:r w:rsidRPr="005E7233">
        <w:t xml:space="preserve"> No comparative evidence was presented to support this difference, noting that the ICER was sensitive to the difference across model arms assumed (see </w:t>
      </w:r>
      <w:r w:rsidRPr="005E7233">
        <w:rPr>
          <w:highlight w:val="yellow"/>
        </w:rPr>
        <w:fldChar w:fldCharType="begin"/>
      </w:r>
      <w:r w:rsidRPr="005E7233">
        <w:instrText xml:space="preserve"> REF _Ref104804865 \h </w:instrText>
      </w:r>
      <w:r w:rsidRPr="005E7233">
        <w:rPr>
          <w:highlight w:val="yellow"/>
        </w:rPr>
        <w:instrText xml:space="preserve"> \* MERGEFORMAT </w:instrText>
      </w:r>
      <w:r w:rsidRPr="005E7233">
        <w:rPr>
          <w:highlight w:val="yellow"/>
        </w:rPr>
      </w:r>
      <w:r w:rsidRPr="005E7233">
        <w:rPr>
          <w:highlight w:val="yellow"/>
        </w:rPr>
        <w:fldChar w:fldCharType="separate"/>
      </w:r>
      <w:r w:rsidR="0012101B" w:rsidRPr="005E7233">
        <w:t xml:space="preserve">Table </w:t>
      </w:r>
      <w:r w:rsidR="0012101B">
        <w:rPr>
          <w:noProof/>
        </w:rPr>
        <w:t>19</w:t>
      </w:r>
      <w:r w:rsidRPr="005E7233">
        <w:rPr>
          <w:highlight w:val="yellow"/>
        </w:rPr>
        <w:fldChar w:fldCharType="end"/>
      </w:r>
      <w:r w:rsidRPr="005E7233">
        <w:t>). Loss of response was not specifically reported in Salvi et al.</w:t>
      </w:r>
      <w:r w:rsidR="00693244">
        <w:t xml:space="preserve"> 2015</w:t>
      </w:r>
      <w:r w:rsidRPr="005E7233">
        <w:rPr>
          <w:vertAlign w:val="superscript"/>
        </w:rPr>
        <w:fldChar w:fldCharType="begin"/>
      </w:r>
      <w:r w:rsidRPr="005E7233">
        <w:rPr>
          <w:vertAlign w:val="superscript"/>
        </w:rPr>
        <w:instrText xml:space="preserve"> NOTEREF _Ref187653049 \h  \* MERGEFORMAT </w:instrText>
      </w:r>
      <w:r w:rsidRPr="005E7233">
        <w:rPr>
          <w:vertAlign w:val="superscript"/>
        </w:rPr>
      </w:r>
      <w:r w:rsidRPr="005E7233">
        <w:rPr>
          <w:vertAlign w:val="superscript"/>
        </w:rPr>
        <w:fldChar w:fldCharType="separate"/>
      </w:r>
      <w:r w:rsidR="0012101B">
        <w:rPr>
          <w:vertAlign w:val="superscript"/>
        </w:rPr>
        <w:t>42</w:t>
      </w:r>
      <w:r w:rsidRPr="005E7233">
        <w:rPr>
          <w:vertAlign w:val="superscript"/>
        </w:rPr>
        <w:fldChar w:fldCharType="end"/>
      </w:r>
      <w:r w:rsidRPr="005E7233">
        <w:t xml:space="preserve">; this was rather assumed based on the lack or limited durable response observed to week 52 following IVMP treatment (1/16 patients was observed to have a reduction in proptosis of ≥2 mm by week 24, which was maintained at week 52). </w:t>
      </w:r>
      <w:r w:rsidR="008C3200">
        <w:t>The evaluation concluded that g</w:t>
      </w:r>
      <w:r w:rsidRPr="005E7233">
        <w:t>iven that differences in relapse rates across model arms applied in cycles 5–12 is a driver of the cost-effectiveness, in the absence of reliable evidence demonstrating a difference in relapse rates across treatment arms following treatment completion, a more conservative approach should be adopted.</w:t>
      </w:r>
    </w:p>
    <w:p w14:paraId="717C1F3C" w14:textId="7154B1EE" w:rsidR="00883184" w:rsidRPr="005E7233" w:rsidRDefault="00883184" w:rsidP="00883184">
      <w:pPr>
        <w:pStyle w:val="3-BodyText"/>
      </w:pPr>
      <w:bookmarkStart w:id="92" w:name="_Ref188345741"/>
      <w:r w:rsidRPr="005E7233">
        <w:t>Beyond cycle 13 (week 72+), no further changes in TED symptoms were assumed, and patients were modelled to receive rehabilitative surgery</w:t>
      </w:r>
      <w:r w:rsidR="00A17E71" w:rsidRPr="005E7233">
        <w:t>,</w:t>
      </w:r>
      <w:r w:rsidR="00025AB1" w:rsidRPr="005E7233">
        <w:t xml:space="preserve"> </w:t>
      </w:r>
      <w:r w:rsidR="00A17E71" w:rsidRPr="005E7233">
        <w:t>at one time</w:t>
      </w:r>
      <w:r w:rsidRPr="005E7233">
        <w:t xml:space="preserve"> if required, in cycle 26. The assumption that active disease would subside (and so be eligible for rehabilitative surgery) across all patients at the same time may be simplistic in the context of a Markov model structure. The proportion of patients who received rehabilitative surgery (and the number of surgeries required) was assumed to vary by TED symptom health state based on a survey of UK clinicians, which was also used to inform the time spent in this state (30 cycles, i.e. 3.5 years), before transitioning to the Post-surgery health state. </w:t>
      </w:r>
      <w:r w:rsidR="00A17E71" w:rsidRPr="005E7233">
        <w:t>No empirical data were available to validate clinician estimates. Therefore, incremental costs and outcomes related to differences in rehabilitative surgery are associated with considerable uncertainty.</w:t>
      </w:r>
      <w:bookmarkEnd w:id="92"/>
    </w:p>
    <w:p w14:paraId="0E3C49E6" w14:textId="42ED0866" w:rsidR="00E327E9" w:rsidRPr="005E7233" w:rsidRDefault="00E327E9" w:rsidP="00E327E9">
      <w:pPr>
        <w:pStyle w:val="3-BodyText"/>
      </w:pPr>
      <w:r w:rsidRPr="005E7233">
        <w:t xml:space="preserve">Patients who discontinued treatment were assumed to receive 2L therapy, based on a mix of tocilizumab (60%), rituximab (5%) and radiotherapy (35%). </w:t>
      </w:r>
      <w:r w:rsidR="00CC79F6" w:rsidRPr="005E7233">
        <w:t>Transition</w:t>
      </w:r>
      <w:r w:rsidRPr="005E7233">
        <w:t xml:space="preserve"> probabilities </w:t>
      </w:r>
      <w:r w:rsidR="00CC79F6" w:rsidRPr="005E7233">
        <w:t xml:space="preserve">following 2L treatment </w:t>
      </w:r>
      <w:r w:rsidRPr="005E7233">
        <w:t>were based on treatment effect</w:t>
      </w:r>
      <w:r w:rsidR="002B3933" w:rsidRPr="005E7233">
        <w:t xml:space="preserve">iveness data </w:t>
      </w:r>
      <w:r w:rsidR="001202AA" w:rsidRPr="005E7233">
        <w:t>for tocilizumab</w:t>
      </w:r>
      <w:r w:rsidRPr="005E7233">
        <w:t xml:space="preserve"> </w:t>
      </w:r>
      <w:r w:rsidR="002B3933" w:rsidRPr="005E7233">
        <w:t>(</w:t>
      </w:r>
      <w:r w:rsidRPr="005E7233">
        <w:t>relative to placebo</w:t>
      </w:r>
      <w:r w:rsidR="002B3933" w:rsidRPr="005E7233">
        <w:t>)</w:t>
      </w:r>
      <w:r w:rsidR="00233C2D" w:rsidRPr="005E7233">
        <w:rPr>
          <w:vertAlign w:val="superscript"/>
        </w:rPr>
        <w:fldChar w:fldCharType="begin"/>
      </w:r>
      <w:r w:rsidR="00233C2D" w:rsidRPr="005E7233">
        <w:rPr>
          <w:vertAlign w:val="superscript"/>
        </w:rPr>
        <w:instrText xml:space="preserve"> NOTEREF _Ref187679184 \h  \* MERGEFORMAT </w:instrText>
      </w:r>
      <w:r w:rsidR="00233C2D" w:rsidRPr="005E7233">
        <w:rPr>
          <w:vertAlign w:val="superscript"/>
        </w:rPr>
      </w:r>
      <w:r w:rsidR="00233C2D" w:rsidRPr="005E7233">
        <w:rPr>
          <w:vertAlign w:val="superscript"/>
        </w:rPr>
        <w:fldChar w:fldCharType="separate"/>
      </w:r>
      <w:r w:rsidR="0012101B">
        <w:rPr>
          <w:vertAlign w:val="superscript"/>
        </w:rPr>
        <w:t>13</w:t>
      </w:r>
      <w:r w:rsidR="00233C2D" w:rsidRPr="005E7233">
        <w:rPr>
          <w:vertAlign w:val="superscript"/>
        </w:rPr>
        <w:fldChar w:fldCharType="end"/>
      </w:r>
      <w:r w:rsidRPr="005E7233">
        <w:t xml:space="preserve"> applied to placebo </w:t>
      </w:r>
      <w:r w:rsidR="002B3933" w:rsidRPr="005E7233">
        <w:t xml:space="preserve">data from the </w:t>
      </w:r>
      <w:r w:rsidRPr="005E7233">
        <w:t xml:space="preserve">TED01RV and OPTIC trials (i.e. in the 1L setting). It may not be reasonable to assume outcomes for 2L therapy derived from those in the 1L setting, </w:t>
      </w:r>
      <w:r w:rsidR="00827DB8" w:rsidRPr="005E7233">
        <w:t>and</w:t>
      </w:r>
      <w:r w:rsidRPr="005E7233">
        <w:t xml:space="preserve"> this may overestimate the effect of 2L treatment. In cycles 3 and 4, observed data from placebo-treated patients were used without adjustment, significance of the tocilizumab </w:t>
      </w:r>
      <w:r w:rsidR="002B3933" w:rsidRPr="005E7233">
        <w:t xml:space="preserve">treatment </w:t>
      </w:r>
      <w:r w:rsidRPr="005E7233">
        <w:t>effect was not maintained to week 40</w:t>
      </w:r>
      <w:r w:rsidR="00565918" w:rsidRPr="005E7233">
        <w:t>.</w:t>
      </w:r>
      <w:r w:rsidR="00233C2D" w:rsidRPr="005E7233">
        <w:rPr>
          <w:vertAlign w:val="superscript"/>
        </w:rPr>
        <w:fldChar w:fldCharType="begin"/>
      </w:r>
      <w:r w:rsidR="00233C2D" w:rsidRPr="005E7233">
        <w:rPr>
          <w:vertAlign w:val="superscript"/>
        </w:rPr>
        <w:instrText xml:space="preserve"> NOTEREF _Ref187679184 \h  \* MERGEFORMAT </w:instrText>
      </w:r>
      <w:r w:rsidR="00233C2D" w:rsidRPr="005E7233">
        <w:rPr>
          <w:vertAlign w:val="superscript"/>
        </w:rPr>
      </w:r>
      <w:r w:rsidR="00233C2D" w:rsidRPr="005E7233">
        <w:rPr>
          <w:vertAlign w:val="superscript"/>
        </w:rPr>
        <w:fldChar w:fldCharType="separate"/>
      </w:r>
      <w:r w:rsidR="0012101B">
        <w:rPr>
          <w:vertAlign w:val="superscript"/>
        </w:rPr>
        <w:t>13</w:t>
      </w:r>
      <w:r w:rsidR="00233C2D" w:rsidRPr="005E7233">
        <w:rPr>
          <w:vertAlign w:val="superscript"/>
        </w:rPr>
        <w:fldChar w:fldCharType="end"/>
      </w:r>
      <w:r w:rsidRPr="005E7233">
        <w:t xml:space="preserve"> As the effect of subsequent treatment was modelled based on time in the model, rather than time in the health state, the benefit for use of subsequent treatment was limited to cycle 2 and so applied only to patients who discontinued treatment in cycle 1.</w:t>
      </w:r>
      <w:r w:rsidR="007D36CE" w:rsidRPr="005E7233">
        <w:t xml:space="preserve"> </w:t>
      </w:r>
    </w:p>
    <w:p w14:paraId="39EBBA99" w14:textId="3661ACB1" w:rsidR="00E327E9" w:rsidRPr="005E7233" w:rsidRDefault="00E327E9" w:rsidP="00000310">
      <w:pPr>
        <w:pStyle w:val="3-BodyText"/>
        <w:keepNext/>
        <w:keepLines/>
      </w:pPr>
      <w:r w:rsidRPr="005E7233">
        <w:lastRenderedPageBreak/>
        <w:t>The cost of subsequent treatment was also applied in patients who remained in the large proptosis and/or constant diplopia health states after completing 1L treatment. However, subsequent treatment was not assumed to have any impact on modelled outcomes in these patients. Th</w:t>
      </w:r>
      <w:r w:rsidR="00EB269B">
        <w:t>e evaluation considered that th</w:t>
      </w:r>
      <w:r w:rsidRPr="005E7233">
        <w:t>is was not reasonable, and favour</w:t>
      </w:r>
      <w:r w:rsidR="00827DB8" w:rsidRPr="005E7233">
        <w:t>ed</w:t>
      </w:r>
      <w:r w:rsidRPr="005E7233">
        <w:t xml:space="preserve"> teprotumumab as fewer patients were assumed to receive subsequent treatment due to symptom persistence </w:t>
      </w:r>
      <w:r w:rsidR="007D36CE" w:rsidRPr="005E7233">
        <w:t xml:space="preserve">after completing 1L treatment </w:t>
      </w:r>
      <w:r w:rsidRPr="005E7233">
        <w:t>(20.6% vs 62.6%).</w:t>
      </w:r>
    </w:p>
    <w:p w14:paraId="60EE1858" w14:textId="6EDDD4C5" w:rsidR="00E327E9" w:rsidRPr="005E7233" w:rsidRDefault="00227EAE" w:rsidP="001E1159">
      <w:pPr>
        <w:pStyle w:val="3-BodyText"/>
      </w:pPr>
      <w:r w:rsidRPr="005E7233">
        <w:t xml:space="preserve">The submission adopted a lifetime time horizon. </w:t>
      </w:r>
      <w:r w:rsidR="00260013" w:rsidRPr="005E7233">
        <w:t xml:space="preserve">The ESC noted that this </w:t>
      </w:r>
      <w:r w:rsidRPr="005E7233">
        <w:t xml:space="preserve">was substantially longer than the duration of evidence available for teprotumumab (up to 72 weeks). The submission stated that a lifetime time horizon would be reasonable given the long-term nature of the disease </w:t>
      </w:r>
      <w:r w:rsidR="00B11F60" w:rsidRPr="005E7233">
        <w:t xml:space="preserve">and that diplopia and proptosis </w:t>
      </w:r>
      <w:r w:rsidRPr="005E7233">
        <w:t xml:space="preserve">symptoms persist </w:t>
      </w:r>
      <w:r w:rsidR="00B11F60" w:rsidRPr="005E7233">
        <w:t>in</w:t>
      </w:r>
      <w:r w:rsidRPr="005E7233">
        <w:t xml:space="preserve"> inactive</w:t>
      </w:r>
      <w:r w:rsidR="00B11F60" w:rsidRPr="005E7233">
        <w:t xml:space="preserve"> disease</w:t>
      </w:r>
      <w:r w:rsidRPr="005E7233">
        <w:t xml:space="preserve">. Given </w:t>
      </w:r>
      <w:r w:rsidR="0018401A">
        <w:t xml:space="preserve">the uncertainties related to the lasting effect of teprotumumab </w:t>
      </w:r>
      <w:r w:rsidR="00820885" w:rsidRPr="005E7233">
        <w:t>and</w:t>
      </w:r>
      <w:r w:rsidRPr="005E7233">
        <w:t xml:space="preserve"> the relationship between symptom severity and </w:t>
      </w:r>
      <w:r w:rsidR="00F4787D">
        <w:t>the need for</w:t>
      </w:r>
      <w:r w:rsidR="00F4787D" w:rsidRPr="005E7233">
        <w:t xml:space="preserve"> </w:t>
      </w:r>
      <w:r w:rsidR="00AE44E2">
        <w:t xml:space="preserve">and outcomes of </w:t>
      </w:r>
      <w:r w:rsidRPr="005E7233">
        <w:t>rehabilitative surgery, the use of a lifetime time horizon is not appropriate and is associated with considerable uncertainty</w:t>
      </w:r>
      <w:r w:rsidR="00820885" w:rsidRPr="005E7233">
        <w:t xml:space="preserve">. This </w:t>
      </w:r>
      <w:r w:rsidRPr="005E7233">
        <w:t>may be reduced by applying a shorter time horizon. In the context of non-infectious intermediate, posterior or panuveitis, where benefits were expected to accrue over the patient’s remaining life expectancy, the PBAC considered a 10-year time horizon appropriate as the majority of ocular complications occur within 2–5 years (para 7.14, adalimumab public summary document [PSD], March 2017 PBAC Meeting).</w:t>
      </w:r>
      <w:r w:rsidR="0005114D" w:rsidRPr="005E7233">
        <w:t xml:space="preserve"> The ES</w:t>
      </w:r>
      <w:r w:rsidR="00477AA6" w:rsidRPr="005E7233">
        <w:t xml:space="preserve">C considered that a 10-year time horizon would also be </w:t>
      </w:r>
      <w:r w:rsidR="00155D95" w:rsidRPr="005E7233">
        <w:t>appropriate</w:t>
      </w:r>
      <w:r w:rsidR="00477AA6" w:rsidRPr="005E7233">
        <w:t xml:space="preserve"> </w:t>
      </w:r>
      <w:r w:rsidR="00155D95" w:rsidRPr="005E7233">
        <w:t xml:space="preserve">for </w:t>
      </w:r>
      <w:r w:rsidR="005542D5" w:rsidRPr="005E7233">
        <w:t>teprotumumab.</w:t>
      </w:r>
      <w:r w:rsidRPr="005E7233">
        <w:t xml:space="preserve"> </w:t>
      </w:r>
      <w:r w:rsidR="005542D5" w:rsidRPr="005E7233">
        <w:t>The ESC noted that a</w:t>
      </w:r>
      <w:r w:rsidRPr="005E7233">
        <w:t xml:space="preserve"> substantial increase (93%) in the ICER was observed when the time horizon was reduced to 10 years (see </w:t>
      </w:r>
      <w:r w:rsidRPr="005E7233">
        <w:rPr>
          <w:highlight w:val="yellow"/>
        </w:rPr>
        <w:fldChar w:fldCharType="begin"/>
      </w:r>
      <w:r w:rsidRPr="005E7233">
        <w:instrText xml:space="preserve"> REF _Ref104804865 \h </w:instrText>
      </w:r>
      <w:r w:rsidRPr="005E7233">
        <w:rPr>
          <w:highlight w:val="yellow"/>
        </w:rPr>
        <w:instrText xml:space="preserve"> \* MERGEFORMAT </w:instrText>
      </w:r>
      <w:r w:rsidRPr="005E7233">
        <w:rPr>
          <w:highlight w:val="yellow"/>
        </w:rPr>
      </w:r>
      <w:r w:rsidRPr="005E7233">
        <w:rPr>
          <w:highlight w:val="yellow"/>
        </w:rPr>
        <w:fldChar w:fldCharType="separate"/>
      </w:r>
      <w:r w:rsidR="0012101B" w:rsidRPr="005E7233">
        <w:t xml:space="preserve">Table </w:t>
      </w:r>
      <w:r w:rsidR="0012101B">
        <w:rPr>
          <w:noProof/>
        </w:rPr>
        <w:t>19</w:t>
      </w:r>
      <w:r w:rsidRPr="005E7233">
        <w:rPr>
          <w:highlight w:val="yellow"/>
        </w:rPr>
        <w:fldChar w:fldCharType="end"/>
      </w:r>
      <w:r w:rsidRPr="005E7233">
        <w:t>).</w:t>
      </w:r>
      <w:r w:rsidR="00C44EAD" w:rsidRPr="005E7233">
        <w:t xml:space="preserve"> </w:t>
      </w:r>
    </w:p>
    <w:p w14:paraId="2928DC42" w14:textId="72F1026B" w:rsidR="00E327E9" w:rsidRPr="005E7233" w:rsidRDefault="00E327E9" w:rsidP="009C5765">
      <w:pPr>
        <w:pStyle w:val="3-BodyText"/>
      </w:pPr>
      <w:bookmarkStart w:id="93" w:name="_Ref195439138"/>
      <w:r w:rsidRPr="005E7233">
        <w:t xml:space="preserve">All health state utility values used in the economic model were </w:t>
      </w:r>
      <w:r w:rsidR="00793AC4" w:rsidRPr="005E7233">
        <w:t xml:space="preserve">either presented in or </w:t>
      </w:r>
      <w:r w:rsidRPr="005E7233">
        <w:t>derived from Smith et al.</w:t>
      </w:r>
      <w:r w:rsidR="002559FD">
        <w:t xml:space="preserve"> 2023</w:t>
      </w:r>
      <w:r w:rsidRPr="005E7233">
        <w:rPr>
          <w:vertAlign w:val="superscript"/>
        </w:rPr>
        <w:fldChar w:fldCharType="begin"/>
      </w:r>
      <w:r w:rsidRPr="005E7233">
        <w:rPr>
          <w:vertAlign w:val="superscript"/>
        </w:rPr>
        <w:instrText xml:space="preserve"> NOTEREF _Ref188356500 \h  \* MERGEFORMAT </w:instrText>
      </w:r>
      <w:r w:rsidRPr="005E7233">
        <w:rPr>
          <w:vertAlign w:val="superscript"/>
        </w:rPr>
      </w:r>
      <w:r w:rsidRPr="005E7233">
        <w:rPr>
          <w:vertAlign w:val="superscript"/>
        </w:rPr>
        <w:fldChar w:fldCharType="separate"/>
      </w:r>
      <w:r w:rsidR="0012101B">
        <w:rPr>
          <w:vertAlign w:val="superscript"/>
        </w:rPr>
        <w:t>36</w:t>
      </w:r>
      <w:r w:rsidRPr="005E7233">
        <w:rPr>
          <w:vertAlign w:val="superscript"/>
        </w:rPr>
        <w:fldChar w:fldCharType="end"/>
      </w:r>
      <w:r w:rsidR="00565918" w:rsidRPr="005E7233">
        <w:t xml:space="preserve">. </w:t>
      </w:r>
      <w:r w:rsidRPr="005E7233">
        <w:t xml:space="preserve">As described in </w:t>
      </w:r>
      <w:r w:rsidR="00267912" w:rsidRPr="005E7233">
        <w:t xml:space="preserve">para </w:t>
      </w:r>
      <w:r w:rsidRPr="005E7233">
        <w:fldChar w:fldCharType="begin"/>
      </w:r>
      <w:r w:rsidRPr="005E7233">
        <w:instrText xml:space="preserve"> REF _Ref187657908 \n \h </w:instrText>
      </w:r>
      <w:r w:rsidR="0066573D" w:rsidRPr="005E7233">
        <w:instrText xml:space="preserve"> \* MERGEFORMAT </w:instrText>
      </w:r>
      <w:r w:rsidRPr="005E7233">
        <w:fldChar w:fldCharType="separate"/>
      </w:r>
      <w:r w:rsidR="0012101B">
        <w:t>6.66</w:t>
      </w:r>
      <w:r w:rsidRPr="005E7233">
        <w:fldChar w:fldCharType="end"/>
      </w:r>
      <w:r w:rsidRPr="005E7233">
        <w:t>, this study used TTO methodology to elicit utility scores for TED health state vignettes from a sample of the general US population</w:t>
      </w:r>
      <w:r w:rsidR="00267912" w:rsidRPr="005E7233">
        <w:t xml:space="preserve"> (n = 111)</w:t>
      </w:r>
      <w:r w:rsidRPr="005E7233">
        <w:t>. As the utilities generated are not directly provided by patients living in the health states, the utilities represent preferences for a vignette, which can differ from the health status of actual patients with the condition.</w:t>
      </w:r>
      <w:r w:rsidRPr="005E7233">
        <w:rPr>
          <w:rStyle w:val="FootnoteReference"/>
        </w:rPr>
        <w:footnoteReference w:id="44"/>
      </w:r>
      <w:r w:rsidRPr="005E7233">
        <w:t xml:space="preserve"> The</w:t>
      </w:r>
      <w:r w:rsidR="009A6605" w:rsidRPr="005E7233">
        <w:t xml:space="preserve"> ESC considered that the</w:t>
      </w:r>
      <w:r w:rsidRPr="005E7233">
        <w:t xml:space="preserve"> reported values were </w:t>
      </w:r>
      <w:r w:rsidR="0072379E" w:rsidRPr="005E7233">
        <w:t xml:space="preserve">very </w:t>
      </w:r>
      <w:r w:rsidRPr="005E7233">
        <w:t>low</w:t>
      </w:r>
      <w:r w:rsidR="00990720" w:rsidRPr="005E7233">
        <w:t>, ranging from 0.30–0.60 for the most (i.e. LPCD) to least (i.e. SPND) severe health states</w:t>
      </w:r>
      <w:r w:rsidR="00B343A1" w:rsidRPr="005E7233">
        <w:t xml:space="preserve">. The ESC considered that </w:t>
      </w:r>
      <w:r w:rsidR="00805056" w:rsidRPr="005E7233">
        <w:t xml:space="preserve">the </w:t>
      </w:r>
      <w:r w:rsidR="00987497" w:rsidRPr="005E7233">
        <w:t>low</w:t>
      </w:r>
      <w:r w:rsidR="00B343A1" w:rsidRPr="005E7233">
        <w:t xml:space="preserve"> utilities </w:t>
      </w:r>
      <w:r w:rsidR="009A6605" w:rsidRPr="005E7233">
        <w:t>lacked face validity</w:t>
      </w:r>
      <w:r w:rsidR="00B343A1" w:rsidRPr="005E7233">
        <w:t xml:space="preserve">, for example, </w:t>
      </w:r>
      <w:r w:rsidR="004F4483" w:rsidRPr="005E7233">
        <w:t>small proptosis</w:t>
      </w:r>
      <w:r w:rsidR="00DF0853" w:rsidRPr="005E7233">
        <w:t xml:space="preserve"> no </w:t>
      </w:r>
      <w:r w:rsidR="008F0079" w:rsidRPr="005E7233">
        <w:t>diplopia</w:t>
      </w:r>
      <w:r w:rsidR="00DF0853" w:rsidRPr="005E7233">
        <w:t xml:space="preserve"> (</w:t>
      </w:r>
      <w:r w:rsidR="008F0079" w:rsidRPr="005E7233">
        <w:t xml:space="preserve">SPND) </w:t>
      </w:r>
      <w:r w:rsidR="002F42CF" w:rsidRPr="005E7233">
        <w:t>a utility value of</w:t>
      </w:r>
      <w:r w:rsidR="0037391E" w:rsidRPr="005E7233">
        <w:t xml:space="preserve"> </w:t>
      </w:r>
      <w:r w:rsidR="00694F71" w:rsidRPr="005E7233">
        <w:t xml:space="preserve">0.60 implies a willingness to </w:t>
      </w:r>
      <w:r w:rsidR="00A329B1" w:rsidRPr="005E7233">
        <w:t>sacrifice</w:t>
      </w:r>
      <w:r w:rsidR="00694F71" w:rsidRPr="005E7233">
        <w:t xml:space="preserve"> 40% of life expectancy to </w:t>
      </w:r>
      <w:r w:rsidR="00E30F33" w:rsidRPr="005E7233">
        <w:t>prevent</w:t>
      </w:r>
      <w:r w:rsidR="004F2047" w:rsidRPr="005E7233">
        <w:t xml:space="preserve"> SPND</w:t>
      </w:r>
      <w:r w:rsidR="00E30F33" w:rsidRPr="005E7233">
        <w:t xml:space="preserve">. The ESC considered that this was </w:t>
      </w:r>
      <w:r w:rsidR="00097380" w:rsidRPr="005E7233">
        <w:t xml:space="preserve">likely </w:t>
      </w:r>
      <w:r w:rsidR="0037391E" w:rsidRPr="005E7233">
        <w:t xml:space="preserve">not </w:t>
      </w:r>
      <w:r w:rsidR="00097380" w:rsidRPr="005E7233">
        <w:t>reasonable</w:t>
      </w:r>
      <w:r w:rsidR="00DF678F" w:rsidRPr="005E7233">
        <w:t>.</w:t>
      </w:r>
      <w:r w:rsidR="00E30F33" w:rsidRPr="005E7233">
        <w:t xml:space="preserve"> </w:t>
      </w:r>
      <w:r w:rsidRPr="005E7233">
        <w:t xml:space="preserve">The </w:t>
      </w:r>
      <w:r w:rsidR="009658CC" w:rsidRPr="005E7233">
        <w:t xml:space="preserve">ESC noted that the </w:t>
      </w:r>
      <w:r w:rsidRPr="005E7233">
        <w:t xml:space="preserve">ICER was observed to be particularly sensitive to changes in the SPND utility value, and moderately sensitive to changes in the LPID and LPCD utilities (see </w:t>
      </w:r>
      <w:r w:rsidRPr="005E7233">
        <w:rPr>
          <w:highlight w:val="yellow"/>
        </w:rPr>
        <w:fldChar w:fldCharType="begin"/>
      </w:r>
      <w:r w:rsidRPr="005E7233">
        <w:instrText xml:space="preserve"> REF _Ref104804865 \h </w:instrText>
      </w:r>
      <w:r w:rsidRPr="005E7233">
        <w:rPr>
          <w:highlight w:val="yellow"/>
        </w:rPr>
        <w:instrText xml:space="preserve"> \* MERGEFORMAT </w:instrText>
      </w:r>
      <w:r w:rsidRPr="005E7233">
        <w:rPr>
          <w:highlight w:val="yellow"/>
        </w:rPr>
      </w:r>
      <w:r w:rsidRPr="005E7233">
        <w:rPr>
          <w:highlight w:val="yellow"/>
        </w:rPr>
        <w:fldChar w:fldCharType="separate"/>
      </w:r>
      <w:r w:rsidR="0012101B" w:rsidRPr="005E7233">
        <w:t xml:space="preserve">Table </w:t>
      </w:r>
      <w:r w:rsidR="0012101B">
        <w:rPr>
          <w:noProof/>
        </w:rPr>
        <w:t>19</w:t>
      </w:r>
      <w:r w:rsidRPr="005E7233">
        <w:rPr>
          <w:highlight w:val="yellow"/>
        </w:rPr>
        <w:fldChar w:fldCharType="end"/>
      </w:r>
      <w:r w:rsidRPr="005E7233">
        <w:t xml:space="preserve">). </w:t>
      </w:r>
      <w:r w:rsidR="003536EA" w:rsidRPr="005E7233">
        <w:t>Given these uncertainties, estimates outside of the ranges tested could be plausible.</w:t>
      </w:r>
      <w:r w:rsidR="00D1214F" w:rsidRPr="005E7233">
        <w:t xml:space="preserve"> Utility decrements were included for Grade ≥3 AEs which occurred in ≥5% of patients and for IV administration. No justification was provided for including only those AEs which </w:t>
      </w:r>
      <w:r w:rsidR="00D1214F" w:rsidRPr="005E7233">
        <w:lastRenderedPageBreak/>
        <w:t xml:space="preserve">occurred in </w:t>
      </w:r>
      <w:r w:rsidR="00D1214F" w:rsidRPr="005E7233">
        <w:rPr>
          <w:rFonts w:cs="Calibri"/>
        </w:rPr>
        <w:t>≥</w:t>
      </w:r>
      <w:r w:rsidR="00D1214F" w:rsidRPr="005E7233">
        <w:t xml:space="preserve">5% of patients. AEs of </w:t>
      </w:r>
      <w:r w:rsidR="00217D8F" w:rsidRPr="005E7233">
        <w:t xml:space="preserve">special </w:t>
      </w:r>
      <w:r w:rsidR="00D1214F" w:rsidRPr="005E7233">
        <w:t>interest associated with teprotumumab, such as hearing loss, were therefore not included.</w:t>
      </w:r>
      <w:r w:rsidR="00217D8F" w:rsidRPr="005E7233">
        <w:t xml:space="preserve"> The ESC considered that this was </w:t>
      </w:r>
      <w:r w:rsidR="00231316" w:rsidRPr="005E7233">
        <w:t>not reasonable.</w:t>
      </w:r>
      <w:bookmarkEnd w:id="93"/>
    </w:p>
    <w:p w14:paraId="1F96A639" w14:textId="480049AA" w:rsidR="00E327E9" w:rsidRDefault="00E327E9" w:rsidP="00E327E9">
      <w:pPr>
        <w:pStyle w:val="3-BodyText"/>
      </w:pPr>
      <w:bookmarkStart w:id="94" w:name="_Ref195439141"/>
      <w:r w:rsidRPr="005E7233">
        <w:t xml:space="preserve">For the Surgery and Post-surgery health states, the submission assumed </w:t>
      </w:r>
      <w:r w:rsidR="00827DB8" w:rsidRPr="005E7233">
        <w:t xml:space="preserve">that </w:t>
      </w:r>
      <w:r w:rsidRPr="005E7233">
        <w:t>values from Smith et al.</w:t>
      </w:r>
      <w:r w:rsidR="00F6202C">
        <w:t xml:space="preserve"> </w:t>
      </w:r>
      <w:r w:rsidR="00273721">
        <w:t>2023</w:t>
      </w:r>
      <w:r w:rsidR="00325D34" w:rsidRPr="005E7233">
        <w:rPr>
          <w:vertAlign w:val="superscript"/>
        </w:rPr>
        <w:fldChar w:fldCharType="begin"/>
      </w:r>
      <w:r w:rsidR="00325D34" w:rsidRPr="005E7233">
        <w:rPr>
          <w:vertAlign w:val="superscript"/>
        </w:rPr>
        <w:instrText xml:space="preserve"> NOTEREF _Ref188356500 \h  \* MERGEFORMAT </w:instrText>
      </w:r>
      <w:r w:rsidR="00325D34" w:rsidRPr="005E7233">
        <w:rPr>
          <w:vertAlign w:val="superscript"/>
        </w:rPr>
      </w:r>
      <w:r w:rsidR="00325D34" w:rsidRPr="005E7233">
        <w:rPr>
          <w:vertAlign w:val="superscript"/>
        </w:rPr>
        <w:fldChar w:fldCharType="separate"/>
      </w:r>
      <w:r w:rsidR="0012101B">
        <w:rPr>
          <w:vertAlign w:val="superscript"/>
        </w:rPr>
        <w:t>36</w:t>
      </w:r>
      <w:r w:rsidR="00325D34" w:rsidRPr="005E7233">
        <w:rPr>
          <w:vertAlign w:val="superscript"/>
        </w:rPr>
        <w:fldChar w:fldCharType="end"/>
      </w:r>
      <w:r w:rsidRPr="005E7233">
        <w:t xml:space="preserve"> </w:t>
      </w:r>
      <w:r w:rsidR="00C765F8" w:rsidRPr="005E7233">
        <w:t xml:space="preserve">(i.e. active MS TED) </w:t>
      </w:r>
      <w:r w:rsidRPr="005E7233">
        <w:t>would apply</w:t>
      </w:r>
      <w:r w:rsidR="00A9569C">
        <w:t xml:space="preserve">. The </w:t>
      </w:r>
      <w:r w:rsidRPr="005E7233">
        <w:t>lowest utility was assumed for the Surgery health state</w:t>
      </w:r>
      <w:r w:rsidR="00A9569C">
        <w:t xml:space="preserve"> (0.</w:t>
      </w:r>
      <w:r w:rsidR="002C559C">
        <w:t>30</w:t>
      </w:r>
      <w:r w:rsidR="00A9569C">
        <w:t>)</w:t>
      </w:r>
      <w:r w:rsidRPr="005E7233">
        <w:t xml:space="preserve">, and the median value, excluding SPND, </w:t>
      </w:r>
      <w:r w:rsidR="002C559C">
        <w:t xml:space="preserve">was </w:t>
      </w:r>
      <w:r w:rsidRPr="005E7233">
        <w:t>used for the Post-surgery health state</w:t>
      </w:r>
      <w:r w:rsidR="00A9569C">
        <w:t xml:space="preserve"> (</w:t>
      </w:r>
      <w:r w:rsidR="002C559C">
        <w:t>0.43)</w:t>
      </w:r>
      <w:r w:rsidRPr="005E7233">
        <w:t>. Th</w:t>
      </w:r>
      <w:r w:rsidR="00C86460">
        <w:t>e evaluation considered that this</w:t>
      </w:r>
      <w:r w:rsidRPr="005E7233">
        <w:t xml:space="preserve"> was not reasonable given that the rationale for surgery is to correct disfigurement and improve QoL in affected patients</w:t>
      </w:r>
      <w:r w:rsidR="00565918" w:rsidRPr="005E7233">
        <w:rPr>
          <w:rStyle w:val="FootnoteReference"/>
        </w:rPr>
        <w:footnoteReference w:id="45"/>
      </w:r>
      <w:r w:rsidR="00267912" w:rsidRPr="005E7233">
        <w:t xml:space="preserve"> </w:t>
      </w:r>
      <w:r w:rsidR="00C765F8" w:rsidRPr="005E7233">
        <w:t xml:space="preserve">and </w:t>
      </w:r>
      <w:r w:rsidR="00881154">
        <w:t xml:space="preserve">there are </w:t>
      </w:r>
      <w:r w:rsidR="00CB1F3D" w:rsidRPr="005E7233">
        <w:t xml:space="preserve">likely </w:t>
      </w:r>
      <w:r w:rsidR="00C765F8" w:rsidRPr="005E7233">
        <w:t xml:space="preserve">utility </w:t>
      </w:r>
      <w:r w:rsidR="00CB1F3D" w:rsidRPr="005E7233">
        <w:t xml:space="preserve">differences between </w:t>
      </w:r>
      <w:r w:rsidR="00C765F8" w:rsidRPr="005E7233">
        <w:t xml:space="preserve">active </w:t>
      </w:r>
      <w:r w:rsidR="00CB1F3D" w:rsidRPr="005E7233">
        <w:t xml:space="preserve">and </w:t>
      </w:r>
      <w:r w:rsidR="00C765F8" w:rsidRPr="005E7233">
        <w:t xml:space="preserve">inactive TED. </w:t>
      </w:r>
      <w:r w:rsidRPr="005E7233">
        <w:t xml:space="preserve">As modelled, only some health states (SPCD and LPCD) would result in improvement in QoL following surgery – </w:t>
      </w:r>
      <w:r w:rsidR="00C765F8" w:rsidRPr="005E7233">
        <w:t xml:space="preserve">and this </w:t>
      </w:r>
      <w:r w:rsidRPr="005E7233">
        <w:t xml:space="preserve">would occur </w:t>
      </w:r>
      <w:r w:rsidR="00CB1F3D" w:rsidRPr="005E7233">
        <w:t xml:space="preserve">only </w:t>
      </w:r>
      <w:r w:rsidRPr="005E7233">
        <w:t xml:space="preserve">once patients transition to the Post-surgery state (3.5 years after surgery). Given that more patients in the comparator arm </w:t>
      </w:r>
      <w:r w:rsidR="00827DB8" w:rsidRPr="005E7233">
        <w:t>we</w:t>
      </w:r>
      <w:r w:rsidRPr="005E7233">
        <w:t xml:space="preserve">re assumed to receive rehabilitative surgeries, the use of </w:t>
      </w:r>
      <w:r w:rsidR="00C765F8" w:rsidRPr="005E7233">
        <w:t>lower-than-expected</w:t>
      </w:r>
      <w:r w:rsidRPr="005E7233">
        <w:t xml:space="preserve"> utility values is likely to bias in favour of teprotumumab. </w:t>
      </w:r>
      <w:r w:rsidR="00267912" w:rsidRPr="005E7233">
        <w:t>Alternate values were presented (though not used) in the submission’s economic file (Surgery: 0.38; Post-surgery: 0.50)</w:t>
      </w:r>
      <w:r w:rsidR="00267912" w:rsidRPr="005E7233">
        <w:rPr>
          <w:rStyle w:val="FootnoteReference"/>
        </w:rPr>
        <w:footnoteReference w:id="46"/>
      </w:r>
      <w:r w:rsidR="00267912" w:rsidRPr="005E7233">
        <w:t xml:space="preserve">. </w:t>
      </w:r>
      <w:r w:rsidRPr="005E7233">
        <w:t xml:space="preserve">The ICER </w:t>
      </w:r>
      <w:r w:rsidR="00827DB8" w:rsidRPr="005E7233">
        <w:t>wa</w:t>
      </w:r>
      <w:r w:rsidRPr="005E7233">
        <w:t xml:space="preserve">s sensitive to changes in the utility values applied following surgery (see </w:t>
      </w:r>
      <w:r w:rsidR="0045167B" w:rsidRPr="005E7233">
        <w:rPr>
          <w:highlight w:val="yellow"/>
        </w:rPr>
        <w:fldChar w:fldCharType="begin"/>
      </w:r>
      <w:r w:rsidR="0045167B" w:rsidRPr="005E7233">
        <w:instrText xml:space="preserve"> REF _Ref104804865 \h </w:instrText>
      </w:r>
      <w:r w:rsidR="0045167B" w:rsidRPr="005E7233">
        <w:rPr>
          <w:highlight w:val="yellow"/>
        </w:rPr>
        <w:instrText xml:space="preserve"> \* MERGEFORMAT </w:instrText>
      </w:r>
      <w:r w:rsidR="0045167B" w:rsidRPr="005E7233">
        <w:rPr>
          <w:highlight w:val="yellow"/>
        </w:rPr>
      </w:r>
      <w:r w:rsidR="0045167B" w:rsidRPr="005E7233">
        <w:rPr>
          <w:highlight w:val="yellow"/>
        </w:rPr>
        <w:fldChar w:fldCharType="separate"/>
      </w:r>
      <w:r w:rsidR="0012101B" w:rsidRPr="005E7233">
        <w:t xml:space="preserve">Table </w:t>
      </w:r>
      <w:r w:rsidR="0012101B">
        <w:rPr>
          <w:noProof/>
        </w:rPr>
        <w:t>19</w:t>
      </w:r>
      <w:r w:rsidR="0045167B" w:rsidRPr="005E7233">
        <w:rPr>
          <w:highlight w:val="yellow"/>
        </w:rPr>
        <w:fldChar w:fldCharType="end"/>
      </w:r>
      <w:r w:rsidRPr="005E7233">
        <w:t>).</w:t>
      </w:r>
      <w:bookmarkEnd w:id="94"/>
    </w:p>
    <w:p w14:paraId="28D40C06" w14:textId="172C9B39" w:rsidR="007638AB" w:rsidRPr="007C0300" w:rsidRDefault="007638AB" w:rsidP="007C0300">
      <w:pPr>
        <w:pStyle w:val="3-BodyText"/>
        <w:rPr>
          <w:rFonts w:cstheme="minorHAnsi"/>
        </w:rPr>
      </w:pPr>
      <w:r>
        <w:t>The pre-PBAC Response</w:t>
      </w:r>
      <w:r w:rsidR="004E4AD0">
        <w:t xml:space="preserve"> maintained that the utility values applied to the base case of the economic model were appropriate and</w:t>
      </w:r>
      <w:r w:rsidR="007C0300">
        <w:t xml:space="preserve"> emphasised that </w:t>
      </w:r>
      <w:r w:rsidR="007C0300">
        <w:rPr>
          <w:rFonts w:cstheme="minorHAnsi"/>
        </w:rPr>
        <w:t xml:space="preserve">TED is a disabling and disfiguring condition that has significant impact on quality of life. </w:t>
      </w:r>
      <w:r w:rsidR="00BC7D7C">
        <w:rPr>
          <w:rFonts w:cstheme="minorHAnsi"/>
        </w:rPr>
        <w:t>The Response</w:t>
      </w:r>
      <w:r w:rsidR="000E7DB9">
        <w:rPr>
          <w:rFonts w:cstheme="minorHAnsi"/>
        </w:rPr>
        <w:t xml:space="preserve"> </w:t>
      </w:r>
      <w:r w:rsidR="00F3455B">
        <w:rPr>
          <w:rFonts w:cstheme="minorHAnsi"/>
        </w:rPr>
        <w:t xml:space="preserve">noted that </w:t>
      </w:r>
      <w:r w:rsidR="007C0300" w:rsidRPr="004E16AA">
        <w:rPr>
          <w:rFonts w:cstheme="minorHAnsi"/>
        </w:rPr>
        <w:t>if differences between the utility values for each health state were kept t</w:t>
      </w:r>
      <w:r w:rsidR="00DF1E78">
        <w:rPr>
          <w:rFonts w:cstheme="minorHAnsi"/>
        </w:rPr>
        <w:t>he same (as reported by Smith et al. 2023)</w:t>
      </w:r>
      <w:r w:rsidR="007C0300" w:rsidRPr="004E16AA">
        <w:rPr>
          <w:rFonts w:cstheme="minorHAnsi"/>
        </w:rPr>
        <w:t>, but the absolute values were higher by any arbitrary amount, then there is no change in ICER.</w:t>
      </w:r>
    </w:p>
    <w:p w14:paraId="42016D88" w14:textId="5601643B" w:rsidR="00883184" w:rsidRPr="005E7233" w:rsidRDefault="00883184" w:rsidP="00883184">
      <w:pPr>
        <w:pStyle w:val="3-BodyText"/>
      </w:pPr>
      <w:bookmarkStart w:id="95" w:name="_Ref187657982"/>
      <w:r w:rsidRPr="005E7233">
        <w:t xml:space="preserve">Figures depicting a comparison of health state membership between the teprotumumab and IVMP arms over the first 10 years in the model are presented in </w:t>
      </w:r>
      <w:r w:rsidR="00690305" w:rsidRPr="005E7233">
        <w:fldChar w:fldCharType="begin"/>
      </w:r>
      <w:r w:rsidR="00690305" w:rsidRPr="005E7233">
        <w:instrText xml:space="preserve"> REF _Ref188370364 \h </w:instrText>
      </w:r>
      <w:r w:rsidR="0066573D" w:rsidRPr="005E7233">
        <w:instrText xml:space="preserve"> \* MERGEFORMAT </w:instrText>
      </w:r>
      <w:r w:rsidR="00690305" w:rsidRPr="005E7233">
        <w:fldChar w:fldCharType="separate"/>
      </w:r>
      <w:r w:rsidR="0012101B" w:rsidRPr="005E7233">
        <w:t xml:space="preserve">Table </w:t>
      </w:r>
      <w:r w:rsidR="0012101B">
        <w:rPr>
          <w:noProof/>
        </w:rPr>
        <w:t>16</w:t>
      </w:r>
      <w:r w:rsidR="00690305" w:rsidRPr="005E7233">
        <w:fldChar w:fldCharType="end"/>
      </w:r>
      <w:r w:rsidR="00D57691" w:rsidRPr="005E7233">
        <w:t>. Thereafter, the proportions of patients in TED symptom health states and in</w:t>
      </w:r>
      <w:r w:rsidR="00E21D4C">
        <w:t xml:space="preserve"> t</w:t>
      </w:r>
      <w:r w:rsidR="00BE7B9F">
        <w:t>h</w:t>
      </w:r>
      <w:r w:rsidR="00565F50">
        <w:t>e</w:t>
      </w:r>
      <w:r w:rsidR="00D57691" w:rsidRPr="005E7233">
        <w:t xml:space="preserve"> Post-surgery health state reduced gradually up to the end of the time horizon (47</w:t>
      </w:r>
      <w:r w:rsidR="00897F00">
        <w:t> </w:t>
      </w:r>
      <w:r w:rsidR="00D57691" w:rsidRPr="005E7233">
        <w:t>years) due to background mortality. These demonstrate the shift in time spent in health states associated with more severe symptoms (constant diplopia – SPCD or LPCD, or where symptoms in both attributes are observed – LPID), which are associated with poorer QoL, to health states associated with less symptoms and higher QoL (e.g. no diplopia – SPND and LPND, or small proptosis – SPID) and the reduction in the time spent in the Surgery and Post-surgery health states</w:t>
      </w:r>
      <w:r w:rsidRPr="005E7233">
        <w:t xml:space="preserve">. </w:t>
      </w:r>
      <w:r w:rsidR="00403EEE" w:rsidRPr="00403EEE">
        <w:t>These graphs show that patients treated with teprotumumab spend substantially more time in the model in the no diplopia</w:t>
      </w:r>
      <w:r w:rsidR="00777E80">
        <w:t xml:space="preserve"> (ND)</w:t>
      </w:r>
      <w:r w:rsidR="00403EEE" w:rsidRPr="00403EEE">
        <w:t xml:space="preserve"> health states (particularly in the SPND health state), whereas patients treated with IVMP spend the most time in the Surgery and Post-surgery </w:t>
      </w:r>
      <w:r w:rsidR="00403EEE" w:rsidRPr="00403EEE">
        <w:lastRenderedPageBreak/>
        <w:t xml:space="preserve">states. Prior to surgery, </w:t>
      </w:r>
      <w:r w:rsidR="00EF3815">
        <w:t>IVMP</w:t>
      </w:r>
      <w:r w:rsidR="00403EEE" w:rsidRPr="00403EEE">
        <w:t xml:space="preserve"> patients </w:t>
      </w:r>
      <w:r w:rsidR="007C0FA3">
        <w:t xml:space="preserve">are </w:t>
      </w:r>
      <w:r w:rsidR="00403EEE" w:rsidRPr="00403EEE">
        <w:t xml:space="preserve">predominantly </w:t>
      </w:r>
      <w:r w:rsidR="007C0FA3">
        <w:t>assigned to the</w:t>
      </w:r>
      <w:r w:rsidR="00403EEE" w:rsidRPr="00403EEE">
        <w:t xml:space="preserve"> large proptosis states</w:t>
      </w:r>
      <w:r w:rsidR="007C0FA3">
        <w:t xml:space="preserve">, </w:t>
      </w:r>
      <w:r w:rsidR="00403EEE" w:rsidRPr="00403EEE">
        <w:t>in particular LPCD and LPID.</w:t>
      </w:r>
    </w:p>
    <w:p w14:paraId="4BD3C569" w14:textId="1C16C9ED" w:rsidR="00883184" w:rsidRPr="005E7233" w:rsidRDefault="00883184" w:rsidP="00897F00">
      <w:pPr>
        <w:pStyle w:val="TableFigureHeading"/>
        <w:keepNext w:val="0"/>
      </w:pPr>
      <w:bookmarkStart w:id="96" w:name="_Ref188370364"/>
      <w:r w:rsidRPr="005E7233">
        <w:t xml:space="preserve">Table </w:t>
      </w:r>
      <w:r w:rsidR="00FB1BE3">
        <w:fldChar w:fldCharType="begin"/>
      </w:r>
      <w:r w:rsidR="00FB1BE3">
        <w:instrText xml:space="preserve"> SEQ Table \* ARABIC </w:instrText>
      </w:r>
      <w:r w:rsidR="00FB1BE3">
        <w:fldChar w:fldCharType="separate"/>
      </w:r>
      <w:r w:rsidR="0012101B">
        <w:rPr>
          <w:noProof/>
        </w:rPr>
        <w:t>16</w:t>
      </w:r>
      <w:r w:rsidR="00FB1BE3">
        <w:rPr>
          <w:noProof/>
        </w:rPr>
        <w:fldChar w:fldCharType="end"/>
      </w:r>
      <w:bookmarkEnd w:id="96"/>
      <w:r w:rsidRPr="005E7233">
        <w:t>:</w:t>
      </w:r>
      <w:r w:rsidRPr="005E7233">
        <w:rPr>
          <w:rStyle w:val="CommentReference"/>
          <w:b/>
          <w:szCs w:val="24"/>
        </w:rPr>
        <w:t xml:space="preserve"> </w:t>
      </w:r>
      <w:r w:rsidRPr="005E7233">
        <w:t>Health state membership over the first 10 years in the model, by health state</w:t>
      </w:r>
    </w:p>
    <w:tbl>
      <w:tblPr>
        <w:tblStyle w:val="TableGrid"/>
        <w:tblW w:w="0" w:type="auto"/>
        <w:tblLook w:val="04A0" w:firstRow="1" w:lastRow="0" w:firstColumn="1" w:lastColumn="0" w:noHBand="0" w:noVBand="1"/>
      </w:tblPr>
      <w:tblGrid>
        <w:gridCol w:w="1413"/>
        <w:gridCol w:w="7604"/>
      </w:tblGrid>
      <w:tr w:rsidR="00883184" w:rsidRPr="005E7233" w14:paraId="260890AF" w14:textId="77777777" w:rsidTr="009C5765">
        <w:tc>
          <w:tcPr>
            <w:tcW w:w="1413" w:type="dxa"/>
          </w:tcPr>
          <w:p w14:paraId="1649202B" w14:textId="77777777" w:rsidR="00883184" w:rsidRPr="005E7233" w:rsidRDefault="00883184" w:rsidP="00897F00">
            <w:pPr>
              <w:pStyle w:val="In-tableHeading"/>
              <w:keepNext w:val="0"/>
              <w:keepLines w:val="0"/>
              <w:jc w:val="center"/>
              <w:rPr>
                <w:lang w:val="en-AU"/>
              </w:rPr>
            </w:pPr>
          </w:p>
        </w:tc>
        <w:tc>
          <w:tcPr>
            <w:tcW w:w="7604" w:type="dxa"/>
          </w:tcPr>
          <w:p w14:paraId="0E63CEFE" w14:textId="77777777" w:rsidR="00883184" w:rsidRPr="005E7233" w:rsidRDefault="00883184" w:rsidP="00897F00">
            <w:pPr>
              <w:pStyle w:val="In-tableHeading"/>
              <w:keepNext w:val="0"/>
              <w:keepLines w:val="0"/>
              <w:jc w:val="center"/>
              <w:rPr>
                <w:lang w:val="en-AU"/>
              </w:rPr>
            </w:pPr>
            <w:r w:rsidRPr="005E7233">
              <w:rPr>
                <w:lang w:val="en-AU"/>
              </w:rPr>
              <w:t>Comparison of health state membership</w:t>
            </w:r>
          </w:p>
        </w:tc>
      </w:tr>
      <w:tr w:rsidR="00883184" w:rsidRPr="005E7233" w14:paraId="76A453D0" w14:textId="77777777" w:rsidTr="009C5765">
        <w:tc>
          <w:tcPr>
            <w:tcW w:w="1413" w:type="dxa"/>
          </w:tcPr>
          <w:p w14:paraId="31A35C12" w14:textId="77777777" w:rsidR="00883184" w:rsidRPr="005E7233" w:rsidRDefault="00883184" w:rsidP="00897F00">
            <w:pPr>
              <w:pStyle w:val="TableText0"/>
              <w:keepNext w:val="0"/>
              <w:keepLines w:val="0"/>
              <w:rPr>
                <w:noProof/>
              </w:rPr>
            </w:pPr>
            <w:r w:rsidRPr="00565F50">
              <w:rPr>
                <w:noProof/>
              </w:rPr>
              <w:t>A. SPND</w:t>
            </w:r>
            <w:r w:rsidRPr="005E7233">
              <w:rPr>
                <w:noProof/>
              </w:rPr>
              <w:t xml:space="preserve"> and SPID health states</w:t>
            </w:r>
          </w:p>
        </w:tc>
        <w:tc>
          <w:tcPr>
            <w:tcW w:w="7604" w:type="dxa"/>
          </w:tcPr>
          <w:p w14:paraId="630FF7DA" w14:textId="77777777" w:rsidR="00883184" w:rsidRPr="005E7233" w:rsidRDefault="00883184" w:rsidP="00897F00">
            <w:pPr>
              <w:pStyle w:val="TableText0"/>
              <w:keepNext w:val="0"/>
              <w:keepLines w:val="0"/>
              <w:jc w:val="center"/>
            </w:pPr>
            <w:r w:rsidRPr="005E7233">
              <w:rPr>
                <w:noProof/>
              </w:rPr>
              <w:drawing>
                <wp:inline distT="0" distB="0" distL="0" distR="0" wp14:anchorId="76F92F0D" wp14:editId="063FEC05">
                  <wp:extent cx="4488472" cy="2376000"/>
                  <wp:effectExtent l="0" t="0" r="7620" b="5715"/>
                  <wp:docPr id="389802045" name="Picture 1" descr="Table 16: Health state membership over the first 10 years in the model, by health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02045" name="Picture 1" descr="Table 16: Health state membership over the first 10 years in the model, by health st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8472" cy="2376000"/>
                          </a:xfrm>
                          <a:prstGeom prst="rect">
                            <a:avLst/>
                          </a:prstGeom>
                          <a:noFill/>
                        </pic:spPr>
                      </pic:pic>
                    </a:graphicData>
                  </a:graphic>
                </wp:inline>
              </w:drawing>
            </w:r>
          </w:p>
        </w:tc>
      </w:tr>
      <w:tr w:rsidR="00883184" w:rsidRPr="005E7233" w14:paraId="138CF90D" w14:textId="77777777" w:rsidTr="009C5765">
        <w:tc>
          <w:tcPr>
            <w:tcW w:w="1413" w:type="dxa"/>
          </w:tcPr>
          <w:p w14:paraId="193048CD" w14:textId="77777777" w:rsidR="00883184" w:rsidRPr="005E7233" w:rsidRDefault="00883184" w:rsidP="00897F00">
            <w:pPr>
              <w:pStyle w:val="TableText0"/>
              <w:keepNext w:val="0"/>
              <w:keepLines w:val="0"/>
              <w:rPr>
                <w:noProof/>
              </w:rPr>
            </w:pPr>
            <w:r w:rsidRPr="00565F50">
              <w:rPr>
                <w:noProof/>
              </w:rPr>
              <w:t>B. LPND</w:t>
            </w:r>
            <w:r w:rsidRPr="005E7233">
              <w:rPr>
                <w:noProof/>
              </w:rPr>
              <w:t xml:space="preserve"> and LPID health states</w:t>
            </w:r>
          </w:p>
        </w:tc>
        <w:tc>
          <w:tcPr>
            <w:tcW w:w="7604" w:type="dxa"/>
          </w:tcPr>
          <w:p w14:paraId="6C65AC39" w14:textId="77777777" w:rsidR="00883184" w:rsidRPr="005E7233" w:rsidRDefault="00883184" w:rsidP="00897F00">
            <w:pPr>
              <w:pStyle w:val="TableText0"/>
              <w:keepNext w:val="0"/>
              <w:keepLines w:val="0"/>
              <w:jc w:val="center"/>
            </w:pPr>
            <w:r w:rsidRPr="005E7233">
              <w:rPr>
                <w:noProof/>
              </w:rPr>
              <w:drawing>
                <wp:inline distT="0" distB="0" distL="0" distR="0" wp14:anchorId="18BB1418" wp14:editId="71336F74">
                  <wp:extent cx="4488471" cy="2376000"/>
                  <wp:effectExtent l="0" t="0" r="7620" b="5715"/>
                  <wp:docPr id="470390616" name="Picture 3" descr="Table 16: Health state membership over the first 10 years in the model, by health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90616" name="Picture 3" descr="Table 16: Health state membership over the first 10 years in the model, by health st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8471" cy="2376000"/>
                          </a:xfrm>
                          <a:prstGeom prst="rect">
                            <a:avLst/>
                          </a:prstGeom>
                          <a:noFill/>
                        </pic:spPr>
                      </pic:pic>
                    </a:graphicData>
                  </a:graphic>
                </wp:inline>
              </w:drawing>
            </w:r>
          </w:p>
        </w:tc>
      </w:tr>
      <w:tr w:rsidR="00883184" w:rsidRPr="005E7233" w14:paraId="7DC6446B" w14:textId="77777777" w:rsidTr="009C5765">
        <w:tc>
          <w:tcPr>
            <w:tcW w:w="1413" w:type="dxa"/>
          </w:tcPr>
          <w:p w14:paraId="223B2265" w14:textId="77777777" w:rsidR="00883184" w:rsidRPr="005E7233" w:rsidRDefault="00883184" w:rsidP="00897F00">
            <w:pPr>
              <w:pStyle w:val="TableText0"/>
              <w:keepNext w:val="0"/>
              <w:keepLines w:val="0"/>
              <w:rPr>
                <w:noProof/>
              </w:rPr>
            </w:pPr>
            <w:r w:rsidRPr="00565F50">
              <w:rPr>
                <w:noProof/>
              </w:rPr>
              <w:t>C.</w:t>
            </w:r>
            <w:r w:rsidRPr="005E7233">
              <w:rPr>
                <w:noProof/>
              </w:rPr>
              <w:t xml:space="preserve"> SPCD, LPCD, Surgery and Post-surgery health states</w:t>
            </w:r>
          </w:p>
        </w:tc>
        <w:tc>
          <w:tcPr>
            <w:tcW w:w="7604" w:type="dxa"/>
          </w:tcPr>
          <w:p w14:paraId="51A338C8" w14:textId="77777777" w:rsidR="00883184" w:rsidRPr="005E7233" w:rsidRDefault="00883184" w:rsidP="00897F00">
            <w:pPr>
              <w:pStyle w:val="TableText0"/>
              <w:keepNext w:val="0"/>
              <w:keepLines w:val="0"/>
              <w:jc w:val="center"/>
            </w:pPr>
            <w:r w:rsidRPr="005E7233">
              <w:rPr>
                <w:noProof/>
              </w:rPr>
              <w:drawing>
                <wp:inline distT="0" distB="0" distL="0" distR="0" wp14:anchorId="503C3C58" wp14:editId="0AF0225B">
                  <wp:extent cx="4488471" cy="2376000"/>
                  <wp:effectExtent l="0" t="0" r="7620" b="5715"/>
                  <wp:docPr id="1431995530" name="Picture 2" descr="Table 16: Health state membership over the first 10 years in the model, by health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95530" name="Picture 2" descr="Table 16: Health state membership over the first 10 years in the model, by health sta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8471" cy="2376000"/>
                          </a:xfrm>
                          <a:prstGeom prst="rect">
                            <a:avLst/>
                          </a:prstGeom>
                          <a:noFill/>
                        </pic:spPr>
                      </pic:pic>
                    </a:graphicData>
                  </a:graphic>
                </wp:inline>
              </w:drawing>
            </w:r>
          </w:p>
        </w:tc>
      </w:tr>
    </w:tbl>
    <w:p w14:paraId="3A3BAF10" w14:textId="77777777" w:rsidR="00883184" w:rsidRPr="005E7233" w:rsidRDefault="00883184" w:rsidP="00897F00">
      <w:pPr>
        <w:pStyle w:val="TableFigureFooter"/>
        <w:keepLines w:val="0"/>
      </w:pPr>
      <w:r w:rsidRPr="005E7233">
        <w:t>Source: Constructed during the evaluation from the ‘Attachment 17 Tepezza Economic model.xlsb’ file included in the submission.</w:t>
      </w:r>
    </w:p>
    <w:p w14:paraId="0C10AE3E" w14:textId="5405C766" w:rsidR="00883184" w:rsidRPr="005E7233" w:rsidRDefault="00883184" w:rsidP="00897F00">
      <w:pPr>
        <w:pStyle w:val="TableFigureFooter"/>
        <w:keepLines w:val="0"/>
      </w:pPr>
      <w:r w:rsidRPr="005E7233">
        <w:lastRenderedPageBreak/>
        <w:t>IVMP = intravenous methylprednisolone; LPCD = large proptosis with constant diplopia; LPID = large proptosis with intermittent/inconstant diplopia; LPND = large proptosis with no diplopia; SPCD = small proptosis with constant diplopia; SPID = small proptosis with intermittent/inconstant diplopia; SPND = small proptosis with no diplopia; TEP = teprotumumab.</w:t>
      </w:r>
    </w:p>
    <w:p w14:paraId="1EFDAEF0" w14:textId="68AC03AF" w:rsidR="00AA4121" w:rsidRPr="005E7233" w:rsidRDefault="00C765F8" w:rsidP="00E327E9">
      <w:pPr>
        <w:pStyle w:val="3-BodyText"/>
      </w:pPr>
      <w:bookmarkStart w:id="97" w:name="_Ref188354733"/>
      <w:r w:rsidRPr="005E7233">
        <w:t xml:space="preserve">The average number of teprotumumab vials assumed per patient for initial dosing </w:t>
      </w:r>
      <w:r w:rsidR="00F26FDF" w:rsidRPr="005E7233">
        <w:t xml:space="preserve">(10 mg/kg) </w:t>
      </w:r>
      <w:r w:rsidRPr="005E7233">
        <w:t>was 2.10 vials and 3.58 vials for subsequent dosing</w:t>
      </w:r>
      <w:r w:rsidR="00A93D33">
        <w:t xml:space="preserve"> </w:t>
      </w:r>
      <w:r w:rsidR="00A93D33" w:rsidRPr="005E7233">
        <w:t>(20 mg/kg)</w:t>
      </w:r>
      <w:r w:rsidRPr="005E7233">
        <w:t xml:space="preserve">, based on IPD of </w:t>
      </w:r>
      <w:r w:rsidR="00682B5E" w:rsidRPr="005E7233">
        <w:t>patient weight from all patients enrolled in the OPTIC trial. Given that transition probabilities in the model were derived from pooled data, IPD of patient weight from the pooled data may be more appropriate (2.12 vials for initial; 3.61 vials for subsequent), however the ICER was not sensitive to this difference. The cost per infusion, including administration, was adjusted for compliance (91.57%), based on the proportion of patients in the pooled data set who completed the teprotumumab treatment course (i.e. 8 doses). Th</w:t>
      </w:r>
      <w:r w:rsidR="006C1110" w:rsidRPr="005E7233">
        <w:t>e evaluation considered that this</w:t>
      </w:r>
      <w:r w:rsidR="00682B5E" w:rsidRPr="005E7233">
        <w:t xml:space="preserve"> was not appropriate as this same data was used to inform the teprotumumab discontinuation rate (para </w:t>
      </w:r>
      <w:r w:rsidR="00A6200E" w:rsidRPr="005E7233">
        <w:fldChar w:fldCharType="begin"/>
      </w:r>
      <w:r w:rsidR="00A6200E" w:rsidRPr="005E7233">
        <w:instrText xml:space="preserve"> REF _Ref187657948 \n \h </w:instrText>
      </w:r>
      <w:r w:rsidR="0066573D" w:rsidRPr="005E7233">
        <w:instrText xml:space="preserve"> \* MERGEFORMAT </w:instrText>
      </w:r>
      <w:r w:rsidR="00A6200E" w:rsidRPr="005E7233">
        <w:fldChar w:fldCharType="separate"/>
      </w:r>
      <w:r w:rsidR="0012101B">
        <w:t>6.70</w:t>
      </w:r>
      <w:r w:rsidR="00A6200E" w:rsidRPr="005E7233">
        <w:fldChar w:fldCharType="end"/>
      </w:r>
      <w:r w:rsidR="00682B5E" w:rsidRPr="005E7233">
        <w:t xml:space="preserve">) and so the model has double-counted the impact of teprotumumab discontinuation. The ICER was sensitive to increasing the compliance applied to 100% (11% increase, see </w:t>
      </w:r>
      <w:r w:rsidR="0045167B" w:rsidRPr="005E7233">
        <w:rPr>
          <w:highlight w:val="yellow"/>
        </w:rPr>
        <w:fldChar w:fldCharType="begin"/>
      </w:r>
      <w:r w:rsidR="0045167B" w:rsidRPr="005E7233">
        <w:instrText xml:space="preserve"> REF _Ref104804865 \h </w:instrText>
      </w:r>
      <w:r w:rsidR="0045167B" w:rsidRPr="005E7233">
        <w:rPr>
          <w:highlight w:val="yellow"/>
        </w:rPr>
        <w:instrText xml:space="preserve"> \* MERGEFORMAT </w:instrText>
      </w:r>
      <w:r w:rsidR="0045167B" w:rsidRPr="005E7233">
        <w:rPr>
          <w:highlight w:val="yellow"/>
        </w:rPr>
      </w:r>
      <w:r w:rsidR="0045167B" w:rsidRPr="005E7233">
        <w:rPr>
          <w:highlight w:val="yellow"/>
        </w:rPr>
        <w:fldChar w:fldCharType="separate"/>
      </w:r>
      <w:r w:rsidR="0012101B" w:rsidRPr="005E7233">
        <w:t xml:space="preserve">Table </w:t>
      </w:r>
      <w:r w:rsidR="0012101B">
        <w:rPr>
          <w:noProof/>
        </w:rPr>
        <w:t>19</w:t>
      </w:r>
      <w:r w:rsidR="0045167B" w:rsidRPr="005E7233">
        <w:rPr>
          <w:highlight w:val="yellow"/>
        </w:rPr>
        <w:fldChar w:fldCharType="end"/>
      </w:r>
      <w:r w:rsidR="00682B5E" w:rsidRPr="005E7233">
        <w:t>).</w:t>
      </w:r>
      <w:bookmarkEnd w:id="95"/>
      <w:bookmarkEnd w:id="97"/>
    </w:p>
    <w:p w14:paraId="71738ECD" w14:textId="72CE5492" w:rsidR="00E327E9" w:rsidRPr="005E7233" w:rsidRDefault="00E327E9" w:rsidP="00E327E9">
      <w:pPr>
        <w:pStyle w:val="3-BodyText"/>
      </w:pPr>
      <w:r w:rsidRPr="005E7233">
        <w:t xml:space="preserve">A summary of the key drivers of the model is presented in </w:t>
      </w:r>
      <w:r w:rsidRPr="005E7233">
        <w:fldChar w:fldCharType="begin"/>
      </w:r>
      <w:r w:rsidRPr="005E7233">
        <w:instrText xml:space="preserve"> REF _Ref104805122 \h  \* MERGEFORMAT </w:instrText>
      </w:r>
      <w:r w:rsidRPr="005E7233">
        <w:fldChar w:fldCharType="separate"/>
      </w:r>
      <w:r w:rsidR="0012101B" w:rsidRPr="005E7233">
        <w:t xml:space="preserve">Table </w:t>
      </w:r>
      <w:r w:rsidR="0012101B">
        <w:t>17</w:t>
      </w:r>
      <w:r w:rsidRPr="005E7233">
        <w:fldChar w:fldCharType="end"/>
      </w:r>
      <w:r w:rsidRPr="005E7233">
        <w:t xml:space="preserve">. </w:t>
      </w:r>
    </w:p>
    <w:p w14:paraId="793A5437" w14:textId="6470C760" w:rsidR="00E327E9" w:rsidRPr="005E7233" w:rsidRDefault="00827DB8" w:rsidP="005B1B25">
      <w:pPr>
        <w:pStyle w:val="TableFigureHeading"/>
        <w:keepLines/>
        <w:rPr>
          <w:rStyle w:val="CommentReference"/>
          <w:b/>
          <w:szCs w:val="24"/>
        </w:rPr>
      </w:pPr>
      <w:bookmarkStart w:id="98" w:name="_Ref104805122"/>
      <w:r w:rsidRPr="005E7233">
        <w:t xml:space="preserve">Table </w:t>
      </w:r>
      <w:r w:rsidR="00FB1BE3">
        <w:fldChar w:fldCharType="begin"/>
      </w:r>
      <w:r w:rsidR="00FB1BE3">
        <w:instrText xml:space="preserve"> SEQ Table \* ARABIC </w:instrText>
      </w:r>
      <w:r w:rsidR="00FB1BE3">
        <w:fldChar w:fldCharType="separate"/>
      </w:r>
      <w:r w:rsidR="0012101B">
        <w:rPr>
          <w:noProof/>
        </w:rPr>
        <w:t>17</w:t>
      </w:r>
      <w:r w:rsidR="00FB1BE3">
        <w:rPr>
          <w:noProof/>
        </w:rPr>
        <w:fldChar w:fldCharType="end"/>
      </w:r>
      <w:bookmarkEnd w:id="98"/>
      <w:r w:rsidRPr="005E7233">
        <w:t>:</w:t>
      </w:r>
      <w:r w:rsidRPr="005E723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5"/>
        <w:gridCol w:w="3686"/>
        <w:gridCol w:w="3636"/>
      </w:tblGrid>
      <w:tr w:rsidR="00E327E9" w:rsidRPr="005E7233" w14:paraId="483055D0" w14:textId="77777777" w:rsidTr="733957FC">
        <w:trPr>
          <w:tblHeader/>
        </w:trPr>
        <w:tc>
          <w:tcPr>
            <w:tcW w:w="940" w:type="pct"/>
            <w:shd w:val="clear" w:color="auto" w:fill="auto"/>
            <w:vAlign w:val="center"/>
          </w:tcPr>
          <w:p w14:paraId="4DBDCB06" w14:textId="77777777" w:rsidR="00E327E9" w:rsidRPr="005E7233" w:rsidRDefault="00E327E9" w:rsidP="005B1B25">
            <w:pPr>
              <w:pStyle w:val="In-tableHeading"/>
              <w:jc w:val="center"/>
              <w:rPr>
                <w:lang w:val="en-AU"/>
              </w:rPr>
            </w:pPr>
            <w:r w:rsidRPr="005E7233">
              <w:rPr>
                <w:lang w:val="en-AU"/>
              </w:rPr>
              <w:t>Description</w:t>
            </w:r>
          </w:p>
        </w:tc>
        <w:tc>
          <w:tcPr>
            <w:tcW w:w="2044" w:type="pct"/>
            <w:shd w:val="clear" w:color="auto" w:fill="auto"/>
            <w:vAlign w:val="center"/>
          </w:tcPr>
          <w:p w14:paraId="05228790" w14:textId="77777777" w:rsidR="00E327E9" w:rsidRPr="005E7233" w:rsidRDefault="00E327E9" w:rsidP="005B1B25">
            <w:pPr>
              <w:pStyle w:val="In-tableHeading"/>
              <w:jc w:val="center"/>
              <w:rPr>
                <w:lang w:val="en-AU"/>
              </w:rPr>
            </w:pPr>
            <w:r w:rsidRPr="005E7233">
              <w:rPr>
                <w:lang w:val="en-AU"/>
              </w:rPr>
              <w:t>Method/Value</w:t>
            </w:r>
          </w:p>
        </w:tc>
        <w:tc>
          <w:tcPr>
            <w:tcW w:w="2016" w:type="pct"/>
            <w:shd w:val="clear" w:color="auto" w:fill="auto"/>
            <w:vAlign w:val="center"/>
          </w:tcPr>
          <w:p w14:paraId="18B765BF" w14:textId="77777777" w:rsidR="00E327E9" w:rsidRPr="005E7233" w:rsidRDefault="00E327E9" w:rsidP="005B1B25">
            <w:pPr>
              <w:pStyle w:val="In-tableHeading"/>
              <w:jc w:val="center"/>
              <w:rPr>
                <w:lang w:val="en-AU"/>
              </w:rPr>
            </w:pPr>
            <w:r w:rsidRPr="005E7233">
              <w:rPr>
                <w:lang w:val="en-AU"/>
              </w:rPr>
              <w:t>Impact</w:t>
            </w:r>
          </w:p>
          <w:p w14:paraId="4EC72056" w14:textId="2AAC704C" w:rsidR="00E327E9" w:rsidRPr="005E7233" w:rsidRDefault="00E327E9" w:rsidP="005B1B25">
            <w:pPr>
              <w:pStyle w:val="In-tableHeading"/>
              <w:jc w:val="center"/>
              <w:rPr>
                <w:lang w:val="en-AU"/>
              </w:rPr>
            </w:pPr>
            <w:r w:rsidRPr="005E7233">
              <w:rPr>
                <w:rFonts w:cs="Arial"/>
                <w:szCs w:val="20"/>
                <w:lang w:val="en-AU"/>
              </w:rPr>
              <w:t>Base case: $</w:t>
            </w:r>
            <w:r w:rsidR="00BD0449" w:rsidRPr="00BD0449">
              <w:rPr>
                <w:rFonts w:cs="Arial"/>
                <w:color w:val="000000"/>
                <w:spacing w:val="55"/>
                <w:szCs w:val="20"/>
                <w:shd w:val="solid" w:color="000000" w:fill="000000"/>
                <w:fitText w:val="350" w:id="-694437366"/>
                <w:lang w:val="en-AU"/>
                <w14:textFill>
                  <w14:solidFill>
                    <w14:srgbClr w14:val="000000">
                      <w14:alpha w14:val="100000"/>
                    </w14:srgbClr>
                  </w14:solidFill>
                </w14:textFill>
              </w:rPr>
              <w:t>|||</w:t>
            </w:r>
            <w:r w:rsidR="00BD0449" w:rsidRPr="00BD0449">
              <w:rPr>
                <w:rFonts w:cs="Arial"/>
                <w:color w:val="000000"/>
                <w:spacing w:val="2"/>
                <w:szCs w:val="20"/>
                <w:shd w:val="solid" w:color="000000" w:fill="000000"/>
                <w:fitText w:val="350" w:id="-694437366"/>
                <w:lang w:val="en-AU"/>
                <w14:textFill>
                  <w14:solidFill>
                    <w14:srgbClr w14:val="000000">
                      <w14:alpha w14:val="100000"/>
                    </w14:srgbClr>
                  </w14:solidFill>
                </w14:textFill>
              </w:rPr>
              <w:t>|</w:t>
            </w:r>
            <w:r w:rsidR="005B1B25">
              <w:rPr>
                <w:rFonts w:cs="Arial"/>
                <w:szCs w:val="20"/>
                <w:lang w:val="en-AU"/>
              </w:rPr>
              <w:t xml:space="preserve"> </w:t>
            </w:r>
            <w:r w:rsidR="005B1B25">
              <w:rPr>
                <w:rFonts w:cs="Arial"/>
                <w:szCs w:val="20"/>
                <w:vertAlign w:val="superscript"/>
                <w:lang w:val="en-AU"/>
              </w:rPr>
              <w:t>1</w:t>
            </w:r>
            <w:r w:rsidRPr="005E7233">
              <w:rPr>
                <w:rFonts w:cs="Arial"/>
                <w:szCs w:val="20"/>
                <w:lang w:val="en-AU"/>
              </w:rPr>
              <w:t>/QALY gained</w:t>
            </w:r>
          </w:p>
        </w:tc>
      </w:tr>
      <w:tr w:rsidR="00E327E9" w:rsidRPr="005E7233" w14:paraId="10131E81" w14:textId="77777777" w:rsidTr="733957FC">
        <w:tc>
          <w:tcPr>
            <w:tcW w:w="940" w:type="pct"/>
            <w:shd w:val="clear" w:color="auto" w:fill="auto"/>
            <w:vAlign w:val="center"/>
          </w:tcPr>
          <w:p w14:paraId="0158ECD9" w14:textId="0746E528" w:rsidR="00E327E9" w:rsidRPr="005E7233" w:rsidRDefault="00C765F8" w:rsidP="005B1B25">
            <w:pPr>
              <w:pStyle w:val="TableText0"/>
            </w:pPr>
            <w:r w:rsidRPr="005E7233">
              <w:t>Time horizon</w:t>
            </w:r>
          </w:p>
        </w:tc>
        <w:tc>
          <w:tcPr>
            <w:tcW w:w="2044" w:type="pct"/>
            <w:shd w:val="clear" w:color="auto" w:fill="auto"/>
            <w:vAlign w:val="center"/>
          </w:tcPr>
          <w:p w14:paraId="27723084" w14:textId="7AC76BEA" w:rsidR="00E327E9" w:rsidRPr="005E7233" w:rsidRDefault="00F8620C" w:rsidP="005B1B25">
            <w:pPr>
              <w:pStyle w:val="TableText0"/>
            </w:pPr>
            <w:r w:rsidRPr="005E7233">
              <w:t>Lifetime (47 years)</w:t>
            </w:r>
            <w:r w:rsidR="000C2CEB">
              <w:t>.</w:t>
            </w:r>
            <w:r w:rsidRPr="005E7233">
              <w:t xml:space="preserve"> </w:t>
            </w:r>
            <w:r w:rsidR="00AE44E2" w:rsidRPr="005E7233">
              <w:t xml:space="preserve">Given </w:t>
            </w:r>
            <w:r w:rsidR="00AE44E2">
              <w:t xml:space="preserve">the uncertainties related to the lasting effect of teprotumumab </w:t>
            </w:r>
            <w:r w:rsidR="00AE44E2" w:rsidRPr="005E7233">
              <w:t xml:space="preserve">and the relationship between symptom severity and </w:t>
            </w:r>
            <w:r w:rsidR="00AE44E2">
              <w:t>the need for</w:t>
            </w:r>
            <w:r w:rsidR="00AE44E2" w:rsidRPr="005E7233">
              <w:t xml:space="preserve"> </w:t>
            </w:r>
            <w:r w:rsidR="00AE44E2">
              <w:t xml:space="preserve">and outcomes of </w:t>
            </w:r>
            <w:r w:rsidR="00AE44E2" w:rsidRPr="005E7233">
              <w:t xml:space="preserve">rehabilitative surgery, the use of a lifetime time horizon is </w:t>
            </w:r>
            <w:r w:rsidR="00821DD8">
              <w:t>likely not</w:t>
            </w:r>
            <w:r w:rsidR="00AE44E2" w:rsidRPr="005E7233">
              <w:t xml:space="preserve"> appropriate and is associated with considerable uncertainty.</w:t>
            </w:r>
          </w:p>
        </w:tc>
        <w:tc>
          <w:tcPr>
            <w:tcW w:w="2016" w:type="pct"/>
            <w:shd w:val="clear" w:color="auto" w:fill="auto"/>
            <w:vAlign w:val="center"/>
          </w:tcPr>
          <w:p w14:paraId="103A8725" w14:textId="77777777" w:rsidR="00AA5313" w:rsidRPr="005E7233" w:rsidRDefault="00E327E9" w:rsidP="005B1B25">
            <w:pPr>
              <w:pStyle w:val="TableText0"/>
            </w:pPr>
            <w:r w:rsidRPr="005E7233">
              <w:t xml:space="preserve">High, favours </w:t>
            </w:r>
            <w:r w:rsidR="00F8620C" w:rsidRPr="005E7233">
              <w:t xml:space="preserve">teprotumumab. </w:t>
            </w:r>
          </w:p>
          <w:p w14:paraId="61518974" w14:textId="736899F0" w:rsidR="00E327E9" w:rsidRPr="005E7233" w:rsidRDefault="00F8620C" w:rsidP="005B1B25">
            <w:pPr>
              <w:pStyle w:val="TableText0"/>
            </w:pPr>
            <w:r w:rsidRPr="005E7233">
              <w:t>Use of a 10-year time horizon increased the ICER to $</w:t>
            </w:r>
            <w:r w:rsidR="00BD0449" w:rsidRPr="00BD0449">
              <w:rPr>
                <w:color w:val="000000"/>
                <w:spacing w:val="53"/>
                <w:shd w:val="solid" w:color="000000" w:fill="000000"/>
                <w:fitText w:val="330" w:id="-694437365"/>
                <w14:textFill>
                  <w14:solidFill>
                    <w14:srgbClr w14:val="000000">
                      <w14:alpha w14:val="100000"/>
                    </w14:srgbClr>
                  </w14:solidFill>
                </w14:textFill>
              </w:rPr>
              <w:t>|||</w:t>
            </w:r>
            <w:r w:rsidR="00BD0449" w:rsidRPr="00BD0449">
              <w:rPr>
                <w:color w:val="000000"/>
                <w:spacing w:val="1"/>
                <w:shd w:val="solid" w:color="000000" w:fill="000000"/>
                <w:fitText w:val="330" w:id="-694437365"/>
                <w14:textFill>
                  <w14:solidFill>
                    <w14:srgbClr w14:val="000000">
                      <w14:alpha w14:val="100000"/>
                    </w14:srgbClr>
                  </w14:solidFill>
                </w14:textFill>
              </w:rPr>
              <w:t>|</w:t>
            </w:r>
            <w:r w:rsidR="005B1B25">
              <w:t xml:space="preserve"> </w:t>
            </w:r>
            <w:r w:rsidR="005B1B25">
              <w:rPr>
                <w:vertAlign w:val="superscript"/>
              </w:rPr>
              <w:t>2</w:t>
            </w:r>
            <w:r w:rsidRPr="005E7233">
              <w:t>/QALY gained.</w:t>
            </w:r>
          </w:p>
        </w:tc>
      </w:tr>
      <w:tr w:rsidR="007D5221" w:rsidRPr="005E7233" w14:paraId="478360D1" w14:textId="77777777" w:rsidTr="733957FC">
        <w:tc>
          <w:tcPr>
            <w:tcW w:w="940" w:type="pct"/>
            <w:shd w:val="clear" w:color="auto" w:fill="auto"/>
            <w:vAlign w:val="center"/>
          </w:tcPr>
          <w:p w14:paraId="27EB8769" w14:textId="77777777" w:rsidR="007D5221" w:rsidRPr="005E7233" w:rsidRDefault="007D5221" w:rsidP="005B1B25">
            <w:pPr>
              <w:pStyle w:val="TableText0"/>
            </w:pPr>
            <w:r w:rsidRPr="005E7233">
              <w:t>IVMP relapse rate, cycles 5–12</w:t>
            </w:r>
          </w:p>
        </w:tc>
        <w:tc>
          <w:tcPr>
            <w:tcW w:w="2044" w:type="pct"/>
            <w:shd w:val="clear" w:color="auto" w:fill="auto"/>
            <w:vAlign w:val="center"/>
          </w:tcPr>
          <w:p w14:paraId="11B67D9F" w14:textId="10A95BB7" w:rsidR="007D5221" w:rsidRPr="005E7233" w:rsidRDefault="007D5221" w:rsidP="005B1B25">
            <w:pPr>
              <w:pStyle w:val="TableText0"/>
            </w:pPr>
            <w:r w:rsidRPr="005E7233">
              <w:t>50% based on the assumption that the benefit in proptosis would revert to the baseline, less an additional 15% to account for natural history progression, as IVMP was not shown to provide any or limited durable response by Week 52</w:t>
            </w:r>
            <w:r w:rsidR="007A4F82" w:rsidRPr="005E7233">
              <w:t>.</w:t>
            </w:r>
            <w:r w:rsidR="00C602F1">
              <w:t xml:space="preserve"> </w:t>
            </w:r>
            <w:r w:rsidR="006D1171" w:rsidRPr="006D1171">
              <w:t>This resulted in a higher relapse rate applied following IVMP than following teprotumumab</w:t>
            </w:r>
            <w:r w:rsidR="006D1171">
              <w:t xml:space="preserve"> (30%)</w:t>
            </w:r>
            <w:r w:rsidR="006D1171" w:rsidRPr="006D1171">
              <w:t>. No comparative evidence was presented to support this difference.</w:t>
            </w:r>
          </w:p>
        </w:tc>
        <w:tc>
          <w:tcPr>
            <w:tcW w:w="2016" w:type="pct"/>
            <w:shd w:val="clear" w:color="auto" w:fill="auto"/>
            <w:vAlign w:val="center"/>
          </w:tcPr>
          <w:p w14:paraId="20FDF243" w14:textId="77777777" w:rsidR="007D5221" w:rsidRPr="005E7233" w:rsidRDefault="007D5221" w:rsidP="005B1B25">
            <w:pPr>
              <w:pStyle w:val="TableText0"/>
            </w:pPr>
            <w:r w:rsidRPr="005E7233">
              <w:t>High, favours teprotumumab.</w:t>
            </w:r>
          </w:p>
          <w:p w14:paraId="4943C257" w14:textId="5DA697A7" w:rsidR="007D5221" w:rsidRPr="005E7233" w:rsidRDefault="00726E4D" w:rsidP="005B1B25">
            <w:pPr>
              <w:pStyle w:val="TableText0"/>
            </w:pPr>
            <w:r w:rsidRPr="005E7233">
              <w:t xml:space="preserve">Assuming </w:t>
            </w:r>
            <w:r w:rsidR="00DF5B2D" w:rsidRPr="005E7233">
              <w:t xml:space="preserve">a 30% </w:t>
            </w:r>
            <w:r w:rsidRPr="005E7233">
              <w:t xml:space="preserve">relapse rate in cycles 5–12 following IVMP </w:t>
            </w:r>
            <w:r w:rsidR="00DF5B2D" w:rsidRPr="005E7233">
              <w:t xml:space="preserve">(i.e. same </w:t>
            </w:r>
            <w:r w:rsidRPr="005E7233">
              <w:t xml:space="preserve">as </w:t>
            </w:r>
            <w:r w:rsidR="00DF5B2D" w:rsidRPr="005E7233">
              <w:t xml:space="preserve">applied </w:t>
            </w:r>
            <w:r w:rsidRPr="005E7233">
              <w:t>for teprotumumab</w:t>
            </w:r>
            <w:r w:rsidR="00DF5B2D" w:rsidRPr="005E7233">
              <w:t>)</w:t>
            </w:r>
            <w:r w:rsidRPr="005E7233">
              <w:t xml:space="preserve"> increased the ICER to $</w:t>
            </w:r>
            <w:r w:rsidR="00BD0449" w:rsidRPr="00BD0449">
              <w:rPr>
                <w:color w:val="000000"/>
                <w:spacing w:val="53"/>
                <w:shd w:val="solid" w:color="000000" w:fill="000000"/>
                <w:fitText w:val="330" w:id="-694437364"/>
                <w14:textFill>
                  <w14:solidFill>
                    <w14:srgbClr w14:val="000000">
                      <w14:alpha w14:val="100000"/>
                    </w14:srgbClr>
                  </w14:solidFill>
                </w14:textFill>
              </w:rPr>
              <w:t>|||</w:t>
            </w:r>
            <w:r w:rsidR="00BD0449" w:rsidRPr="00BD0449">
              <w:rPr>
                <w:color w:val="000000"/>
                <w:spacing w:val="1"/>
                <w:shd w:val="solid" w:color="000000" w:fill="000000"/>
                <w:fitText w:val="330" w:id="-694437364"/>
                <w14:textFill>
                  <w14:solidFill>
                    <w14:srgbClr w14:val="000000">
                      <w14:alpha w14:val="100000"/>
                    </w14:srgbClr>
                  </w14:solidFill>
                </w14:textFill>
              </w:rPr>
              <w:t>|</w:t>
            </w:r>
            <w:r w:rsidR="004302E9">
              <w:t xml:space="preserve"> </w:t>
            </w:r>
            <w:r w:rsidR="004302E9">
              <w:rPr>
                <w:vertAlign w:val="superscript"/>
              </w:rPr>
              <w:t xml:space="preserve">3 </w:t>
            </w:r>
            <w:r w:rsidRPr="005E7233">
              <w:t>/QALY gained.</w:t>
            </w:r>
          </w:p>
        </w:tc>
      </w:tr>
      <w:tr w:rsidR="00A45177" w:rsidRPr="005E7233" w14:paraId="60D1C111" w14:textId="77777777" w:rsidTr="733957FC">
        <w:tc>
          <w:tcPr>
            <w:tcW w:w="940" w:type="pct"/>
            <w:shd w:val="clear" w:color="auto" w:fill="auto"/>
            <w:vAlign w:val="center"/>
          </w:tcPr>
          <w:p w14:paraId="72FD118F" w14:textId="77777777" w:rsidR="00A45177" w:rsidRPr="005E7233" w:rsidRDefault="00A45177" w:rsidP="00B904DC">
            <w:pPr>
              <w:pStyle w:val="TableText0"/>
              <w:keepNext w:val="0"/>
            </w:pPr>
            <w:r w:rsidRPr="005E7233">
              <w:t>SPND health state utility</w:t>
            </w:r>
          </w:p>
        </w:tc>
        <w:tc>
          <w:tcPr>
            <w:tcW w:w="2044" w:type="pct"/>
            <w:shd w:val="clear" w:color="auto" w:fill="auto"/>
            <w:vAlign w:val="center"/>
          </w:tcPr>
          <w:p w14:paraId="719799A6" w14:textId="7CBF6FD7" w:rsidR="00A45177" w:rsidRPr="005E7233" w:rsidRDefault="00A45177" w:rsidP="00B904DC">
            <w:pPr>
              <w:pStyle w:val="TableText0"/>
              <w:keepNext w:val="0"/>
            </w:pPr>
            <w:r w:rsidRPr="005E7233">
              <w:t>0.60</w:t>
            </w:r>
            <w:r w:rsidR="00BB4306" w:rsidRPr="005E7233">
              <w:t xml:space="preserve"> </w:t>
            </w:r>
            <w:r w:rsidRPr="005E7233">
              <w:t>derived from a vignette-based TTO study</w:t>
            </w:r>
            <w:r w:rsidR="00F85A67">
              <w:t>, Smith et al. 2023</w:t>
            </w:r>
            <w:r w:rsidR="00032C63">
              <w:rPr>
                <w:rStyle w:val="FootnoteReference"/>
              </w:rPr>
              <w:footnoteReference w:id="47"/>
            </w:r>
            <w:r w:rsidRPr="005E7233">
              <w:t>.</w:t>
            </w:r>
            <w:r w:rsidR="00116881">
              <w:t xml:space="preserve"> </w:t>
            </w:r>
            <w:r w:rsidR="00116881" w:rsidRPr="00116881">
              <w:t>The reported values from this study were noted to be low</w:t>
            </w:r>
            <w:r w:rsidR="00116881">
              <w:t xml:space="preserve"> (0.30−0.60)</w:t>
            </w:r>
            <w:r w:rsidR="00116881" w:rsidRPr="00116881">
              <w:t>.</w:t>
            </w:r>
            <w:r w:rsidR="007A4F82" w:rsidRPr="00116881">
              <w:t> </w:t>
            </w:r>
          </w:p>
        </w:tc>
        <w:tc>
          <w:tcPr>
            <w:tcW w:w="2016" w:type="pct"/>
            <w:shd w:val="clear" w:color="auto" w:fill="auto"/>
            <w:vAlign w:val="center"/>
          </w:tcPr>
          <w:p w14:paraId="5FEE7B80" w14:textId="1A61FE12" w:rsidR="00A45177" w:rsidRPr="005E7233" w:rsidRDefault="00A45177" w:rsidP="00B904DC">
            <w:pPr>
              <w:pStyle w:val="TableText0"/>
              <w:keepNext w:val="0"/>
            </w:pPr>
            <w:r w:rsidRPr="005E7233">
              <w:t xml:space="preserve">High, </w:t>
            </w:r>
            <w:r w:rsidR="00362C09" w:rsidRPr="005E7233">
              <w:t xml:space="preserve">in both </w:t>
            </w:r>
            <w:r w:rsidRPr="005E7233">
              <w:t>direction</w:t>
            </w:r>
            <w:r w:rsidR="00362C09" w:rsidRPr="005E7233">
              <w:t>s</w:t>
            </w:r>
            <w:r w:rsidRPr="005E7233">
              <w:t>.</w:t>
            </w:r>
          </w:p>
          <w:p w14:paraId="5B04C3A0" w14:textId="5FDE2324" w:rsidR="00A45177" w:rsidRPr="005E7233" w:rsidRDefault="00A45177" w:rsidP="00B904DC">
            <w:pPr>
              <w:pStyle w:val="TableText0"/>
              <w:keepNext w:val="0"/>
            </w:pPr>
            <w:r w:rsidRPr="005E7233">
              <w:t>Use of the lower 95% CI estimate (0.54), increased the ICER to $</w:t>
            </w:r>
            <w:r w:rsidR="00BD0449" w:rsidRPr="00BD0449">
              <w:rPr>
                <w:color w:val="000000"/>
                <w:spacing w:val="53"/>
                <w:shd w:val="solid" w:color="000000" w:fill="000000"/>
                <w:fitText w:val="330" w:id="-694437363"/>
                <w14:textFill>
                  <w14:solidFill>
                    <w14:srgbClr w14:val="000000">
                      <w14:alpha w14:val="100000"/>
                    </w14:srgbClr>
                  </w14:solidFill>
                </w14:textFill>
              </w:rPr>
              <w:t>|||</w:t>
            </w:r>
            <w:r w:rsidR="00BD0449" w:rsidRPr="00BD0449">
              <w:rPr>
                <w:color w:val="000000"/>
                <w:spacing w:val="1"/>
                <w:shd w:val="solid" w:color="000000" w:fill="000000"/>
                <w:fitText w:val="330" w:id="-694437363"/>
                <w14:textFill>
                  <w14:solidFill>
                    <w14:srgbClr w14:val="000000">
                      <w14:alpha w14:val="100000"/>
                    </w14:srgbClr>
                  </w14:solidFill>
                </w14:textFill>
              </w:rPr>
              <w:t>|</w:t>
            </w:r>
            <w:r w:rsidR="004302E9">
              <w:rPr>
                <w:vertAlign w:val="superscript"/>
              </w:rPr>
              <w:t xml:space="preserve"> </w:t>
            </w:r>
            <w:r w:rsidR="00114F7D">
              <w:rPr>
                <w:vertAlign w:val="superscript"/>
              </w:rPr>
              <w:t>3</w:t>
            </w:r>
            <w:r w:rsidRPr="005E7233">
              <w:t xml:space="preserve">/QALY gained, and use of the upper 95% CI </w:t>
            </w:r>
            <w:r w:rsidR="00827DB8" w:rsidRPr="005E7233">
              <w:t xml:space="preserve">estimate (0.67) </w:t>
            </w:r>
            <w:r w:rsidRPr="005E7233">
              <w:t>reduced the ICER to $</w:t>
            </w:r>
            <w:r w:rsidR="00BD0449" w:rsidRPr="00BD0449">
              <w:rPr>
                <w:color w:val="000000"/>
                <w:spacing w:val="53"/>
                <w:shd w:val="solid" w:color="000000" w:fill="000000"/>
                <w:fitText w:val="330" w:id="-694437362"/>
                <w14:textFill>
                  <w14:solidFill>
                    <w14:srgbClr w14:val="000000">
                      <w14:alpha w14:val="100000"/>
                    </w14:srgbClr>
                  </w14:solidFill>
                </w14:textFill>
              </w:rPr>
              <w:t>|||</w:t>
            </w:r>
            <w:r w:rsidR="00BD0449" w:rsidRPr="00BD0449">
              <w:rPr>
                <w:color w:val="000000"/>
                <w:spacing w:val="1"/>
                <w:shd w:val="solid" w:color="000000" w:fill="000000"/>
                <w:fitText w:val="330" w:id="-694437362"/>
                <w14:textFill>
                  <w14:solidFill>
                    <w14:srgbClr w14:val="000000">
                      <w14:alpha w14:val="100000"/>
                    </w14:srgbClr>
                  </w14:solidFill>
                </w14:textFill>
              </w:rPr>
              <w:t>|</w:t>
            </w:r>
            <w:r w:rsidR="004302E9">
              <w:t xml:space="preserve"> </w:t>
            </w:r>
            <w:r w:rsidR="004302E9">
              <w:rPr>
                <w:vertAlign w:val="superscript"/>
              </w:rPr>
              <w:t>1</w:t>
            </w:r>
            <w:r w:rsidRPr="005E7233">
              <w:t>/QALY gained.</w:t>
            </w:r>
          </w:p>
        </w:tc>
      </w:tr>
      <w:tr w:rsidR="00CD64BB" w:rsidRPr="005E7233" w14:paraId="44018520" w14:textId="77777777" w:rsidTr="733957FC">
        <w:tc>
          <w:tcPr>
            <w:tcW w:w="940" w:type="pct"/>
            <w:shd w:val="clear" w:color="auto" w:fill="auto"/>
            <w:vAlign w:val="center"/>
          </w:tcPr>
          <w:p w14:paraId="1D1835DA" w14:textId="3F118E8B" w:rsidR="009D45B4" w:rsidRPr="005E7233" w:rsidRDefault="009D45B4" w:rsidP="00B904DC">
            <w:pPr>
              <w:pStyle w:val="TableText0"/>
              <w:keepNext w:val="0"/>
            </w:pPr>
            <w:r w:rsidRPr="005E7233">
              <w:t>Surgery and Post-surgery utility values</w:t>
            </w:r>
          </w:p>
        </w:tc>
        <w:tc>
          <w:tcPr>
            <w:tcW w:w="2044" w:type="pct"/>
            <w:shd w:val="clear" w:color="auto" w:fill="auto"/>
            <w:vAlign w:val="center"/>
          </w:tcPr>
          <w:p w14:paraId="44D6A764" w14:textId="32218592" w:rsidR="009D45B4" w:rsidRPr="005E7233" w:rsidRDefault="009D45B4" w:rsidP="00B904DC">
            <w:pPr>
              <w:pStyle w:val="TableText0"/>
              <w:keepNext w:val="0"/>
            </w:pPr>
            <w:r w:rsidRPr="005E7233">
              <w:t xml:space="preserve">Surgery: 0.30 (lowest </w:t>
            </w:r>
            <w:r w:rsidR="00827DB8" w:rsidRPr="005E7233">
              <w:t xml:space="preserve">TED symptom </w:t>
            </w:r>
            <w:r w:rsidRPr="005E7233">
              <w:t>utility reported in Smith et al. 2023); and Post-surgery: 0.43 (median utility of health states, excluding SPND, reported in Smith et al. 2023).</w:t>
            </w:r>
          </w:p>
        </w:tc>
        <w:tc>
          <w:tcPr>
            <w:tcW w:w="2016" w:type="pct"/>
            <w:shd w:val="clear" w:color="auto" w:fill="auto"/>
            <w:vAlign w:val="center"/>
          </w:tcPr>
          <w:p w14:paraId="79E06DD5" w14:textId="77777777" w:rsidR="009D45B4" w:rsidRPr="005E7233" w:rsidRDefault="009D45B4" w:rsidP="00B904DC">
            <w:pPr>
              <w:pStyle w:val="TableText0"/>
              <w:keepNext w:val="0"/>
            </w:pPr>
            <w:r w:rsidRPr="005E7233">
              <w:t>High, favours teprotumumab.</w:t>
            </w:r>
          </w:p>
          <w:p w14:paraId="0702CE38" w14:textId="6D1C21E8" w:rsidR="009D45B4" w:rsidRPr="005E7233" w:rsidRDefault="009D45B4" w:rsidP="00B904DC">
            <w:pPr>
              <w:pStyle w:val="TableText0"/>
              <w:keepNext w:val="0"/>
            </w:pPr>
            <w:r w:rsidRPr="005E7233">
              <w:t>Assuming Post-surgery utility as for (active MS) SPND (0.60) increased the ICER to $</w:t>
            </w:r>
            <w:r w:rsidR="00BD0449" w:rsidRPr="00BD0449">
              <w:rPr>
                <w:color w:val="000000"/>
                <w:spacing w:val="49"/>
                <w:shd w:val="solid" w:color="000000" w:fill="000000"/>
                <w:fitText w:val="320" w:id="-694437361"/>
                <w14:textFill>
                  <w14:solidFill>
                    <w14:srgbClr w14:val="000000">
                      <w14:alpha w14:val="100000"/>
                    </w14:srgbClr>
                  </w14:solidFill>
                </w14:textFill>
              </w:rPr>
              <w:t>|||</w:t>
            </w:r>
            <w:r w:rsidR="00BD0449" w:rsidRPr="00BD0449">
              <w:rPr>
                <w:color w:val="000000"/>
                <w:spacing w:val="3"/>
                <w:shd w:val="solid" w:color="000000" w:fill="000000"/>
                <w:fitText w:val="320" w:id="-694437361"/>
                <w14:textFill>
                  <w14:solidFill>
                    <w14:srgbClr w14:val="000000">
                      <w14:alpha w14:val="100000"/>
                    </w14:srgbClr>
                  </w14:solidFill>
                </w14:textFill>
              </w:rPr>
              <w:t>|</w:t>
            </w:r>
            <w:r w:rsidR="005725E2">
              <w:t xml:space="preserve"> </w:t>
            </w:r>
            <w:r w:rsidR="00114F7D">
              <w:rPr>
                <w:vertAlign w:val="superscript"/>
              </w:rPr>
              <w:t>4</w:t>
            </w:r>
            <w:r w:rsidR="005725E2">
              <w:rPr>
                <w:vertAlign w:val="superscript"/>
              </w:rPr>
              <w:t xml:space="preserve"> </w:t>
            </w:r>
            <w:r w:rsidR="004302E9" w:rsidRPr="005E7233">
              <w:t>/</w:t>
            </w:r>
            <w:r w:rsidRPr="005E7233">
              <w:t>QALY gained.</w:t>
            </w:r>
          </w:p>
          <w:p w14:paraId="5994FED8" w14:textId="2ACF4761" w:rsidR="009D45B4" w:rsidRPr="005E7233" w:rsidRDefault="009D45B4" w:rsidP="00B904DC">
            <w:pPr>
              <w:pStyle w:val="TableText0"/>
              <w:keepNext w:val="0"/>
            </w:pPr>
            <w:r w:rsidRPr="005E7233">
              <w:lastRenderedPageBreak/>
              <w:t xml:space="preserve">Using </w:t>
            </w:r>
            <w:r w:rsidR="009214CB">
              <w:t xml:space="preserve">other </w:t>
            </w:r>
            <w:r w:rsidRPr="005E7233">
              <w:t>alternate utility values</w:t>
            </w:r>
            <w:r w:rsidR="009214CB">
              <w:t>:</w:t>
            </w:r>
            <w:r w:rsidRPr="005E7233">
              <w:t xml:space="preserve"> 0.38 for Surgery and 0.50 for Post-surgery</w:t>
            </w:r>
            <w:r w:rsidR="009214CB">
              <w:t>,</w:t>
            </w:r>
            <w:r w:rsidRPr="005E7233">
              <w:t xml:space="preserve"> increased the ICER to $</w:t>
            </w:r>
            <w:r w:rsidR="00BD0449" w:rsidRPr="00BD0449">
              <w:rPr>
                <w:color w:val="000000"/>
                <w:spacing w:val="53"/>
                <w:shd w:val="solid" w:color="000000" w:fill="000000"/>
                <w:fitText w:val="330" w:id="-694437360"/>
                <w14:textFill>
                  <w14:solidFill>
                    <w14:srgbClr w14:val="000000">
                      <w14:alpha w14:val="100000"/>
                    </w14:srgbClr>
                  </w14:solidFill>
                </w14:textFill>
              </w:rPr>
              <w:t>|||</w:t>
            </w:r>
            <w:r w:rsidR="00BD0449" w:rsidRPr="00BD0449">
              <w:rPr>
                <w:color w:val="000000"/>
                <w:spacing w:val="1"/>
                <w:shd w:val="solid" w:color="000000" w:fill="000000"/>
                <w:fitText w:val="330" w:id="-694437360"/>
                <w14:textFill>
                  <w14:solidFill>
                    <w14:srgbClr w14:val="000000">
                      <w14:alpha w14:val="100000"/>
                    </w14:srgbClr>
                  </w14:solidFill>
                </w14:textFill>
              </w:rPr>
              <w:t>|</w:t>
            </w:r>
            <w:r w:rsidR="005725E2">
              <w:t xml:space="preserve"> </w:t>
            </w:r>
            <w:r w:rsidR="00114F7D">
              <w:rPr>
                <w:vertAlign w:val="superscript"/>
              </w:rPr>
              <w:t>4</w:t>
            </w:r>
            <w:r w:rsidR="005725E2">
              <w:rPr>
                <w:vertAlign w:val="superscript"/>
              </w:rPr>
              <w:t xml:space="preserve"> </w:t>
            </w:r>
            <w:r w:rsidRPr="005E7233">
              <w:t>/QALY.</w:t>
            </w:r>
          </w:p>
        </w:tc>
      </w:tr>
      <w:tr w:rsidR="00BB052F" w:rsidRPr="005E7233" w14:paraId="404300CA" w14:textId="77777777" w:rsidTr="733957FC">
        <w:tc>
          <w:tcPr>
            <w:tcW w:w="940" w:type="pct"/>
            <w:shd w:val="clear" w:color="auto" w:fill="auto"/>
            <w:vAlign w:val="center"/>
          </w:tcPr>
          <w:p w14:paraId="652C2AF5" w14:textId="77777777" w:rsidR="00BB052F" w:rsidRPr="005E7233" w:rsidRDefault="00BB052F" w:rsidP="00B904DC">
            <w:pPr>
              <w:pStyle w:val="TableText0"/>
              <w:keepNext w:val="0"/>
            </w:pPr>
            <w:r w:rsidRPr="005E7233">
              <w:lastRenderedPageBreak/>
              <w:t>Proportion receiving rehabilitative surgery</w:t>
            </w:r>
          </w:p>
        </w:tc>
        <w:tc>
          <w:tcPr>
            <w:tcW w:w="2044" w:type="pct"/>
            <w:shd w:val="clear" w:color="auto" w:fill="auto"/>
            <w:vAlign w:val="center"/>
          </w:tcPr>
          <w:p w14:paraId="6A78E8B8" w14:textId="77777777" w:rsidR="00BB052F" w:rsidRPr="005E7233" w:rsidRDefault="00BB052F" w:rsidP="00B904DC">
            <w:pPr>
              <w:pStyle w:val="TableText0"/>
              <w:keepNext w:val="0"/>
            </w:pPr>
            <w:r w:rsidRPr="005E7233">
              <w:t xml:space="preserve">SPND/SPID: 5.0%; LPND: 38.1%; LPID: 41.3%; SPCD/LPCD: 43.8% applied </w:t>
            </w:r>
            <w:r w:rsidRPr="005E7233">
              <w:rPr>
                <w:u w:val="single"/>
              </w:rPr>
              <w:t>once-off</w:t>
            </w:r>
            <w:r w:rsidRPr="005E7233">
              <w:t xml:space="preserve"> to the proportion of patients in the respective health states in Cycle 26. </w:t>
            </w:r>
          </w:p>
        </w:tc>
        <w:tc>
          <w:tcPr>
            <w:tcW w:w="2016" w:type="pct"/>
            <w:shd w:val="clear" w:color="auto" w:fill="auto"/>
            <w:vAlign w:val="center"/>
          </w:tcPr>
          <w:p w14:paraId="3B84D461" w14:textId="77777777" w:rsidR="00BB052F" w:rsidRPr="005E7233" w:rsidRDefault="00BB052F" w:rsidP="00B904DC">
            <w:pPr>
              <w:pStyle w:val="TableText0"/>
              <w:keepNext w:val="0"/>
            </w:pPr>
            <w:r w:rsidRPr="005E7233">
              <w:t>Moderate-high, in both directions.</w:t>
            </w:r>
          </w:p>
          <w:p w14:paraId="71D4588A" w14:textId="4960515C" w:rsidR="00BB052F" w:rsidRPr="005E7233" w:rsidRDefault="00BB052F" w:rsidP="00B904DC">
            <w:pPr>
              <w:pStyle w:val="TableText0"/>
              <w:keepNext w:val="0"/>
            </w:pPr>
            <w:r w:rsidRPr="005E7233">
              <w:t>Assuming that 43.8% of patients require surgery (maintaining that the number of surgeries varies by health state) increases the ICER to $</w:t>
            </w:r>
            <w:r w:rsidR="00BD0449" w:rsidRPr="00BD0449">
              <w:rPr>
                <w:color w:val="000000"/>
                <w:spacing w:val="53"/>
                <w:shd w:val="solid" w:color="000000" w:fill="000000"/>
                <w:fitText w:val="330" w:id="-694437376"/>
                <w14:textFill>
                  <w14:solidFill>
                    <w14:srgbClr w14:val="000000">
                      <w14:alpha w14:val="100000"/>
                    </w14:srgbClr>
                  </w14:solidFill>
                </w14:textFill>
              </w:rPr>
              <w:t>|||</w:t>
            </w:r>
            <w:r w:rsidR="00BD0449" w:rsidRPr="00BD0449">
              <w:rPr>
                <w:color w:val="000000"/>
                <w:spacing w:val="1"/>
                <w:shd w:val="solid" w:color="000000" w:fill="000000"/>
                <w:fitText w:val="330" w:id="-694437376"/>
                <w14:textFill>
                  <w14:solidFill>
                    <w14:srgbClr w14:val="000000">
                      <w14:alpha w14:val="100000"/>
                    </w14:srgbClr>
                  </w14:solidFill>
                </w14:textFill>
              </w:rPr>
              <w:t>|</w:t>
            </w:r>
            <w:r w:rsidR="00351EF5">
              <w:t xml:space="preserve"> </w:t>
            </w:r>
            <w:r w:rsidR="00351EF5">
              <w:rPr>
                <w:vertAlign w:val="superscript"/>
              </w:rPr>
              <w:t>3</w:t>
            </w:r>
            <w:r w:rsidR="00D161D8">
              <w:rPr>
                <w:vertAlign w:val="superscript"/>
              </w:rPr>
              <w:t xml:space="preserve"> </w:t>
            </w:r>
            <w:r w:rsidRPr="005E7233">
              <w:t>/QALY gained.</w:t>
            </w:r>
          </w:p>
          <w:p w14:paraId="7A559506" w14:textId="1494A521" w:rsidR="00BB052F" w:rsidRPr="005E7233" w:rsidRDefault="00BB052F" w:rsidP="00B904DC">
            <w:pPr>
              <w:pStyle w:val="TableText0"/>
              <w:keepNext w:val="0"/>
            </w:pPr>
            <w:r w:rsidRPr="005E7233">
              <w:t>Decreasing the proportion across all states to 5% decreased the ICER to $</w:t>
            </w:r>
            <w:r w:rsidR="00BD0449" w:rsidRPr="00BD0449">
              <w:rPr>
                <w:color w:val="000000"/>
                <w:spacing w:val="49"/>
                <w:shd w:val="solid" w:color="000000" w:fill="000000"/>
                <w:fitText w:val="320" w:id="-694437375"/>
                <w14:textFill>
                  <w14:solidFill>
                    <w14:srgbClr w14:val="000000">
                      <w14:alpha w14:val="100000"/>
                    </w14:srgbClr>
                  </w14:solidFill>
                </w14:textFill>
              </w:rPr>
              <w:t>|||</w:t>
            </w:r>
            <w:r w:rsidR="00BD0449" w:rsidRPr="00BD0449">
              <w:rPr>
                <w:color w:val="000000"/>
                <w:spacing w:val="3"/>
                <w:shd w:val="solid" w:color="000000" w:fill="000000"/>
                <w:fitText w:val="320" w:id="-694437375"/>
                <w14:textFill>
                  <w14:solidFill>
                    <w14:srgbClr w14:val="000000">
                      <w14:alpha w14:val="100000"/>
                    </w14:srgbClr>
                  </w14:solidFill>
                </w14:textFill>
              </w:rPr>
              <w:t>|</w:t>
            </w:r>
            <w:r w:rsidR="00351EF5">
              <w:t xml:space="preserve"> </w:t>
            </w:r>
            <w:r w:rsidR="00351EF5">
              <w:rPr>
                <w:vertAlign w:val="superscript"/>
              </w:rPr>
              <w:t>1</w:t>
            </w:r>
            <w:r w:rsidRPr="005E7233">
              <w:t>/QALY gained.</w:t>
            </w:r>
          </w:p>
        </w:tc>
      </w:tr>
      <w:tr w:rsidR="00F8620C" w:rsidRPr="005E7233" w14:paraId="0B14661B" w14:textId="77777777" w:rsidTr="733957FC">
        <w:tc>
          <w:tcPr>
            <w:tcW w:w="940" w:type="pct"/>
            <w:shd w:val="clear" w:color="auto" w:fill="auto"/>
            <w:vAlign w:val="center"/>
          </w:tcPr>
          <w:p w14:paraId="03CAD118" w14:textId="4C7ECA6E" w:rsidR="00F8620C" w:rsidRPr="005E7233" w:rsidRDefault="00F8620C" w:rsidP="00B904DC">
            <w:pPr>
              <w:pStyle w:val="TableText0"/>
              <w:keepNext w:val="0"/>
            </w:pPr>
            <w:r w:rsidRPr="005E7233">
              <w:t xml:space="preserve">IVMP treatment </w:t>
            </w:r>
            <w:r w:rsidR="001C13EB" w:rsidRPr="005E7233">
              <w:t>effect on proptosis</w:t>
            </w:r>
            <w:r w:rsidRPr="005E7233">
              <w:t xml:space="preserve"> versus PBO</w:t>
            </w:r>
          </w:p>
        </w:tc>
        <w:tc>
          <w:tcPr>
            <w:tcW w:w="2044" w:type="pct"/>
            <w:shd w:val="clear" w:color="auto" w:fill="auto"/>
            <w:vAlign w:val="center"/>
          </w:tcPr>
          <w:p w14:paraId="16C43CA5" w14:textId="0D1ABA59" w:rsidR="00F8620C" w:rsidRPr="005E7233" w:rsidRDefault="00F8620C" w:rsidP="00B904DC">
            <w:pPr>
              <w:pStyle w:val="TableText0"/>
              <w:keepNext w:val="0"/>
            </w:pPr>
            <w:r w:rsidRPr="005E7233">
              <w:t>Mean difference in proptosis (</w:t>
            </w:r>
            <w:r w:rsidR="00E66316">
              <w:t>-</w:t>
            </w:r>
            <w:r w:rsidRPr="005E7233">
              <w:t>0.16 mm) based on the MAIC conduc</w:t>
            </w:r>
            <w:r w:rsidR="009D45B4" w:rsidRPr="005E7233">
              <w:t>t</w:t>
            </w:r>
            <w:r w:rsidRPr="005E7233">
              <w:t>ed by Douglas et al. (2022)</w:t>
            </w:r>
            <w:r w:rsidR="00F17515">
              <w:rPr>
                <w:rStyle w:val="FootnoteReference"/>
              </w:rPr>
              <w:footnoteReference w:id="48"/>
            </w:r>
            <w:r w:rsidRPr="005E7233">
              <w:t>.</w:t>
            </w:r>
            <w:r w:rsidR="00E07199">
              <w:t xml:space="preserve"> T</w:t>
            </w:r>
            <w:r w:rsidR="00E07199" w:rsidRPr="005E7233">
              <w:t>he MAIC presented was associated with considerable uncertainty and the resulting estimates likely prone to bias.</w:t>
            </w:r>
          </w:p>
        </w:tc>
        <w:tc>
          <w:tcPr>
            <w:tcW w:w="2016" w:type="pct"/>
            <w:shd w:val="clear" w:color="auto" w:fill="auto"/>
            <w:vAlign w:val="center"/>
          </w:tcPr>
          <w:p w14:paraId="54867851" w14:textId="24390677" w:rsidR="00AA5313" w:rsidRPr="005E7233" w:rsidRDefault="00F8620C" w:rsidP="00B904DC">
            <w:pPr>
              <w:pStyle w:val="TableText0"/>
              <w:keepNext w:val="0"/>
            </w:pPr>
            <w:r w:rsidRPr="005E7233">
              <w:t xml:space="preserve">Moderate-high, direction unknown. </w:t>
            </w:r>
          </w:p>
          <w:p w14:paraId="01573EE4" w14:textId="1B61BE3C" w:rsidR="00F8620C" w:rsidRPr="005E7233" w:rsidRDefault="001C125C" w:rsidP="00B904DC">
            <w:pPr>
              <w:pStyle w:val="TableText0"/>
              <w:keepNext w:val="0"/>
            </w:pPr>
            <w:r w:rsidRPr="005E7233">
              <w:t>The ICER ranged from $</w:t>
            </w:r>
            <w:r w:rsidR="00BD0449" w:rsidRPr="00BD0449">
              <w:rPr>
                <w:color w:val="000000"/>
                <w:spacing w:val="49"/>
                <w:shd w:val="solid" w:color="000000" w:fill="000000"/>
                <w:fitText w:val="320" w:id="-694437374"/>
                <w14:textFill>
                  <w14:solidFill>
                    <w14:srgbClr w14:val="000000">
                      <w14:alpha w14:val="100000"/>
                    </w14:srgbClr>
                  </w14:solidFill>
                </w14:textFill>
              </w:rPr>
              <w:t>|||</w:t>
            </w:r>
            <w:r w:rsidR="00BD0449" w:rsidRPr="00BD0449">
              <w:rPr>
                <w:color w:val="000000"/>
                <w:spacing w:val="3"/>
                <w:shd w:val="solid" w:color="000000" w:fill="000000"/>
                <w:fitText w:val="320" w:id="-694437374"/>
                <w14:textFill>
                  <w14:solidFill>
                    <w14:srgbClr w14:val="000000">
                      <w14:alpha w14:val="100000"/>
                    </w14:srgbClr>
                  </w14:solidFill>
                </w14:textFill>
              </w:rPr>
              <w:t>|</w:t>
            </w:r>
            <w:r w:rsidR="00351EF5">
              <w:t xml:space="preserve"> </w:t>
            </w:r>
            <w:r w:rsidR="00351EF5">
              <w:rPr>
                <w:vertAlign w:val="superscript"/>
              </w:rPr>
              <w:t xml:space="preserve">1 </w:t>
            </w:r>
            <w:r w:rsidRPr="005E7233">
              <w:t>/QALY gained to $</w:t>
            </w:r>
            <w:r w:rsidR="00BD0449" w:rsidRPr="00BD0449">
              <w:rPr>
                <w:color w:val="000000"/>
                <w:spacing w:val="53"/>
                <w:shd w:val="solid" w:color="000000" w:fill="000000"/>
                <w:fitText w:val="330" w:id="-694437373"/>
                <w14:textFill>
                  <w14:solidFill>
                    <w14:srgbClr w14:val="000000">
                      <w14:alpha w14:val="100000"/>
                    </w14:srgbClr>
                  </w14:solidFill>
                </w14:textFill>
              </w:rPr>
              <w:t>|||</w:t>
            </w:r>
            <w:r w:rsidR="00BD0449" w:rsidRPr="00BD0449">
              <w:rPr>
                <w:color w:val="000000"/>
                <w:spacing w:val="1"/>
                <w:shd w:val="solid" w:color="000000" w:fill="000000"/>
                <w:fitText w:val="330" w:id="-694437373"/>
                <w14:textFill>
                  <w14:solidFill>
                    <w14:srgbClr w14:val="000000">
                      <w14:alpha w14:val="100000"/>
                    </w14:srgbClr>
                  </w14:solidFill>
                </w14:textFill>
              </w:rPr>
              <w:t>|</w:t>
            </w:r>
            <w:r w:rsidR="00351EF5">
              <w:t xml:space="preserve"> </w:t>
            </w:r>
            <w:r w:rsidR="00351EF5">
              <w:rPr>
                <w:vertAlign w:val="superscript"/>
              </w:rPr>
              <w:t>4</w:t>
            </w:r>
            <w:r w:rsidRPr="005E7233">
              <w:t xml:space="preserve">/QALY gained when the </w:t>
            </w:r>
            <w:r w:rsidR="00623505" w:rsidRPr="005E7233">
              <w:t xml:space="preserve">upper </w:t>
            </w:r>
            <w:r w:rsidRPr="005E7233">
              <w:t xml:space="preserve">(1.22 mm) and </w:t>
            </w:r>
            <w:r w:rsidR="00623505" w:rsidRPr="005E7233">
              <w:t>lower</w:t>
            </w:r>
            <w:r w:rsidRPr="005E7233">
              <w:t xml:space="preserve"> (</w:t>
            </w:r>
            <w:r w:rsidR="00C5270B" w:rsidRPr="005E7233">
              <w:t>-</w:t>
            </w:r>
            <w:r w:rsidRPr="005E7233">
              <w:t xml:space="preserve">1.55 mm) limits of the 95% CI </w:t>
            </w:r>
            <w:r w:rsidR="00F8620C" w:rsidRPr="005E7233">
              <w:t xml:space="preserve">for the mean difference in proptosis </w:t>
            </w:r>
            <w:r w:rsidRPr="005E7233">
              <w:t xml:space="preserve">were used </w:t>
            </w:r>
          </w:p>
        </w:tc>
      </w:tr>
      <w:tr w:rsidR="00FD6982" w:rsidRPr="005E7233" w14:paraId="7CD775BC" w14:textId="77777777" w:rsidTr="733957FC">
        <w:tc>
          <w:tcPr>
            <w:tcW w:w="940" w:type="pct"/>
            <w:shd w:val="clear" w:color="auto" w:fill="auto"/>
            <w:vAlign w:val="center"/>
          </w:tcPr>
          <w:p w14:paraId="0B45CCED" w14:textId="56370935" w:rsidR="00FD6982" w:rsidRPr="005E7233" w:rsidRDefault="00FD6982" w:rsidP="00B904DC">
            <w:pPr>
              <w:pStyle w:val="TableText0"/>
              <w:keepNext w:val="0"/>
            </w:pPr>
            <w:r w:rsidRPr="005E7233">
              <w:t>IVMP treatment effect on diplopia response versus PBO</w:t>
            </w:r>
          </w:p>
        </w:tc>
        <w:tc>
          <w:tcPr>
            <w:tcW w:w="2044" w:type="pct"/>
            <w:shd w:val="clear" w:color="auto" w:fill="auto"/>
            <w:vAlign w:val="center"/>
          </w:tcPr>
          <w:p w14:paraId="0FD361AA" w14:textId="0E33CE53" w:rsidR="00FD6982" w:rsidRPr="005E7233" w:rsidRDefault="00FD6982" w:rsidP="00B904DC">
            <w:pPr>
              <w:pStyle w:val="TableText0"/>
              <w:keepNext w:val="0"/>
            </w:pPr>
            <w:r w:rsidRPr="005E7233">
              <w:t xml:space="preserve">OR of diplopia response (2.69) based on the MAIC conducted by Douglas et al. (2022) was applied in cycle 1 only (i.e. week </w:t>
            </w:r>
            <w:r w:rsidR="00E27017">
              <w:t>1−</w:t>
            </w:r>
            <w:r w:rsidRPr="005E7233">
              <w:t xml:space="preserve">6). </w:t>
            </w:r>
            <w:r w:rsidR="00C5742B">
              <w:t>This was</w:t>
            </w:r>
            <w:r w:rsidR="00C5742B" w:rsidRPr="005E7233">
              <w:t xml:space="preserve"> not consistent with the data from the MAIC which reported improved response to 12 weeks. </w:t>
            </w:r>
          </w:p>
        </w:tc>
        <w:tc>
          <w:tcPr>
            <w:tcW w:w="2016" w:type="pct"/>
            <w:shd w:val="clear" w:color="auto" w:fill="auto"/>
            <w:vAlign w:val="center"/>
          </w:tcPr>
          <w:p w14:paraId="1569AE8D" w14:textId="77777777" w:rsidR="00FD6982" w:rsidRPr="005E7233" w:rsidRDefault="00FD6982" w:rsidP="00B904DC">
            <w:pPr>
              <w:pStyle w:val="TableText0"/>
              <w:keepNext w:val="0"/>
            </w:pPr>
            <w:r w:rsidRPr="005E7233">
              <w:t>Moderate, favours teprotumumab.</w:t>
            </w:r>
          </w:p>
          <w:p w14:paraId="3B5667C3" w14:textId="76FBFC8E" w:rsidR="00FD6982" w:rsidRPr="005E7233" w:rsidRDefault="00FD6982" w:rsidP="00B904DC">
            <w:pPr>
              <w:pStyle w:val="TableText0"/>
              <w:keepNext w:val="0"/>
            </w:pPr>
            <w:r w:rsidRPr="005E7233">
              <w:t xml:space="preserve">Applying the OR in cycle </w:t>
            </w:r>
            <w:r w:rsidR="008C5771">
              <w:t xml:space="preserve">1 and </w:t>
            </w:r>
            <w:r w:rsidRPr="005E7233">
              <w:t>2</w:t>
            </w:r>
            <w:r w:rsidR="00C96035">
              <w:t xml:space="preserve"> (week </w:t>
            </w:r>
            <w:r w:rsidR="008C5771">
              <w:t>1</w:t>
            </w:r>
            <w:r w:rsidR="00E27017">
              <w:t>−</w:t>
            </w:r>
            <w:r w:rsidR="00C96035">
              <w:t>12)</w:t>
            </w:r>
            <w:r w:rsidRPr="005E7233">
              <w:t xml:space="preserve"> increased the ICER to $</w:t>
            </w:r>
            <w:r w:rsidR="00BD0449" w:rsidRPr="00BD0449">
              <w:rPr>
                <w:color w:val="000000"/>
                <w:spacing w:val="53"/>
                <w:shd w:val="solid" w:color="000000" w:fill="000000"/>
                <w:fitText w:val="330" w:id="-694437372"/>
                <w14:textFill>
                  <w14:solidFill>
                    <w14:srgbClr w14:val="000000">
                      <w14:alpha w14:val="100000"/>
                    </w14:srgbClr>
                  </w14:solidFill>
                </w14:textFill>
              </w:rPr>
              <w:t>|||</w:t>
            </w:r>
            <w:r w:rsidR="00BD0449" w:rsidRPr="00BD0449">
              <w:rPr>
                <w:color w:val="000000"/>
                <w:spacing w:val="1"/>
                <w:shd w:val="solid" w:color="000000" w:fill="000000"/>
                <w:fitText w:val="330" w:id="-694437372"/>
                <w14:textFill>
                  <w14:solidFill>
                    <w14:srgbClr w14:val="000000">
                      <w14:alpha w14:val="100000"/>
                    </w14:srgbClr>
                  </w14:solidFill>
                </w14:textFill>
              </w:rPr>
              <w:t>|</w:t>
            </w:r>
            <w:r w:rsidR="00351EF5">
              <w:t xml:space="preserve"> </w:t>
            </w:r>
            <w:r w:rsidR="00351EF5">
              <w:rPr>
                <w:vertAlign w:val="superscript"/>
              </w:rPr>
              <w:t>4</w:t>
            </w:r>
            <w:r w:rsidRPr="005E7233">
              <w:t>/QALY gained.</w:t>
            </w:r>
          </w:p>
        </w:tc>
      </w:tr>
      <w:tr w:rsidR="009D45B4" w:rsidRPr="005E7233" w14:paraId="756F12AC" w14:textId="77777777" w:rsidTr="733957FC">
        <w:tc>
          <w:tcPr>
            <w:tcW w:w="940" w:type="pct"/>
            <w:shd w:val="clear" w:color="auto" w:fill="auto"/>
            <w:vAlign w:val="center"/>
          </w:tcPr>
          <w:p w14:paraId="70D16992" w14:textId="77777777" w:rsidR="009D45B4" w:rsidRPr="005E7233" w:rsidRDefault="009D45B4" w:rsidP="00B904DC">
            <w:pPr>
              <w:pStyle w:val="TableText0"/>
              <w:keepNext w:val="0"/>
            </w:pPr>
            <w:r w:rsidRPr="005E7233">
              <w:t>TEP compliance</w:t>
            </w:r>
          </w:p>
        </w:tc>
        <w:tc>
          <w:tcPr>
            <w:tcW w:w="2044" w:type="pct"/>
            <w:shd w:val="clear" w:color="auto" w:fill="auto"/>
            <w:vAlign w:val="center"/>
          </w:tcPr>
          <w:p w14:paraId="2CCC057E" w14:textId="1FA92B61" w:rsidR="009D45B4" w:rsidRPr="005E7233" w:rsidRDefault="009D45B4" w:rsidP="00B904DC">
            <w:pPr>
              <w:pStyle w:val="TableText0"/>
              <w:keepNext w:val="0"/>
            </w:pPr>
            <w:r w:rsidRPr="005E7233">
              <w:t xml:space="preserve">91.6% based on the proportion of patients in the pooled data set who completed the teprotumumab treatment course (i.e. 8 doses). </w:t>
            </w:r>
            <w:r w:rsidR="009318E1" w:rsidRPr="009318E1">
              <w:t>This was not appropriate as this same data was used to inform the teprotumumab discontinuation rate and so the model has double-counted the impact of teprotumumab discontinuation.</w:t>
            </w:r>
          </w:p>
        </w:tc>
        <w:tc>
          <w:tcPr>
            <w:tcW w:w="2016" w:type="pct"/>
            <w:shd w:val="clear" w:color="auto" w:fill="auto"/>
            <w:vAlign w:val="center"/>
          </w:tcPr>
          <w:p w14:paraId="29FB8B91" w14:textId="77777777" w:rsidR="009D45B4" w:rsidRPr="005E7233" w:rsidRDefault="009D45B4" w:rsidP="00B904DC">
            <w:pPr>
              <w:pStyle w:val="TableText0"/>
              <w:keepNext w:val="0"/>
            </w:pPr>
            <w:r w:rsidRPr="005E7233">
              <w:t>Moderate, favours teprotumumab.</w:t>
            </w:r>
          </w:p>
          <w:p w14:paraId="3225F685" w14:textId="571C27D9" w:rsidR="009D45B4" w:rsidRPr="005E7233" w:rsidRDefault="009D45B4" w:rsidP="00B904DC">
            <w:pPr>
              <w:pStyle w:val="TableText0"/>
              <w:keepNext w:val="0"/>
            </w:pPr>
            <w:r w:rsidRPr="005E7233">
              <w:t>Increasing compliance to 100% increased the ICER to $</w:t>
            </w:r>
            <w:r w:rsidR="00BD0449" w:rsidRPr="00BD0449">
              <w:rPr>
                <w:color w:val="000000"/>
                <w:spacing w:val="53"/>
                <w:shd w:val="solid" w:color="000000" w:fill="000000"/>
                <w:fitText w:val="330" w:id="-694437371"/>
                <w14:textFill>
                  <w14:solidFill>
                    <w14:srgbClr w14:val="000000">
                      <w14:alpha w14:val="100000"/>
                    </w14:srgbClr>
                  </w14:solidFill>
                </w14:textFill>
              </w:rPr>
              <w:t>|||</w:t>
            </w:r>
            <w:r w:rsidR="00BD0449" w:rsidRPr="00BD0449">
              <w:rPr>
                <w:color w:val="000000"/>
                <w:spacing w:val="1"/>
                <w:shd w:val="solid" w:color="000000" w:fill="000000"/>
                <w:fitText w:val="330" w:id="-694437371"/>
                <w14:textFill>
                  <w14:solidFill>
                    <w14:srgbClr w14:val="000000">
                      <w14:alpha w14:val="100000"/>
                    </w14:srgbClr>
                  </w14:solidFill>
                </w14:textFill>
              </w:rPr>
              <w:t>|</w:t>
            </w:r>
            <w:r w:rsidR="00351EF5">
              <w:t xml:space="preserve"> </w:t>
            </w:r>
            <w:r w:rsidR="00351EF5">
              <w:rPr>
                <w:vertAlign w:val="superscript"/>
              </w:rPr>
              <w:t>4</w:t>
            </w:r>
            <w:r w:rsidRPr="005E7233">
              <w:t>/QALY gained.</w:t>
            </w:r>
          </w:p>
        </w:tc>
      </w:tr>
    </w:tbl>
    <w:p w14:paraId="1285F59B" w14:textId="77777777" w:rsidR="004F6777" w:rsidRPr="005E7233" w:rsidRDefault="004F6777" w:rsidP="00B904DC">
      <w:pPr>
        <w:pStyle w:val="TableFigureFooter"/>
      </w:pPr>
      <w:r w:rsidRPr="005E7233">
        <w:t>Source: Constructed during the evaluation from the ‘Attachment 17 Tepezza Economic model.xlsb’ file included in the submission.</w:t>
      </w:r>
    </w:p>
    <w:p w14:paraId="3A4EA99C" w14:textId="556B8E52" w:rsidR="00565918" w:rsidRDefault="00827DB8" w:rsidP="00C136B3">
      <w:pPr>
        <w:pStyle w:val="TableFigureFooter"/>
        <w:spacing w:after="0"/>
      </w:pPr>
      <w:r w:rsidRPr="005E7233">
        <w:t>CI = confidence interval; ICER = incremental cost-effectiveness ratio; IVMP = intravenous methylprednisolone; MAIC = matching-adjusted indirect comparison; MS = moderate-to-severe; OR = odds ratio; PBO = placebo; QALY = quality-adjusted life year; SPND = small proptosis with no diplopia; TED = thyroid eye disease; TEP = teprotumumab; TTO = time trade-off</w:t>
      </w:r>
      <w:r w:rsidR="00565918" w:rsidRPr="005E7233">
        <w:t>.</w:t>
      </w:r>
    </w:p>
    <w:p w14:paraId="51AC324C" w14:textId="77777777" w:rsidR="00C136B3" w:rsidRPr="009A6D58" w:rsidRDefault="00C136B3" w:rsidP="00C136B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612643A" w14:textId="2C355CC5" w:rsidR="00C136B3" w:rsidRPr="009A6D58" w:rsidRDefault="00C136B3" w:rsidP="00C136B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D161D8" w:rsidRPr="00D161D8">
        <w:rPr>
          <w:rFonts w:ascii="Arial Narrow" w:hAnsi="Arial Narrow"/>
          <w:i/>
          <w:sz w:val="18"/>
          <w:szCs w:val="18"/>
        </w:rPr>
        <w:t>$55,000 to &lt; $75,000</w:t>
      </w:r>
    </w:p>
    <w:p w14:paraId="1A9BDE03" w14:textId="1C4F469C" w:rsidR="00C136B3" w:rsidRPr="009A6D58" w:rsidRDefault="00C136B3" w:rsidP="00C136B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BA473E" w:rsidRPr="00BA473E">
        <w:rPr>
          <w:rFonts w:ascii="Arial Narrow" w:hAnsi="Arial Narrow"/>
          <w:i/>
          <w:sz w:val="18"/>
          <w:szCs w:val="18"/>
        </w:rPr>
        <w:t>$135,000 to &lt; $155,000</w:t>
      </w:r>
    </w:p>
    <w:p w14:paraId="68A0E3DE" w14:textId="3BB6C359" w:rsidR="00C136B3" w:rsidRDefault="00C136B3" w:rsidP="00C136B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37C7C" w:rsidRPr="00137C7C">
        <w:rPr>
          <w:rFonts w:ascii="Arial Narrow" w:hAnsi="Arial Narrow"/>
          <w:i/>
          <w:sz w:val="18"/>
          <w:szCs w:val="18"/>
        </w:rPr>
        <w:t>$95,000 to &lt; $115,000</w:t>
      </w:r>
    </w:p>
    <w:p w14:paraId="132F7819" w14:textId="1B9733C4" w:rsidR="00C136B3" w:rsidRPr="00C136B3" w:rsidRDefault="00C136B3" w:rsidP="00C136B3">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C2266F">
        <w:rPr>
          <w:rFonts w:ascii="Arial Narrow" w:hAnsi="Arial Narrow"/>
          <w:i/>
          <w:sz w:val="18"/>
          <w:szCs w:val="18"/>
        </w:rPr>
        <w:t>$75,000 to &lt; $95,000</w:t>
      </w:r>
    </w:p>
    <w:p w14:paraId="28C48FA2" w14:textId="1F0777B8" w:rsidR="00E327E9" w:rsidRDefault="00E327E9">
      <w:pPr>
        <w:pStyle w:val="3-BodyText"/>
      </w:pPr>
      <w:r w:rsidRPr="005E7233">
        <w:t xml:space="preserve">The </w:t>
      </w:r>
      <w:r w:rsidR="00E95B2B" w:rsidRPr="005E7233">
        <w:t xml:space="preserve">submission presented a stepped economic </w:t>
      </w:r>
      <w:r w:rsidR="00CF6D15" w:rsidRPr="005E7233">
        <w:t>evaluation;</w:t>
      </w:r>
      <w:r w:rsidR="00E95B2B" w:rsidRPr="005E7233">
        <w:t xml:space="preserve"> however</w:t>
      </w:r>
      <w:r w:rsidR="00C743A0" w:rsidRPr="005E7233">
        <w:t>,</w:t>
      </w:r>
      <w:r w:rsidR="00E95B2B" w:rsidRPr="005E7233">
        <w:t xml:space="preserve"> the final step included a number of modelling assumptions</w:t>
      </w:r>
      <w:r w:rsidR="00B8496D" w:rsidRPr="005E7233">
        <w:t xml:space="preserve">: </w:t>
      </w:r>
      <w:r w:rsidR="00E95B2B" w:rsidRPr="005E7233">
        <w:t>extrapolation of symptom severity to the end of the active phase, transformation of symptom severity into rehabilitative surgeries required, transformation of life-years gained across modelled health states into QALYs and extrapolation over a lifetime time horizon. During the evaluation a revised analysis was conducted to incorporate these modelling assumptions in a stepped manner</w:t>
      </w:r>
      <w:r w:rsidR="00B8496D" w:rsidRPr="005E7233">
        <w:t xml:space="preserve"> to allow the results to be presented sequentially before and after these key translational steps (</w:t>
      </w:r>
      <w:r w:rsidRPr="005E7233">
        <w:fldChar w:fldCharType="begin"/>
      </w:r>
      <w:r w:rsidRPr="005E7233">
        <w:instrText xml:space="preserve"> REF _Ref104805160 \h  \* MERGEFORMAT </w:instrText>
      </w:r>
      <w:r w:rsidRPr="005E7233">
        <w:fldChar w:fldCharType="separate"/>
      </w:r>
      <w:r w:rsidR="0012101B" w:rsidRPr="005E7233">
        <w:t xml:space="preserve">Table </w:t>
      </w:r>
      <w:r w:rsidR="0012101B">
        <w:t>18</w:t>
      </w:r>
      <w:r w:rsidRPr="005E7233">
        <w:fldChar w:fldCharType="end"/>
      </w:r>
      <w:r w:rsidR="00B8496D" w:rsidRPr="005E7233">
        <w:t>)</w:t>
      </w:r>
      <w:r w:rsidR="00BA1897" w:rsidRPr="005E7233">
        <w:t xml:space="preserve">. </w:t>
      </w:r>
    </w:p>
    <w:p w14:paraId="296183AA" w14:textId="77E6377E" w:rsidR="00EC17D7" w:rsidRPr="005E7233" w:rsidRDefault="00EC17D7">
      <w:pPr>
        <w:pStyle w:val="3-BodyText"/>
      </w:pPr>
      <w:r w:rsidRPr="005E7233">
        <w:lastRenderedPageBreak/>
        <w:t xml:space="preserve">Given the </w:t>
      </w:r>
      <w:r>
        <w:t xml:space="preserve">uncertainty related to </w:t>
      </w:r>
      <w:r w:rsidRPr="005E7233">
        <w:t>the</w:t>
      </w:r>
      <w:r w:rsidR="00782267">
        <w:t xml:space="preserve"> </w:t>
      </w:r>
      <w:r w:rsidRPr="005E7233">
        <w:t xml:space="preserve">magnitude </w:t>
      </w:r>
      <w:r w:rsidR="00782267">
        <w:t>and</w:t>
      </w:r>
      <w:r w:rsidR="00FF24C5">
        <w:t xml:space="preserve"> </w:t>
      </w:r>
      <w:r w:rsidR="008425EE">
        <w:t>lasting effect of</w:t>
      </w:r>
      <w:r w:rsidR="00450923">
        <w:t xml:space="preserve"> </w:t>
      </w:r>
      <w:r w:rsidRPr="005E7233">
        <w:t xml:space="preserve">symptom </w:t>
      </w:r>
      <w:r w:rsidR="000A4AEC">
        <w:t>improvement with</w:t>
      </w:r>
      <w:r w:rsidRPr="005E7233">
        <w:t xml:space="preserve"> </w:t>
      </w:r>
      <w:r w:rsidR="001D4F31">
        <w:t xml:space="preserve">teprotumumab </w:t>
      </w:r>
      <w:r w:rsidR="000A4AEC">
        <w:t>compared to</w:t>
      </w:r>
      <w:r w:rsidR="001D4F31">
        <w:t xml:space="preserve"> IVMP </w:t>
      </w:r>
      <w:r w:rsidRPr="005E7233">
        <w:t>and</w:t>
      </w:r>
      <w:r w:rsidR="001D4F31">
        <w:t xml:space="preserve"> the</w:t>
      </w:r>
      <w:r w:rsidRPr="005E7233">
        <w:t xml:space="preserve"> reliability of the model to </w:t>
      </w:r>
      <w:r w:rsidR="00022983">
        <w:t xml:space="preserve">translate </w:t>
      </w:r>
      <w:r w:rsidR="004D1EB4">
        <w:t xml:space="preserve">the available </w:t>
      </w:r>
      <w:r w:rsidR="00022983">
        <w:t xml:space="preserve">clinical </w:t>
      </w:r>
      <w:r w:rsidR="004D1EB4">
        <w:t xml:space="preserve">evidence </w:t>
      </w:r>
      <w:r w:rsidRPr="005E7233">
        <w:t>into</w:t>
      </w:r>
      <w:r w:rsidR="007E0302">
        <w:t xml:space="preserve"> long-term health and quality of life projections</w:t>
      </w:r>
      <w:r w:rsidRPr="005E7233">
        <w:t xml:space="preserve">, alternate </w:t>
      </w:r>
      <w:r w:rsidR="008D734B">
        <w:t>analyses</w:t>
      </w:r>
      <w:r w:rsidRPr="005E7233">
        <w:t xml:space="preserve"> may provide a more reliable basis for decision-making, noting that the PBAC previously accepted an ICER per disfigurement-free responder (para 7.10, vismodegib PSD, March 2016 PBAC Meeting). Alternate </w:t>
      </w:r>
      <w:r w:rsidR="008D734B">
        <w:t>cost per responder analyses</w:t>
      </w:r>
      <w:r w:rsidRPr="005E7233">
        <w:t xml:space="preserve"> </w:t>
      </w:r>
      <w:r w:rsidR="00130EC8">
        <w:t>are</w:t>
      </w:r>
      <w:r w:rsidR="000E512F">
        <w:t xml:space="preserve"> </w:t>
      </w:r>
      <w:r w:rsidRPr="005E7233">
        <w:t xml:space="preserve">presented in the stepped generation of results </w:t>
      </w:r>
      <w:r w:rsidR="008D734B">
        <w:t>below.</w:t>
      </w:r>
    </w:p>
    <w:p w14:paraId="17C7095A" w14:textId="45E81374" w:rsidR="00E327E9" w:rsidRPr="005E7233" w:rsidRDefault="00E327E9" w:rsidP="00E327E9">
      <w:pPr>
        <w:pStyle w:val="TableFigureHeading"/>
        <w:rPr>
          <w:rStyle w:val="CommentReference"/>
          <w:b/>
          <w:szCs w:val="24"/>
        </w:rPr>
      </w:pPr>
      <w:bookmarkStart w:id="99" w:name="_Ref104805160"/>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18</w:t>
      </w:r>
      <w:r w:rsidR="00FB1BE3">
        <w:rPr>
          <w:noProof/>
        </w:rPr>
        <w:fldChar w:fldCharType="end"/>
      </w:r>
      <w:bookmarkEnd w:id="99"/>
      <w:r w:rsidRPr="005E7233">
        <w:t>:</w:t>
      </w:r>
      <w:r w:rsidRPr="005E7233">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94"/>
        <w:gridCol w:w="1674"/>
        <w:gridCol w:w="1674"/>
        <w:gridCol w:w="1675"/>
      </w:tblGrid>
      <w:tr w:rsidR="00267912" w:rsidRPr="005E7233" w14:paraId="52BE2F15" w14:textId="77777777" w:rsidTr="733957FC">
        <w:trPr>
          <w:tblHeader/>
        </w:trPr>
        <w:tc>
          <w:tcPr>
            <w:tcW w:w="2215" w:type="pct"/>
            <w:vAlign w:val="center"/>
          </w:tcPr>
          <w:p w14:paraId="53CCD127" w14:textId="77777777" w:rsidR="00267912" w:rsidRPr="005E7233" w:rsidRDefault="00267912" w:rsidP="00C90C1E">
            <w:pPr>
              <w:pStyle w:val="In-tableHeading"/>
              <w:rPr>
                <w:lang w:val="en-AU"/>
              </w:rPr>
            </w:pPr>
            <w:r w:rsidRPr="005E7233">
              <w:rPr>
                <w:lang w:val="en-AU"/>
              </w:rPr>
              <w:t>Step and component</w:t>
            </w:r>
          </w:p>
        </w:tc>
        <w:tc>
          <w:tcPr>
            <w:tcW w:w="928" w:type="pct"/>
            <w:vAlign w:val="center"/>
          </w:tcPr>
          <w:p w14:paraId="7380B3E9" w14:textId="71A2E3CA" w:rsidR="00267912" w:rsidRPr="005E7233" w:rsidRDefault="00DA6C2C" w:rsidP="00C90C1E">
            <w:pPr>
              <w:pStyle w:val="In-tableHeading"/>
              <w:jc w:val="center"/>
              <w:rPr>
                <w:lang w:val="en-AU"/>
              </w:rPr>
            </w:pPr>
            <w:r w:rsidRPr="005E7233">
              <w:rPr>
                <w:lang w:val="en-AU"/>
              </w:rPr>
              <w:t>TEP</w:t>
            </w:r>
          </w:p>
        </w:tc>
        <w:tc>
          <w:tcPr>
            <w:tcW w:w="928" w:type="pct"/>
            <w:vAlign w:val="center"/>
          </w:tcPr>
          <w:p w14:paraId="2B82DD51" w14:textId="77777777" w:rsidR="00267912" w:rsidRPr="005E7233" w:rsidRDefault="00267912" w:rsidP="00C90C1E">
            <w:pPr>
              <w:pStyle w:val="In-tableHeading"/>
              <w:jc w:val="center"/>
              <w:rPr>
                <w:lang w:val="en-AU"/>
              </w:rPr>
            </w:pPr>
            <w:r w:rsidRPr="005E7233">
              <w:rPr>
                <w:lang w:val="en-AU"/>
              </w:rPr>
              <w:t>IVMP</w:t>
            </w:r>
          </w:p>
        </w:tc>
        <w:tc>
          <w:tcPr>
            <w:tcW w:w="929" w:type="pct"/>
            <w:vAlign w:val="center"/>
          </w:tcPr>
          <w:p w14:paraId="56714703" w14:textId="77777777" w:rsidR="00267912" w:rsidRPr="005E7233" w:rsidRDefault="00267912" w:rsidP="00C90C1E">
            <w:pPr>
              <w:pStyle w:val="In-tableHeading"/>
              <w:jc w:val="center"/>
              <w:rPr>
                <w:lang w:val="en-AU"/>
              </w:rPr>
            </w:pPr>
            <w:r w:rsidRPr="005E7233">
              <w:rPr>
                <w:lang w:val="en-AU"/>
              </w:rPr>
              <w:t>Increment</w:t>
            </w:r>
          </w:p>
        </w:tc>
      </w:tr>
      <w:tr w:rsidR="00267912" w:rsidRPr="005E7233" w14:paraId="52DC71E7" w14:textId="77777777" w:rsidTr="733957FC">
        <w:tc>
          <w:tcPr>
            <w:tcW w:w="5000" w:type="pct"/>
            <w:gridSpan w:val="4"/>
            <w:vAlign w:val="center"/>
          </w:tcPr>
          <w:p w14:paraId="65210F2B" w14:textId="77777777" w:rsidR="00267912" w:rsidRPr="005E7233" w:rsidRDefault="00267912" w:rsidP="00C90C1E">
            <w:pPr>
              <w:pStyle w:val="TableText0"/>
              <w:rPr>
                <w:b/>
                <w:bCs w:val="0"/>
              </w:rPr>
            </w:pPr>
            <w:r w:rsidRPr="005E7233">
              <w:rPr>
                <w:b/>
                <w:bCs w:val="0"/>
              </w:rPr>
              <w:t>Step 1: Trial-based costs and outcomes (24 weeks)</w:t>
            </w:r>
          </w:p>
          <w:p w14:paraId="404FDCF5" w14:textId="18B0CBFF" w:rsidR="00267912" w:rsidRPr="005E7233" w:rsidRDefault="00267912" w:rsidP="00C90C1E">
            <w:pPr>
              <w:pStyle w:val="TableText0"/>
            </w:pPr>
            <w:r w:rsidRPr="005E7233">
              <w:t xml:space="preserve">Treatment costs (including administration) assumed all patients completed the respective treatment course, with no adjustment for compliance. Use of </w:t>
            </w:r>
            <w:r w:rsidR="00DA6C2C" w:rsidRPr="005E7233">
              <w:t>TEP</w:t>
            </w:r>
            <w:r w:rsidRPr="005E7233">
              <w:t xml:space="preserve"> was based on IPD of patient weight in the pooled TED01RV and OPTIC trials. Transitions of improvement and relapse were informed by the pooled data, with a treatment effect for IVMP, relative to placebo, derived from the MAIC conducted by Douglas et al. (2022). Average health state membership across the 24-week period was used to determine the proportion of patients in the SPND or SPID health state.</w:t>
            </w:r>
          </w:p>
        </w:tc>
      </w:tr>
      <w:tr w:rsidR="00267912" w:rsidRPr="005E7233" w14:paraId="55EE6A86" w14:textId="77777777" w:rsidTr="733957FC">
        <w:tc>
          <w:tcPr>
            <w:tcW w:w="2215" w:type="pct"/>
            <w:vAlign w:val="center"/>
          </w:tcPr>
          <w:p w14:paraId="6E0A8F05" w14:textId="77777777" w:rsidR="00267912" w:rsidRPr="005E7233" w:rsidRDefault="00267912" w:rsidP="00C90C1E">
            <w:pPr>
              <w:pStyle w:val="TableText0"/>
              <w:rPr>
                <w:rFonts w:ascii="Times" w:hAnsi="Times"/>
              </w:rPr>
            </w:pPr>
            <w:r w:rsidRPr="005E7233">
              <w:t>Costs</w:t>
            </w:r>
          </w:p>
        </w:tc>
        <w:tc>
          <w:tcPr>
            <w:tcW w:w="928" w:type="pct"/>
            <w:vAlign w:val="center"/>
          </w:tcPr>
          <w:p w14:paraId="261DA66F" w14:textId="3DAC34CF"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0"/>
                <w14:textFill>
                  <w14:solidFill>
                    <w14:srgbClr w14:val="000000">
                      <w14:alpha w14:val="100000"/>
                    </w14:srgbClr>
                  </w14:solidFill>
                </w14:textFill>
              </w:rPr>
              <w:t>|||</w:t>
            </w:r>
            <w:r w:rsidR="00BD0449" w:rsidRPr="00BD0449">
              <w:rPr>
                <w:color w:val="000000"/>
                <w:spacing w:val="1"/>
                <w:shd w:val="solid" w:color="000000" w:fill="000000"/>
                <w:fitText w:val="330" w:id="-694437370"/>
                <w14:textFill>
                  <w14:solidFill>
                    <w14:srgbClr w14:val="000000">
                      <w14:alpha w14:val="100000"/>
                    </w14:srgbClr>
                  </w14:solidFill>
                </w14:textFill>
              </w:rPr>
              <w:t>|</w:t>
            </w:r>
          </w:p>
        </w:tc>
        <w:tc>
          <w:tcPr>
            <w:tcW w:w="928" w:type="pct"/>
            <w:vAlign w:val="center"/>
          </w:tcPr>
          <w:p w14:paraId="5A86AE4A" w14:textId="77777777" w:rsidR="00267912" w:rsidRPr="005E7233" w:rsidRDefault="00267912" w:rsidP="00C90C1E">
            <w:pPr>
              <w:pStyle w:val="TableText0"/>
              <w:jc w:val="right"/>
              <w:rPr>
                <w:rFonts w:ascii="Times" w:hAnsi="Times"/>
              </w:rPr>
            </w:pPr>
            <w:r w:rsidRPr="005E7233">
              <w:t>$5,699</w:t>
            </w:r>
          </w:p>
        </w:tc>
        <w:tc>
          <w:tcPr>
            <w:tcW w:w="929" w:type="pct"/>
            <w:vAlign w:val="center"/>
          </w:tcPr>
          <w:p w14:paraId="7BD92F09" w14:textId="7B2AF720"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9"/>
                <w14:textFill>
                  <w14:solidFill>
                    <w14:srgbClr w14:val="000000">
                      <w14:alpha w14:val="100000"/>
                    </w14:srgbClr>
                  </w14:solidFill>
                </w14:textFill>
              </w:rPr>
              <w:t>|||</w:t>
            </w:r>
            <w:r w:rsidR="00BD0449" w:rsidRPr="00BD0449">
              <w:rPr>
                <w:color w:val="000000"/>
                <w:spacing w:val="1"/>
                <w:shd w:val="solid" w:color="000000" w:fill="000000"/>
                <w:fitText w:val="330" w:id="-694437369"/>
                <w14:textFill>
                  <w14:solidFill>
                    <w14:srgbClr w14:val="000000">
                      <w14:alpha w14:val="100000"/>
                    </w14:srgbClr>
                  </w14:solidFill>
                </w14:textFill>
              </w:rPr>
              <w:t>|</w:t>
            </w:r>
          </w:p>
        </w:tc>
      </w:tr>
      <w:tr w:rsidR="00267912" w:rsidRPr="005E7233" w14:paraId="223E28C6" w14:textId="77777777" w:rsidTr="733957FC">
        <w:tc>
          <w:tcPr>
            <w:tcW w:w="2215" w:type="pct"/>
            <w:vAlign w:val="center"/>
          </w:tcPr>
          <w:p w14:paraId="36797311" w14:textId="77777777" w:rsidR="00267912" w:rsidRPr="005E7233" w:rsidRDefault="00267912" w:rsidP="00C90C1E">
            <w:pPr>
              <w:pStyle w:val="TableText0"/>
            </w:pPr>
            <w:r w:rsidRPr="005E7233">
              <w:t>Patients in the SPND or SPID health state</w:t>
            </w:r>
          </w:p>
        </w:tc>
        <w:tc>
          <w:tcPr>
            <w:tcW w:w="928" w:type="pct"/>
            <w:vAlign w:val="center"/>
          </w:tcPr>
          <w:p w14:paraId="6C402B97" w14:textId="77777777" w:rsidR="00267912" w:rsidRPr="005E7233" w:rsidRDefault="00267912" w:rsidP="00C90C1E">
            <w:pPr>
              <w:pStyle w:val="TableText0"/>
              <w:jc w:val="right"/>
            </w:pPr>
            <w:r w:rsidRPr="005E7233">
              <w:t>67.4%</w:t>
            </w:r>
          </w:p>
        </w:tc>
        <w:tc>
          <w:tcPr>
            <w:tcW w:w="928" w:type="pct"/>
            <w:vAlign w:val="center"/>
          </w:tcPr>
          <w:p w14:paraId="74D52694" w14:textId="77777777" w:rsidR="00267912" w:rsidRPr="005E7233" w:rsidRDefault="00267912" w:rsidP="00C90C1E">
            <w:pPr>
              <w:pStyle w:val="TableText0"/>
              <w:jc w:val="right"/>
            </w:pPr>
            <w:r w:rsidRPr="005E7233">
              <w:t>37.4%</w:t>
            </w:r>
          </w:p>
        </w:tc>
        <w:tc>
          <w:tcPr>
            <w:tcW w:w="929" w:type="pct"/>
            <w:vAlign w:val="center"/>
          </w:tcPr>
          <w:p w14:paraId="3035FD2B" w14:textId="77777777" w:rsidR="00267912" w:rsidRPr="005E7233" w:rsidRDefault="00267912" w:rsidP="00C90C1E">
            <w:pPr>
              <w:pStyle w:val="TableText0"/>
              <w:jc w:val="right"/>
            </w:pPr>
            <w:r w:rsidRPr="005E7233">
              <w:t>30.0%</w:t>
            </w:r>
          </w:p>
        </w:tc>
      </w:tr>
      <w:tr w:rsidR="00267912" w:rsidRPr="005E7233" w14:paraId="5D219246" w14:textId="77777777" w:rsidTr="733957FC">
        <w:tc>
          <w:tcPr>
            <w:tcW w:w="4071" w:type="pct"/>
            <w:gridSpan w:val="3"/>
            <w:vAlign w:val="center"/>
          </w:tcPr>
          <w:p w14:paraId="45AEF8B7" w14:textId="77777777" w:rsidR="00267912" w:rsidRPr="005E7233" w:rsidRDefault="00267912" w:rsidP="733957FC">
            <w:pPr>
              <w:pStyle w:val="TableText0"/>
              <w:rPr>
                <w:rFonts w:ascii="Times" w:hAnsi="Times"/>
              </w:rPr>
            </w:pPr>
            <w:r w:rsidRPr="005E7233">
              <w:t>Incremental cost per additional patient in SPND or SPID health state</w:t>
            </w:r>
          </w:p>
        </w:tc>
        <w:tc>
          <w:tcPr>
            <w:tcW w:w="929" w:type="pct"/>
            <w:vAlign w:val="center"/>
          </w:tcPr>
          <w:p w14:paraId="64885494" w14:textId="464CAE8D" w:rsidR="00267912" w:rsidRPr="00407360"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68"/>
                <w14:textFill>
                  <w14:solidFill>
                    <w14:srgbClr w14:val="000000">
                      <w14:alpha w14:val="100000"/>
                    </w14:srgbClr>
                  </w14:solidFill>
                </w14:textFill>
              </w:rPr>
              <w:t>|||</w:t>
            </w:r>
            <w:r w:rsidR="00BD0449" w:rsidRPr="00BD0449">
              <w:rPr>
                <w:color w:val="000000"/>
                <w:spacing w:val="3"/>
                <w:shd w:val="solid" w:color="000000" w:fill="000000"/>
                <w:fitText w:val="320" w:id="-694437368"/>
                <w14:textFill>
                  <w14:solidFill>
                    <w14:srgbClr w14:val="000000">
                      <w14:alpha w14:val="100000"/>
                    </w14:srgbClr>
                  </w14:solidFill>
                </w14:textFill>
              </w:rPr>
              <w:t>|</w:t>
            </w:r>
            <w:r w:rsidR="00407360">
              <w:t xml:space="preserve"> </w:t>
            </w:r>
            <w:r w:rsidR="00407360">
              <w:rPr>
                <w:vertAlign w:val="superscript"/>
              </w:rPr>
              <w:t>1</w:t>
            </w:r>
          </w:p>
        </w:tc>
      </w:tr>
      <w:tr w:rsidR="00267912" w:rsidRPr="005E7233" w14:paraId="572EEFD3" w14:textId="77777777" w:rsidTr="733957FC">
        <w:tc>
          <w:tcPr>
            <w:tcW w:w="5000" w:type="pct"/>
            <w:gridSpan w:val="4"/>
            <w:vAlign w:val="center"/>
          </w:tcPr>
          <w:p w14:paraId="6BF55F78" w14:textId="77777777" w:rsidR="00267912" w:rsidRPr="005E7233" w:rsidRDefault="00267912" w:rsidP="00C90C1E">
            <w:pPr>
              <w:pStyle w:val="TableText0"/>
              <w:rPr>
                <w:b/>
                <w:bCs w:val="0"/>
              </w:rPr>
            </w:pPr>
            <w:r w:rsidRPr="005E7233">
              <w:rPr>
                <w:b/>
                <w:bCs w:val="0"/>
              </w:rPr>
              <w:t>Step 2: Time horizon extended to 72 weeks</w:t>
            </w:r>
          </w:p>
          <w:p w14:paraId="3F5C68D8" w14:textId="68C0127A" w:rsidR="00267912" w:rsidRPr="005E7233" w:rsidRDefault="00267912" w:rsidP="733957FC">
            <w:pPr>
              <w:pStyle w:val="TableText0"/>
              <w:rPr>
                <w:b/>
              </w:rPr>
            </w:pPr>
            <w:r w:rsidRPr="005E7233">
              <w:t>Costs unchanged from Step 1. Between week 24–72, transitions of relapse were informed by follow-up data up to 72 weeks (OPTIC, Salvi et al. 2015). Average health state membership across the 72-week period was used to determine the proportion of patients in the SPND and SPID health states.</w:t>
            </w:r>
          </w:p>
        </w:tc>
      </w:tr>
      <w:tr w:rsidR="00267912" w:rsidRPr="005E7233" w14:paraId="24E9C2BA" w14:textId="77777777" w:rsidTr="733957FC">
        <w:tc>
          <w:tcPr>
            <w:tcW w:w="2215" w:type="pct"/>
            <w:vAlign w:val="center"/>
          </w:tcPr>
          <w:p w14:paraId="3EB344D3" w14:textId="77777777" w:rsidR="00267912" w:rsidRPr="005E7233" w:rsidRDefault="00267912" w:rsidP="00C90C1E">
            <w:pPr>
              <w:pStyle w:val="TableText0"/>
              <w:rPr>
                <w:rFonts w:ascii="Times" w:hAnsi="Times"/>
              </w:rPr>
            </w:pPr>
            <w:r w:rsidRPr="005E7233">
              <w:t>Costs</w:t>
            </w:r>
          </w:p>
        </w:tc>
        <w:tc>
          <w:tcPr>
            <w:tcW w:w="928" w:type="pct"/>
            <w:vAlign w:val="center"/>
          </w:tcPr>
          <w:p w14:paraId="7E641DF4" w14:textId="1585180B"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7"/>
                <w14:textFill>
                  <w14:solidFill>
                    <w14:srgbClr w14:val="000000">
                      <w14:alpha w14:val="100000"/>
                    </w14:srgbClr>
                  </w14:solidFill>
                </w14:textFill>
              </w:rPr>
              <w:t>|||</w:t>
            </w:r>
            <w:r w:rsidR="00BD0449" w:rsidRPr="00BD0449">
              <w:rPr>
                <w:color w:val="000000"/>
                <w:spacing w:val="1"/>
                <w:shd w:val="solid" w:color="000000" w:fill="000000"/>
                <w:fitText w:val="330" w:id="-694437367"/>
                <w14:textFill>
                  <w14:solidFill>
                    <w14:srgbClr w14:val="000000">
                      <w14:alpha w14:val="100000"/>
                    </w14:srgbClr>
                  </w14:solidFill>
                </w14:textFill>
              </w:rPr>
              <w:t>|</w:t>
            </w:r>
          </w:p>
        </w:tc>
        <w:tc>
          <w:tcPr>
            <w:tcW w:w="928" w:type="pct"/>
            <w:vAlign w:val="center"/>
          </w:tcPr>
          <w:p w14:paraId="61DE0888" w14:textId="77777777" w:rsidR="00267912" w:rsidRPr="005E7233" w:rsidRDefault="00267912" w:rsidP="00C90C1E">
            <w:pPr>
              <w:pStyle w:val="TableText0"/>
              <w:jc w:val="right"/>
              <w:rPr>
                <w:rFonts w:ascii="Times" w:hAnsi="Times"/>
              </w:rPr>
            </w:pPr>
            <w:r w:rsidRPr="005E7233">
              <w:t>$5,699</w:t>
            </w:r>
          </w:p>
        </w:tc>
        <w:tc>
          <w:tcPr>
            <w:tcW w:w="929" w:type="pct"/>
            <w:vAlign w:val="center"/>
          </w:tcPr>
          <w:p w14:paraId="1DFA4304" w14:textId="50DBE3B1"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6"/>
                <w14:textFill>
                  <w14:solidFill>
                    <w14:srgbClr w14:val="000000">
                      <w14:alpha w14:val="100000"/>
                    </w14:srgbClr>
                  </w14:solidFill>
                </w14:textFill>
              </w:rPr>
              <w:t>|||</w:t>
            </w:r>
            <w:r w:rsidR="00BD0449" w:rsidRPr="00BD0449">
              <w:rPr>
                <w:color w:val="000000"/>
                <w:spacing w:val="1"/>
                <w:shd w:val="solid" w:color="000000" w:fill="000000"/>
                <w:fitText w:val="330" w:id="-694437366"/>
                <w14:textFill>
                  <w14:solidFill>
                    <w14:srgbClr w14:val="000000">
                      <w14:alpha w14:val="100000"/>
                    </w14:srgbClr>
                  </w14:solidFill>
                </w14:textFill>
              </w:rPr>
              <w:t>|</w:t>
            </w:r>
          </w:p>
        </w:tc>
      </w:tr>
      <w:tr w:rsidR="00267912" w:rsidRPr="005E7233" w14:paraId="33FCEAE4" w14:textId="77777777" w:rsidTr="733957FC">
        <w:tc>
          <w:tcPr>
            <w:tcW w:w="2215" w:type="pct"/>
            <w:vAlign w:val="center"/>
          </w:tcPr>
          <w:p w14:paraId="36E01DFB" w14:textId="77777777" w:rsidR="00267912" w:rsidRPr="005E7233" w:rsidRDefault="00267912" w:rsidP="00C90C1E">
            <w:pPr>
              <w:pStyle w:val="TableText0"/>
            </w:pPr>
            <w:r w:rsidRPr="005E7233">
              <w:t>Patients in the SPND or SPID health state</w:t>
            </w:r>
          </w:p>
        </w:tc>
        <w:tc>
          <w:tcPr>
            <w:tcW w:w="928" w:type="pct"/>
            <w:vAlign w:val="center"/>
          </w:tcPr>
          <w:p w14:paraId="4EEAF9CE" w14:textId="77777777" w:rsidR="00267912" w:rsidRPr="005E7233" w:rsidRDefault="00267912" w:rsidP="00C90C1E">
            <w:pPr>
              <w:pStyle w:val="TableText0"/>
              <w:jc w:val="right"/>
            </w:pPr>
            <w:r w:rsidRPr="005E7233">
              <w:t>64.6%</w:t>
            </w:r>
          </w:p>
        </w:tc>
        <w:tc>
          <w:tcPr>
            <w:tcW w:w="928" w:type="pct"/>
            <w:vAlign w:val="center"/>
          </w:tcPr>
          <w:p w14:paraId="277E2296" w14:textId="77777777" w:rsidR="00267912" w:rsidRPr="005E7233" w:rsidRDefault="00267912" w:rsidP="00C90C1E">
            <w:pPr>
              <w:pStyle w:val="TableText0"/>
              <w:jc w:val="right"/>
            </w:pPr>
            <w:r w:rsidRPr="005E7233">
              <w:t>30.5%</w:t>
            </w:r>
          </w:p>
        </w:tc>
        <w:tc>
          <w:tcPr>
            <w:tcW w:w="929" w:type="pct"/>
            <w:vAlign w:val="center"/>
          </w:tcPr>
          <w:p w14:paraId="2D01AAA9" w14:textId="77777777" w:rsidR="00267912" w:rsidRPr="005E7233" w:rsidRDefault="00267912" w:rsidP="00C90C1E">
            <w:pPr>
              <w:pStyle w:val="TableText0"/>
              <w:jc w:val="right"/>
            </w:pPr>
            <w:r w:rsidRPr="005E7233">
              <w:t>34.2%</w:t>
            </w:r>
          </w:p>
        </w:tc>
      </w:tr>
      <w:tr w:rsidR="00267912" w:rsidRPr="005E7233" w14:paraId="342E9C03" w14:textId="77777777" w:rsidTr="733957FC">
        <w:tc>
          <w:tcPr>
            <w:tcW w:w="4071" w:type="pct"/>
            <w:gridSpan w:val="3"/>
            <w:vAlign w:val="center"/>
          </w:tcPr>
          <w:p w14:paraId="08CBE9F9" w14:textId="77777777" w:rsidR="00267912" w:rsidRPr="005E7233" w:rsidRDefault="00267912" w:rsidP="733957FC">
            <w:pPr>
              <w:pStyle w:val="TableText0"/>
              <w:rPr>
                <w:rFonts w:ascii="Times" w:hAnsi="Times"/>
              </w:rPr>
            </w:pPr>
            <w:r w:rsidRPr="005E7233">
              <w:t>Incremental cost per additional patient in SPND or SPID health state</w:t>
            </w:r>
          </w:p>
        </w:tc>
        <w:tc>
          <w:tcPr>
            <w:tcW w:w="929" w:type="pct"/>
            <w:vAlign w:val="center"/>
          </w:tcPr>
          <w:p w14:paraId="11DBB154" w14:textId="17B8EC24" w:rsidR="00267912" w:rsidRPr="00407360"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65"/>
                <w14:textFill>
                  <w14:solidFill>
                    <w14:srgbClr w14:val="000000">
                      <w14:alpha w14:val="100000"/>
                    </w14:srgbClr>
                  </w14:solidFill>
                </w14:textFill>
              </w:rPr>
              <w:t>|||</w:t>
            </w:r>
            <w:r w:rsidR="00BD0449" w:rsidRPr="00BD0449">
              <w:rPr>
                <w:color w:val="000000"/>
                <w:spacing w:val="3"/>
                <w:shd w:val="solid" w:color="000000" w:fill="000000"/>
                <w:fitText w:val="320" w:id="-694437365"/>
                <w14:textFill>
                  <w14:solidFill>
                    <w14:srgbClr w14:val="000000">
                      <w14:alpha w14:val="100000"/>
                    </w14:srgbClr>
                  </w14:solidFill>
                </w14:textFill>
              </w:rPr>
              <w:t>|</w:t>
            </w:r>
            <w:r w:rsidR="00407360">
              <w:t xml:space="preserve"> </w:t>
            </w:r>
            <w:r w:rsidR="00407360">
              <w:rPr>
                <w:vertAlign w:val="superscript"/>
              </w:rPr>
              <w:t>1</w:t>
            </w:r>
          </w:p>
        </w:tc>
      </w:tr>
      <w:tr w:rsidR="00267912" w:rsidRPr="005E7233" w14:paraId="795F9C25" w14:textId="77777777" w:rsidTr="733957FC">
        <w:tc>
          <w:tcPr>
            <w:tcW w:w="5000" w:type="pct"/>
            <w:gridSpan w:val="4"/>
            <w:vAlign w:val="center"/>
          </w:tcPr>
          <w:p w14:paraId="7B23F747" w14:textId="77777777" w:rsidR="00267912" w:rsidRPr="005E7233" w:rsidRDefault="00267912" w:rsidP="733957FC">
            <w:pPr>
              <w:pStyle w:val="TableText0"/>
              <w:rPr>
                <w:b/>
              </w:rPr>
            </w:pPr>
            <w:r w:rsidRPr="005E7233">
              <w:rPr>
                <w:b/>
              </w:rPr>
              <w:t>Step 3: Inclusion of subsequent treatment cost</w:t>
            </w:r>
          </w:p>
          <w:p w14:paraId="2DD256FB" w14:textId="6C2598DE" w:rsidR="00267912" w:rsidRPr="005E7233" w:rsidRDefault="00821625" w:rsidP="00C90C1E">
            <w:pPr>
              <w:pStyle w:val="TableText0"/>
            </w:pPr>
            <w:r w:rsidRPr="005E7233">
              <w:t>Subsequent treatment cost of $3,349.50</w:t>
            </w:r>
            <w:r w:rsidR="000C4F8D">
              <w:rPr>
                <w:vertAlign w:val="superscript"/>
              </w:rPr>
              <w:t>a</w:t>
            </w:r>
            <w:r w:rsidRPr="005E7233">
              <w:t xml:space="preserve"> applied to patients who had discontinued treatment, or those in the LPND, LPID, SPCD and LPCD health states at the end of treatment. The proportions of patients treated were derived from average health state membership across the 1L treatment phase (24 weeks) in those who discontinued, or who were in the applicable health states. Subsequent treatment was not assumed to have any impact on symptoms in this step.</w:t>
            </w:r>
          </w:p>
        </w:tc>
      </w:tr>
      <w:tr w:rsidR="00267912" w:rsidRPr="005E7233" w14:paraId="35FA8EC5" w14:textId="77777777" w:rsidTr="733957FC">
        <w:tc>
          <w:tcPr>
            <w:tcW w:w="2215" w:type="pct"/>
            <w:vAlign w:val="center"/>
          </w:tcPr>
          <w:p w14:paraId="63F623C9" w14:textId="77777777" w:rsidR="00267912" w:rsidRPr="005E7233" w:rsidRDefault="00267912" w:rsidP="00C90C1E">
            <w:pPr>
              <w:pStyle w:val="TableText0"/>
              <w:rPr>
                <w:rFonts w:ascii="Times" w:hAnsi="Times"/>
              </w:rPr>
            </w:pPr>
            <w:r w:rsidRPr="005E7233">
              <w:t>Costs</w:t>
            </w:r>
          </w:p>
        </w:tc>
        <w:tc>
          <w:tcPr>
            <w:tcW w:w="928" w:type="pct"/>
          </w:tcPr>
          <w:p w14:paraId="74C7C908" w14:textId="41B10A65"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4"/>
                <w14:textFill>
                  <w14:solidFill>
                    <w14:srgbClr w14:val="000000">
                      <w14:alpha w14:val="100000"/>
                    </w14:srgbClr>
                  </w14:solidFill>
                </w14:textFill>
              </w:rPr>
              <w:t>|||</w:t>
            </w:r>
            <w:r w:rsidR="00BD0449" w:rsidRPr="00BD0449">
              <w:rPr>
                <w:color w:val="000000"/>
                <w:spacing w:val="1"/>
                <w:shd w:val="solid" w:color="000000" w:fill="000000"/>
                <w:fitText w:val="330" w:id="-694437364"/>
                <w14:textFill>
                  <w14:solidFill>
                    <w14:srgbClr w14:val="000000">
                      <w14:alpha w14:val="100000"/>
                    </w14:srgbClr>
                  </w14:solidFill>
                </w14:textFill>
              </w:rPr>
              <w:t>|</w:t>
            </w:r>
          </w:p>
        </w:tc>
        <w:tc>
          <w:tcPr>
            <w:tcW w:w="928" w:type="pct"/>
          </w:tcPr>
          <w:p w14:paraId="2F783124" w14:textId="77777777" w:rsidR="00267912" w:rsidRPr="005E7233" w:rsidRDefault="00267912" w:rsidP="00C90C1E">
            <w:pPr>
              <w:pStyle w:val="TableText0"/>
              <w:jc w:val="right"/>
              <w:rPr>
                <w:rFonts w:ascii="Times" w:hAnsi="Times"/>
              </w:rPr>
            </w:pPr>
            <w:r w:rsidRPr="005E7233">
              <w:t>$7,826</w:t>
            </w:r>
          </w:p>
        </w:tc>
        <w:tc>
          <w:tcPr>
            <w:tcW w:w="929" w:type="pct"/>
          </w:tcPr>
          <w:p w14:paraId="31020806" w14:textId="5FBC5E8C"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3"/>
                <w14:textFill>
                  <w14:solidFill>
                    <w14:srgbClr w14:val="000000">
                      <w14:alpha w14:val="100000"/>
                    </w14:srgbClr>
                  </w14:solidFill>
                </w14:textFill>
              </w:rPr>
              <w:t>|||</w:t>
            </w:r>
            <w:r w:rsidR="00BD0449" w:rsidRPr="00BD0449">
              <w:rPr>
                <w:color w:val="000000"/>
                <w:spacing w:val="1"/>
                <w:shd w:val="solid" w:color="000000" w:fill="000000"/>
                <w:fitText w:val="330" w:id="-694437363"/>
                <w14:textFill>
                  <w14:solidFill>
                    <w14:srgbClr w14:val="000000">
                      <w14:alpha w14:val="100000"/>
                    </w14:srgbClr>
                  </w14:solidFill>
                </w14:textFill>
              </w:rPr>
              <w:t>|</w:t>
            </w:r>
          </w:p>
        </w:tc>
      </w:tr>
      <w:tr w:rsidR="00267912" w:rsidRPr="005E7233" w14:paraId="13951A2B" w14:textId="77777777" w:rsidTr="733957FC">
        <w:tc>
          <w:tcPr>
            <w:tcW w:w="2215" w:type="pct"/>
            <w:vAlign w:val="center"/>
          </w:tcPr>
          <w:p w14:paraId="6843E512" w14:textId="77777777" w:rsidR="00267912" w:rsidRPr="005E7233" w:rsidRDefault="00267912" w:rsidP="00C90C1E">
            <w:pPr>
              <w:pStyle w:val="TableText0"/>
              <w:rPr>
                <w:rFonts w:ascii="Times" w:hAnsi="Times"/>
              </w:rPr>
            </w:pPr>
            <w:r w:rsidRPr="005E7233">
              <w:t>Patients in the SPND or SPID health state</w:t>
            </w:r>
          </w:p>
        </w:tc>
        <w:tc>
          <w:tcPr>
            <w:tcW w:w="928" w:type="pct"/>
            <w:vAlign w:val="center"/>
          </w:tcPr>
          <w:p w14:paraId="0FB7C4A6" w14:textId="77777777" w:rsidR="00267912" w:rsidRPr="005E7233" w:rsidRDefault="00267912" w:rsidP="00C90C1E">
            <w:pPr>
              <w:pStyle w:val="TableText0"/>
              <w:jc w:val="right"/>
              <w:rPr>
                <w:rFonts w:ascii="Times" w:hAnsi="Times"/>
              </w:rPr>
            </w:pPr>
            <w:r w:rsidRPr="005E7233">
              <w:t>64.6%</w:t>
            </w:r>
          </w:p>
        </w:tc>
        <w:tc>
          <w:tcPr>
            <w:tcW w:w="928" w:type="pct"/>
            <w:vAlign w:val="center"/>
          </w:tcPr>
          <w:p w14:paraId="17FFD75E" w14:textId="77777777" w:rsidR="00267912" w:rsidRPr="005E7233" w:rsidRDefault="00267912" w:rsidP="00C90C1E">
            <w:pPr>
              <w:pStyle w:val="TableText0"/>
              <w:jc w:val="right"/>
              <w:rPr>
                <w:rFonts w:ascii="Times" w:hAnsi="Times"/>
              </w:rPr>
            </w:pPr>
            <w:r w:rsidRPr="005E7233">
              <w:t>30.5%</w:t>
            </w:r>
          </w:p>
        </w:tc>
        <w:tc>
          <w:tcPr>
            <w:tcW w:w="929" w:type="pct"/>
            <w:vAlign w:val="center"/>
          </w:tcPr>
          <w:p w14:paraId="4CF5FA6E" w14:textId="77777777" w:rsidR="00267912" w:rsidRPr="005E7233" w:rsidRDefault="00267912" w:rsidP="00C90C1E">
            <w:pPr>
              <w:pStyle w:val="TableText0"/>
              <w:jc w:val="right"/>
            </w:pPr>
            <w:r w:rsidRPr="005E7233">
              <w:t>34.2%</w:t>
            </w:r>
          </w:p>
        </w:tc>
      </w:tr>
      <w:tr w:rsidR="00267912" w:rsidRPr="005E7233" w14:paraId="50E525B3" w14:textId="77777777" w:rsidTr="733957FC">
        <w:tc>
          <w:tcPr>
            <w:tcW w:w="4071" w:type="pct"/>
            <w:gridSpan w:val="3"/>
            <w:vAlign w:val="center"/>
          </w:tcPr>
          <w:p w14:paraId="5A198CAE" w14:textId="77777777" w:rsidR="00267912" w:rsidRPr="005E7233" w:rsidRDefault="00267912" w:rsidP="733957FC">
            <w:pPr>
              <w:pStyle w:val="TableText0"/>
              <w:rPr>
                <w:rFonts w:ascii="Times" w:hAnsi="Times"/>
              </w:rPr>
            </w:pPr>
            <w:r w:rsidRPr="005E7233">
              <w:t>Incremental cost per additional patient in SPND or SPID health state</w:t>
            </w:r>
          </w:p>
        </w:tc>
        <w:tc>
          <w:tcPr>
            <w:tcW w:w="929" w:type="pct"/>
            <w:vAlign w:val="center"/>
          </w:tcPr>
          <w:p w14:paraId="2136DDBB" w14:textId="1C2C7466" w:rsidR="00267912" w:rsidRPr="00407360"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62"/>
                <w14:textFill>
                  <w14:solidFill>
                    <w14:srgbClr w14:val="000000">
                      <w14:alpha w14:val="100000"/>
                    </w14:srgbClr>
                  </w14:solidFill>
                </w14:textFill>
              </w:rPr>
              <w:t>|||</w:t>
            </w:r>
            <w:r w:rsidR="00BD0449" w:rsidRPr="00BD0449">
              <w:rPr>
                <w:color w:val="000000"/>
                <w:spacing w:val="3"/>
                <w:shd w:val="solid" w:color="000000" w:fill="000000"/>
                <w:fitText w:val="320" w:id="-694437362"/>
                <w14:textFill>
                  <w14:solidFill>
                    <w14:srgbClr w14:val="000000">
                      <w14:alpha w14:val="100000"/>
                    </w14:srgbClr>
                  </w14:solidFill>
                </w14:textFill>
              </w:rPr>
              <w:t>|</w:t>
            </w:r>
            <w:r w:rsidR="00407360">
              <w:t xml:space="preserve"> </w:t>
            </w:r>
            <w:r w:rsidR="00407360">
              <w:rPr>
                <w:vertAlign w:val="superscript"/>
              </w:rPr>
              <w:t>1</w:t>
            </w:r>
          </w:p>
        </w:tc>
      </w:tr>
      <w:tr w:rsidR="00267912" w:rsidRPr="005E7233" w14:paraId="4E7ADF28" w14:textId="77777777" w:rsidTr="733957FC">
        <w:tc>
          <w:tcPr>
            <w:tcW w:w="5000" w:type="pct"/>
            <w:gridSpan w:val="4"/>
            <w:vAlign w:val="center"/>
          </w:tcPr>
          <w:p w14:paraId="01E42AE8" w14:textId="525AD5A5" w:rsidR="00267912" w:rsidRPr="005E7233" w:rsidRDefault="00267912" w:rsidP="00C90C1E">
            <w:pPr>
              <w:pStyle w:val="TableText0"/>
              <w:rPr>
                <w:b/>
                <w:bCs w:val="0"/>
              </w:rPr>
            </w:pPr>
            <w:r w:rsidRPr="005E7233">
              <w:rPr>
                <w:b/>
                <w:bCs w:val="0"/>
              </w:rPr>
              <w:t>Step 4: Model-based analysis, extrapolated to cycle 26 (to reflect duration of active phase</w:t>
            </w:r>
            <w:r w:rsidR="00D528F4" w:rsidRPr="005E7233">
              <w:rPr>
                <w:b/>
                <w:bCs w:val="0"/>
              </w:rPr>
              <w:t xml:space="preserve"> [3 years]</w:t>
            </w:r>
            <w:r w:rsidRPr="005E7233">
              <w:rPr>
                <w:b/>
                <w:bCs w:val="0"/>
              </w:rPr>
              <w:t>)</w:t>
            </w:r>
          </w:p>
          <w:p w14:paraId="294EC8D2" w14:textId="69B42141" w:rsidR="00267912" w:rsidRPr="005E7233" w:rsidRDefault="00267912" w:rsidP="733957FC">
            <w:pPr>
              <w:pStyle w:val="TableText0"/>
            </w:pPr>
            <w:r w:rsidRPr="005E7233">
              <w:t xml:space="preserve">Modelled costs of treatment (including administration) (where </w:t>
            </w:r>
            <w:r w:rsidR="00DA6C2C" w:rsidRPr="005E7233">
              <w:t>TEP</w:t>
            </w:r>
            <w:r w:rsidRPr="005E7233">
              <w:t xml:space="preserve"> use was based on IPD of patient weight from the OPTIC trial, and included adjustment for discontinuation and compliance), subsequent treatment ($3,404.84 per patient)</w:t>
            </w:r>
            <w:r w:rsidR="00E92E70">
              <w:rPr>
                <w:vertAlign w:val="superscript"/>
              </w:rPr>
              <w:t xml:space="preserve"> a</w:t>
            </w:r>
            <w:r w:rsidRPr="005E7233">
              <w:t>, health state management and AEs were included. Discounting of costs included. Average health state membership across the 26 cycles was used to determine the proportion of patients in the SPND and SPID health states.</w:t>
            </w:r>
          </w:p>
        </w:tc>
      </w:tr>
      <w:tr w:rsidR="00267912" w:rsidRPr="005E7233" w14:paraId="5B6AD163" w14:textId="77777777" w:rsidTr="733957FC">
        <w:tc>
          <w:tcPr>
            <w:tcW w:w="2215" w:type="pct"/>
            <w:vAlign w:val="center"/>
          </w:tcPr>
          <w:p w14:paraId="5ACFDB38" w14:textId="77777777" w:rsidR="00267912" w:rsidRPr="005E7233" w:rsidRDefault="00267912" w:rsidP="00C90C1E">
            <w:pPr>
              <w:pStyle w:val="TableText0"/>
              <w:rPr>
                <w:rFonts w:ascii="Times" w:hAnsi="Times"/>
              </w:rPr>
            </w:pPr>
            <w:r w:rsidRPr="005E7233">
              <w:t>Costs</w:t>
            </w:r>
          </w:p>
        </w:tc>
        <w:tc>
          <w:tcPr>
            <w:tcW w:w="928" w:type="pct"/>
          </w:tcPr>
          <w:p w14:paraId="7319DD70" w14:textId="49FBBEB6"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1"/>
                <w14:textFill>
                  <w14:solidFill>
                    <w14:srgbClr w14:val="000000">
                      <w14:alpha w14:val="100000"/>
                    </w14:srgbClr>
                  </w14:solidFill>
                </w14:textFill>
              </w:rPr>
              <w:t>|||</w:t>
            </w:r>
            <w:r w:rsidR="00BD0449" w:rsidRPr="00BD0449">
              <w:rPr>
                <w:color w:val="000000"/>
                <w:spacing w:val="1"/>
                <w:shd w:val="solid" w:color="000000" w:fill="000000"/>
                <w:fitText w:val="330" w:id="-694437361"/>
                <w14:textFill>
                  <w14:solidFill>
                    <w14:srgbClr w14:val="000000">
                      <w14:alpha w14:val="100000"/>
                    </w14:srgbClr>
                  </w14:solidFill>
                </w14:textFill>
              </w:rPr>
              <w:t>|</w:t>
            </w:r>
          </w:p>
        </w:tc>
        <w:tc>
          <w:tcPr>
            <w:tcW w:w="928" w:type="pct"/>
          </w:tcPr>
          <w:p w14:paraId="425119AF" w14:textId="77777777" w:rsidR="00267912" w:rsidRPr="005E7233" w:rsidRDefault="00267912" w:rsidP="00C90C1E">
            <w:pPr>
              <w:pStyle w:val="TableText0"/>
              <w:jc w:val="right"/>
              <w:rPr>
                <w:rFonts w:ascii="Times" w:hAnsi="Times"/>
              </w:rPr>
            </w:pPr>
            <w:r w:rsidRPr="005E7233">
              <w:t>$16,681</w:t>
            </w:r>
          </w:p>
        </w:tc>
        <w:tc>
          <w:tcPr>
            <w:tcW w:w="929" w:type="pct"/>
          </w:tcPr>
          <w:p w14:paraId="3C531C20" w14:textId="0069ED58"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0"/>
                <w14:textFill>
                  <w14:solidFill>
                    <w14:srgbClr w14:val="000000">
                      <w14:alpha w14:val="100000"/>
                    </w14:srgbClr>
                  </w14:solidFill>
                </w14:textFill>
              </w:rPr>
              <w:t>|||</w:t>
            </w:r>
            <w:r w:rsidR="00BD0449" w:rsidRPr="00BD0449">
              <w:rPr>
                <w:color w:val="000000"/>
                <w:spacing w:val="1"/>
                <w:shd w:val="solid" w:color="000000" w:fill="000000"/>
                <w:fitText w:val="330" w:id="-694437360"/>
                <w14:textFill>
                  <w14:solidFill>
                    <w14:srgbClr w14:val="000000">
                      <w14:alpha w14:val="100000"/>
                    </w14:srgbClr>
                  </w14:solidFill>
                </w14:textFill>
              </w:rPr>
              <w:t>|</w:t>
            </w:r>
          </w:p>
        </w:tc>
      </w:tr>
      <w:tr w:rsidR="00267912" w:rsidRPr="005E7233" w14:paraId="3E8F0144" w14:textId="77777777" w:rsidTr="733957FC">
        <w:tc>
          <w:tcPr>
            <w:tcW w:w="2215" w:type="pct"/>
            <w:vAlign w:val="center"/>
          </w:tcPr>
          <w:p w14:paraId="2BEFB408" w14:textId="77777777" w:rsidR="00267912" w:rsidRPr="005E7233" w:rsidRDefault="00267912" w:rsidP="00C90C1E">
            <w:pPr>
              <w:pStyle w:val="TableText0"/>
              <w:rPr>
                <w:rFonts w:ascii="Times" w:hAnsi="Times"/>
              </w:rPr>
            </w:pPr>
            <w:r w:rsidRPr="005E7233">
              <w:t>Patients in the SPND or SPID health state</w:t>
            </w:r>
          </w:p>
        </w:tc>
        <w:tc>
          <w:tcPr>
            <w:tcW w:w="928" w:type="pct"/>
            <w:vAlign w:val="center"/>
          </w:tcPr>
          <w:p w14:paraId="25DA746B" w14:textId="77777777" w:rsidR="00267912" w:rsidRPr="005E7233" w:rsidRDefault="00267912" w:rsidP="00C90C1E">
            <w:pPr>
              <w:pStyle w:val="TableText0"/>
              <w:jc w:val="right"/>
              <w:rPr>
                <w:rFonts w:ascii="Times" w:hAnsi="Times"/>
              </w:rPr>
            </w:pPr>
            <w:r w:rsidRPr="005E7233">
              <w:t>59.1%</w:t>
            </w:r>
          </w:p>
        </w:tc>
        <w:tc>
          <w:tcPr>
            <w:tcW w:w="928" w:type="pct"/>
            <w:vAlign w:val="center"/>
          </w:tcPr>
          <w:p w14:paraId="48B0FAB9" w14:textId="77777777" w:rsidR="00267912" w:rsidRPr="005E7233" w:rsidRDefault="00267912" w:rsidP="00C90C1E">
            <w:pPr>
              <w:pStyle w:val="TableText0"/>
              <w:jc w:val="right"/>
              <w:rPr>
                <w:rFonts w:ascii="Times" w:hAnsi="Times"/>
              </w:rPr>
            </w:pPr>
            <w:r w:rsidRPr="005E7233">
              <w:t>25.6%</w:t>
            </w:r>
          </w:p>
        </w:tc>
        <w:tc>
          <w:tcPr>
            <w:tcW w:w="929" w:type="pct"/>
            <w:vAlign w:val="center"/>
          </w:tcPr>
          <w:p w14:paraId="488F5A7B" w14:textId="77777777" w:rsidR="00267912" w:rsidRPr="005E7233" w:rsidRDefault="00267912" w:rsidP="00C90C1E">
            <w:pPr>
              <w:pStyle w:val="TableText0"/>
              <w:jc w:val="right"/>
            </w:pPr>
            <w:r w:rsidRPr="005E7233">
              <w:t>33.6%</w:t>
            </w:r>
          </w:p>
        </w:tc>
      </w:tr>
      <w:tr w:rsidR="00267912" w:rsidRPr="005E7233" w14:paraId="2FF70278" w14:textId="77777777" w:rsidTr="733957FC">
        <w:tc>
          <w:tcPr>
            <w:tcW w:w="4071" w:type="pct"/>
            <w:gridSpan w:val="3"/>
            <w:vAlign w:val="center"/>
          </w:tcPr>
          <w:p w14:paraId="0F306CB7" w14:textId="77777777" w:rsidR="00267912" w:rsidRPr="005E7233" w:rsidRDefault="00267912" w:rsidP="733957FC">
            <w:pPr>
              <w:pStyle w:val="TableText0"/>
              <w:rPr>
                <w:rFonts w:ascii="Times" w:hAnsi="Times"/>
              </w:rPr>
            </w:pPr>
            <w:r w:rsidRPr="005E7233">
              <w:t>Incremental cost per additional patient in SPND or SPID health state</w:t>
            </w:r>
          </w:p>
        </w:tc>
        <w:tc>
          <w:tcPr>
            <w:tcW w:w="929" w:type="pct"/>
            <w:vAlign w:val="center"/>
          </w:tcPr>
          <w:p w14:paraId="4FC7683E" w14:textId="06DE3E56" w:rsidR="00267912" w:rsidRPr="00407360"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76"/>
                <w14:textFill>
                  <w14:solidFill>
                    <w14:srgbClr w14:val="000000">
                      <w14:alpha w14:val="100000"/>
                    </w14:srgbClr>
                  </w14:solidFill>
                </w14:textFill>
              </w:rPr>
              <w:t>|||</w:t>
            </w:r>
            <w:r w:rsidR="00BD0449" w:rsidRPr="00BD0449">
              <w:rPr>
                <w:color w:val="000000"/>
                <w:spacing w:val="3"/>
                <w:shd w:val="solid" w:color="000000" w:fill="000000"/>
                <w:fitText w:val="320" w:id="-694437376"/>
                <w14:textFill>
                  <w14:solidFill>
                    <w14:srgbClr w14:val="000000">
                      <w14:alpha w14:val="100000"/>
                    </w14:srgbClr>
                  </w14:solidFill>
                </w14:textFill>
              </w:rPr>
              <w:t>|</w:t>
            </w:r>
            <w:r w:rsidR="00407360">
              <w:t xml:space="preserve"> </w:t>
            </w:r>
            <w:r w:rsidR="00407360">
              <w:rPr>
                <w:vertAlign w:val="superscript"/>
              </w:rPr>
              <w:t>2</w:t>
            </w:r>
          </w:p>
        </w:tc>
      </w:tr>
      <w:tr w:rsidR="00267912" w:rsidRPr="005E7233" w14:paraId="283FED3C" w14:textId="77777777" w:rsidTr="733957FC">
        <w:tc>
          <w:tcPr>
            <w:tcW w:w="5000" w:type="pct"/>
            <w:gridSpan w:val="4"/>
            <w:vAlign w:val="center"/>
          </w:tcPr>
          <w:p w14:paraId="00F8952F" w14:textId="56394D6E" w:rsidR="00267912" w:rsidRPr="005E7233" w:rsidRDefault="00267912" w:rsidP="00C90C1E">
            <w:pPr>
              <w:pStyle w:val="TableText0"/>
              <w:rPr>
                <w:b/>
                <w:bCs w:val="0"/>
              </w:rPr>
            </w:pPr>
            <w:r w:rsidRPr="005E7233">
              <w:rPr>
                <w:b/>
                <w:bCs w:val="0"/>
              </w:rPr>
              <w:t xml:space="preserve">Step 5: </w:t>
            </w:r>
            <w:r w:rsidR="00452EDF" w:rsidRPr="005E7233">
              <w:rPr>
                <w:b/>
                <w:bCs w:val="0"/>
              </w:rPr>
              <w:t>Estimation of</w:t>
            </w:r>
            <w:r w:rsidRPr="005E7233">
              <w:rPr>
                <w:b/>
                <w:bCs w:val="0"/>
              </w:rPr>
              <w:t xml:space="preserve"> rehabilitative surgeries avoided</w:t>
            </w:r>
          </w:p>
          <w:p w14:paraId="08BBD0A5" w14:textId="64FE2F4E" w:rsidR="005373D9" w:rsidRPr="005E7233" w:rsidRDefault="005373D9" w:rsidP="733957FC">
            <w:pPr>
              <w:pStyle w:val="TableText0"/>
            </w:pPr>
            <w:r w:rsidRPr="005E7233">
              <w:t xml:space="preserve">Based on health state membership at the end of the active phase of disease (i.e. 3 years), a </w:t>
            </w:r>
            <w:r w:rsidR="009B1754" w:rsidRPr="005E7233">
              <w:t xml:space="preserve">one-off </w:t>
            </w:r>
            <w:r w:rsidRPr="005E7233">
              <w:t xml:space="preserve">proportion of patients are assumed to require rehabilitative surgery (SPND/SPID: 5.0%; LPND: 38.1%; LPID: 41.3%; SPCD/LPCD: 43.8%). The type and number of surgeries required (and therefore cost of surgery) was also assumed to vary by health state. </w:t>
            </w:r>
          </w:p>
        </w:tc>
      </w:tr>
      <w:tr w:rsidR="00267912" w:rsidRPr="005E7233" w14:paraId="7225B145" w14:textId="77777777" w:rsidTr="733957FC">
        <w:tc>
          <w:tcPr>
            <w:tcW w:w="2215" w:type="pct"/>
            <w:vAlign w:val="center"/>
          </w:tcPr>
          <w:p w14:paraId="377CDF7A" w14:textId="77777777" w:rsidR="00267912" w:rsidRPr="005E7233" w:rsidRDefault="00267912" w:rsidP="00C90C1E">
            <w:pPr>
              <w:pStyle w:val="TableText0"/>
              <w:rPr>
                <w:rFonts w:ascii="Times" w:hAnsi="Times"/>
              </w:rPr>
            </w:pPr>
            <w:r w:rsidRPr="005E7233">
              <w:t>Costs</w:t>
            </w:r>
          </w:p>
        </w:tc>
        <w:tc>
          <w:tcPr>
            <w:tcW w:w="928" w:type="pct"/>
          </w:tcPr>
          <w:p w14:paraId="4C962C80" w14:textId="659DFBEA"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5"/>
                <w14:textFill>
                  <w14:solidFill>
                    <w14:srgbClr w14:val="000000">
                      <w14:alpha w14:val="100000"/>
                    </w14:srgbClr>
                  </w14:solidFill>
                </w14:textFill>
              </w:rPr>
              <w:t>|||</w:t>
            </w:r>
            <w:r w:rsidR="00BD0449" w:rsidRPr="00BD0449">
              <w:rPr>
                <w:color w:val="000000"/>
                <w:spacing w:val="1"/>
                <w:shd w:val="solid" w:color="000000" w:fill="000000"/>
                <w:fitText w:val="330" w:id="-694437375"/>
                <w14:textFill>
                  <w14:solidFill>
                    <w14:srgbClr w14:val="000000">
                      <w14:alpha w14:val="100000"/>
                    </w14:srgbClr>
                  </w14:solidFill>
                </w14:textFill>
              </w:rPr>
              <w:t>|</w:t>
            </w:r>
          </w:p>
        </w:tc>
        <w:tc>
          <w:tcPr>
            <w:tcW w:w="928" w:type="pct"/>
          </w:tcPr>
          <w:p w14:paraId="38361AE5" w14:textId="77777777" w:rsidR="00267912" w:rsidRPr="005E7233" w:rsidRDefault="00267912" w:rsidP="00C90C1E">
            <w:pPr>
              <w:pStyle w:val="TableText0"/>
              <w:jc w:val="right"/>
              <w:rPr>
                <w:rFonts w:ascii="Times" w:hAnsi="Times"/>
              </w:rPr>
            </w:pPr>
            <w:r w:rsidRPr="005E7233">
              <w:t>$</w:t>
            </w:r>
            <w:r w:rsidRPr="00070704">
              <w:t>26,941</w:t>
            </w:r>
          </w:p>
        </w:tc>
        <w:tc>
          <w:tcPr>
            <w:tcW w:w="929" w:type="pct"/>
          </w:tcPr>
          <w:p w14:paraId="0EB2885B" w14:textId="42B21E3B"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4"/>
                <w14:textFill>
                  <w14:solidFill>
                    <w14:srgbClr w14:val="000000">
                      <w14:alpha w14:val="100000"/>
                    </w14:srgbClr>
                  </w14:solidFill>
                </w14:textFill>
              </w:rPr>
              <w:t>|||</w:t>
            </w:r>
            <w:r w:rsidR="00BD0449" w:rsidRPr="00BD0449">
              <w:rPr>
                <w:color w:val="000000"/>
                <w:spacing w:val="1"/>
                <w:shd w:val="solid" w:color="000000" w:fill="000000"/>
                <w:fitText w:val="330" w:id="-694437374"/>
                <w14:textFill>
                  <w14:solidFill>
                    <w14:srgbClr w14:val="000000">
                      <w14:alpha w14:val="100000"/>
                    </w14:srgbClr>
                  </w14:solidFill>
                </w14:textFill>
              </w:rPr>
              <w:t>|</w:t>
            </w:r>
          </w:p>
        </w:tc>
      </w:tr>
      <w:tr w:rsidR="006057F2" w:rsidRPr="005E7233" w14:paraId="05BCFD8B" w14:textId="77777777" w:rsidTr="733957FC">
        <w:tc>
          <w:tcPr>
            <w:tcW w:w="2215" w:type="pct"/>
            <w:vAlign w:val="center"/>
          </w:tcPr>
          <w:p w14:paraId="22BC2A5B" w14:textId="77777777" w:rsidR="006057F2" w:rsidRPr="005E7233" w:rsidRDefault="006057F2" w:rsidP="009C5765">
            <w:pPr>
              <w:pStyle w:val="TableText0"/>
              <w:rPr>
                <w:rFonts w:ascii="Times" w:hAnsi="Times"/>
              </w:rPr>
            </w:pPr>
            <w:r w:rsidRPr="005E7233">
              <w:t>Patients in the SPND or SPID health state</w:t>
            </w:r>
          </w:p>
        </w:tc>
        <w:tc>
          <w:tcPr>
            <w:tcW w:w="928" w:type="pct"/>
            <w:vAlign w:val="center"/>
          </w:tcPr>
          <w:p w14:paraId="27B1AFEA" w14:textId="77777777" w:rsidR="006057F2" w:rsidRPr="005E7233" w:rsidRDefault="006057F2" w:rsidP="009C5765">
            <w:pPr>
              <w:pStyle w:val="TableText0"/>
              <w:jc w:val="right"/>
              <w:rPr>
                <w:rFonts w:ascii="Times" w:hAnsi="Times"/>
              </w:rPr>
            </w:pPr>
            <w:r w:rsidRPr="005E7233">
              <w:t>59.1%</w:t>
            </w:r>
          </w:p>
        </w:tc>
        <w:tc>
          <w:tcPr>
            <w:tcW w:w="928" w:type="pct"/>
            <w:vAlign w:val="center"/>
          </w:tcPr>
          <w:p w14:paraId="66B66917" w14:textId="77777777" w:rsidR="006057F2" w:rsidRPr="005E7233" w:rsidRDefault="006057F2" w:rsidP="009C5765">
            <w:pPr>
              <w:pStyle w:val="TableText0"/>
              <w:jc w:val="right"/>
              <w:rPr>
                <w:rFonts w:ascii="Times" w:hAnsi="Times"/>
              </w:rPr>
            </w:pPr>
            <w:r w:rsidRPr="005E7233">
              <w:t>25.6%</w:t>
            </w:r>
          </w:p>
        </w:tc>
        <w:tc>
          <w:tcPr>
            <w:tcW w:w="929" w:type="pct"/>
            <w:vAlign w:val="center"/>
          </w:tcPr>
          <w:p w14:paraId="7EEA8353" w14:textId="77777777" w:rsidR="006057F2" w:rsidRPr="005E7233" w:rsidRDefault="006057F2" w:rsidP="009C5765">
            <w:pPr>
              <w:pStyle w:val="TableText0"/>
              <w:jc w:val="right"/>
            </w:pPr>
            <w:r w:rsidRPr="005E7233">
              <w:t>33.6%</w:t>
            </w:r>
          </w:p>
        </w:tc>
      </w:tr>
      <w:tr w:rsidR="006057F2" w:rsidRPr="005E7233" w14:paraId="36B4312B" w14:textId="77777777" w:rsidTr="733957FC">
        <w:tc>
          <w:tcPr>
            <w:tcW w:w="4071" w:type="pct"/>
            <w:gridSpan w:val="3"/>
            <w:vAlign w:val="center"/>
          </w:tcPr>
          <w:p w14:paraId="4080E06E" w14:textId="1C868B66" w:rsidR="006057F2" w:rsidRPr="005E7233" w:rsidRDefault="006057F2" w:rsidP="733957FC">
            <w:pPr>
              <w:pStyle w:val="TableText0"/>
              <w:rPr>
                <w:rFonts w:ascii="Times" w:hAnsi="Times"/>
              </w:rPr>
            </w:pPr>
            <w:r w:rsidRPr="005E7233">
              <w:t>Incremental cost per additional patient in SPND or SPID health state</w:t>
            </w:r>
          </w:p>
        </w:tc>
        <w:tc>
          <w:tcPr>
            <w:tcW w:w="929" w:type="pct"/>
            <w:vAlign w:val="center"/>
          </w:tcPr>
          <w:p w14:paraId="2B2E9FC6" w14:textId="0005E33C" w:rsidR="006057F2" w:rsidRPr="00070704" w:rsidRDefault="006057F2" w:rsidP="009C5765">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73"/>
                <w14:textFill>
                  <w14:solidFill>
                    <w14:srgbClr w14:val="000000">
                      <w14:alpha w14:val="100000"/>
                    </w14:srgbClr>
                  </w14:solidFill>
                </w14:textFill>
              </w:rPr>
              <w:t>|||</w:t>
            </w:r>
            <w:r w:rsidR="00BD0449" w:rsidRPr="00BD0449">
              <w:rPr>
                <w:color w:val="000000"/>
                <w:spacing w:val="3"/>
                <w:shd w:val="solid" w:color="000000" w:fill="000000"/>
                <w:fitText w:val="320" w:id="-694437373"/>
                <w14:textFill>
                  <w14:solidFill>
                    <w14:srgbClr w14:val="000000">
                      <w14:alpha w14:val="100000"/>
                    </w14:srgbClr>
                  </w14:solidFill>
                </w14:textFill>
              </w:rPr>
              <w:t>|</w:t>
            </w:r>
            <w:r w:rsidR="00070704">
              <w:t xml:space="preserve"> </w:t>
            </w:r>
            <w:r w:rsidR="00070704">
              <w:rPr>
                <w:vertAlign w:val="superscript"/>
              </w:rPr>
              <w:t>2</w:t>
            </w:r>
          </w:p>
        </w:tc>
      </w:tr>
      <w:tr w:rsidR="00267912" w:rsidRPr="005E7233" w14:paraId="00F0039B" w14:textId="77777777" w:rsidTr="733957FC">
        <w:tc>
          <w:tcPr>
            <w:tcW w:w="2215" w:type="pct"/>
            <w:tcBorders>
              <w:bottom w:val="single" w:sz="4" w:space="0" w:color="auto"/>
            </w:tcBorders>
            <w:vAlign w:val="center"/>
          </w:tcPr>
          <w:p w14:paraId="2B0E9655" w14:textId="77777777" w:rsidR="00267912" w:rsidRPr="005E7233" w:rsidRDefault="00267912" w:rsidP="733957FC">
            <w:pPr>
              <w:pStyle w:val="TableText0"/>
              <w:rPr>
                <w:rFonts w:ascii="Times" w:hAnsi="Times"/>
              </w:rPr>
            </w:pPr>
            <w:r w:rsidRPr="005E7233">
              <w:t>Patients requiring rehabilitative surgery</w:t>
            </w:r>
          </w:p>
        </w:tc>
        <w:tc>
          <w:tcPr>
            <w:tcW w:w="928" w:type="pct"/>
            <w:tcBorders>
              <w:bottom w:val="single" w:sz="4" w:space="0" w:color="auto"/>
            </w:tcBorders>
          </w:tcPr>
          <w:p w14:paraId="69AA14DE" w14:textId="77777777" w:rsidR="00267912" w:rsidRPr="005E7233" w:rsidRDefault="00267912" w:rsidP="00C90C1E">
            <w:pPr>
              <w:pStyle w:val="TableText0"/>
              <w:jc w:val="right"/>
              <w:rPr>
                <w:rFonts w:ascii="Times" w:hAnsi="Times"/>
              </w:rPr>
            </w:pPr>
            <w:r w:rsidRPr="005E7233">
              <w:t>20.6%</w:t>
            </w:r>
          </w:p>
        </w:tc>
        <w:tc>
          <w:tcPr>
            <w:tcW w:w="928" w:type="pct"/>
            <w:tcBorders>
              <w:bottom w:val="single" w:sz="4" w:space="0" w:color="auto"/>
            </w:tcBorders>
          </w:tcPr>
          <w:p w14:paraId="3CEF6842" w14:textId="77777777" w:rsidR="00267912" w:rsidRPr="005E7233" w:rsidRDefault="00267912" w:rsidP="00C90C1E">
            <w:pPr>
              <w:pStyle w:val="TableText0"/>
              <w:jc w:val="right"/>
              <w:rPr>
                <w:rFonts w:ascii="Times" w:hAnsi="Times"/>
              </w:rPr>
            </w:pPr>
            <w:r w:rsidRPr="005E7233">
              <w:t>33.7%</w:t>
            </w:r>
          </w:p>
        </w:tc>
        <w:tc>
          <w:tcPr>
            <w:tcW w:w="929" w:type="pct"/>
          </w:tcPr>
          <w:p w14:paraId="477F7D20" w14:textId="77777777" w:rsidR="00267912" w:rsidRPr="005E7233" w:rsidRDefault="00267912" w:rsidP="00C90C1E">
            <w:pPr>
              <w:pStyle w:val="TableText0"/>
              <w:jc w:val="right"/>
            </w:pPr>
            <w:r w:rsidRPr="005E7233">
              <w:t>−13.1%</w:t>
            </w:r>
          </w:p>
        </w:tc>
      </w:tr>
      <w:tr w:rsidR="00267912" w:rsidRPr="005E7233" w14:paraId="2F6BA5C3" w14:textId="77777777" w:rsidTr="733957FC">
        <w:tc>
          <w:tcPr>
            <w:tcW w:w="2215" w:type="pct"/>
            <w:tcBorders>
              <w:right w:val="nil"/>
            </w:tcBorders>
            <w:vAlign w:val="center"/>
          </w:tcPr>
          <w:p w14:paraId="12C6EFA8" w14:textId="77777777" w:rsidR="00267912" w:rsidRPr="005E7233" w:rsidRDefault="00267912" w:rsidP="00C90C1E">
            <w:pPr>
              <w:pStyle w:val="TableText0"/>
              <w:rPr>
                <w:rFonts w:ascii="Times" w:hAnsi="Times"/>
              </w:rPr>
            </w:pPr>
            <w:r w:rsidRPr="005E7233">
              <w:t>Incremental cost per rehabilitative surgery avoided</w:t>
            </w:r>
          </w:p>
        </w:tc>
        <w:tc>
          <w:tcPr>
            <w:tcW w:w="928" w:type="pct"/>
            <w:tcBorders>
              <w:left w:val="nil"/>
              <w:right w:val="nil"/>
            </w:tcBorders>
            <w:vAlign w:val="center"/>
          </w:tcPr>
          <w:p w14:paraId="74E4C929" w14:textId="77777777" w:rsidR="00267912" w:rsidRPr="005E7233" w:rsidRDefault="00267912" w:rsidP="00C90C1E">
            <w:pPr>
              <w:pStyle w:val="TableText0"/>
              <w:jc w:val="right"/>
              <w:rPr>
                <w:rFonts w:ascii="Times" w:hAnsi="Times"/>
              </w:rPr>
            </w:pPr>
          </w:p>
        </w:tc>
        <w:tc>
          <w:tcPr>
            <w:tcW w:w="928" w:type="pct"/>
            <w:tcBorders>
              <w:left w:val="nil"/>
            </w:tcBorders>
            <w:vAlign w:val="center"/>
          </w:tcPr>
          <w:p w14:paraId="08061A07" w14:textId="77777777" w:rsidR="00267912" w:rsidRPr="005E7233" w:rsidRDefault="00267912" w:rsidP="00C90C1E">
            <w:pPr>
              <w:pStyle w:val="TableText0"/>
              <w:jc w:val="right"/>
              <w:rPr>
                <w:rFonts w:ascii="Times" w:hAnsi="Times"/>
              </w:rPr>
            </w:pPr>
          </w:p>
        </w:tc>
        <w:tc>
          <w:tcPr>
            <w:tcW w:w="929" w:type="pct"/>
            <w:vAlign w:val="center"/>
          </w:tcPr>
          <w:p w14:paraId="6D213E9B" w14:textId="348B715F" w:rsidR="00267912" w:rsidRPr="00070704"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72"/>
                <w14:textFill>
                  <w14:solidFill>
                    <w14:srgbClr w14:val="000000">
                      <w14:alpha w14:val="100000"/>
                    </w14:srgbClr>
                  </w14:solidFill>
                </w14:textFill>
              </w:rPr>
              <w:t>|||</w:t>
            </w:r>
            <w:r w:rsidR="00BD0449" w:rsidRPr="00BD0449">
              <w:rPr>
                <w:color w:val="000000"/>
                <w:spacing w:val="3"/>
                <w:shd w:val="solid" w:color="000000" w:fill="000000"/>
                <w:fitText w:val="320" w:id="-694437372"/>
                <w14:textFill>
                  <w14:solidFill>
                    <w14:srgbClr w14:val="000000">
                      <w14:alpha w14:val="100000"/>
                    </w14:srgbClr>
                  </w14:solidFill>
                </w14:textFill>
              </w:rPr>
              <w:t>|</w:t>
            </w:r>
            <w:r w:rsidR="00070704">
              <w:t xml:space="preserve"> </w:t>
            </w:r>
            <w:r w:rsidR="00070704">
              <w:rPr>
                <w:vertAlign w:val="superscript"/>
              </w:rPr>
              <w:t>3</w:t>
            </w:r>
          </w:p>
        </w:tc>
      </w:tr>
      <w:tr w:rsidR="00267912" w:rsidRPr="005E7233" w14:paraId="04C8518E" w14:textId="77777777" w:rsidTr="733957FC">
        <w:tc>
          <w:tcPr>
            <w:tcW w:w="5000" w:type="pct"/>
            <w:gridSpan w:val="4"/>
            <w:vAlign w:val="center"/>
          </w:tcPr>
          <w:p w14:paraId="07207F82" w14:textId="5AA4E0F2" w:rsidR="00267912" w:rsidRPr="005E7233" w:rsidRDefault="00267912" w:rsidP="00C90C1E">
            <w:pPr>
              <w:pStyle w:val="TableText0"/>
              <w:rPr>
                <w:b/>
                <w:bCs w:val="0"/>
              </w:rPr>
            </w:pPr>
            <w:r w:rsidRPr="005E7233">
              <w:rPr>
                <w:b/>
                <w:bCs w:val="0"/>
              </w:rPr>
              <w:t>Step 6: Transformation into QALYs</w:t>
            </w:r>
          </w:p>
        </w:tc>
      </w:tr>
      <w:tr w:rsidR="00267912" w:rsidRPr="005E7233" w14:paraId="125B42D6" w14:textId="77777777" w:rsidTr="733957FC">
        <w:tc>
          <w:tcPr>
            <w:tcW w:w="2215" w:type="pct"/>
            <w:vAlign w:val="center"/>
          </w:tcPr>
          <w:p w14:paraId="13ED7853" w14:textId="77777777" w:rsidR="00267912" w:rsidRPr="005E7233" w:rsidRDefault="00267912" w:rsidP="00C90C1E">
            <w:pPr>
              <w:pStyle w:val="TableText0"/>
              <w:rPr>
                <w:rFonts w:ascii="Times" w:hAnsi="Times"/>
              </w:rPr>
            </w:pPr>
            <w:r w:rsidRPr="005E7233">
              <w:t>Costs</w:t>
            </w:r>
          </w:p>
        </w:tc>
        <w:tc>
          <w:tcPr>
            <w:tcW w:w="928" w:type="pct"/>
          </w:tcPr>
          <w:p w14:paraId="182DC36C" w14:textId="183B7D5E"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1"/>
                <w14:textFill>
                  <w14:solidFill>
                    <w14:srgbClr w14:val="000000">
                      <w14:alpha w14:val="100000"/>
                    </w14:srgbClr>
                  </w14:solidFill>
                </w14:textFill>
              </w:rPr>
              <w:t>|||</w:t>
            </w:r>
            <w:r w:rsidR="00BD0449" w:rsidRPr="00BD0449">
              <w:rPr>
                <w:color w:val="000000"/>
                <w:spacing w:val="1"/>
                <w:shd w:val="solid" w:color="000000" w:fill="000000"/>
                <w:fitText w:val="330" w:id="-694437371"/>
                <w14:textFill>
                  <w14:solidFill>
                    <w14:srgbClr w14:val="000000">
                      <w14:alpha w14:val="100000"/>
                    </w14:srgbClr>
                  </w14:solidFill>
                </w14:textFill>
              </w:rPr>
              <w:t>|</w:t>
            </w:r>
          </w:p>
        </w:tc>
        <w:tc>
          <w:tcPr>
            <w:tcW w:w="928" w:type="pct"/>
          </w:tcPr>
          <w:p w14:paraId="2EAED3B6" w14:textId="77777777" w:rsidR="00267912" w:rsidRPr="005E7233" w:rsidRDefault="00267912" w:rsidP="00C90C1E">
            <w:pPr>
              <w:pStyle w:val="TableText0"/>
              <w:jc w:val="right"/>
              <w:rPr>
                <w:rFonts w:ascii="Times" w:hAnsi="Times"/>
              </w:rPr>
            </w:pPr>
            <w:r w:rsidRPr="005E7233">
              <w:t>$26,941</w:t>
            </w:r>
          </w:p>
        </w:tc>
        <w:tc>
          <w:tcPr>
            <w:tcW w:w="929" w:type="pct"/>
          </w:tcPr>
          <w:p w14:paraId="03FCBFEB" w14:textId="4BBFC39B"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0"/>
                <w14:textFill>
                  <w14:solidFill>
                    <w14:srgbClr w14:val="000000">
                      <w14:alpha w14:val="100000"/>
                    </w14:srgbClr>
                  </w14:solidFill>
                </w14:textFill>
              </w:rPr>
              <w:t>|||</w:t>
            </w:r>
            <w:r w:rsidR="00BD0449" w:rsidRPr="00BD0449">
              <w:rPr>
                <w:color w:val="000000"/>
                <w:spacing w:val="1"/>
                <w:shd w:val="solid" w:color="000000" w:fill="000000"/>
                <w:fitText w:val="330" w:id="-694437370"/>
                <w14:textFill>
                  <w14:solidFill>
                    <w14:srgbClr w14:val="000000">
                      <w14:alpha w14:val="100000"/>
                    </w14:srgbClr>
                  </w14:solidFill>
                </w14:textFill>
              </w:rPr>
              <w:t>|</w:t>
            </w:r>
          </w:p>
        </w:tc>
      </w:tr>
      <w:tr w:rsidR="00267912" w:rsidRPr="005E7233" w14:paraId="58D3F7A7" w14:textId="77777777" w:rsidTr="733957FC">
        <w:tc>
          <w:tcPr>
            <w:tcW w:w="2215" w:type="pct"/>
            <w:tcBorders>
              <w:bottom w:val="single" w:sz="4" w:space="0" w:color="auto"/>
            </w:tcBorders>
            <w:vAlign w:val="center"/>
          </w:tcPr>
          <w:p w14:paraId="521FC284" w14:textId="77777777" w:rsidR="00267912" w:rsidRPr="005E7233" w:rsidRDefault="00267912" w:rsidP="00C90C1E">
            <w:pPr>
              <w:pStyle w:val="TableText0"/>
              <w:rPr>
                <w:rFonts w:ascii="Times" w:hAnsi="Times"/>
              </w:rPr>
            </w:pPr>
            <w:r w:rsidRPr="005E7233">
              <w:t>QALYs</w:t>
            </w:r>
          </w:p>
        </w:tc>
        <w:tc>
          <w:tcPr>
            <w:tcW w:w="928" w:type="pct"/>
            <w:tcBorders>
              <w:bottom w:val="single" w:sz="4" w:space="0" w:color="auto"/>
            </w:tcBorders>
          </w:tcPr>
          <w:p w14:paraId="27761354" w14:textId="77777777" w:rsidR="00267912" w:rsidRPr="005E7233" w:rsidRDefault="00267912" w:rsidP="00C90C1E">
            <w:pPr>
              <w:pStyle w:val="TableText0"/>
              <w:jc w:val="right"/>
              <w:rPr>
                <w:rFonts w:ascii="Times" w:hAnsi="Times"/>
              </w:rPr>
            </w:pPr>
            <w:r w:rsidRPr="005E7233">
              <w:t>1.4633</w:t>
            </w:r>
          </w:p>
        </w:tc>
        <w:tc>
          <w:tcPr>
            <w:tcW w:w="928" w:type="pct"/>
            <w:tcBorders>
              <w:bottom w:val="single" w:sz="4" w:space="0" w:color="auto"/>
            </w:tcBorders>
          </w:tcPr>
          <w:p w14:paraId="77D03B07" w14:textId="77777777" w:rsidR="00267912" w:rsidRPr="005E7233" w:rsidRDefault="00267912" w:rsidP="00C90C1E">
            <w:pPr>
              <w:pStyle w:val="TableText0"/>
              <w:jc w:val="right"/>
              <w:rPr>
                <w:rFonts w:ascii="Times" w:hAnsi="Times"/>
              </w:rPr>
            </w:pPr>
            <w:r w:rsidRPr="005E7233">
              <w:t>1.2117</w:t>
            </w:r>
          </w:p>
        </w:tc>
        <w:tc>
          <w:tcPr>
            <w:tcW w:w="929" w:type="pct"/>
          </w:tcPr>
          <w:p w14:paraId="0A75809F" w14:textId="77777777" w:rsidR="00267912" w:rsidRPr="005E7233" w:rsidRDefault="00267912" w:rsidP="00C90C1E">
            <w:pPr>
              <w:pStyle w:val="TableText0"/>
              <w:jc w:val="right"/>
            </w:pPr>
            <w:r w:rsidRPr="005E7233">
              <w:t>0.2516</w:t>
            </w:r>
          </w:p>
        </w:tc>
      </w:tr>
      <w:tr w:rsidR="00267912" w:rsidRPr="005E7233" w14:paraId="645717F0" w14:textId="77777777" w:rsidTr="733957FC">
        <w:tc>
          <w:tcPr>
            <w:tcW w:w="2215" w:type="pct"/>
            <w:tcBorders>
              <w:right w:val="nil"/>
            </w:tcBorders>
            <w:vAlign w:val="center"/>
          </w:tcPr>
          <w:p w14:paraId="56D09BBB" w14:textId="77777777" w:rsidR="00267912" w:rsidRPr="005E7233" w:rsidRDefault="00267912" w:rsidP="00C90C1E">
            <w:pPr>
              <w:pStyle w:val="TableText0"/>
              <w:rPr>
                <w:rFonts w:ascii="Times" w:hAnsi="Times"/>
              </w:rPr>
            </w:pPr>
            <w:r w:rsidRPr="005E7233">
              <w:t>Incremental cost/extra QALY gained</w:t>
            </w:r>
          </w:p>
        </w:tc>
        <w:tc>
          <w:tcPr>
            <w:tcW w:w="928" w:type="pct"/>
            <w:tcBorders>
              <w:left w:val="nil"/>
              <w:right w:val="nil"/>
            </w:tcBorders>
          </w:tcPr>
          <w:p w14:paraId="1BF33B83" w14:textId="77777777" w:rsidR="00267912" w:rsidRPr="005E7233" w:rsidRDefault="00267912" w:rsidP="00C90C1E">
            <w:pPr>
              <w:pStyle w:val="TableText0"/>
              <w:jc w:val="right"/>
              <w:rPr>
                <w:rFonts w:ascii="Times" w:hAnsi="Times"/>
              </w:rPr>
            </w:pPr>
          </w:p>
        </w:tc>
        <w:tc>
          <w:tcPr>
            <w:tcW w:w="928" w:type="pct"/>
            <w:tcBorders>
              <w:left w:val="nil"/>
            </w:tcBorders>
          </w:tcPr>
          <w:p w14:paraId="5D3EDD9D" w14:textId="77777777" w:rsidR="00267912" w:rsidRPr="005E7233" w:rsidRDefault="00267912" w:rsidP="00C90C1E">
            <w:pPr>
              <w:pStyle w:val="TableText0"/>
              <w:jc w:val="right"/>
              <w:rPr>
                <w:rFonts w:ascii="Times" w:hAnsi="Times"/>
              </w:rPr>
            </w:pPr>
          </w:p>
        </w:tc>
        <w:tc>
          <w:tcPr>
            <w:tcW w:w="929" w:type="pct"/>
          </w:tcPr>
          <w:p w14:paraId="4FC8C5BF" w14:textId="78B45A6A" w:rsidR="00267912" w:rsidRPr="00737FD9"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69"/>
                <w14:textFill>
                  <w14:solidFill>
                    <w14:srgbClr w14:val="000000">
                      <w14:alpha w14:val="100000"/>
                    </w14:srgbClr>
                  </w14:solidFill>
                </w14:textFill>
              </w:rPr>
              <w:t>|||</w:t>
            </w:r>
            <w:r w:rsidR="00BD0449" w:rsidRPr="00BD0449">
              <w:rPr>
                <w:color w:val="000000"/>
                <w:spacing w:val="3"/>
                <w:shd w:val="solid" w:color="000000" w:fill="000000"/>
                <w:fitText w:val="320" w:id="-694437369"/>
                <w14:textFill>
                  <w14:solidFill>
                    <w14:srgbClr w14:val="000000">
                      <w14:alpha w14:val="100000"/>
                    </w14:srgbClr>
                  </w14:solidFill>
                </w14:textFill>
              </w:rPr>
              <w:t>|</w:t>
            </w:r>
            <w:r w:rsidR="00737FD9">
              <w:t xml:space="preserve"> </w:t>
            </w:r>
            <w:r w:rsidR="00737FD9">
              <w:rPr>
                <w:vertAlign w:val="superscript"/>
              </w:rPr>
              <w:t>1</w:t>
            </w:r>
          </w:p>
        </w:tc>
      </w:tr>
      <w:tr w:rsidR="00267912" w:rsidRPr="005E7233" w14:paraId="78541867" w14:textId="77777777" w:rsidTr="733957FC">
        <w:tc>
          <w:tcPr>
            <w:tcW w:w="5000" w:type="pct"/>
            <w:gridSpan w:val="4"/>
            <w:vAlign w:val="center"/>
          </w:tcPr>
          <w:p w14:paraId="7C3E2D12" w14:textId="77777777" w:rsidR="00267912" w:rsidRPr="005E7233" w:rsidRDefault="00267912" w:rsidP="00C90C1E">
            <w:pPr>
              <w:pStyle w:val="TableText0"/>
            </w:pPr>
            <w:r w:rsidRPr="005E7233">
              <w:rPr>
                <w:b/>
                <w:bCs w:val="0"/>
              </w:rPr>
              <w:t>Step 7: Extrapolation over lifetime time horizon (47 years)</w:t>
            </w:r>
          </w:p>
        </w:tc>
      </w:tr>
      <w:tr w:rsidR="00267912" w:rsidRPr="005E7233" w14:paraId="03BCD74C" w14:textId="77777777" w:rsidTr="733957FC">
        <w:tc>
          <w:tcPr>
            <w:tcW w:w="2215" w:type="pct"/>
            <w:vAlign w:val="center"/>
          </w:tcPr>
          <w:p w14:paraId="4D3913D7" w14:textId="77777777" w:rsidR="00267912" w:rsidRPr="005E7233" w:rsidRDefault="00267912" w:rsidP="00C90C1E">
            <w:pPr>
              <w:pStyle w:val="TableText0"/>
              <w:rPr>
                <w:rFonts w:ascii="Times" w:hAnsi="Times"/>
              </w:rPr>
            </w:pPr>
            <w:r w:rsidRPr="005E7233">
              <w:t>Costs</w:t>
            </w:r>
          </w:p>
        </w:tc>
        <w:tc>
          <w:tcPr>
            <w:tcW w:w="928" w:type="pct"/>
          </w:tcPr>
          <w:p w14:paraId="21BAF2A7" w14:textId="5C3B3DD0"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8"/>
                <w14:textFill>
                  <w14:solidFill>
                    <w14:srgbClr w14:val="000000">
                      <w14:alpha w14:val="100000"/>
                    </w14:srgbClr>
                  </w14:solidFill>
                </w14:textFill>
              </w:rPr>
              <w:t>|||</w:t>
            </w:r>
            <w:r w:rsidR="00BD0449" w:rsidRPr="00BD0449">
              <w:rPr>
                <w:color w:val="000000"/>
                <w:spacing w:val="1"/>
                <w:shd w:val="solid" w:color="000000" w:fill="000000"/>
                <w:fitText w:val="330" w:id="-694437368"/>
                <w14:textFill>
                  <w14:solidFill>
                    <w14:srgbClr w14:val="000000">
                      <w14:alpha w14:val="100000"/>
                    </w14:srgbClr>
                  </w14:solidFill>
                </w14:textFill>
              </w:rPr>
              <w:t>|</w:t>
            </w:r>
          </w:p>
        </w:tc>
        <w:tc>
          <w:tcPr>
            <w:tcW w:w="928" w:type="pct"/>
          </w:tcPr>
          <w:p w14:paraId="1BFBB874" w14:textId="77777777" w:rsidR="00267912" w:rsidRPr="005E7233" w:rsidRDefault="00267912" w:rsidP="00C90C1E">
            <w:pPr>
              <w:pStyle w:val="TableText0"/>
              <w:jc w:val="right"/>
              <w:rPr>
                <w:rFonts w:ascii="Times" w:hAnsi="Times"/>
              </w:rPr>
            </w:pPr>
            <w:r w:rsidRPr="005E7233">
              <w:t>$46,932</w:t>
            </w:r>
          </w:p>
        </w:tc>
        <w:tc>
          <w:tcPr>
            <w:tcW w:w="929" w:type="pct"/>
            <w:vAlign w:val="center"/>
          </w:tcPr>
          <w:p w14:paraId="22DFEE11" w14:textId="025B73CC"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7"/>
                <w14:textFill>
                  <w14:solidFill>
                    <w14:srgbClr w14:val="000000">
                      <w14:alpha w14:val="100000"/>
                    </w14:srgbClr>
                  </w14:solidFill>
                </w14:textFill>
              </w:rPr>
              <w:t>|||</w:t>
            </w:r>
            <w:r w:rsidR="00BD0449" w:rsidRPr="00BD0449">
              <w:rPr>
                <w:color w:val="000000"/>
                <w:spacing w:val="1"/>
                <w:shd w:val="solid" w:color="000000" w:fill="000000"/>
                <w:fitText w:val="330" w:id="-694437367"/>
                <w14:textFill>
                  <w14:solidFill>
                    <w14:srgbClr w14:val="000000">
                      <w14:alpha w14:val="100000"/>
                    </w14:srgbClr>
                  </w14:solidFill>
                </w14:textFill>
              </w:rPr>
              <w:t>|</w:t>
            </w:r>
          </w:p>
        </w:tc>
      </w:tr>
      <w:tr w:rsidR="00267912" w:rsidRPr="005E7233" w14:paraId="1EE0F163" w14:textId="77777777" w:rsidTr="733957FC">
        <w:tc>
          <w:tcPr>
            <w:tcW w:w="2215" w:type="pct"/>
            <w:tcBorders>
              <w:bottom w:val="single" w:sz="4" w:space="0" w:color="auto"/>
            </w:tcBorders>
            <w:vAlign w:val="center"/>
          </w:tcPr>
          <w:p w14:paraId="7E9C3F45" w14:textId="77777777" w:rsidR="00267912" w:rsidRPr="005E7233" w:rsidRDefault="00267912" w:rsidP="00C90C1E">
            <w:pPr>
              <w:pStyle w:val="TableText0"/>
              <w:rPr>
                <w:rFonts w:ascii="Times" w:hAnsi="Times"/>
              </w:rPr>
            </w:pPr>
            <w:r w:rsidRPr="005E7233">
              <w:t>QALYs</w:t>
            </w:r>
          </w:p>
        </w:tc>
        <w:tc>
          <w:tcPr>
            <w:tcW w:w="928" w:type="pct"/>
            <w:tcBorders>
              <w:bottom w:val="single" w:sz="4" w:space="0" w:color="auto"/>
            </w:tcBorders>
          </w:tcPr>
          <w:p w14:paraId="4B3430E7" w14:textId="77777777" w:rsidR="00267912" w:rsidRPr="005E7233" w:rsidRDefault="00267912" w:rsidP="00C90C1E">
            <w:pPr>
              <w:pStyle w:val="TableText0"/>
              <w:jc w:val="right"/>
              <w:rPr>
                <w:rFonts w:ascii="Times" w:hAnsi="Times"/>
              </w:rPr>
            </w:pPr>
            <w:r w:rsidRPr="005E7233">
              <w:t>8.103</w:t>
            </w:r>
          </w:p>
        </w:tc>
        <w:tc>
          <w:tcPr>
            <w:tcW w:w="928" w:type="pct"/>
            <w:tcBorders>
              <w:bottom w:val="single" w:sz="4" w:space="0" w:color="auto"/>
            </w:tcBorders>
          </w:tcPr>
          <w:p w14:paraId="2C44EB0E" w14:textId="77777777" w:rsidR="00267912" w:rsidRPr="005E7233" w:rsidRDefault="00267912" w:rsidP="00C90C1E">
            <w:pPr>
              <w:pStyle w:val="TableText0"/>
              <w:jc w:val="right"/>
              <w:rPr>
                <w:rFonts w:ascii="Times" w:hAnsi="Times"/>
              </w:rPr>
            </w:pPr>
            <w:r w:rsidRPr="005E7233">
              <w:t>6.817</w:t>
            </w:r>
          </w:p>
        </w:tc>
        <w:tc>
          <w:tcPr>
            <w:tcW w:w="929" w:type="pct"/>
            <w:vAlign w:val="center"/>
          </w:tcPr>
          <w:p w14:paraId="6AFA4975" w14:textId="77777777" w:rsidR="00267912" w:rsidRPr="005E7233" w:rsidRDefault="00267912" w:rsidP="00C90C1E">
            <w:pPr>
              <w:pStyle w:val="TableText0"/>
              <w:jc w:val="right"/>
            </w:pPr>
            <w:r w:rsidRPr="005E7233">
              <w:t>1.286</w:t>
            </w:r>
          </w:p>
        </w:tc>
      </w:tr>
      <w:tr w:rsidR="00267912" w:rsidRPr="005E7233" w14:paraId="1F6E9E4F" w14:textId="77777777" w:rsidTr="733957FC">
        <w:trPr>
          <w:trHeight w:val="63"/>
        </w:trPr>
        <w:tc>
          <w:tcPr>
            <w:tcW w:w="2215" w:type="pct"/>
            <w:tcBorders>
              <w:right w:val="nil"/>
            </w:tcBorders>
            <w:vAlign w:val="center"/>
          </w:tcPr>
          <w:p w14:paraId="36991B63" w14:textId="77777777" w:rsidR="00267912" w:rsidRPr="005E7233" w:rsidRDefault="00267912" w:rsidP="00C90C1E">
            <w:pPr>
              <w:pStyle w:val="TableText0"/>
              <w:keepNext w:val="0"/>
              <w:rPr>
                <w:rFonts w:ascii="Times" w:hAnsi="Times"/>
                <w:b/>
                <w:bCs w:val="0"/>
              </w:rPr>
            </w:pPr>
            <w:r w:rsidRPr="005E7233">
              <w:rPr>
                <w:b/>
                <w:bCs w:val="0"/>
              </w:rPr>
              <w:t>Incremental cost/extra QALY gained</w:t>
            </w:r>
          </w:p>
        </w:tc>
        <w:tc>
          <w:tcPr>
            <w:tcW w:w="928" w:type="pct"/>
            <w:tcBorders>
              <w:left w:val="nil"/>
              <w:right w:val="nil"/>
            </w:tcBorders>
            <w:vAlign w:val="center"/>
          </w:tcPr>
          <w:p w14:paraId="2ABC7630" w14:textId="77777777" w:rsidR="00267912" w:rsidRPr="005E7233" w:rsidRDefault="00267912" w:rsidP="00C90C1E">
            <w:pPr>
              <w:pStyle w:val="TableText0"/>
              <w:keepNext w:val="0"/>
              <w:jc w:val="right"/>
              <w:rPr>
                <w:rFonts w:ascii="Times" w:hAnsi="Times"/>
                <w:b/>
                <w:bCs w:val="0"/>
              </w:rPr>
            </w:pPr>
          </w:p>
        </w:tc>
        <w:tc>
          <w:tcPr>
            <w:tcW w:w="928" w:type="pct"/>
            <w:tcBorders>
              <w:left w:val="nil"/>
            </w:tcBorders>
            <w:vAlign w:val="center"/>
          </w:tcPr>
          <w:p w14:paraId="1B0EE562" w14:textId="77777777" w:rsidR="00267912" w:rsidRPr="005E7233" w:rsidRDefault="00267912" w:rsidP="00C90C1E">
            <w:pPr>
              <w:pStyle w:val="TableText0"/>
              <w:keepNext w:val="0"/>
              <w:jc w:val="right"/>
              <w:rPr>
                <w:rFonts w:ascii="Times" w:hAnsi="Times"/>
                <w:b/>
                <w:bCs w:val="0"/>
              </w:rPr>
            </w:pPr>
          </w:p>
        </w:tc>
        <w:tc>
          <w:tcPr>
            <w:tcW w:w="929" w:type="pct"/>
            <w:vAlign w:val="center"/>
          </w:tcPr>
          <w:p w14:paraId="2582A131" w14:textId="54A9EDA3" w:rsidR="00267912" w:rsidRPr="00070704" w:rsidRDefault="00267912" w:rsidP="00C90C1E">
            <w:pPr>
              <w:pStyle w:val="TableText0"/>
              <w:keepNext w:val="0"/>
              <w:jc w:val="right"/>
              <w:rPr>
                <w:rFonts w:ascii="Times" w:hAnsi="Times"/>
                <w:b/>
                <w:bCs w:val="0"/>
                <w:vertAlign w:val="superscript"/>
              </w:rPr>
            </w:pPr>
            <w:r w:rsidRPr="005E7233">
              <w:rPr>
                <w:b/>
                <w:bCs w:val="0"/>
              </w:rPr>
              <w:t>$</w:t>
            </w:r>
            <w:r w:rsidR="00BD0449">
              <w:rPr>
                <w:b/>
                <w:bCs w:val="0"/>
                <w:color w:val="000000"/>
                <w:spacing w:val="55"/>
                <w:shd w:val="solid" w:color="000000" w:fill="000000"/>
                <w:fitText w:val="350" w:id="-694437366"/>
                <w14:textFill>
                  <w14:solidFill>
                    <w14:srgbClr w14:val="000000">
                      <w14:alpha w14:val="100000"/>
                    </w14:srgbClr>
                  </w14:solidFill>
                </w14:textFill>
              </w:rPr>
              <w:t>|||</w:t>
            </w:r>
            <w:r w:rsidR="00BD0449">
              <w:rPr>
                <w:b/>
                <w:bCs w:val="0"/>
                <w:color w:val="000000"/>
                <w:spacing w:val="1"/>
                <w:shd w:val="solid" w:color="000000" w:fill="000000"/>
                <w:fitText w:val="350" w:id="-694437366"/>
                <w14:textFill>
                  <w14:solidFill>
                    <w14:srgbClr w14:val="000000">
                      <w14:alpha w14:val="100000"/>
                    </w14:srgbClr>
                  </w14:solidFill>
                </w14:textFill>
              </w:rPr>
              <w:t>|</w:t>
            </w:r>
            <w:r w:rsidR="00737FD9">
              <w:rPr>
                <w:b/>
                <w:bCs w:val="0"/>
              </w:rPr>
              <w:t xml:space="preserve"> </w:t>
            </w:r>
            <w:r w:rsidR="00070704">
              <w:rPr>
                <w:b/>
                <w:bCs w:val="0"/>
                <w:vertAlign w:val="superscript"/>
              </w:rPr>
              <w:t>4</w:t>
            </w:r>
          </w:p>
        </w:tc>
      </w:tr>
    </w:tbl>
    <w:p w14:paraId="01F05E9F" w14:textId="0213EEDD" w:rsidR="00E327E9" w:rsidRPr="005E7233" w:rsidRDefault="00E327E9" w:rsidP="00E327E9">
      <w:pPr>
        <w:pStyle w:val="TableFigureFooter"/>
      </w:pPr>
      <w:r w:rsidRPr="005E7233">
        <w:t xml:space="preserve">Source: </w:t>
      </w:r>
      <w:r w:rsidR="00BB4306" w:rsidRPr="005E7233">
        <w:t xml:space="preserve">Adapted from </w:t>
      </w:r>
      <w:r w:rsidRPr="005E7233">
        <w:t>Table 3−38, p215 of the submission.</w:t>
      </w:r>
    </w:p>
    <w:p w14:paraId="7D6AB6C0" w14:textId="20B29074" w:rsidR="00E327E9" w:rsidRPr="005E7233" w:rsidRDefault="00E327E9" w:rsidP="00E327E9">
      <w:pPr>
        <w:pStyle w:val="TableFigureFooter"/>
      </w:pPr>
      <w:r w:rsidRPr="005E7233">
        <w:lastRenderedPageBreak/>
        <w:t xml:space="preserve">1L = first-line; </w:t>
      </w:r>
      <w:r w:rsidR="00267912" w:rsidRPr="005E7233">
        <w:t xml:space="preserve">AE = adverse event; </w:t>
      </w:r>
      <w:r w:rsidRPr="005E7233">
        <w:t xml:space="preserve">IPD = individual patient-level data; IVMP = intravenous methylprednisolone; LPCD = large proptosis with constant diplopia; LPID = large proptosis with </w:t>
      </w:r>
      <w:r w:rsidR="00C34E13" w:rsidRPr="005E7233">
        <w:t>intermittent</w:t>
      </w:r>
      <w:r w:rsidRPr="005E7233">
        <w:t xml:space="preserve">/inconstant diplopia; LPND = large proptosis with no diplopia; MAIC = matching-adjusted indirect comparison; QALY = quality-adjusted life year; SPCD = small proptosis with constant diplopia; SPID = small proptosis with </w:t>
      </w:r>
      <w:r w:rsidR="00C34E13" w:rsidRPr="005E7233">
        <w:t>intermittent</w:t>
      </w:r>
      <w:r w:rsidRPr="005E7233">
        <w:t>/inconstant diplopia; SPND = small proptosis with no diplopia</w:t>
      </w:r>
      <w:r w:rsidR="00827DB8" w:rsidRPr="005E7233">
        <w:t>; TEP = teprotumumab.</w:t>
      </w:r>
    </w:p>
    <w:p w14:paraId="18C53C0A" w14:textId="708CE49C" w:rsidR="00821625" w:rsidRDefault="00CA0B69" w:rsidP="008603E4">
      <w:pPr>
        <w:pStyle w:val="TableFigureFooter"/>
        <w:spacing w:after="0"/>
      </w:pPr>
      <w:r>
        <w:rPr>
          <w:vertAlign w:val="superscript"/>
        </w:rPr>
        <w:t>a</w:t>
      </w:r>
      <w:r w:rsidR="00821625" w:rsidRPr="005E7233">
        <w:t xml:space="preserve"> The cost of subsequent treatment applied in Step 3 ($3,349.50) differed to Step 4 ($3,404.84), based on a different course cost of rituximab applied ($1,353.36 and $1,785.72, respectively). The rituximab cost applied in Step 3 was hard</w:t>
      </w:r>
      <w:r w:rsidR="00864CE4">
        <w:t>coded</w:t>
      </w:r>
      <w:r w:rsidR="00821625" w:rsidRPr="005E7233">
        <w:t xml:space="preserve"> into the </w:t>
      </w:r>
      <w:r w:rsidR="00864CE4">
        <w:t>model</w:t>
      </w:r>
      <w:r w:rsidR="00864CE4" w:rsidRPr="005E7233">
        <w:t xml:space="preserve"> </w:t>
      </w:r>
      <w:r w:rsidR="00821625" w:rsidRPr="005E7233">
        <w:t xml:space="preserve">and the basis for this could not be determined during the evaluation. </w:t>
      </w:r>
    </w:p>
    <w:p w14:paraId="3F905BF7" w14:textId="77777777" w:rsidR="008603E4" w:rsidRPr="009A6D58" w:rsidRDefault="008603E4" w:rsidP="008603E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024F87C" w14:textId="5F730333" w:rsidR="008603E4" w:rsidRPr="009A6D58" w:rsidRDefault="008603E4" w:rsidP="008603E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835271" w:rsidRPr="00835271">
        <w:rPr>
          <w:rFonts w:ascii="Arial Narrow" w:hAnsi="Arial Narrow"/>
          <w:i/>
          <w:sz w:val="18"/>
          <w:szCs w:val="18"/>
        </w:rPr>
        <w:t>$355,000 to &lt; $455,000</w:t>
      </w:r>
    </w:p>
    <w:p w14:paraId="455D7A26" w14:textId="2745E7C4" w:rsidR="008603E4" w:rsidRPr="009A6D58" w:rsidRDefault="008603E4" w:rsidP="008603E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3B659C" w:rsidRPr="003B659C">
        <w:rPr>
          <w:rFonts w:ascii="Arial Narrow" w:hAnsi="Arial Narrow"/>
          <w:i/>
          <w:sz w:val="18"/>
          <w:szCs w:val="18"/>
        </w:rPr>
        <w:t>$255,000 to &lt; $355,000</w:t>
      </w:r>
    </w:p>
    <w:p w14:paraId="2E23DA20" w14:textId="5435A833" w:rsidR="008603E4" w:rsidRDefault="008603E4" w:rsidP="008603E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4277C" w:rsidRPr="0034277C">
        <w:rPr>
          <w:rFonts w:ascii="Arial Narrow" w:hAnsi="Arial Narrow"/>
          <w:i/>
          <w:sz w:val="18"/>
          <w:szCs w:val="18"/>
        </w:rPr>
        <w:t>$755,000 to &lt; $855,000</w:t>
      </w:r>
    </w:p>
    <w:p w14:paraId="73FDCC6C" w14:textId="0D61B37F" w:rsidR="008603E4" w:rsidRPr="008603E4" w:rsidRDefault="008603E4" w:rsidP="008603E4">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F06A2" w:rsidRPr="00EF06A2">
        <w:rPr>
          <w:rFonts w:ascii="Arial Narrow" w:hAnsi="Arial Narrow"/>
          <w:i/>
          <w:sz w:val="18"/>
          <w:szCs w:val="18"/>
        </w:rPr>
        <w:t>$55,000 to &lt; $75,000</w:t>
      </w:r>
    </w:p>
    <w:p w14:paraId="36EE39E3" w14:textId="00C8E797" w:rsidR="00E327E9" w:rsidRPr="005E7233" w:rsidRDefault="00E327E9" w:rsidP="00E327E9">
      <w:pPr>
        <w:pStyle w:val="3-BodyText"/>
      </w:pPr>
      <w:r w:rsidRPr="005E7233">
        <w:t xml:space="preserve">The </w:t>
      </w:r>
      <w:r w:rsidR="005034C8" w:rsidRPr="005E7233">
        <w:t xml:space="preserve">ESC noted that the </w:t>
      </w:r>
      <w:r w:rsidRPr="005E7233">
        <w:t xml:space="preserve">step that had the most impact on the ICER was the extrapolation to the lifetime time horizon. </w:t>
      </w:r>
      <w:r w:rsidR="000157F7" w:rsidRPr="005E7233">
        <w:t xml:space="preserve">Given issues regarding the </w:t>
      </w:r>
      <w:r w:rsidR="00DA4688">
        <w:t>lasting effect</w:t>
      </w:r>
      <w:r w:rsidR="00DA4688" w:rsidRPr="005E7233">
        <w:t xml:space="preserve"> </w:t>
      </w:r>
      <w:r w:rsidR="000157F7" w:rsidRPr="005E7233">
        <w:t xml:space="preserve">of teprotumumab treatment in terms of reducing symptom severity beyond the trial data and the relationship between symptom severity and use and outcomes of rehabilitative surgery required, the use of a lifetime time horizon is not appropriate and is associated with uncertainty which may be reduced by applying a shorter time horizon. </w:t>
      </w:r>
      <w:r w:rsidR="000157F7" w:rsidRPr="005E7233">
        <w:fldChar w:fldCharType="begin"/>
      </w:r>
      <w:r w:rsidR="000157F7" w:rsidRPr="005E7233">
        <w:instrText xml:space="preserve"> REF _Ref187312755 \h </w:instrText>
      </w:r>
      <w:r w:rsidR="0066573D" w:rsidRPr="005E7233">
        <w:instrText xml:space="preserve"> \* MERGEFORMAT </w:instrText>
      </w:r>
      <w:r w:rsidR="000157F7" w:rsidRPr="005E7233">
        <w:fldChar w:fldCharType="separate"/>
      </w:r>
      <w:r w:rsidR="0012101B" w:rsidRPr="005E7233">
        <w:t xml:space="preserve">Figure </w:t>
      </w:r>
      <w:r w:rsidR="0012101B">
        <w:rPr>
          <w:noProof/>
        </w:rPr>
        <w:t>6</w:t>
      </w:r>
      <w:r w:rsidR="000157F7" w:rsidRPr="005E7233">
        <w:fldChar w:fldCharType="end"/>
      </w:r>
      <w:r w:rsidR="000157F7" w:rsidRPr="005E7233">
        <w:t xml:space="preserve"> provides a summary of the ICER ($/QALY</w:t>
      </w:r>
      <w:r w:rsidR="00D42B65">
        <w:t xml:space="preserve"> gained</w:t>
      </w:r>
      <w:r w:rsidR="000157F7" w:rsidRPr="005E7233">
        <w:t>) over the time horizon of the model.</w:t>
      </w:r>
    </w:p>
    <w:p w14:paraId="4AE21EB3" w14:textId="410C0F54" w:rsidR="000157F7" w:rsidRDefault="000157F7" w:rsidP="005303EA">
      <w:pPr>
        <w:pStyle w:val="TableFigureHeading"/>
      </w:pPr>
      <w:bookmarkStart w:id="100" w:name="_Ref187312755"/>
      <w:r w:rsidRPr="005E7233">
        <w:t xml:space="preserve">Figure </w:t>
      </w:r>
      <w:r w:rsidR="00FB1BE3">
        <w:rPr>
          <w:b w:val="0"/>
          <w:bCs w:val="0"/>
        </w:rPr>
        <w:fldChar w:fldCharType="begin"/>
      </w:r>
      <w:r w:rsidR="00FB1BE3">
        <w:instrText xml:space="preserve"> SEQ Figure \* ARABIC </w:instrText>
      </w:r>
      <w:r w:rsidR="00FB1BE3">
        <w:rPr>
          <w:b w:val="0"/>
          <w:bCs w:val="0"/>
        </w:rPr>
        <w:fldChar w:fldCharType="separate"/>
      </w:r>
      <w:r w:rsidR="0012101B">
        <w:rPr>
          <w:noProof/>
        </w:rPr>
        <w:t>6</w:t>
      </w:r>
      <w:r w:rsidR="00FB1BE3">
        <w:rPr>
          <w:b w:val="0"/>
          <w:bCs w:val="0"/>
          <w:noProof/>
        </w:rPr>
        <w:fldChar w:fldCharType="end"/>
      </w:r>
      <w:bookmarkEnd w:id="100"/>
      <w:r w:rsidRPr="005E7233">
        <w:t xml:space="preserve">: </w:t>
      </w:r>
      <w:r w:rsidRPr="005E7233">
        <w:rPr>
          <w:rStyle w:val="CommentReference"/>
          <w:b/>
          <w:szCs w:val="18"/>
        </w:rPr>
        <w:t>Trace of the ICER ($/QALY) over the time horizon of the model</w:t>
      </w:r>
    </w:p>
    <w:p w14:paraId="7FACF856" w14:textId="73261DDF" w:rsidR="00ED77CB" w:rsidRPr="005E7233" w:rsidRDefault="005303EA" w:rsidP="000157F7">
      <w:r>
        <w:rPr>
          <w:noProof/>
        </w:rPr>
        <w:drawing>
          <wp:inline distT="0" distB="0" distL="0" distR="0" wp14:anchorId="1854E7A1" wp14:editId="105CC813">
            <wp:extent cx="5732145" cy="3260725"/>
            <wp:effectExtent l="0" t="0" r="1905" b="0"/>
            <wp:docPr id="1684845699" name="Picture 1" descr="Figure 6: Trace of the ICER ($/QALY) over the time horizon of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45699" name="Picture 1" descr="Figure 6: Trace of the ICER ($/QALY) over the time horizon of the model"/>
                    <pic:cNvPicPr/>
                  </pic:nvPicPr>
                  <pic:blipFill>
                    <a:blip r:embed="rId16"/>
                    <a:stretch>
                      <a:fillRect/>
                    </a:stretch>
                  </pic:blipFill>
                  <pic:spPr>
                    <a:xfrm>
                      <a:off x="0" y="0"/>
                      <a:ext cx="5732145" cy="3260725"/>
                    </a:xfrm>
                    <a:prstGeom prst="rect">
                      <a:avLst/>
                    </a:prstGeom>
                  </pic:spPr>
                </pic:pic>
              </a:graphicData>
            </a:graphic>
          </wp:inline>
        </w:drawing>
      </w:r>
    </w:p>
    <w:p w14:paraId="5FC09E41" w14:textId="77777777" w:rsidR="000157F7" w:rsidRPr="005E7233" w:rsidRDefault="000157F7" w:rsidP="000157F7">
      <w:pPr>
        <w:pStyle w:val="TableFigureFooter"/>
      </w:pPr>
      <w:r w:rsidRPr="005E7233">
        <w:t>Source: Constructed during the evaluation from the ‘Attachment 17 Tepezza Economic model.xlsb’ file included in the submission.</w:t>
      </w:r>
    </w:p>
    <w:p w14:paraId="7B840CA9" w14:textId="77777777" w:rsidR="000157F7" w:rsidRPr="005E7233" w:rsidRDefault="000157F7" w:rsidP="000157F7">
      <w:pPr>
        <w:pStyle w:val="TableFigureFooter"/>
      </w:pPr>
      <w:r w:rsidRPr="005E7233">
        <w:t>ICER = incremental cost-effectiveness ratio; QALY = quality-adjusted life year.</w:t>
      </w:r>
    </w:p>
    <w:p w14:paraId="6DF18450" w14:textId="7695BB72" w:rsidR="00E327E9" w:rsidRPr="005E7233" w:rsidRDefault="00E327E9" w:rsidP="00E327E9">
      <w:pPr>
        <w:pStyle w:val="3-BodyText"/>
      </w:pPr>
      <w:r w:rsidRPr="005E7233">
        <w:t xml:space="preserve">Key univariate sensitivity analyses presented in the submission and conducted during the evaluation </w:t>
      </w:r>
      <w:r w:rsidR="009441EB">
        <w:t>for key</w:t>
      </w:r>
      <w:r w:rsidR="00B272D8" w:rsidRPr="005E7233">
        <w:t xml:space="preserve"> </w:t>
      </w:r>
      <w:r w:rsidRPr="005E7233">
        <w:t xml:space="preserve">areas of uncertainty identified are presented in </w:t>
      </w:r>
      <w:r w:rsidRPr="005E7233">
        <w:rPr>
          <w:highlight w:val="yellow"/>
        </w:rPr>
        <w:fldChar w:fldCharType="begin"/>
      </w:r>
      <w:r w:rsidRPr="005E7233">
        <w:instrText xml:space="preserve"> REF _Ref104804865 \h </w:instrText>
      </w:r>
      <w:r w:rsidR="0066573D" w:rsidRPr="005E7233">
        <w:rPr>
          <w:highlight w:val="yellow"/>
        </w:rPr>
        <w:instrText xml:space="preserve"> \* MERGEFORMAT </w:instrText>
      </w:r>
      <w:r w:rsidRPr="005E7233">
        <w:rPr>
          <w:highlight w:val="yellow"/>
        </w:rPr>
      </w:r>
      <w:r w:rsidRPr="005E7233">
        <w:rPr>
          <w:highlight w:val="yellow"/>
        </w:rPr>
        <w:fldChar w:fldCharType="separate"/>
      </w:r>
      <w:r w:rsidR="0012101B" w:rsidRPr="005E7233">
        <w:t xml:space="preserve">Table </w:t>
      </w:r>
      <w:r w:rsidR="0012101B">
        <w:rPr>
          <w:noProof/>
        </w:rPr>
        <w:t>19</w:t>
      </w:r>
      <w:r w:rsidRPr="005E7233">
        <w:rPr>
          <w:highlight w:val="yellow"/>
        </w:rPr>
        <w:fldChar w:fldCharType="end"/>
      </w:r>
      <w:r w:rsidRPr="005E7233">
        <w:t xml:space="preserve">. The ICER was observed to be most sensitive to the time horizon; health state utility values for SPND, LPCD and LPID; </w:t>
      </w:r>
      <w:r w:rsidR="00667896" w:rsidRPr="005E7233">
        <w:t xml:space="preserve">treatment </w:t>
      </w:r>
      <w:r w:rsidRPr="005E7233">
        <w:t>effect of IVMP</w:t>
      </w:r>
      <w:r w:rsidR="00667896" w:rsidRPr="005E7233">
        <w:t xml:space="preserve"> and IVMP relapse rates in cycles 5–12</w:t>
      </w:r>
      <w:r w:rsidRPr="005E7233">
        <w:t xml:space="preserve">; and assumptions regarding the </w:t>
      </w:r>
      <w:r w:rsidR="00695F8D" w:rsidRPr="005E7233">
        <w:t>S</w:t>
      </w:r>
      <w:r w:rsidRPr="005E7233">
        <w:t>urgery</w:t>
      </w:r>
      <w:r w:rsidR="00695F8D" w:rsidRPr="005E7233">
        <w:t xml:space="preserve"> and Post-surgery</w:t>
      </w:r>
      <w:r w:rsidRPr="005E7233">
        <w:t xml:space="preserve"> health state</w:t>
      </w:r>
      <w:r w:rsidR="00695F8D" w:rsidRPr="005E7233">
        <w:t>s</w:t>
      </w:r>
      <w:r w:rsidRPr="005E7233">
        <w:t xml:space="preserve"> (proportion who receive surgery and utility values).</w:t>
      </w:r>
    </w:p>
    <w:p w14:paraId="55BBB589" w14:textId="48EDCECC" w:rsidR="00D66256" w:rsidRPr="005E7233" w:rsidRDefault="00D66256" w:rsidP="00E327E9">
      <w:pPr>
        <w:pStyle w:val="3-BodyText"/>
      </w:pPr>
      <w:bookmarkStart w:id="101" w:name="_Ref187666764"/>
      <w:bookmarkStart w:id="102" w:name="_Ref195246367"/>
      <w:r w:rsidRPr="005E7233">
        <w:lastRenderedPageBreak/>
        <w:t>The submission presented a scenario analysis exploring the impact of teprotumumab retreatment, which was associated with a small increase in the ICER. In this scenario</w:t>
      </w:r>
      <w:r w:rsidR="007A4F82" w:rsidRPr="005E7233">
        <w:t>,</w:t>
      </w:r>
      <w:r w:rsidRPr="005E7233">
        <w:t xml:space="preserve"> following teprotumumab the only subsequent treatment modelled was teprotumumab in a proportion of patients in cycle 13 (26% of patients with large proptosis, based on OPTIC-X</w:t>
      </w:r>
      <w:r w:rsidRPr="005E7233">
        <w:rPr>
          <w:rStyle w:val="FootnoteReference"/>
        </w:rPr>
        <w:footnoteReference w:id="49"/>
      </w:r>
      <w:r w:rsidRPr="005E7233">
        <w:t>). No subsequent treatment was assumed in patients who had discontinued while on teprotumumab nor in those patients who otherwise received subsequent treatment in the base case (i.e. patients in SPCD health state and the remaining 74% of patients with large proptosis). The impact of retreatment on outcomes was applied in cycle 17 (i.e. end of retreatment course) as a 13% probability of transitioning from large to small proptosis. This was based on a 50% proptosis response rate reported in OPTIC-X</w:t>
      </w:r>
      <w:r w:rsidRPr="005E7233">
        <w:rPr>
          <w:rStyle w:val="FootnoteReference"/>
        </w:rPr>
        <w:footnoteReference w:id="50"/>
      </w:r>
      <w:r w:rsidRPr="005E7233">
        <w:t xml:space="preserve">, applied to the proportion of patients with large proptosis who received retreatment (i.e. 26%). No change in diplopia response was assumed, nor were any subsequent relapses modelled following retreatment. The results of this scenario are associated with substantial uncertainty. </w:t>
      </w:r>
      <w:r w:rsidR="008C2A7B" w:rsidRPr="005E7233">
        <w:t xml:space="preserve">Of note, the uptake rate and response rate associated with teprotumumab retreatment as reported in OPTIC-X were in patients </w:t>
      </w:r>
      <w:r w:rsidRPr="005E7233">
        <w:t>who initially responded to teprotumumab</w:t>
      </w:r>
      <w:r w:rsidR="008C2A7B" w:rsidRPr="005E7233">
        <w:t>; thus, these estimates</w:t>
      </w:r>
      <w:r w:rsidRPr="005E7233">
        <w:t xml:space="preserve"> have uncertain applicability to the modelled </w:t>
      </w:r>
      <w:r w:rsidR="008C2A7B" w:rsidRPr="005E7233">
        <w:t xml:space="preserve">retreated population </w:t>
      </w:r>
      <w:r w:rsidRPr="005E7233">
        <w:t>which reflect a mix of responders and non-responders. These assumptions may overestimate the response to retreatment if initial responders are more likely to respond and underestimate the cost of retreatment if there is substantial use in patients who did not respond initially to treatment. Furthermore, the benefit of teprotumumab retreatment may be overestimated due to the assumption of no further relapses.</w:t>
      </w:r>
      <w:bookmarkEnd w:id="101"/>
      <w:r w:rsidR="00831E0E" w:rsidRPr="005E7233">
        <w:t xml:space="preserve"> The impact on the ICER due to retreatment has therefore likely been underestimated.</w:t>
      </w:r>
      <w:bookmarkEnd w:id="102"/>
    </w:p>
    <w:p w14:paraId="656DD205" w14:textId="39EE99E2" w:rsidR="00E327E9" w:rsidRPr="005E7233" w:rsidRDefault="00E327E9" w:rsidP="00E327E9">
      <w:pPr>
        <w:pStyle w:val="TableFigureHeading"/>
        <w:rPr>
          <w:rStyle w:val="CommentReference"/>
          <w:b/>
          <w:szCs w:val="24"/>
        </w:rPr>
      </w:pPr>
      <w:bookmarkStart w:id="103" w:name="_Ref104804865"/>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19</w:t>
      </w:r>
      <w:r w:rsidR="00FB1BE3">
        <w:rPr>
          <w:noProof/>
        </w:rPr>
        <w:fldChar w:fldCharType="end"/>
      </w:r>
      <w:bookmarkEnd w:id="103"/>
      <w:r w:rsidRPr="005E7233">
        <w:t>:</w:t>
      </w:r>
      <w:r w:rsidRPr="005E7233">
        <w:rPr>
          <w:rStyle w:val="CommentReference"/>
          <w:b/>
          <w:szCs w:val="24"/>
        </w:rPr>
        <w:t xml:space="preserve"> </w:t>
      </w:r>
      <w:r w:rsidRPr="005E7233">
        <w:t>Key univariate analyses</w:t>
      </w:r>
    </w:p>
    <w:tbl>
      <w:tblPr>
        <w:tblStyle w:val="TableGrid"/>
        <w:tblW w:w="0" w:type="auto"/>
        <w:tblLayout w:type="fixed"/>
        <w:tblCellMar>
          <w:left w:w="85" w:type="dxa"/>
          <w:right w:w="85" w:type="dxa"/>
        </w:tblCellMar>
        <w:tblLook w:val="04A0" w:firstRow="1" w:lastRow="0" w:firstColumn="1" w:lastColumn="0" w:noHBand="0" w:noVBand="1"/>
      </w:tblPr>
      <w:tblGrid>
        <w:gridCol w:w="5098"/>
        <w:gridCol w:w="1134"/>
        <w:gridCol w:w="1134"/>
        <w:gridCol w:w="993"/>
        <w:gridCol w:w="658"/>
      </w:tblGrid>
      <w:tr w:rsidR="00E327E9" w:rsidRPr="005E7233" w14:paraId="03EA5D4B" w14:textId="77777777" w:rsidTr="008A70D4">
        <w:trPr>
          <w:cantSplit/>
          <w:tblHeader/>
        </w:trPr>
        <w:tc>
          <w:tcPr>
            <w:tcW w:w="5098" w:type="dxa"/>
          </w:tcPr>
          <w:p w14:paraId="411EE574" w14:textId="77777777" w:rsidR="00E327E9" w:rsidRPr="005E7233" w:rsidRDefault="00E327E9" w:rsidP="00A45177">
            <w:pPr>
              <w:pStyle w:val="In-tableHeading"/>
              <w:rPr>
                <w:lang w:val="en-AU"/>
              </w:rPr>
            </w:pPr>
          </w:p>
        </w:tc>
        <w:tc>
          <w:tcPr>
            <w:tcW w:w="1134" w:type="dxa"/>
            <w:tcMar>
              <w:left w:w="57" w:type="dxa"/>
              <w:right w:w="57" w:type="dxa"/>
            </w:tcMar>
          </w:tcPr>
          <w:p w14:paraId="59557299" w14:textId="77777777" w:rsidR="00E327E9" w:rsidRPr="005E7233" w:rsidRDefault="00E327E9" w:rsidP="00A45177">
            <w:pPr>
              <w:pStyle w:val="In-tableHeading"/>
              <w:jc w:val="right"/>
              <w:rPr>
                <w:lang w:val="en-AU"/>
              </w:rPr>
            </w:pPr>
            <w:r w:rsidRPr="005E7233">
              <w:rPr>
                <w:lang w:val="en-AU"/>
              </w:rPr>
              <w:t>Incremental costs</w:t>
            </w:r>
          </w:p>
        </w:tc>
        <w:tc>
          <w:tcPr>
            <w:tcW w:w="1134" w:type="dxa"/>
            <w:tcMar>
              <w:left w:w="57" w:type="dxa"/>
              <w:right w:w="57" w:type="dxa"/>
            </w:tcMar>
          </w:tcPr>
          <w:p w14:paraId="3E1A4128" w14:textId="77777777" w:rsidR="00E327E9" w:rsidRPr="005E7233" w:rsidRDefault="00E327E9" w:rsidP="00A45177">
            <w:pPr>
              <w:pStyle w:val="In-tableHeading"/>
              <w:jc w:val="right"/>
              <w:rPr>
                <w:lang w:val="en-AU"/>
              </w:rPr>
            </w:pPr>
            <w:r w:rsidRPr="005E7233">
              <w:rPr>
                <w:lang w:val="en-AU"/>
              </w:rPr>
              <w:t>Incremental QALYs</w:t>
            </w:r>
          </w:p>
        </w:tc>
        <w:tc>
          <w:tcPr>
            <w:tcW w:w="993" w:type="dxa"/>
          </w:tcPr>
          <w:p w14:paraId="104272C0" w14:textId="77777777" w:rsidR="00E327E9" w:rsidRPr="005E7233" w:rsidRDefault="00E327E9" w:rsidP="00A45177">
            <w:pPr>
              <w:pStyle w:val="In-tableHeading"/>
              <w:jc w:val="right"/>
              <w:rPr>
                <w:lang w:val="en-AU"/>
              </w:rPr>
            </w:pPr>
            <w:r w:rsidRPr="005E7233">
              <w:rPr>
                <w:lang w:val="en-AU"/>
              </w:rPr>
              <w:t>ICER</w:t>
            </w:r>
          </w:p>
        </w:tc>
        <w:tc>
          <w:tcPr>
            <w:tcW w:w="658" w:type="dxa"/>
          </w:tcPr>
          <w:p w14:paraId="6038F3B5" w14:textId="77777777" w:rsidR="00E327E9" w:rsidRPr="005E7233" w:rsidRDefault="00E327E9" w:rsidP="00A45177">
            <w:pPr>
              <w:pStyle w:val="In-tableHeading"/>
              <w:jc w:val="right"/>
              <w:rPr>
                <w:lang w:val="en-AU"/>
              </w:rPr>
            </w:pPr>
            <w:r w:rsidRPr="005E7233">
              <w:rPr>
                <w:lang w:val="en-AU"/>
              </w:rPr>
              <w:t>%</w:t>
            </w:r>
          </w:p>
        </w:tc>
      </w:tr>
      <w:tr w:rsidR="00721F67" w:rsidRPr="005E7233" w14:paraId="2378BC24" w14:textId="77777777" w:rsidTr="008A70D4">
        <w:trPr>
          <w:cantSplit/>
          <w:tblHeader/>
        </w:trPr>
        <w:tc>
          <w:tcPr>
            <w:tcW w:w="5098" w:type="dxa"/>
          </w:tcPr>
          <w:p w14:paraId="5109C75C" w14:textId="77777777" w:rsidR="00721F67" w:rsidRPr="005E7233" w:rsidRDefault="00721F67" w:rsidP="00721F67">
            <w:pPr>
              <w:pStyle w:val="TableText0"/>
              <w:rPr>
                <w:b/>
                <w:bCs w:val="0"/>
              </w:rPr>
            </w:pPr>
            <w:r w:rsidRPr="005E7233">
              <w:rPr>
                <w:b/>
                <w:bCs w:val="0"/>
              </w:rPr>
              <w:t>Base case</w:t>
            </w:r>
          </w:p>
        </w:tc>
        <w:tc>
          <w:tcPr>
            <w:tcW w:w="1134" w:type="dxa"/>
          </w:tcPr>
          <w:p w14:paraId="7F31E857" w14:textId="19E87B59" w:rsidR="00721F67" w:rsidRPr="005E7233" w:rsidRDefault="00721F67" w:rsidP="00721F67">
            <w:pPr>
              <w:pStyle w:val="TableText0"/>
              <w:jc w:val="right"/>
              <w:rPr>
                <w:b/>
                <w:bCs w:val="0"/>
              </w:rPr>
            </w:pPr>
            <w:r w:rsidRPr="005E7233">
              <w:rPr>
                <w:b/>
                <w:bCs w:val="0"/>
              </w:rPr>
              <w:t>$</w:t>
            </w:r>
            <w:r w:rsidR="00BD0449" w:rsidRPr="00F969C2">
              <w:rPr>
                <w:b/>
                <w:bCs w:val="0"/>
                <w:color w:val="000000"/>
                <w:spacing w:val="55"/>
                <w:shd w:val="solid" w:color="000000" w:fill="000000"/>
                <w:fitText w:val="350" w:id="-694437365"/>
                <w14:textFill>
                  <w14:solidFill>
                    <w14:srgbClr w14:val="000000">
                      <w14:alpha w14:val="100000"/>
                    </w14:srgbClr>
                  </w14:solidFill>
                </w14:textFill>
              </w:rPr>
              <w:t>|||</w:t>
            </w:r>
            <w:r w:rsidR="00BD0449" w:rsidRPr="00F969C2">
              <w:rPr>
                <w:b/>
                <w:bCs w:val="0"/>
                <w:color w:val="000000"/>
                <w:spacing w:val="2"/>
                <w:shd w:val="solid" w:color="000000" w:fill="000000"/>
                <w:fitText w:val="350" w:id="-694437365"/>
                <w14:textFill>
                  <w14:solidFill>
                    <w14:srgbClr w14:val="000000">
                      <w14:alpha w14:val="100000"/>
                    </w14:srgbClr>
                  </w14:solidFill>
                </w14:textFill>
              </w:rPr>
              <w:t>|</w:t>
            </w:r>
            <w:r w:rsidR="00A25BDC">
              <w:rPr>
                <w:b/>
                <w:bCs w:val="0"/>
              </w:rPr>
              <w:t xml:space="preserve"> </w:t>
            </w:r>
          </w:p>
        </w:tc>
        <w:tc>
          <w:tcPr>
            <w:tcW w:w="1134" w:type="dxa"/>
          </w:tcPr>
          <w:p w14:paraId="38AB3C3B" w14:textId="4DCD7D84" w:rsidR="00721F67" w:rsidRPr="005E7233" w:rsidRDefault="00721F67" w:rsidP="00721F67">
            <w:pPr>
              <w:pStyle w:val="TableText0"/>
              <w:jc w:val="right"/>
              <w:rPr>
                <w:b/>
                <w:bCs w:val="0"/>
              </w:rPr>
            </w:pPr>
            <w:r w:rsidRPr="005E7233">
              <w:rPr>
                <w:b/>
                <w:bCs w:val="0"/>
              </w:rPr>
              <w:t>1.286</w:t>
            </w:r>
          </w:p>
        </w:tc>
        <w:tc>
          <w:tcPr>
            <w:tcW w:w="993" w:type="dxa"/>
          </w:tcPr>
          <w:p w14:paraId="1C326932" w14:textId="71734A11" w:rsidR="00721F67" w:rsidRPr="00DE6728" w:rsidRDefault="00721F67" w:rsidP="00721F67">
            <w:pPr>
              <w:pStyle w:val="TableText0"/>
              <w:jc w:val="right"/>
              <w:rPr>
                <w:b/>
                <w:bCs w:val="0"/>
                <w:vertAlign w:val="superscript"/>
              </w:rPr>
            </w:pPr>
            <w:r w:rsidRPr="005E7233">
              <w:rPr>
                <w:b/>
                <w:bCs w:val="0"/>
              </w:rPr>
              <w:t>$</w:t>
            </w:r>
            <w:r w:rsidR="00BD0449" w:rsidRPr="00F969C2">
              <w:rPr>
                <w:b/>
                <w:bCs w:val="0"/>
                <w:color w:val="000000"/>
                <w:spacing w:val="58"/>
                <w:shd w:val="solid" w:color="000000" w:fill="000000"/>
                <w:fitText w:val="360" w:id="-694437364"/>
                <w14:textFill>
                  <w14:solidFill>
                    <w14:srgbClr w14:val="000000">
                      <w14:alpha w14:val="100000"/>
                    </w14:srgbClr>
                  </w14:solidFill>
                </w14:textFill>
              </w:rPr>
              <w:t>|||</w:t>
            </w:r>
            <w:r w:rsidR="00BD0449" w:rsidRPr="00F969C2">
              <w:rPr>
                <w:b/>
                <w:bCs w:val="0"/>
                <w:color w:val="000000"/>
                <w:spacing w:val="3"/>
                <w:shd w:val="solid" w:color="000000" w:fill="000000"/>
                <w:fitText w:val="360" w:id="-694437364"/>
                <w14:textFill>
                  <w14:solidFill>
                    <w14:srgbClr w14:val="000000">
                      <w14:alpha w14:val="100000"/>
                    </w14:srgbClr>
                  </w14:solidFill>
                </w14:textFill>
              </w:rPr>
              <w:t>|</w:t>
            </w:r>
            <w:r w:rsidR="00DE6728">
              <w:rPr>
                <w:b/>
                <w:bCs w:val="0"/>
              </w:rPr>
              <w:t xml:space="preserve"> </w:t>
            </w:r>
            <w:r w:rsidR="00DE6728">
              <w:rPr>
                <w:b/>
                <w:bCs w:val="0"/>
                <w:vertAlign w:val="superscript"/>
              </w:rPr>
              <w:t>1</w:t>
            </w:r>
          </w:p>
        </w:tc>
        <w:tc>
          <w:tcPr>
            <w:tcW w:w="658" w:type="dxa"/>
          </w:tcPr>
          <w:p w14:paraId="54FA5AC3" w14:textId="77777777" w:rsidR="00721F67" w:rsidRPr="005E7233" w:rsidRDefault="00721F67" w:rsidP="00721F67">
            <w:pPr>
              <w:pStyle w:val="TableText0"/>
              <w:jc w:val="right"/>
              <w:rPr>
                <w:b/>
                <w:bCs w:val="0"/>
              </w:rPr>
            </w:pPr>
            <w:r w:rsidRPr="005E7233">
              <w:rPr>
                <w:b/>
                <w:bCs w:val="0"/>
              </w:rPr>
              <w:t>–</w:t>
            </w:r>
          </w:p>
        </w:tc>
      </w:tr>
      <w:tr w:rsidR="00B466D3" w:rsidRPr="005E7233" w14:paraId="339E8A54" w14:textId="77777777" w:rsidTr="008A70D4">
        <w:trPr>
          <w:cantSplit/>
        </w:trPr>
        <w:tc>
          <w:tcPr>
            <w:tcW w:w="5098" w:type="dxa"/>
            <w:tcBorders>
              <w:bottom w:val="single" w:sz="4" w:space="0" w:color="auto"/>
            </w:tcBorders>
          </w:tcPr>
          <w:p w14:paraId="351EA1D6" w14:textId="174AB919" w:rsidR="00B466D3" w:rsidRPr="005E7233" w:rsidRDefault="00B466D3" w:rsidP="00B466D3">
            <w:pPr>
              <w:pStyle w:val="TableText0"/>
            </w:pPr>
            <w:r w:rsidRPr="005E7233">
              <w:t>Include TEP retreatment (efficacy and cost) (base case: not included)</w:t>
            </w:r>
            <w:r w:rsidR="0033485F">
              <w:t xml:space="preserve">, see paragraph </w:t>
            </w:r>
            <w:r w:rsidR="0033485F">
              <w:fldChar w:fldCharType="begin"/>
            </w:r>
            <w:r w:rsidR="0033485F">
              <w:instrText xml:space="preserve"> REF _Ref195246367 \r \h </w:instrText>
            </w:r>
            <w:r w:rsidR="0033485F">
              <w:fldChar w:fldCharType="separate"/>
            </w:r>
            <w:r w:rsidR="0012101B">
              <w:t>6.87</w:t>
            </w:r>
            <w:r w:rsidR="0033485F">
              <w:fldChar w:fldCharType="end"/>
            </w:r>
            <w:r w:rsidR="0033485F">
              <w:t>.</w:t>
            </w:r>
          </w:p>
        </w:tc>
        <w:tc>
          <w:tcPr>
            <w:tcW w:w="1134" w:type="dxa"/>
            <w:tcBorders>
              <w:bottom w:val="single" w:sz="4" w:space="0" w:color="auto"/>
            </w:tcBorders>
          </w:tcPr>
          <w:p w14:paraId="7333534C" w14:textId="0844D9C3" w:rsidR="00B466D3" w:rsidRPr="005E7233" w:rsidRDefault="00B466D3" w:rsidP="00B466D3">
            <w:pPr>
              <w:pStyle w:val="TableText0"/>
              <w:jc w:val="right"/>
            </w:pPr>
            <w:r w:rsidRPr="005E7233">
              <w:t>$</w:t>
            </w:r>
            <w:r w:rsidR="00BD0449" w:rsidRPr="00F969C2">
              <w:rPr>
                <w:color w:val="000000"/>
                <w:spacing w:val="59"/>
                <w:w w:val="84"/>
                <w:shd w:val="solid" w:color="000000" w:fill="000000"/>
                <w:fitText w:val="320" w:id="-694437363"/>
                <w14:textFill>
                  <w14:solidFill>
                    <w14:srgbClr w14:val="000000">
                      <w14:alpha w14:val="100000"/>
                    </w14:srgbClr>
                  </w14:solidFill>
                </w14:textFill>
              </w:rPr>
              <w:t>|||</w:t>
            </w:r>
            <w:r w:rsidR="00BD0449" w:rsidRPr="00F969C2">
              <w:rPr>
                <w:color w:val="000000"/>
                <w:spacing w:val="1"/>
                <w:w w:val="84"/>
                <w:shd w:val="solid" w:color="000000" w:fill="000000"/>
                <w:fitText w:val="320" w:id="-694437363"/>
                <w14:textFill>
                  <w14:solidFill>
                    <w14:srgbClr w14:val="000000">
                      <w14:alpha w14:val="100000"/>
                    </w14:srgbClr>
                  </w14:solidFill>
                </w14:textFill>
              </w:rPr>
              <w:t>|</w:t>
            </w:r>
            <w:r w:rsidR="00A25BDC">
              <w:t xml:space="preserve"> </w:t>
            </w:r>
          </w:p>
        </w:tc>
        <w:tc>
          <w:tcPr>
            <w:tcW w:w="1134" w:type="dxa"/>
            <w:tcBorders>
              <w:bottom w:val="single" w:sz="4" w:space="0" w:color="auto"/>
            </w:tcBorders>
          </w:tcPr>
          <w:p w14:paraId="130F9288" w14:textId="3878E07F" w:rsidR="00B466D3" w:rsidRPr="005E7233" w:rsidRDefault="00B466D3" w:rsidP="00B466D3">
            <w:pPr>
              <w:pStyle w:val="TableText0"/>
              <w:jc w:val="right"/>
            </w:pPr>
            <w:r w:rsidRPr="005E7233">
              <w:t>1.325</w:t>
            </w:r>
          </w:p>
        </w:tc>
        <w:tc>
          <w:tcPr>
            <w:tcW w:w="993" w:type="dxa"/>
            <w:tcBorders>
              <w:bottom w:val="single" w:sz="4" w:space="0" w:color="auto"/>
            </w:tcBorders>
          </w:tcPr>
          <w:p w14:paraId="57753210" w14:textId="171A5EA1" w:rsidR="00B466D3" w:rsidRPr="005E7233" w:rsidRDefault="00B466D3" w:rsidP="00B466D3">
            <w:pPr>
              <w:pStyle w:val="TableText0"/>
              <w:jc w:val="right"/>
            </w:pPr>
            <w:r w:rsidRPr="005E7233">
              <w:t>$</w:t>
            </w:r>
            <w:r w:rsidR="00BD0449" w:rsidRPr="00F969C2">
              <w:rPr>
                <w:color w:val="000000"/>
                <w:spacing w:val="53"/>
                <w:shd w:val="solid" w:color="000000" w:fill="000000"/>
                <w:fitText w:val="330" w:id="-694437362"/>
                <w14:textFill>
                  <w14:solidFill>
                    <w14:srgbClr w14:val="000000">
                      <w14:alpha w14:val="100000"/>
                    </w14:srgbClr>
                  </w14:solidFill>
                </w14:textFill>
              </w:rPr>
              <w:t>|||</w:t>
            </w:r>
            <w:r w:rsidR="00BD0449" w:rsidRPr="00F969C2">
              <w:rPr>
                <w:color w:val="000000"/>
                <w:spacing w:val="1"/>
                <w:shd w:val="solid" w:color="000000" w:fill="000000"/>
                <w:fitText w:val="330" w:id="-694437362"/>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bottom w:val="single" w:sz="4" w:space="0" w:color="auto"/>
            </w:tcBorders>
          </w:tcPr>
          <w:p w14:paraId="460E74AA" w14:textId="2014E82B" w:rsidR="00B466D3" w:rsidRPr="005E7233" w:rsidRDefault="00BD0449" w:rsidP="00B466D3">
            <w:pPr>
              <w:pStyle w:val="TableText0"/>
              <w:jc w:val="right"/>
            </w:pPr>
            <w:r w:rsidRPr="00BD0449">
              <w:rPr>
                <w:color w:val="000000"/>
                <w:spacing w:val="84"/>
                <w:shd w:val="solid" w:color="000000" w:fill="000000"/>
                <w:fitText w:val="170" w:id="-694437361"/>
                <w14:textFill>
                  <w14:solidFill>
                    <w14:srgbClr w14:val="000000">
                      <w14:alpha w14:val="100000"/>
                    </w14:srgbClr>
                  </w14:solidFill>
                </w14:textFill>
              </w:rPr>
              <w:t>|</w:t>
            </w:r>
            <w:r w:rsidRPr="00BD0449">
              <w:rPr>
                <w:color w:val="000000"/>
                <w:spacing w:val="1"/>
                <w:shd w:val="solid" w:color="000000" w:fill="000000"/>
                <w:fitText w:val="170" w:id="-694437361"/>
                <w14:textFill>
                  <w14:solidFill>
                    <w14:srgbClr w14:val="000000">
                      <w14:alpha w14:val="100000"/>
                    </w14:srgbClr>
                  </w14:solidFill>
                </w14:textFill>
              </w:rPr>
              <w:t>|</w:t>
            </w:r>
            <w:r w:rsidR="00B466D3" w:rsidRPr="005E7233">
              <w:t>%</w:t>
            </w:r>
          </w:p>
        </w:tc>
      </w:tr>
      <w:tr w:rsidR="00721F67" w:rsidRPr="005E7233" w14:paraId="1FC551FB" w14:textId="77777777" w:rsidTr="008A70D4">
        <w:trPr>
          <w:cantSplit/>
        </w:trPr>
        <w:tc>
          <w:tcPr>
            <w:tcW w:w="5098" w:type="dxa"/>
            <w:tcBorders>
              <w:bottom w:val="single" w:sz="4" w:space="0" w:color="auto"/>
              <w:right w:val="nil"/>
            </w:tcBorders>
          </w:tcPr>
          <w:p w14:paraId="4F8F0072" w14:textId="77777777" w:rsidR="00721F67" w:rsidRPr="005E7233" w:rsidRDefault="00721F67" w:rsidP="00721F67">
            <w:pPr>
              <w:pStyle w:val="TableText0"/>
              <w:rPr>
                <w:b/>
                <w:bCs w:val="0"/>
              </w:rPr>
            </w:pPr>
            <w:r w:rsidRPr="005E7233">
              <w:rPr>
                <w:b/>
                <w:bCs w:val="0"/>
              </w:rPr>
              <w:t>Discount rate, base case: 5%</w:t>
            </w:r>
          </w:p>
        </w:tc>
        <w:tc>
          <w:tcPr>
            <w:tcW w:w="1134" w:type="dxa"/>
            <w:tcBorders>
              <w:left w:val="nil"/>
              <w:bottom w:val="single" w:sz="4" w:space="0" w:color="auto"/>
              <w:right w:val="nil"/>
            </w:tcBorders>
          </w:tcPr>
          <w:p w14:paraId="3C1107E8"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746917BC"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7EC079EF" w14:textId="77777777" w:rsidR="00721F67" w:rsidRPr="005E7233" w:rsidRDefault="00721F67" w:rsidP="00721F67">
            <w:pPr>
              <w:pStyle w:val="TableText0"/>
              <w:jc w:val="right"/>
            </w:pPr>
          </w:p>
        </w:tc>
        <w:tc>
          <w:tcPr>
            <w:tcW w:w="658" w:type="dxa"/>
            <w:tcBorders>
              <w:left w:val="nil"/>
              <w:bottom w:val="single" w:sz="4" w:space="0" w:color="auto"/>
            </w:tcBorders>
          </w:tcPr>
          <w:p w14:paraId="3912C2BB" w14:textId="77777777" w:rsidR="00721F67" w:rsidRPr="005E7233" w:rsidRDefault="00721F67" w:rsidP="00721F67">
            <w:pPr>
              <w:pStyle w:val="TableText0"/>
              <w:jc w:val="right"/>
            </w:pPr>
          </w:p>
        </w:tc>
      </w:tr>
      <w:tr w:rsidR="00721F67" w:rsidRPr="005E7233" w14:paraId="0DC5ECCD" w14:textId="77777777" w:rsidTr="008A70D4">
        <w:trPr>
          <w:cantSplit/>
        </w:trPr>
        <w:tc>
          <w:tcPr>
            <w:tcW w:w="5098" w:type="dxa"/>
            <w:tcBorders>
              <w:bottom w:val="nil"/>
            </w:tcBorders>
          </w:tcPr>
          <w:p w14:paraId="6FE6E00C" w14:textId="77777777" w:rsidR="00721F67" w:rsidRPr="005E7233" w:rsidRDefault="00721F67" w:rsidP="00303DD3">
            <w:pPr>
              <w:pStyle w:val="TableText0"/>
              <w:numPr>
                <w:ilvl w:val="0"/>
                <w:numId w:val="10"/>
              </w:numPr>
              <w:ind w:left="364" w:hanging="284"/>
            </w:pPr>
            <w:r w:rsidRPr="005E7233">
              <w:t>0%</w:t>
            </w:r>
          </w:p>
        </w:tc>
        <w:tc>
          <w:tcPr>
            <w:tcW w:w="1134" w:type="dxa"/>
            <w:tcBorders>
              <w:bottom w:val="nil"/>
            </w:tcBorders>
          </w:tcPr>
          <w:p w14:paraId="072E32B6" w14:textId="2453775D"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60"/>
                <w14:textFill>
                  <w14:solidFill>
                    <w14:srgbClr w14:val="000000">
                      <w14:alpha w14:val="100000"/>
                    </w14:srgbClr>
                  </w14:solidFill>
                </w14:textFill>
              </w:rPr>
              <w:t>|||</w:t>
            </w:r>
            <w:r w:rsidR="00BD0449" w:rsidRPr="00F969C2">
              <w:rPr>
                <w:color w:val="000000"/>
                <w:spacing w:val="3"/>
                <w:shd w:val="solid" w:color="000000" w:fill="000000"/>
                <w:fitText w:val="320" w:id="-694437360"/>
                <w14:textFill>
                  <w14:solidFill>
                    <w14:srgbClr w14:val="000000">
                      <w14:alpha w14:val="100000"/>
                    </w14:srgbClr>
                  </w14:solidFill>
                </w14:textFill>
              </w:rPr>
              <w:t>|</w:t>
            </w:r>
            <w:r w:rsidR="00A25BDC">
              <w:t xml:space="preserve"> </w:t>
            </w:r>
          </w:p>
        </w:tc>
        <w:tc>
          <w:tcPr>
            <w:tcW w:w="1134" w:type="dxa"/>
            <w:tcBorders>
              <w:bottom w:val="nil"/>
            </w:tcBorders>
          </w:tcPr>
          <w:p w14:paraId="125C1775" w14:textId="1DDF0B27" w:rsidR="00721F67" w:rsidRPr="005E7233" w:rsidRDefault="00721F67" w:rsidP="00721F67">
            <w:pPr>
              <w:pStyle w:val="TableText0"/>
              <w:jc w:val="right"/>
            </w:pPr>
            <w:r w:rsidRPr="005E7233">
              <w:t>2.542</w:t>
            </w:r>
          </w:p>
        </w:tc>
        <w:tc>
          <w:tcPr>
            <w:tcW w:w="993" w:type="dxa"/>
            <w:tcBorders>
              <w:bottom w:val="nil"/>
            </w:tcBorders>
          </w:tcPr>
          <w:p w14:paraId="71FCA4D7" w14:textId="1F820C21"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6"/>
                <w14:textFill>
                  <w14:solidFill>
                    <w14:srgbClr w14:val="000000">
                      <w14:alpha w14:val="100000"/>
                    </w14:srgbClr>
                  </w14:solidFill>
                </w14:textFill>
              </w:rPr>
              <w:t>|||</w:t>
            </w:r>
            <w:r w:rsidR="00BD0449" w:rsidRPr="00F969C2">
              <w:rPr>
                <w:color w:val="000000"/>
                <w:spacing w:val="1"/>
                <w:shd w:val="solid" w:color="000000" w:fill="000000"/>
                <w:fitText w:val="330" w:id="-694437376"/>
                <w14:textFill>
                  <w14:solidFill>
                    <w14:srgbClr w14:val="000000">
                      <w14:alpha w14:val="100000"/>
                    </w14:srgbClr>
                  </w14:solidFill>
                </w14:textFill>
              </w:rPr>
              <w:t>|</w:t>
            </w:r>
            <w:r w:rsidR="008A70D4">
              <w:rPr>
                <w:b/>
                <w:bCs w:val="0"/>
              </w:rPr>
              <w:t xml:space="preserve"> </w:t>
            </w:r>
            <w:r w:rsidR="008A70D4">
              <w:rPr>
                <w:b/>
                <w:bCs w:val="0"/>
                <w:vertAlign w:val="superscript"/>
              </w:rPr>
              <w:t>3</w:t>
            </w:r>
          </w:p>
        </w:tc>
        <w:tc>
          <w:tcPr>
            <w:tcW w:w="658" w:type="dxa"/>
            <w:tcBorders>
              <w:bottom w:val="nil"/>
            </w:tcBorders>
          </w:tcPr>
          <w:p w14:paraId="044CB4EF" w14:textId="5E7B4091"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75"/>
                <w14:textFill>
                  <w14:solidFill>
                    <w14:srgbClr w14:val="000000">
                      <w14:alpha w14:val="100000"/>
                    </w14:srgbClr>
                  </w14:solidFill>
                </w14:textFill>
              </w:rPr>
              <w:t xml:space="preserve">　</w:t>
            </w:r>
            <w:r w:rsidR="00BD0449" w:rsidRPr="0012101B">
              <w:rPr>
                <w:rFonts w:hint="eastAsia"/>
                <w:color w:val="000000"/>
                <w:w w:val="15"/>
                <w:shd w:val="solid" w:color="000000" w:fill="000000"/>
                <w:fitText w:val="10" w:id="-694437374"/>
                <w14:textFill>
                  <w14:solidFill>
                    <w14:srgbClr w14:val="000000">
                      <w14:alpha w14:val="100000"/>
                    </w14:srgbClr>
                  </w14:solidFill>
                </w14:textFill>
              </w:rPr>
              <w:t xml:space="preserve">　</w:t>
            </w:r>
            <w:r w:rsidR="00BD0449" w:rsidRPr="0012101B">
              <w:rPr>
                <w:color w:val="000000"/>
                <w:w w:val="15"/>
                <w:shd w:val="solid" w:color="000000" w:fill="000000"/>
                <w:fitText w:val="10" w:id="-694437374"/>
                <w14:textFill>
                  <w14:solidFill>
                    <w14:srgbClr w14:val="000000">
                      <w14:alpha w14:val="100000"/>
                    </w14:srgbClr>
                  </w14:solidFill>
                </w14:textFill>
              </w:rPr>
              <w:t>|</w:t>
            </w:r>
            <w:r w:rsidR="00BD0449" w:rsidRPr="0012101B">
              <w:rPr>
                <w:rFonts w:hint="eastAsia"/>
                <w:color w:val="000000"/>
                <w:spacing w:val="-56"/>
                <w:w w:val="15"/>
                <w:shd w:val="solid" w:color="000000" w:fill="000000"/>
                <w:fitText w:val="10" w:id="-694437374"/>
                <w14:textFill>
                  <w14:solidFill>
                    <w14:srgbClr w14:val="000000">
                      <w14:alpha w14:val="100000"/>
                    </w14:srgbClr>
                  </w14:solidFill>
                </w14:textFill>
              </w:rPr>
              <w:t xml:space="preserve">　</w:t>
            </w:r>
            <w:r w:rsidRPr="005E7233">
              <w:t>%</w:t>
            </w:r>
          </w:p>
        </w:tc>
      </w:tr>
      <w:tr w:rsidR="00721F67" w:rsidRPr="005E7233" w14:paraId="27560B21" w14:textId="77777777" w:rsidTr="008A70D4">
        <w:trPr>
          <w:cantSplit/>
        </w:trPr>
        <w:tc>
          <w:tcPr>
            <w:tcW w:w="5098" w:type="dxa"/>
            <w:tcBorders>
              <w:top w:val="nil"/>
              <w:bottom w:val="single" w:sz="4" w:space="0" w:color="auto"/>
            </w:tcBorders>
          </w:tcPr>
          <w:p w14:paraId="7D1A1BE2" w14:textId="77777777" w:rsidR="00721F67" w:rsidRPr="005E7233" w:rsidRDefault="00721F67" w:rsidP="00303DD3">
            <w:pPr>
              <w:pStyle w:val="TableText0"/>
              <w:numPr>
                <w:ilvl w:val="0"/>
                <w:numId w:val="10"/>
              </w:numPr>
              <w:ind w:left="364" w:hanging="284"/>
            </w:pPr>
            <w:r w:rsidRPr="005E7233">
              <w:t>3.5%</w:t>
            </w:r>
          </w:p>
        </w:tc>
        <w:tc>
          <w:tcPr>
            <w:tcW w:w="1134" w:type="dxa"/>
            <w:tcBorders>
              <w:top w:val="nil"/>
              <w:bottom w:val="single" w:sz="4" w:space="0" w:color="auto"/>
            </w:tcBorders>
          </w:tcPr>
          <w:p w14:paraId="6DAC9BC5" w14:textId="19307446"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73"/>
                <w14:textFill>
                  <w14:solidFill>
                    <w14:srgbClr w14:val="000000">
                      <w14:alpha w14:val="100000"/>
                    </w14:srgbClr>
                  </w14:solidFill>
                </w14:textFill>
              </w:rPr>
              <w:t>|||</w:t>
            </w:r>
            <w:r w:rsidR="00BD0449" w:rsidRPr="00F969C2">
              <w:rPr>
                <w:color w:val="000000"/>
                <w:spacing w:val="3"/>
                <w:shd w:val="solid" w:color="000000" w:fill="000000"/>
                <w:fitText w:val="320" w:id="-694437373"/>
                <w14:textFill>
                  <w14:solidFill>
                    <w14:srgbClr w14:val="000000">
                      <w14:alpha w14:val="100000"/>
                    </w14:srgbClr>
                  </w14:solidFill>
                </w14:textFill>
              </w:rPr>
              <w:t>|</w:t>
            </w:r>
            <w:r w:rsidR="00A25BDC">
              <w:t xml:space="preserve"> </w:t>
            </w:r>
          </w:p>
        </w:tc>
        <w:tc>
          <w:tcPr>
            <w:tcW w:w="1134" w:type="dxa"/>
            <w:tcBorders>
              <w:top w:val="nil"/>
              <w:bottom w:val="single" w:sz="4" w:space="0" w:color="auto"/>
            </w:tcBorders>
          </w:tcPr>
          <w:p w14:paraId="11E0B959" w14:textId="0812D2FA" w:rsidR="00721F67" w:rsidRPr="005E7233" w:rsidRDefault="00721F67" w:rsidP="00721F67">
            <w:pPr>
              <w:pStyle w:val="TableText0"/>
              <w:jc w:val="right"/>
            </w:pPr>
            <w:r w:rsidRPr="005E7233">
              <w:t>1.529</w:t>
            </w:r>
          </w:p>
        </w:tc>
        <w:tc>
          <w:tcPr>
            <w:tcW w:w="993" w:type="dxa"/>
            <w:tcBorders>
              <w:top w:val="nil"/>
              <w:bottom w:val="single" w:sz="4" w:space="0" w:color="auto"/>
            </w:tcBorders>
          </w:tcPr>
          <w:p w14:paraId="75334AA5" w14:textId="09933C2F"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2"/>
                <w14:textFill>
                  <w14:solidFill>
                    <w14:srgbClr w14:val="000000">
                      <w14:alpha w14:val="100000"/>
                    </w14:srgbClr>
                  </w14:solidFill>
                </w14:textFill>
              </w:rPr>
              <w:t>|||</w:t>
            </w:r>
            <w:r w:rsidR="00BD0449" w:rsidRPr="00F969C2">
              <w:rPr>
                <w:color w:val="000000"/>
                <w:spacing w:val="1"/>
                <w:shd w:val="solid" w:color="000000" w:fill="000000"/>
                <w:fitText w:val="330" w:id="-694437372"/>
                <w14:textFill>
                  <w14:solidFill>
                    <w14:srgbClr w14:val="000000">
                      <w14:alpha w14:val="100000"/>
                    </w14:srgbClr>
                  </w14:solidFill>
                </w14:textFill>
              </w:rPr>
              <w:t>|</w:t>
            </w:r>
            <w:r w:rsidR="00DE6728">
              <w:rPr>
                <w:b/>
                <w:bCs w:val="0"/>
              </w:rPr>
              <w:t xml:space="preserve"> </w:t>
            </w:r>
            <w:r w:rsidR="00DE6728">
              <w:rPr>
                <w:b/>
                <w:bCs w:val="0"/>
                <w:vertAlign w:val="superscript"/>
              </w:rPr>
              <w:t>1</w:t>
            </w:r>
          </w:p>
        </w:tc>
        <w:tc>
          <w:tcPr>
            <w:tcW w:w="658" w:type="dxa"/>
            <w:tcBorders>
              <w:top w:val="nil"/>
              <w:bottom w:val="single" w:sz="4" w:space="0" w:color="auto"/>
            </w:tcBorders>
          </w:tcPr>
          <w:p w14:paraId="4BC38870" w14:textId="2EEAA2DC"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71"/>
                <w14:textFill>
                  <w14:solidFill>
                    <w14:srgbClr w14:val="000000">
                      <w14:alpha w14:val="100000"/>
                    </w14:srgbClr>
                  </w14:solidFill>
                </w14:textFill>
              </w:rPr>
              <w:t xml:space="preserve">　</w:t>
            </w:r>
            <w:r w:rsidR="00BD0449" w:rsidRPr="0012101B">
              <w:rPr>
                <w:rFonts w:hint="eastAsia"/>
                <w:color w:val="000000"/>
                <w:w w:val="15"/>
                <w:shd w:val="solid" w:color="000000" w:fill="000000"/>
                <w:fitText w:val="10" w:id="-694437370"/>
                <w14:textFill>
                  <w14:solidFill>
                    <w14:srgbClr w14:val="000000">
                      <w14:alpha w14:val="100000"/>
                    </w14:srgbClr>
                  </w14:solidFill>
                </w14:textFill>
              </w:rPr>
              <w:t xml:space="preserve">　</w:t>
            </w:r>
            <w:r w:rsidR="00BD0449" w:rsidRPr="0012101B">
              <w:rPr>
                <w:color w:val="000000"/>
                <w:w w:val="15"/>
                <w:shd w:val="solid" w:color="000000" w:fill="000000"/>
                <w:fitText w:val="10" w:id="-694437370"/>
                <w14:textFill>
                  <w14:solidFill>
                    <w14:srgbClr w14:val="000000">
                      <w14:alpha w14:val="100000"/>
                    </w14:srgbClr>
                  </w14:solidFill>
                </w14:textFill>
              </w:rPr>
              <w:t>|</w:t>
            </w:r>
            <w:r w:rsidR="00BD0449" w:rsidRPr="0012101B">
              <w:rPr>
                <w:rFonts w:hint="eastAsia"/>
                <w:color w:val="000000"/>
                <w:spacing w:val="-56"/>
                <w:w w:val="15"/>
                <w:shd w:val="solid" w:color="000000" w:fill="000000"/>
                <w:fitText w:val="10" w:id="-694437370"/>
                <w14:textFill>
                  <w14:solidFill>
                    <w14:srgbClr w14:val="000000">
                      <w14:alpha w14:val="100000"/>
                    </w14:srgbClr>
                  </w14:solidFill>
                </w14:textFill>
              </w:rPr>
              <w:t xml:space="preserve">　</w:t>
            </w:r>
            <w:r w:rsidRPr="005E7233">
              <w:t>%</w:t>
            </w:r>
          </w:p>
        </w:tc>
      </w:tr>
      <w:tr w:rsidR="00721F67" w:rsidRPr="005E7233" w14:paraId="5093A089" w14:textId="77777777" w:rsidTr="008A70D4">
        <w:trPr>
          <w:cantSplit/>
        </w:trPr>
        <w:tc>
          <w:tcPr>
            <w:tcW w:w="5098" w:type="dxa"/>
            <w:tcBorders>
              <w:bottom w:val="single" w:sz="4" w:space="0" w:color="auto"/>
              <w:right w:val="nil"/>
            </w:tcBorders>
          </w:tcPr>
          <w:p w14:paraId="2AF5ADAF" w14:textId="77777777" w:rsidR="00721F67" w:rsidRPr="005E7233" w:rsidRDefault="00721F67" w:rsidP="00721F67">
            <w:pPr>
              <w:pStyle w:val="TableText0"/>
              <w:rPr>
                <w:b/>
                <w:bCs w:val="0"/>
              </w:rPr>
            </w:pPr>
            <w:r w:rsidRPr="005E7233">
              <w:rPr>
                <w:b/>
                <w:bCs w:val="0"/>
              </w:rPr>
              <w:t>Time horizon, base case: 47 years (lifetime)</w:t>
            </w:r>
          </w:p>
        </w:tc>
        <w:tc>
          <w:tcPr>
            <w:tcW w:w="1134" w:type="dxa"/>
            <w:tcBorders>
              <w:left w:val="nil"/>
              <w:bottom w:val="single" w:sz="4" w:space="0" w:color="auto"/>
              <w:right w:val="nil"/>
            </w:tcBorders>
          </w:tcPr>
          <w:p w14:paraId="2E14CAFF"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6EBC69DB"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4D35F2DD" w14:textId="77777777" w:rsidR="00721F67" w:rsidRPr="005E7233" w:rsidRDefault="00721F67" w:rsidP="00721F67">
            <w:pPr>
              <w:pStyle w:val="TableText0"/>
              <w:jc w:val="right"/>
            </w:pPr>
          </w:p>
        </w:tc>
        <w:tc>
          <w:tcPr>
            <w:tcW w:w="658" w:type="dxa"/>
            <w:tcBorders>
              <w:left w:val="nil"/>
              <w:bottom w:val="single" w:sz="4" w:space="0" w:color="auto"/>
            </w:tcBorders>
          </w:tcPr>
          <w:p w14:paraId="29B2EF50" w14:textId="77777777" w:rsidR="00721F67" w:rsidRPr="005E7233" w:rsidRDefault="00721F67" w:rsidP="00721F67">
            <w:pPr>
              <w:pStyle w:val="TableText0"/>
              <w:jc w:val="right"/>
            </w:pPr>
          </w:p>
        </w:tc>
      </w:tr>
      <w:tr w:rsidR="00721F67" w:rsidRPr="005E7233" w14:paraId="442B7C92" w14:textId="77777777" w:rsidTr="008A70D4">
        <w:trPr>
          <w:cantSplit/>
        </w:trPr>
        <w:tc>
          <w:tcPr>
            <w:tcW w:w="5098" w:type="dxa"/>
            <w:tcBorders>
              <w:bottom w:val="nil"/>
            </w:tcBorders>
          </w:tcPr>
          <w:p w14:paraId="4A8284C1" w14:textId="77777777" w:rsidR="00721F67" w:rsidRPr="005E7233" w:rsidRDefault="00721F67" w:rsidP="00303DD3">
            <w:pPr>
              <w:pStyle w:val="TableText0"/>
              <w:numPr>
                <w:ilvl w:val="0"/>
                <w:numId w:val="10"/>
              </w:numPr>
              <w:ind w:left="364" w:hanging="284"/>
            </w:pPr>
            <w:r w:rsidRPr="005E7233">
              <w:t>5 years</w:t>
            </w:r>
          </w:p>
        </w:tc>
        <w:tc>
          <w:tcPr>
            <w:tcW w:w="1134" w:type="dxa"/>
            <w:tcBorders>
              <w:bottom w:val="nil"/>
            </w:tcBorders>
          </w:tcPr>
          <w:p w14:paraId="0C2BC9EA" w14:textId="36CF64D9"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9"/>
                <w14:textFill>
                  <w14:solidFill>
                    <w14:srgbClr w14:val="000000">
                      <w14:alpha w14:val="100000"/>
                    </w14:srgbClr>
                  </w14:solidFill>
                </w14:textFill>
              </w:rPr>
              <w:t>|||</w:t>
            </w:r>
            <w:r w:rsidR="00BD0449" w:rsidRPr="00F969C2">
              <w:rPr>
                <w:color w:val="000000"/>
                <w:spacing w:val="1"/>
                <w:w w:val="84"/>
                <w:shd w:val="solid" w:color="000000" w:fill="000000"/>
                <w:fitText w:val="320" w:id="-694437369"/>
                <w14:textFill>
                  <w14:solidFill>
                    <w14:srgbClr w14:val="000000">
                      <w14:alpha w14:val="100000"/>
                    </w14:srgbClr>
                  </w14:solidFill>
                </w14:textFill>
              </w:rPr>
              <w:t>|</w:t>
            </w:r>
            <w:r w:rsidR="00A25BDC">
              <w:t xml:space="preserve"> </w:t>
            </w:r>
          </w:p>
        </w:tc>
        <w:tc>
          <w:tcPr>
            <w:tcW w:w="1134" w:type="dxa"/>
            <w:tcBorders>
              <w:bottom w:val="nil"/>
            </w:tcBorders>
          </w:tcPr>
          <w:p w14:paraId="06EDDBC5" w14:textId="578F6297" w:rsidR="00721F67" w:rsidRPr="005E7233" w:rsidRDefault="00721F67" w:rsidP="00721F67">
            <w:pPr>
              <w:pStyle w:val="TableText0"/>
              <w:jc w:val="right"/>
            </w:pPr>
            <w:r w:rsidRPr="005E7233">
              <w:t>0.404</w:t>
            </w:r>
          </w:p>
        </w:tc>
        <w:tc>
          <w:tcPr>
            <w:tcW w:w="993" w:type="dxa"/>
            <w:tcBorders>
              <w:bottom w:val="nil"/>
            </w:tcBorders>
          </w:tcPr>
          <w:p w14:paraId="6E14CC29" w14:textId="6E17C54F"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8"/>
                <w14:textFill>
                  <w14:solidFill>
                    <w14:srgbClr w14:val="000000">
                      <w14:alpha w14:val="100000"/>
                    </w14:srgbClr>
                  </w14:solidFill>
                </w14:textFill>
              </w:rPr>
              <w:t>|||</w:t>
            </w:r>
            <w:r w:rsidR="00BD0449" w:rsidRPr="00F969C2">
              <w:rPr>
                <w:color w:val="000000"/>
                <w:spacing w:val="1"/>
                <w:shd w:val="solid" w:color="000000" w:fill="000000"/>
                <w:fitText w:val="330" w:id="-694437368"/>
                <w14:textFill>
                  <w14:solidFill>
                    <w14:srgbClr w14:val="000000">
                      <w14:alpha w14:val="100000"/>
                    </w14:srgbClr>
                  </w14:solidFill>
                </w14:textFill>
              </w:rPr>
              <w:t>|</w:t>
            </w:r>
            <w:r w:rsidR="008A70D4">
              <w:rPr>
                <w:b/>
                <w:bCs w:val="0"/>
              </w:rPr>
              <w:t xml:space="preserve"> </w:t>
            </w:r>
            <w:r w:rsidR="008A70D4">
              <w:rPr>
                <w:b/>
                <w:bCs w:val="0"/>
                <w:vertAlign w:val="superscript"/>
              </w:rPr>
              <w:t>4</w:t>
            </w:r>
          </w:p>
        </w:tc>
        <w:tc>
          <w:tcPr>
            <w:tcW w:w="658" w:type="dxa"/>
            <w:tcBorders>
              <w:bottom w:val="nil"/>
            </w:tcBorders>
          </w:tcPr>
          <w:p w14:paraId="2EE9388E" w14:textId="2C694240" w:rsidR="00721F67" w:rsidRPr="005E7233" w:rsidRDefault="00BD0449" w:rsidP="00721F67">
            <w:pPr>
              <w:pStyle w:val="TableText0"/>
              <w:jc w:val="right"/>
            </w:pPr>
            <w:r w:rsidRPr="00BD0449">
              <w:rPr>
                <w:color w:val="000000"/>
                <w:spacing w:val="84"/>
                <w:shd w:val="solid" w:color="000000" w:fill="000000"/>
                <w:fitText w:val="170" w:id="-694437367"/>
                <w14:textFill>
                  <w14:solidFill>
                    <w14:srgbClr w14:val="000000">
                      <w14:alpha w14:val="100000"/>
                    </w14:srgbClr>
                  </w14:solidFill>
                </w14:textFill>
              </w:rPr>
              <w:t>|</w:t>
            </w:r>
            <w:r w:rsidRPr="00BD0449">
              <w:rPr>
                <w:color w:val="000000"/>
                <w:spacing w:val="1"/>
                <w:shd w:val="solid" w:color="000000" w:fill="000000"/>
                <w:fitText w:val="170" w:id="-694437367"/>
                <w14:textFill>
                  <w14:solidFill>
                    <w14:srgbClr w14:val="000000">
                      <w14:alpha w14:val="100000"/>
                    </w14:srgbClr>
                  </w14:solidFill>
                </w14:textFill>
              </w:rPr>
              <w:t>|</w:t>
            </w:r>
            <w:r w:rsidR="00721F67" w:rsidRPr="005E7233">
              <w:t>%</w:t>
            </w:r>
          </w:p>
        </w:tc>
      </w:tr>
      <w:tr w:rsidR="00721F67" w:rsidRPr="005E7233" w14:paraId="49C2FA61" w14:textId="77777777" w:rsidTr="008A70D4">
        <w:trPr>
          <w:cantSplit/>
        </w:trPr>
        <w:tc>
          <w:tcPr>
            <w:tcW w:w="5098" w:type="dxa"/>
            <w:tcBorders>
              <w:top w:val="nil"/>
              <w:bottom w:val="nil"/>
            </w:tcBorders>
          </w:tcPr>
          <w:p w14:paraId="5356D6D6" w14:textId="43DE4787" w:rsidR="00721F67" w:rsidRPr="005E7233" w:rsidRDefault="00721F67" w:rsidP="00303DD3">
            <w:pPr>
              <w:pStyle w:val="TableText0"/>
              <w:numPr>
                <w:ilvl w:val="0"/>
                <w:numId w:val="10"/>
              </w:numPr>
              <w:ind w:left="364" w:hanging="284"/>
            </w:pPr>
            <w:r w:rsidRPr="005E7233">
              <w:t>10 years</w:t>
            </w:r>
            <w:r w:rsidR="006E1712" w:rsidRPr="005E7233">
              <w:t xml:space="preserve"> </w:t>
            </w:r>
            <w:r w:rsidR="006E1712" w:rsidRPr="005E7233">
              <w:rPr>
                <w:b/>
                <w:bCs w:val="0"/>
              </w:rPr>
              <w:t>[#3]</w:t>
            </w:r>
          </w:p>
        </w:tc>
        <w:tc>
          <w:tcPr>
            <w:tcW w:w="1134" w:type="dxa"/>
            <w:tcBorders>
              <w:top w:val="nil"/>
              <w:bottom w:val="nil"/>
            </w:tcBorders>
          </w:tcPr>
          <w:p w14:paraId="457CBBDD" w14:textId="751A716D"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6"/>
                <w14:textFill>
                  <w14:solidFill>
                    <w14:srgbClr w14:val="000000">
                      <w14:alpha w14:val="100000"/>
                    </w14:srgbClr>
                  </w14:solidFill>
                </w14:textFill>
              </w:rPr>
              <w:t>|||</w:t>
            </w:r>
            <w:r w:rsidR="00BD0449" w:rsidRPr="00F969C2">
              <w:rPr>
                <w:color w:val="000000"/>
                <w:spacing w:val="1"/>
                <w:w w:val="84"/>
                <w:shd w:val="solid" w:color="000000" w:fill="000000"/>
                <w:fitText w:val="320" w:id="-694437366"/>
                <w14:textFill>
                  <w14:solidFill>
                    <w14:srgbClr w14:val="000000">
                      <w14:alpha w14:val="100000"/>
                    </w14:srgbClr>
                  </w14:solidFill>
                </w14:textFill>
              </w:rPr>
              <w:t>|</w:t>
            </w:r>
            <w:r w:rsidR="00A25BDC">
              <w:t xml:space="preserve"> </w:t>
            </w:r>
          </w:p>
        </w:tc>
        <w:tc>
          <w:tcPr>
            <w:tcW w:w="1134" w:type="dxa"/>
            <w:tcBorders>
              <w:top w:val="nil"/>
              <w:bottom w:val="nil"/>
            </w:tcBorders>
          </w:tcPr>
          <w:p w14:paraId="5D3FEB3E" w14:textId="783C527B" w:rsidR="00721F67" w:rsidRPr="005E7233" w:rsidRDefault="00721F67" w:rsidP="00721F67">
            <w:pPr>
              <w:pStyle w:val="TableText0"/>
              <w:jc w:val="right"/>
            </w:pPr>
            <w:r w:rsidRPr="005E7233">
              <w:t>0.681</w:t>
            </w:r>
          </w:p>
        </w:tc>
        <w:tc>
          <w:tcPr>
            <w:tcW w:w="993" w:type="dxa"/>
            <w:tcBorders>
              <w:top w:val="nil"/>
              <w:bottom w:val="nil"/>
            </w:tcBorders>
          </w:tcPr>
          <w:p w14:paraId="7830A12E" w14:textId="2E30CDB9"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5"/>
                <w14:textFill>
                  <w14:solidFill>
                    <w14:srgbClr w14:val="000000">
                      <w14:alpha w14:val="100000"/>
                    </w14:srgbClr>
                  </w14:solidFill>
                </w14:textFill>
              </w:rPr>
              <w:t>|||</w:t>
            </w:r>
            <w:r w:rsidR="00BD0449" w:rsidRPr="00F969C2">
              <w:rPr>
                <w:color w:val="000000"/>
                <w:spacing w:val="1"/>
                <w:shd w:val="solid" w:color="000000" w:fill="000000"/>
                <w:fitText w:val="330" w:id="-694437365"/>
                <w14:textFill>
                  <w14:solidFill>
                    <w14:srgbClr w14:val="000000">
                      <w14:alpha w14:val="100000"/>
                    </w14:srgbClr>
                  </w14:solidFill>
                </w14:textFill>
              </w:rPr>
              <w:t>|</w:t>
            </w:r>
            <w:r w:rsidR="008A70D4">
              <w:rPr>
                <w:b/>
                <w:bCs w:val="0"/>
              </w:rPr>
              <w:t xml:space="preserve"> </w:t>
            </w:r>
            <w:r w:rsidR="008A70D4">
              <w:rPr>
                <w:b/>
                <w:bCs w:val="0"/>
                <w:vertAlign w:val="superscript"/>
              </w:rPr>
              <w:t>5</w:t>
            </w:r>
          </w:p>
        </w:tc>
        <w:tc>
          <w:tcPr>
            <w:tcW w:w="658" w:type="dxa"/>
            <w:tcBorders>
              <w:top w:val="nil"/>
              <w:bottom w:val="nil"/>
            </w:tcBorders>
          </w:tcPr>
          <w:p w14:paraId="7CA464FB" w14:textId="78356D29" w:rsidR="00721F67" w:rsidRPr="005E7233" w:rsidRDefault="00BD0449" w:rsidP="00721F67">
            <w:pPr>
              <w:pStyle w:val="TableText0"/>
              <w:jc w:val="right"/>
            </w:pPr>
            <w:r w:rsidRPr="00BD0449">
              <w:rPr>
                <w:color w:val="000000"/>
                <w:spacing w:val="84"/>
                <w:shd w:val="solid" w:color="000000" w:fill="000000"/>
                <w:fitText w:val="170" w:id="-694437364"/>
                <w14:textFill>
                  <w14:solidFill>
                    <w14:srgbClr w14:val="000000">
                      <w14:alpha w14:val="100000"/>
                    </w14:srgbClr>
                  </w14:solidFill>
                </w14:textFill>
              </w:rPr>
              <w:t>|</w:t>
            </w:r>
            <w:r w:rsidRPr="00BD0449">
              <w:rPr>
                <w:color w:val="000000"/>
                <w:spacing w:val="1"/>
                <w:shd w:val="solid" w:color="000000" w:fill="000000"/>
                <w:fitText w:val="170" w:id="-694437364"/>
                <w14:textFill>
                  <w14:solidFill>
                    <w14:srgbClr w14:val="000000">
                      <w14:alpha w14:val="100000"/>
                    </w14:srgbClr>
                  </w14:solidFill>
                </w14:textFill>
              </w:rPr>
              <w:t>|</w:t>
            </w:r>
            <w:r w:rsidR="00721F67" w:rsidRPr="00625629">
              <w:t>%</w:t>
            </w:r>
          </w:p>
        </w:tc>
      </w:tr>
      <w:tr w:rsidR="00721F67" w:rsidRPr="005E7233" w14:paraId="0A8C605C" w14:textId="77777777" w:rsidTr="008A70D4">
        <w:trPr>
          <w:cantSplit/>
        </w:trPr>
        <w:tc>
          <w:tcPr>
            <w:tcW w:w="5098" w:type="dxa"/>
            <w:tcBorders>
              <w:top w:val="nil"/>
            </w:tcBorders>
          </w:tcPr>
          <w:p w14:paraId="580C2531" w14:textId="77777777" w:rsidR="00721F67" w:rsidRPr="005E7233" w:rsidRDefault="00721F67" w:rsidP="00303DD3">
            <w:pPr>
              <w:pStyle w:val="TableText0"/>
              <w:numPr>
                <w:ilvl w:val="0"/>
                <w:numId w:val="10"/>
              </w:numPr>
              <w:ind w:left="364" w:hanging="284"/>
            </w:pPr>
            <w:r w:rsidRPr="005E7233">
              <w:t>15 years</w:t>
            </w:r>
          </w:p>
        </w:tc>
        <w:tc>
          <w:tcPr>
            <w:tcW w:w="1134" w:type="dxa"/>
            <w:tcBorders>
              <w:top w:val="nil"/>
            </w:tcBorders>
          </w:tcPr>
          <w:p w14:paraId="64FBAD5A" w14:textId="4B91C2D1"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3"/>
                <w14:textFill>
                  <w14:solidFill>
                    <w14:srgbClr w14:val="000000">
                      <w14:alpha w14:val="100000"/>
                    </w14:srgbClr>
                  </w14:solidFill>
                </w14:textFill>
              </w:rPr>
              <w:t>|||</w:t>
            </w:r>
            <w:r w:rsidR="00BD0449" w:rsidRPr="00F969C2">
              <w:rPr>
                <w:color w:val="000000"/>
                <w:spacing w:val="1"/>
                <w:w w:val="84"/>
                <w:shd w:val="solid" w:color="000000" w:fill="000000"/>
                <w:fitText w:val="320" w:id="-694437363"/>
                <w14:textFill>
                  <w14:solidFill>
                    <w14:srgbClr w14:val="000000">
                      <w14:alpha w14:val="100000"/>
                    </w14:srgbClr>
                  </w14:solidFill>
                </w14:textFill>
              </w:rPr>
              <w:t>|</w:t>
            </w:r>
            <w:r w:rsidR="00A25BDC">
              <w:t xml:space="preserve"> </w:t>
            </w:r>
          </w:p>
        </w:tc>
        <w:tc>
          <w:tcPr>
            <w:tcW w:w="1134" w:type="dxa"/>
            <w:tcBorders>
              <w:top w:val="nil"/>
            </w:tcBorders>
          </w:tcPr>
          <w:p w14:paraId="26364CC2" w14:textId="3F389E2D" w:rsidR="00721F67" w:rsidRPr="005E7233" w:rsidRDefault="00721F67" w:rsidP="00721F67">
            <w:pPr>
              <w:pStyle w:val="TableText0"/>
              <w:jc w:val="right"/>
            </w:pPr>
            <w:r w:rsidRPr="005E7233">
              <w:t>0.876</w:t>
            </w:r>
          </w:p>
        </w:tc>
        <w:tc>
          <w:tcPr>
            <w:tcW w:w="993" w:type="dxa"/>
            <w:tcBorders>
              <w:top w:val="nil"/>
            </w:tcBorders>
          </w:tcPr>
          <w:p w14:paraId="0C2B7A02" w14:textId="1850AA3A"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2"/>
                <w14:textFill>
                  <w14:solidFill>
                    <w14:srgbClr w14:val="000000">
                      <w14:alpha w14:val="100000"/>
                    </w14:srgbClr>
                  </w14:solidFill>
                </w14:textFill>
              </w:rPr>
              <w:t>|||</w:t>
            </w:r>
            <w:r w:rsidR="00BD0449" w:rsidRPr="00F969C2">
              <w:rPr>
                <w:color w:val="000000"/>
                <w:spacing w:val="1"/>
                <w:shd w:val="solid" w:color="000000" w:fill="000000"/>
                <w:fitText w:val="330" w:id="-694437362"/>
                <w14:textFill>
                  <w14:solidFill>
                    <w14:srgbClr w14:val="000000">
                      <w14:alpha w14:val="100000"/>
                    </w14:srgbClr>
                  </w14:solidFill>
                </w14:textFill>
              </w:rPr>
              <w:t>|</w:t>
            </w:r>
            <w:r w:rsidR="002E7038">
              <w:rPr>
                <w:b/>
                <w:bCs w:val="0"/>
              </w:rPr>
              <w:t xml:space="preserve"> </w:t>
            </w:r>
            <w:r w:rsidR="002E7038">
              <w:rPr>
                <w:b/>
                <w:bCs w:val="0"/>
                <w:vertAlign w:val="superscript"/>
              </w:rPr>
              <w:t>6</w:t>
            </w:r>
          </w:p>
        </w:tc>
        <w:tc>
          <w:tcPr>
            <w:tcW w:w="658" w:type="dxa"/>
            <w:tcBorders>
              <w:top w:val="nil"/>
            </w:tcBorders>
          </w:tcPr>
          <w:p w14:paraId="7AF455CC" w14:textId="37ECF77F" w:rsidR="00721F67" w:rsidRPr="005E7233" w:rsidRDefault="00BD0449" w:rsidP="00721F67">
            <w:pPr>
              <w:pStyle w:val="TableText0"/>
              <w:jc w:val="right"/>
            </w:pPr>
            <w:r w:rsidRPr="00BD0449">
              <w:rPr>
                <w:color w:val="000000"/>
                <w:spacing w:val="84"/>
                <w:shd w:val="solid" w:color="000000" w:fill="000000"/>
                <w:fitText w:val="170" w:id="-694437361"/>
                <w14:textFill>
                  <w14:solidFill>
                    <w14:srgbClr w14:val="000000">
                      <w14:alpha w14:val="100000"/>
                    </w14:srgbClr>
                  </w14:solidFill>
                </w14:textFill>
              </w:rPr>
              <w:t>|</w:t>
            </w:r>
            <w:r w:rsidRPr="00BD0449">
              <w:rPr>
                <w:color w:val="000000"/>
                <w:spacing w:val="1"/>
                <w:shd w:val="solid" w:color="000000" w:fill="000000"/>
                <w:fitText w:val="170" w:id="-694437361"/>
                <w14:textFill>
                  <w14:solidFill>
                    <w14:srgbClr w14:val="000000">
                      <w14:alpha w14:val="100000"/>
                    </w14:srgbClr>
                  </w14:solidFill>
                </w14:textFill>
              </w:rPr>
              <w:t>|</w:t>
            </w:r>
            <w:r w:rsidR="00721F67" w:rsidRPr="005E7233">
              <w:t>%</w:t>
            </w:r>
          </w:p>
        </w:tc>
      </w:tr>
      <w:tr w:rsidR="00721F67" w:rsidRPr="005E7233" w14:paraId="555C53AF" w14:textId="77777777" w:rsidTr="008A70D4">
        <w:trPr>
          <w:cantSplit/>
        </w:trPr>
        <w:tc>
          <w:tcPr>
            <w:tcW w:w="5098" w:type="dxa"/>
          </w:tcPr>
          <w:p w14:paraId="4659569B" w14:textId="77777777" w:rsidR="00721F67" w:rsidRPr="005E7233" w:rsidRDefault="00721F67" w:rsidP="00721F67">
            <w:pPr>
              <w:pStyle w:val="TableText0"/>
              <w:rPr>
                <w:b/>
                <w:bCs w:val="0"/>
              </w:rPr>
            </w:pPr>
            <w:r w:rsidRPr="005E7233">
              <w:rPr>
                <w:b/>
                <w:bCs w:val="0"/>
              </w:rPr>
              <w:t>TEP source data, OPTIC (base case: pooled TEP trial data)</w:t>
            </w:r>
          </w:p>
        </w:tc>
        <w:tc>
          <w:tcPr>
            <w:tcW w:w="1134" w:type="dxa"/>
          </w:tcPr>
          <w:p w14:paraId="6C5C4016" w14:textId="7A6D924C"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0"/>
                <w14:textFill>
                  <w14:solidFill>
                    <w14:srgbClr w14:val="000000">
                      <w14:alpha w14:val="100000"/>
                    </w14:srgbClr>
                  </w14:solidFill>
                </w14:textFill>
              </w:rPr>
              <w:t>|||</w:t>
            </w:r>
            <w:r w:rsidR="00BD0449" w:rsidRPr="00F969C2">
              <w:rPr>
                <w:color w:val="000000"/>
                <w:spacing w:val="1"/>
                <w:w w:val="84"/>
                <w:shd w:val="solid" w:color="000000" w:fill="000000"/>
                <w:fitText w:val="320" w:id="-694437360"/>
                <w14:textFill>
                  <w14:solidFill>
                    <w14:srgbClr w14:val="000000">
                      <w14:alpha w14:val="100000"/>
                    </w14:srgbClr>
                  </w14:solidFill>
                </w14:textFill>
              </w:rPr>
              <w:t>|</w:t>
            </w:r>
            <w:r w:rsidR="00A25BDC">
              <w:t xml:space="preserve"> </w:t>
            </w:r>
          </w:p>
        </w:tc>
        <w:tc>
          <w:tcPr>
            <w:tcW w:w="1134" w:type="dxa"/>
          </w:tcPr>
          <w:p w14:paraId="2A138CA5" w14:textId="2AFEF312" w:rsidR="00721F67" w:rsidRPr="005E7233" w:rsidRDefault="00721F67" w:rsidP="00721F67">
            <w:pPr>
              <w:pStyle w:val="TableText0"/>
              <w:jc w:val="right"/>
            </w:pPr>
            <w:r w:rsidRPr="005E7233">
              <w:t>1.136</w:t>
            </w:r>
          </w:p>
        </w:tc>
        <w:tc>
          <w:tcPr>
            <w:tcW w:w="993" w:type="dxa"/>
          </w:tcPr>
          <w:p w14:paraId="4B076B22" w14:textId="3F64D606"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6"/>
                <w14:textFill>
                  <w14:solidFill>
                    <w14:srgbClr w14:val="000000">
                      <w14:alpha w14:val="100000"/>
                    </w14:srgbClr>
                  </w14:solidFill>
                </w14:textFill>
              </w:rPr>
              <w:t>|||</w:t>
            </w:r>
            <w:r w:rsidR="00BD0449" w:rsidRPr="00F969C2">
              <w:rPr>
                <w:color w:val="000000"/>
                <w:spacing w:val="1"/>
                <w:shd w:val="solid" w:color="000000" w:fill="000000"/>
                <w:fitText w:val="330" w:id="-694437376"/>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Pr>
          <w:p w14:paraId="76A5E558" w14:textId="23906840" w:rsidR="00721F67" w:rsidRPr="005E7233" w:rsidRDefault="00BD0449" w:rsidP="00721F67">
            <w:pPr>
              <w:pStyle w:val="TableText0"/>
              <w:jc w:val="right"/>
            </w:pPr>
            <w:r w:rsidRPr="00BD0449">
              <w:rPr>
                <w:color w:val="000000"/>
                <w:spacing w:val="84"/>
                <w:shd w:val="solid" w:color="000000" w:fill="000000"/>
                <w:fitText w:val="170" w:id="-694437375"/>
                <w14:textFill>
                  <w14:solidFill>
                    <w14:srgbClr w14:val="000000">
                      <w14:alpha w14:val="100000"/>
                    </w14:srgbClr>
                  </w14:solidFill>
                </w14:textFill>
              </w:rPr>
              <w:t>|</w:t>
            </w:r>
            <w:r w:rsidRPr="00BD0449">
              <w:rPr>
                <w:color w:val="000000"/>
                <w:spacing w:val="1"/>
                <w:shd w:val="solid" w:color="000000" w:fill="000000"/>
                <w:fitText w:val="170" w:id="-694437375"/>
                <w14:textFill>
                  <w14:solidFill>
                    <w14:srgbClr w14:val="000000">
                      <w14:alpha w14:val="100000"/>
                    </w14:srgbClr>
                  </w14:solidFill>
                </w14:textFill>
              </w:rPr>
              <w:t>|</w:t>
            </w:r>
            <w:r w:rsidR="00721F67" w:rsidRPr="005E7233">
              <w:t>%</w:t>
            </w:r>
          </w:p>
        </w:tc>
      </w:tr>
      <w:tr w:rsidR="005316C4" w:rsidRPr="005E7233" w14:paraId="5A776CA5" w14:textId="77777777" w:rsidTr="008A70D4">
        <w:trPr>
          <w:cantSplit/>
        </w:trPr>
        <w:tc>
          <w:tcPr>
            <w:tcW w:w="9017" w:type="dxa"/>
            <w:gridSpan w:val="5"/>
            <w:tcBorders>
              <w:bottom w:val="single" w:sz="4" w:space="0" w:color="auto"/>
            </w:tcBorders>
          </w:tcPr>
          <w:p w14:paraId="11E006F4" w14:textId="44146FD2" w:rsidR="005316C4" w:rsidRPr="005E7233" w:rsidRDefault="005316C4" w:rsidP="005316C4">
            <w:pPr>
              <w:pStyle w:val="TableText0"/>
            </w:pPr>
            <w:r w:rsidRPr="005E7233">
              <w:t>IVMP treatment effect</w:t>
            </w:r>
            <w:r w:rsidR="007E4DFF">
              <w:t xml:space="preserve"> for proptosis</w:t>
            </w:r>
            <w:r w:rsidRPr="005E7233">
              <w:t xml:space="preserve"> vs PBO (Douglas et al. 2022)</w:t>
            </w:r>
            <w:r>
              <w:t>. B</w:t>
            </w:r>
            <w:r w:rsidRPr="005E7233">
              <w:t xml:space="preserve">ase case: </w:t>
            </w:r>
            <w:r>
              <w:t>-</w:t>
            </w:r>
            <w:r w:rsidRPr="005E7233">
              <w:t>0.16 mm</w:t>
            </w:r>
          </w:p>
        </w:tc>
      </w:tr>
      <w:tr w:rsidR="00721F67" w:rsidRPr="005E7233" w14:paraId="26E681A5" w14:textId="77777777" w:rsidTr="008A70D4">
        <w:trPr>
          <w:cantSplit/>
        </w:trPr>
        <w:tc>
          <w:tcPr>
            <w:tcW w:w="5098" w:type="dxa"/>
            <w:tcBorders>
              <w:bottom w:val="nil"/>
            </w:tcBorders>
            <w:tcMar>
              <w:left w:w="57" w:type="dxa"/>
              <w:right w:w="57" w:type="dxa"/>
            </w:tcMar>
          </w:tcPr>
          <w:p w14:paraId="328FE403" w14:textId="57ACFEF2" w:rsidR="00721F67" w:rsidRPr="005E7233" w:rsidRDefault="00721F67" w:rsidP="00303DD3">
            <w:pPr>
              <w:pStyle w:val="TableText0"/>
              <w:numPr>
                <w:ilvl w:val="0"/>
                <w:numId w:val="10"/>
              </w:numPr>
              <w:ind w:left="364" w:hanging="284"/>
            </w:pPr>
            <w:r w:rsidRPr="005E7233">
              <w:t xml:space="preserve">Proptosis difference, </w:t>
            </w:r>
            <w:r w:rsidR="0043564A">
              <w:t>lower limit: -</w:t>
            </w:r>
            <w:r w:rsidRPr="005E7233">
              <w:t xml:space="preserve">1.55 mm </w:t>
            </w:r>
          </w:p>
        </w:tc>
        <w:tc>
          <w:tcPr>
            <w:tcW w:w="1134" w:type="dxa"/>
            <w:tcBorders>
              <w:bottom w:val="nil"/>
            </w:tcBorders>
          </w:tcPr>
          <w:p w14:paraId="552B1A69" w14:textId="1A96E24D"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74"/>
                <w14:textFill>
                  <w14:solidFill>
                    <w14:srgbClr w14:val="000000">
                      <w14:alpha w14:val="100000"/>
                    </w14:srgbClr>
                  </w14:solidFill>
                </w14:textFill>
              </w:rPr>
              <w:t>|||</w:t>
            </w:r>
            <w:r w:rsidR="00BD0449" w:rsidRPr="00F969C2">
              <w:rPr>
                <w:color w:val="000000"/>
                <w:spacing w:val="1"/>
                <w:w w:val="84"/>
                <w:shd w:val="solid" w:color="000000" w:fill="000000"/>
                <w:fitText w:val="320" w:id="-694437374"/>
                <w14:textFill>
                  <w14:solidFill>
                    <w14:srgbClr w14:val="000000">
                      <w14:alpha w14:val="100000"/>
                    </w14:srgbClr>
                  </w14:solidFill>
                </w14:textFill>
              </w:rPr>
              <w:t>|</w:t>
            </w:r>
            <w:r w:rsidR="00A25BDC">
              <w:t xml:space="preserve"> </w:t>
            </w:r>
          </w:p>
        </w:tc>
        <w:tc>
          <w:tcPr>
            <w:tcW w:w="1134" w:type="dxa"/>
            <w:tcBorders>
              <w:bottom w:val="nil"/>
            </w:tcBorders>
          </w:tcPr>
          <w:p w14:paraId="71A10762" w14:textId="02DE72CD" w:rsidR="00721F67" w:rsidRPr="005E7233" w:rsidRDefault="00721F67" w:rsidP="00721F67">
            <w:pPr>
              <w:pStyle w:val="TableText0"/>
              <w:jc w:val="right"/>
            </w:pPr>
            <w:r w:rsidRPr="005E7233">
              <w:t>1.116</w:t>
            </w:r>
          </w:p>
        </w:tc>
        <w:tc>
          <w:tcPr>
            <w:tcW w:w="993" w:type="dxa"/>
            <w:tcBorders>
              <w:bottom w:val="nil"/>
            </w:tcBorders>
          </w:tcPr>
          <w:p w14:paraId="49A52141" w14:textId="7051B89E"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3"/>
                <w14:textFill>
                  <w14:solidFill>
                    <w14:srgbClr w14:val="000000">
                      <w14:alpha w14:val="100000"/>
                    </w14:srgbClr>
                  </w14:solidFill>
                </w14:textFill>
              </w:rPr>
              <w:t>|||</w:t>
            </w:r>
            <w:r w:rsidR="00BD0449" w:rsidRPr="00F969C2">
              <w:rPr>
                <w:color w:val="000000"/>
                <w:spacing w:val="1"/>
                <w:shd w:val="solid" w:color="000000" w:fill="000000"/>
                <w:fitText w:val="330" w:id="-694437373"/>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bottom w:val="nil"/>
            </w:tcBorders>
          </w:tcPr>
          <w:p w14:paraId="5EF98EC2" w14:textId="38436BC1" w:rsidR="00721F67" w:rsidRPr="005E7233" w:rsidRDefault="00BD0449" w:rsidP="00721F67">
            <w:pPr>
              <w:pStyle w:val="TableText0"/>
              <w:jc w:val="right"/>
            </w:pPr>
            <w:r w:rsidRPr="00BD0449">
              <w:rPr>
                <w:color w:val="000000"/>
                <w:spacing w:val="84"/>
                <w:shd w:val="solid" w:color="000000" w:fill="000000"/>
                <w:fitText w:val="170" w:id="-694437372"/>
                <w14:textFill>
                  <w14:solidFill>
                    <w14:srgbClr w14:val="000000">
                      <w14:alpha w14:val="100000"/>
                    </w14:srgbClr>
                  </w14:solidFill>
                </w14:textFill>
              </w:rPr>
              <w:t>|</w:t>
            </w:r>
            <w:r w:rsidRPr="00BD0449">
              <w:rPr>
                <w:color w:val="000000"/>
                <w:spacing w:val="1"/>
                <w:shd w:val="solid" w:color="000000" w:fill="000000"/>
                <w:fitText w:val="170" w:id="-694437372"/>
                <w14:textFill>
                  <w14:solidFill>
                    <w14:srgbClr w14:val="000000">
                      <w14:alpha w14:val="100000"/>
                    </w14:srgbClr>
                  </w14:solidFill>
                </w14:textFill>
              </w:rPr>
              <w:t>|</w:t>
            </w:r>
            <w:r w:rsidR="00721F67" w:rsidRPr="005E7233">
              <w:t>%</w:t>
            </w:r>
          </w:p>
        </w:tc>
      </w:tr>
      <w:tr w:rsidR="00721F67" w:rsidRPr="005E7233" w14:paraId="1CD83ACF" w14:textId="77777777" w:rsidTr="008A70D4">
        <w:trPr>
          <w:cantSplit/>
        </w:trPr>
        <w:tc>
          <w:tcPr>
            <w:tcW w:w="5098" w:type="dxa"/>
            <w:tcBorders>
              <w:top w:val="nil"/>
              <w:bottom w:val="nil"/>
            </w:tcBorders>
            <w:tcMar>
              <w:left w:w="57" w:type="dxa"/>
              <w:right w:w="57" w:type="dxa"/>
            </w:tcMar>
          </w:tcPr>
          <w:p w14:paraId="74085042" w14:textId="00288D3B" w:rsidR="00721F67" w:rsidRPr="005E7233" w:rsidRDefault="00721F67" w:rsidP="00303DD3">
            <w:pPr>
              <w:pStyle w:val="TableText0"/>
              <w:numPr>
                <w:ilvl w:val="0"/>
                <w:numId w:val="10"/>
              </w:numPr>
              <w:ind w:left="364" w:hanging="284"/>
            </w:pPr>
            <w:r w:rsidRPr="005E7233">
              <w:t xml:space="preserve">Proptosis difference, </w:t>
            </w:r>
            <w:r w:rsidR="0043564A">
              <w:t xml:space="preserve">upper limit: </w:t>
            </w:r>
            <w:r w:rsidRPr="005E7233">
              <w:t xml:space="preserve">1.22 mm </w:t>
            </w:r>
          </w:p>
        </w:tc>
        <w:tc>
          <w:tcPr>
            <w:tcW w:w="1134" w:type="dxa"/>
            <w:tcBorders>
              <w:top w:val="nil"/>
              <w:bottom w:val="nil"/>
            </w:tcBorders>
          </w:tcPr>
          <w:p w14:paraId="7DFBF274" w14:textId="4C66E99A"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71"/>
                <w14:textFill>
                  <w14:solidFill>
                    <w14:srgbClr w14:val="000000">
                      <w14:alpha w14:val="100000"/>
                    </w14:srgbClr>
                  </w14:solidFill>
                </w14:textFill>
              </w:rPr>
              <w:t>|||</w:t>
            </w:r>
            <w:r w:rsidR="00BD0449" w:rsidRPr="00F969C2">
              <w:rPr>
                <w:color w:val="000000"/>
                <w:spacing w:val="3"/>
                <w:shd w:val="solid" w:color="000000" w:fill="000000"/>
                <w:fitText w:val="320" w:id="-694437371"/>
                <w14:textFill>
                  <w14:solidFill>
                    <w14:srgbClr w14:val="000000">
                      <w14:alpha w14:val="100000"/>
                    </w14:srgbClr>
                  </w14:solidFill>
                </w14:textFill>
              </w:rPr>
              <w:t>|</w:t>
            </w:r>
            <w:r w:rsidR="00A25BDC">
              <w:t xml:space="preserve"> </w:t>
            </w:r>
          </w:p>
        </w:tc>
        <w:tc>
          <w:tcPr>
            <w:tcW w:w="1134" w:type="dxa"/>
            <w:tcBorders>
              <w:top w:val="nil"/>
              <w:bottom w:val="nil"/>
            </w:tcBorders>
          </w:tcPr>
          <w:p w14:paraId="45913D5B" w14:textId="7254B7D9" w:rsidR="00721F67" w:rsidRPr="005E7233" w:rsidRDefault="00721F67" w:rsidP="00721F67">
            <w:pPr>
              <w:pStyle w:val="TableText0"/>
              <w:jc w:val="right"/>
            </w:pPr>
            <w:r w:rsidRPr="005E7233">
              <w:t>1.430</w:t>
            </w:r>
          </w:p>
        </w:tc>
        <w:tc>
          <w:tcPr>
            <w:tcW w:w="993" w:type="dxa"/>
            <w:tcBorders>
              <w:top w:val="nil"/>
              <w:bottom w:val="nil"/>
            </w:tcBorders>
          </w:tcPr>
          <w:p w14:paraId="6FEBB794" w14:textId="2291292C"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0"/>
                <w14:textFill>
                  <w14:solidFill>
                    <w14:srgbClr w14:val="000000">
                      <w14:alpha w14:val="100000"/>
                    </w14:srgbClr>
                  </w14:solidFill>
                </w14:textFill>
              </w:rPr>
              <w:t>|||</w:t>
            </w:r>
            <w:r w:rsidR="00BD0449" w:rsidRPr="00F969C2">
              <w:rPr>
                <w:color w:val="000000"/>
                <w:spacing w:val="1"/>
                <w:shd w:val="solid" w:color="000000" w:fill="000000"/>
                <w:fitText w:val="330" w:id="-694437370"/>
                <w14:textFill>
                  <w14:solidFill>
                    <w14:srgbClr w14:val="000000">
                      <w14:alpha w14:val="100000"/>
                    </w14:srgbClr>
                  </w14:solidFill>
                </w14:textFill>
              </w:rPr>
              <w:t>|</w:t>
            </w:r>
            <w:r w:rsidR="00DE6728">
              <w:rPr>
                <w:b/>
                <w:bCs w:val="0"/>
              </w:rPr>
              <w:t xml:space="preserve"> </w:t>
            </w:r>
            <w:r w:rsidR="00DE6728">
              <w:rPr>
                <w:b/>
                <w:bCs w:val="0"/>
                <w:vertAlign w:val="superscript"/>
              </w:rPr>
              <w:t>1</w:t>
            </w:r>
          </w:p>
        </w:tc>
        <w:tc>
          <w:tcPr>
            <w:tcW w:w="658" w:type="dxa"/>
            <w:tcBorders>
              <w:top w:val="nil"/>
              <w:bottom w:val="nil"/>
            </w:tcBorders>
          </w:tcPr>
          <w:p w14:paraId="40EE9BB5" w14:textId="68930895"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69"/>
                <w14:textFill>
                  <w14:solidFill>
                    <w14:srgbClr w14:val="000000">
                      <w14:alpha w14:val="100000"/>
                    </w14:srgbClr>
                  </w14:solidFill>
                </w14:textFill>
              </w:rPr>
              <w:t xml:space="preserve">　</w:t>
            </w:r>
            <w:r w:rsidR="00BD0449" w:rsidRPr="0012101B">
              <w:rPr>
                <w:rFonts w:hint="eastAsia"/>
                <w:color w:val="000000"/>
                <w:w w:val="15"/>
                <w:shd w:val="solid" w:color="000000" w:fill="000000"/>
                <w:fitText w:val="10" w:id="-694437368"/>
                <w14:textFill>
                  <w14:solidFill>
                    <w14:srgbClr w14:val="000000">
                      <w14:alpha w14:val="100000"/>
                    </w14:srgbClr>
                  </w14:solidFill>
                </w14:textFill>
              </w:rPr>
              <w:t xml:space="preserve">　</w:t>
            </w:r>
            <w:r w:rsidR="00BD0449" w:rsidRPr="0012101B">
              <w:rPr>
                <w:color w:val="000000"/>
                <w:w w:val="15"/>
                <w:shd w:val="solid" w:color="000000" w:fill="000000"/>
                <w:fitText w:val="10" w:id="-694437368"/>
                <w14:textFill>
                  <w14:solidFill>
                    <w14:srgbClr w14:val="000000">
                      <w14:alpha w14:val="100000"/>
                    </w14:srgbClr>
                  </w14:solidFill>
                </w14:textFill>
              </w:rPr>
              <w:t>|</w:t>
            </w:r>
            <w:r w:rsidR="00BD0449" w:rsidRPr="0012101B">
              <w:rPr>
                <w:rFonts w:hint="eastAsia"/>
                <w:color w:val="000000"/>
                <w:spacing w:val="-56"/>
                <w:w w:val="15"/>
                <w:shd w:val="solid" w:color="000000" w:fill="000000"/>
                <w:fitText w:val="10" w:id="-694437368"/>
                <w14:textFill>
                  <w14:solidFill>
                    <w14:srgbClr w14:val="000000">
                      <w14:alpha w14:val="100000"/>
                    </w14:srgbClr>
                  </w14:solidFill>
                </w14:textFill>
              </w:rPr>
              <w:t xml:space="preserve">　</w:t>
            </w:r>
            <w:r w:rsidRPr="005E7233">
              <w:t>%</w:t>
            </w:r>
          </w:p>
        </w:tc>
      </w:tr>
      <w:tr w:rsidR="00A153E6" w:rsidRPr="005E7233" w14:paraId="79B9A28D" w14:textId="77777777" w:rsidTr="008A70D4">
        <w:trPr>
          <w:cantSplit/>
        </w:trPr>
        <w:tc>
          <w:tcPr>
            <w:tcW w:w="9017" w:type="dxa"/>
            <w:gridSpan w:val="5"/>
          </w:tcPr>
          <w:p w14:paraId="02A7C83E" w14:textId="42D14206" w:rsidR="00A153E6" w:rsidRPr="005E7233" w:rsidRDefault="00A153E6" w:rsidP="00A153E6">
            <w:pPr>
              <w:pStyle w:val="TableText0"/>
            </w:pPr>
            <w:r>
              <w:t xml:space="preserve">IVMP treatment effect vs PBO. Base case: </w:t>
            </w:r>
            <w:r w:rsidR="00A94EBF">
              <w:t xml:space="preserve">Cycle 1 </w:t>
            </w:r>
            <w:r w:rsidR="00AE7056">
              <w:t>(Weeks 1-6)</w:t>
            </w:r>
            <w:r w:rsidR="00A94EBF">
              <w:t>. N</w:t>
            </w:r>
            <w:r w:rsidRPr="005E7233">
              <w:t>o OR applied to PBO data weeks 6–</w:t>
            </w:r>
            <w:r w:rsidR="00AE7056">
              <w:t>12</w:t>
            </w:r>
            <w:r w:rsidRPr="005E7233">
              <w:rPr>
                <w:b/>
                <w:bCs w:val="0"/>
              </w:rPr>
              <w:t xml:space="preserve"> </w:t>
            </w:r>
          </w:p>
        </w:tc>
      </w:tr>
      <w:tr w:rsidR="00721F67" w:rsidRPr="005E7233" w14:paraId="17FE628B" w14:textId="77777777" w:rsidTr="008A70D4">
        <w:trPr>
          <w:cantSplit/>
        </w:trPr>
        <w:tc>
          <w:tcPr>
            <w:tcW w:w="5098" w:type="dxa"/>
          </w:tcPr>
          <w:p w14:paraId="2E54D8B0" w14:textId="543E61A9" w:rsidR="00721F67" w:rsidRPr="005E7233" w:rsidRDefault="00416C39" w:rsidP="00721F67">
            <w:pPr>
              <w:pStyle w:val="TableText0"/>
            </w:pPr>
            <w:r w:rsidRPr="005E7233">
              <w:t>IVMP cycle</w:t>
            </w:r>
            <w:r w:rsidR="005E5D26">
              <w:t xml:space="preserve"> 1 and</w:t>
            </w:r>
            <w:r w:rsidRPr="005E7233">
              <w:t xml:space="preserve"> 2, diplopia response OR 2.69 to PBO data weeks </w:t>
            </w:r>
            <w:r w:rsidR="00500417">
              <w:t>1</w:t>
            </w:r>
            <w:r w:rsidRPr="005E7233">
              <w:t xml:space="preserve">–12 </w:t>
            </w:r>
            <w:r w:rsidRPr="005E7233">
              <w:rPr>
                <w:b/>
                <w:bCs w:val="0"/>
              </w:rPr>
              <w:t>[#1]</w:t>
            </w:r>
          </w:p>
        </w:tc>
        <w:tc>
          <w:tcPr>
            <w:tcW w:w="1134" w:type="dxa"/>
          </w:tcPr>
          <w:p w14:paraId="0809A857" w14:textId="6A73B252"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7"/>
                <w14:textFill>
                  <w14:solidFill>
                    <w14:srgbClr w14:val="000000">
                      <w14:alpha w14:val="100000"/>
                    </w14:srgbClr>
                  </w14:solidFill>
                </w14:textFill>
              </w:rPr>
              <w:t>|||</w:t>
            </w:r>
            <w:r w:rsidR="00BD0449" w:rsidRPr="00F969C2">
              <w:rPr>
                <w:color w:val="000000"/>
                <w:spacing w:val="1"/>
                <w:w w:val="84"/>
                <w:shd w:val="solid" w:color="000000" w:fill="000000"/>
                <w:fitText w:val="320" w:id="-694437367"/>
                <w14:textFill>
                  <w14:solidFill>
                    <w14:srgbClr w14:val="000000">
                      <w14:alpha w14:val="100000"/>
                    </w14:srgbClr>
                  </w14:solidFill>
                </w14:textFill>
              </w:rPr>
              <w:t>|</w:t>
            </w:r>
            <w:r w:rsidR="00A25BDC">
              <w:t xml:space="preserve"> </w:t>
            </w:r>
          </w:p>
        </w:tc>
        <w:tc>
          <w:tcPr>
            <w:tcW w:w="1134" w:type="dxa"/>
          </w:tcPr>
          <w:p w14:paraId="758BC142" w14:textId="148F8F79" w:rsidR="00721F67" w:rsidRPr="005E7233" w:rsidRDefault="00721F67" w:rsidP="00721F67">
            <w:pPr>
              <w:pStyle w:val="TableText0"/>
              <w:jc w:val="right"/>
            </w:pPr>
            <w:r w:rsidRPr="005E7233">
              <w:t>1.182</w:t>
            </w:r>
          </w:p>
        </w:tc>
        <w:tc>
          <w:tcPr>
            <w:tcW w:w="993" w:type="dxa"/>
          </w:tcPr>
          <w:p w14:paraId="0D81EEE6" w14:textId="2E0425AC"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6"/>
                <w14:textFill>
                  <w14:solidFill>
                    <w14:srgbClr w14:val="000000">
                      <w14:alpha w14:val="100000"/>
                    </w14:srgbClr>
                  </w14:solidFill>
                </w14:textFill>
              </w:rPr>
              <w:t>|||</w:t>
            </w:r>
            <w:r w:rsidR="00BD0449" w:rsidRPr="00F969C2">
              <w:rPr>
                <w:color w:val="000000"/>
                <w:spacing w:val="1"/>
                <w:shd w:val="solid" w:color="000000" w:fill="000000"/>
                <w:fitText w:val="330" w:id="-694437366"/>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Pr>
          <w:p w14:paraId="4CB6B303" w14:textId="527307CB" w:rsidR="00721F67" w:rsidRPr="005E7233" w:rsidRDefault="00BD0449" w:rsidP="00721F67">
            <w:pPr>
              <w:pStyle w:val="TableText0"/>
              <w:jc w:val="right"/>
            </w:pPr>
            <w:r w:rsidRPr="00BD0449">
              <w:rPr>
                <w:color w:val="000000"/>
                <w:spacing w:val="84"/>
                <w:shd w:val="solid" w:color="000000" w:fill="000000"/>
                <w:fitText w:val="170" w:id="-694437365"/>
                <w14:textFill>
                  <w14:solidFill>
                    <w14:srgbClr w14:val="000000">
                      <w14:alpha w14:val="100000"/>
                    </w14:srgbClr>
                  </w14:solidFill>
                </w14:textFill>
              </w:rPr>
              <w:t>|</w:t>
            </w:r>
            <w:r w:rsidRPr="00BD0449">
              <w:rPr>
                <w:color w:val="000000"/>
                <w:spacing w:val="1"/>
                <w:shd w:val="solid" w:color="000000" w:fill="000000"/>
                <w:fitText w:val="170" w:id="-694437365"/>
                <w14:textFill>
                  <w14:solidFill>
                    <w14:srgbClr w14:val="000000">
                      <w14:alpha w14:val="100000"/>
                    </w14:srgbClr>
                  </w14:solidFill>
                </w14:textFill>
              </w:rPr>
              <w:t>|</w:t>
            </w:r>
            <w:r w:rsidR="00721F67" w:rsidRPr="005E7233">
              <w:t>%</w:t>
            </w:r>
          </w:p>
        </w:tc>
      </w:tr>
      <w:tr w:rsidR="00721F67" w:rsidRPr="005E7233" w14:paraId="2B4EF89C" w14:textId="77777777" w:rsidTr="008A70D4">
        <w:trPr>
          <w:cantSplit/>
        </w:trPr>
        <w:tc>
          <w:tcPr>
            <w:tcW w:w="5098" w:type="dxa"/>
            <w:tcBorders>
              <w:bottom w:val="single" w:sz="4" w:space="0" w:color="auto"/>
              <w:right w:val="nil"/>
            </w:tcBorders>
          </w:tcPr>
          <w:p w14:paraId="151729EB" w14:textId="77777777" w:rsidR="00721F67" w:rsidRPr="005E7233" w:rsidRDefault="00721F67" w:rsidP="00721F67">
            <w:pPr>
              <w:pStyle w:val="TableText0"/>
              <w:rPr>
                <w:b/>
                <w:bCs w:val="0"/>
              </w:rPr>
            </w:pPr>
            <w:r w:rsidRPr="005E7233">
              <w:rPr>
                <w:b/>
                <w:bCs w:val="0"/>
              </w:rPr>
              <w:t>Relapse cycles 5–12 (base case: TEP: 30%, IVMP: 50%)</w:t>
            </w:r>
          </w:p>
        </w:tc>
        <w:tc>
          <w:tcPr>
            <w:tcW w:w="1134" w:type="dxa"/>
            <w:tcBorders>
              <w:left w:val="nil"/>
              <w:bottom w:val="single" w:sz="4" w:space="0" w:color="auto"/>
              <w:right w:val="nil"/>
            </w:tcBorders>
          </w:tcPr>
          <w:p w14:paraId="34AFD16C"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5801E6C9"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5BFFA2F5" w14:textId="77777777" w:rsidR="00721F67" w:rsidRPr="005E7233" w:rsidRDefault="00721F67" w:rsidP="00721F67">
            <w:pPr>
              <w:pStyle w:val="TableText0"/>
              <w:jc w:val="right"/>
            </w:pPr>
          </w:p>
        </w:tc>
        <w:tc>
          <w:tcPr>
            <w:tcW w:w="658" w:type="dxa"/>
            <w:tcBorders>
              <w:left w:val="nil"/>
              <w:bottom w:val="single" w:sz="4" w:space="0" w:color="auto"/>
            </w:tcBorders>
          </w:tcPr>
          <w:p w14:paraId="791B6718" w14:textId="77777777" w:rsidR="00721F67" w:rsidRPr="005E7233" w:rsidRDefault="00721F67" w:rsidP="00721F67">
            <w:pPr>
              <w:pStyle w:val="TableText0"/>
              <w:jc w:val="right"/>
            </w:pPr>
          </w:p>
        </w:tc>
      </w:tr>
      <w:tr w:rsidR="00766CEE" w:rsidRPr="005E7233" w14:paraId="029EDBD2" w14:textId="77777777" w:rsidTr="008A70D4">
        <w:trPr>
          <w:cantSplit/>
        </w:trPr>
        <w:tc>
          <w:tcPr>
            <w:tcW w:w="5098" w:type="dxa"/>
            <w:tcBorders>
              <w:top w:val="nil"/>
              <w:bottom w:val="nil"/>
            </w:tcBorders>
          </w:tcPr>
          <w:p w14:paraId="3C446024" w14:textId="25917DEA" w:rsidR="00766CEE" w:rsidRPr="005E7233" w:rsidRDefault="00766CEE" w:rsidP="00303DD3">
            <w:pPr>
              <w:pStyle w:val="TableText0"/>
              <w:numPr>
                <w:ilvl w:val="0"/>
                <w:numId w:val="10"/>
              </w:numPr>
              <w:ind w:left="311" w:hanging="284"/>
            </w:pPr>
            <w:r w:rsidRPr="005E7233">
              <w:t>IVMP relapse rates as for TEP</w:t>
            </w:r>
            <w:r w:rsidR="009953C6" w:rsidRPr="005E7233">
              <w:t xml:space="preserve"> (30%)</w:t>
            </w:r>
            <w:r w:rsidR="006E1712" w:rsidRPr="005E7233">
              <w:t xml:space="preserve"> </w:t>
            </w:r>
            <w:r w:rsidR="006E1712" w:rsidRPr="005E7233">
              <w:rPr>
                <w:b/>
                <w:bCs w:val="0"/>
              </w:rPr>
              <w:t>[#5]</w:t>
            </w:r>
          </w:p>
        </w:tc>
        <w:tc>
          <w:tcPr>
            <w:tcW w:w="1134" w:type="dxa"/>
            <w:tcBorders>
              <w:top w:val="nil"/>
              <w:bottom w:val="nil"/>
            </w:tcBorders>
          </w:tcPr>
          <w:p w14:paraId="26290E82" w14:textId="48D0829F" w:rsidR="00766CEE" w:rsidRPr="005E7233" w:rsidRDefault="00766CEE" w:rsidP="00766CEE">
            <w:pPr>
              <w:pStyle w:val="TableText0"/>
              <w:jc w:val="right"/>
            </w:pPr>
            <w:r w:rsidRPr="005E7233">
              <w:t>$</w:t>
            </w:r>
            <w:r w:rsidR="00BD0449" w:rsidRPr="00F969C2">
              <w:rPr>
                <w:color w:val="000000"/>
                <w:spacing w:val="59"/>
                <w:w w:val="84"/>
                <w:shd w:val="solid" w:color="000000" w:fill="000000"/>
                <w:fitText w:val="320" w:id="-694437364"/>
                <w14:textFill>
                  <w14:solidFill>
                    <w14:srgbClr w14:val="000000">
                      <w14:alpha w14:val="100000"/>
                    </w14:srgbClr>
                  </w14:solidFill>
                </w14:textFill>
              </w:rPr>
              <w:t>|||</w:t>
            </w:r>
            <w:r w:rsidR="00BD0449" w:rsidRPr="00F969C2">
              <w:rPr>
                <w:color w:val="000000"/>
                <w:spacing w:val="1"/>
                <w:w w:val="84"/>
                <w:shd w:val="solid" w:color="000000" w:fill="000000"/>
                <w:fitText w:val="320" w:id="-694437364"/>
                <w14:textFill>
                  <w14:solidFill>
                    <w14:srgbClr w14:val="000000">
                      <w14:alpha w14:val="100000"/>
                    </w14:srgbClr>
                  </w14:solidFill>
                </w14:textFill>
              </w:rPr>
              <w:t>|</w:t>
            </w:r>
          </w:p>
        </w:tc>
        <w:tc>
          <w:tcPr>
            <w:tcW w:w="1134" w:type="dxa"/>
            <w:tcBorders>
              <w:top w:val="nil"/>
              <w:bottom w:val="nil"/>
            </w:tcBorders>
          </w:tcPr>
          <w:p w14:paraId="101E6B5E" w14:textId="4F55BAF1" w:rsidR="00766CEE" w:rsidRPr="005E7233" w:rsidRDefault="00766CEE" w:rsidP="00766CEE">
            <w:pPr>
              <w:pStyle w:val="TableText0"/>
              <w:jc w:val="right"/>
            </w:pPr>
            <w:r w:rsidRPr="005E7233">
              <w:t>0.901</w:t>
            </w:r>
          </w:p>
        </w:tc>
        <w:tc>
          <w:tcPr>
            <w:tcW w:w="993" w:type="dxa"/>
            <w:tcBorders>
              <w:top w:val="nil"/>
              <w:bottom w:val="nil"/>
            </w:tcBorders>
          </w:tcPr>
          <w:p w14:paraId="7A09BC54" w14:textId="0BC76E3F" w:rsidR="00766CEE" w:rsidRPr="005E7233" w:rsidRDefault="00766CEE" w:rsidP="00766CEE">
            <w:pPr>
              <w:pStyle w:val="TableText0"/>
              <w:jc w:val="right"/>
            </w:pPr>
            <w:r w:rsidRPr="005E7233">
              <w:t>$</w:t>
            </w:r>
            <w:r w:rsidR="00BD0449" w:rsidRPr="00F969C2">
              <w:rPr>
                <w:color w:val="000000"/>
                <w:spacing w:val="53"/>
                <w:shd w:val="solid" w:color="000000" w:fill="000000"/>
                <w:fitText w:val="330" w:id="-694437363"/>
                <w14:textFill>
                  <w14:solidFill>
                    <w14:srgbClr w14:val="000000">
                      <w14:alpha w14:val="100000"/>
                    </w14:srgbClr>
                  </w14:solidFill>
                </w14:textFill>
              </w:rPr>
              <w:t>|||</w:t>
            </w:r>
            <w:r w:rsidR="00BD0449" w:rsidRPr="00F969C2">
              <w:rPr>
                <w:color w:val="000000"/>
                <w:spacing w:val="1"/>
                <w:shd w:val="solid" w:color="000000" w:fill="000000"/>
                <w:fitText w:val="330" w:id="-694437363"/>
                <w14:textFill>
                  <w14:solidFill>
                    <w14:srgbClr w14:val="000000">
                      <w14:alpha w14:val="100000"/>
                    </w14:srgbClr>
                  </w14:solidFill>
                </w14:textFill>
              </w:rPr>
              <w:t>|</w:t>
            </w:r>
            <w:r w:rsidR="002E7038">
              <w:rPr>
                <w:b/>
                <w:bCs w:val="0"/>
              </w:rPr>
              <w:t xml:space="preserve"> </w:t>
            </w:r>
            <w:r w:rsidR="002E7038">
              <w:rPr>
                <w:b/>
                <w:bCs w:val="0"/>
                <w:vertAlign w:val="superscript"/>
              </w:rPr>
              <w:t>6</w:t>
            </w:r>
          </w:p>
        </w:tc>
        <w:tc>
          <w:tcPr>
            <w:tcW w:w="658" w:type="dxa"/>
            <w:tcBorders>
              <w:top w:val="nil"/>
              <w:bottom w:val="nil"/>
            </w:tcBorders>
          </w:tcPr>
          <w:p w14:paraId="628AD1C8" w14:textId="5ACF8D20" w:rsidR="00766CEE" w:rsidRPr="005E7233" w:rsidRDefault="00BD0449" w:rsidP="00766CEE">
            <w:pPr>
              <w:pStyle w:val="TableText0"/>
              <w:jc w:val="right"/>
            </w:pPr>
            <w:r w:rsidRPr="00BD0449">
              <w:rPr>
                <w:color w:val="000000"/>
                <w:spacing w:val="84"/>
                <w:shd w:val="solid" w:color="000000" w:fill="000000"/>
                <w:fitText w:val="170" w:id="-694437362"/>
                <w14:textFill>
                  <w14:solidFill>
                    <w14:srgbClr w14:val="000000">
                      <w14:alpha w14:val="100000"/>
                    </w14:srgbClr>
                  </w14:solidFill>
                </w14:textFill>
              </w:rPr>
              <w:t>|</w:t>
            </w:r>
            <w:r w:rsidRPr="00BD0449">
              <w:rPr>
                <w:color w:val="000000"/>
                <w:spacing w:val="1"/>
                <w:shd w:val="solid" w:color="000000" w:fill="000000"/>
                <w:fitText w:val="170" w:id="-694437362"/>
                <w14:textFill>
                  <w14:solidFill>
                    <w14:srgbClr w14:val="000000">
                      <w14:alpha w14:val="100000"/>
                    </w14:srgbClr>
                  </w14:solidFill>
                </w14:textFill>
              </w:rPr>
              <w:t>|</w:t>
            </w:r>
            <w:r w:rsidR="00766CEE" w:rsidRPr="005E7233">
              <w:t>%</w:t>
            </w:r>
          </w:p>
        </w:tc>
      </w:tr>
      <w:tr w:rsidR="00721F67" w:rsidRPr="005E7233" w14:paraId="3F7AD960" w14:textId="77777777" w:rsidTr="008A70D4">
        <w:trPr>
          <w:cantSplit/>
        </w:trPr>
        <w:tc>
          <w:tcPr>
            <w:tcW w:w="5098" w:type="dxa"/>
            <w:tcBorders>
              <w:top w:val="nil"/>
              <w:bottom w:val="single" w:sz="4" w:space="0" w:color="auto"/>
            </w:tcBorders>
          </w:tcPr>
          <w:p w14:paraId="4565343F" w14:textId="77777777" w:rsidR="00721F67" w:rsidRPr="005E7233" w:rsidRDefault="00721F67" w:rsidP="00303DD3">
            <w:pPr>
              <w:pStyle w:val="TableText0"/>
              <w:numPr>
                <w:ilvl w:val="0"/>
                <w:numId w:val="10"/>
              </w:numPr>
              <w:ind w:left="311" w:hanging="284"/>
            </w:pPr>
            <w:r w:rsidRPr="005E7233">
              <w:t>Use direct long-term TEP data (to week 72)</w:t>
            </w:r>
          </w:p>
        </w:tc>
        <w:tc>
          <w:tcPr>
            <w:tcW w:w="1134" w:type="dxa"/>
            <w:tcBorders>
              <w:top w:val="nil"/>
              <w:bottom w:val="single" w:sz="4" w:space="0" w:color="auto"/>
            </w:tcBorders>
          </w:tcPr>
          <w:p w14:paraId="56923A43" w14:textId="06B1E450"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61"/>
                <w14:textFill>
                  <w14:solidFill>
                    <w14:srgbClr w14:val="000000">
                      <w14:alpha w14:val="100000"/>
                    </w14:srgbClr>
                  </w14:solidFill>
                </w14:textFill>
              </w:rPr>
              <w:t>|||</w:t>
            </w:r>
            <w:r w:rsidR="00BD0449" w:rsidRPr="00F969C2">
              <w:rPr>
                <w:color w:val="000000"/>
                <w:spacing w:val="3"/>
                <w:shd w:val="solid" w:color="000000" w:fill="000000"/>
                <w:fitText w:val="320" w:id="-694437361"/>
                <w14:textFill>
                  <w14:solidFill>
                    <w14:srgbClr w14:val="000000">
                      <w14:alpha w14:val="100000"/>
                    </w14:srgbClr>
                  </w14:solidFill>
                </w14:textFill>
              </w:rPr>
              <w:t>|</w:t>
            </w:r>
          </w:p>
        </w:tc>
        <w:tc>
          <w:tcPr>
            <w:tcW w:w="1134" w:type="dxa"/>
            <w:tcBorders>
              <w:top w:val="nil"/>
              <w:bottom w:val="single" w:sz="4" w:space="0" w:color="auto"/>
            </w:tcBorders>
          </w:tcPr>
          <w:p w14:paraId="42D21353" w14:textId="554B739C" w:rsidR="00721F67" w:rsidRPr="005E7233" w:rsidRDefault="00721F67" w:rsidP="00721F67">
            <w:pPr>
              <w:pStyle w:val="TableText0"/>
              <w:jc w:val="right"/>
            </w:pPr>
            <w:r w:rsidRPr="005E7233">
              <w:t>1.490</w:t>
            </w:r>
          </w:p>
        </w:tc>
        <w:tc>
          <w:tcPr>
            <w:tcW w:w="993" w:type="dxa"/>
            <w:tcBorders>
              <w:top w:val="nil"/>
              <w:bottom w:val="single" w:sz="4" w:space="0" w:color="auto"/>
            </w:tcBorders>
          </w:tcPr>
          <w:p w14:paraId="103C4214" w14:textId="188EE40D"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0"/>
                <w14:textFill>
                  <w14:solidFill>
                    <w14:srgbClr w14:val="000000">
                      <w14:alpha w14:val="100000"/>
                    </w14:srgbClr>
                  </w14:solidFill>
                </w14:textFill>
              </w:rPr>
              <w:t>|||</w:t>
            </w:r>
            <w:r w:rsidR="00BD0449" w:rsidRPr="00F969C2">
              <w:rPr>
                <w:color w:val="000000"/>
                <w:spacing w:val="1"/>
                <w:shd w:val="solid" w:color="000000" w:fill="000000"/>
                <w:fitText w:val="330" w:id="-694437360"/>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single" w:sz="4" w:space="0" w:color="auto"/>
            </w:tcBorders>
          </w:tcPr>
          <w:p w14:paraId="72BFB475" w14:textId="562CE7F8"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76"/>
                <w14:textFill>
                  <w14:solidFill>
                    <w14:srgbClr w14:val="000000">
                      <w14:alpha w14:val="100000"/>
                    </w14:srgbClr>
                  </w14:solidFill>
                </w14:textFill>
              </w:rPr>
              <w:t xml:space="preserve">　</w:t>
            </w:r>
            <w:r w:rsidR="00BD0449" w:rsidRPr="0012101B">
              <w:rPr>
                <w:rFonts w:hint="eastAsia"/>
                <w:color w:val="000000"/>
                <w:w w:val="15"/>
                <w:shd w:val="solid" w:color="000000" w:fill="000000"/>
                <w:fitText w:val="10" w:id="-694437375"/>
                <w14:textFill>
                  <w14:solidFill>
                    <w14:srgbClr w14:val="000000">
                      <w14:alpha w14:val="100000"/>
                    </w14:srgbClr>
                  </w14:solidFill>
                </w14:textFill>
              </w:rPr>
              <w:t xml:space="preserve">　</w:t>
            </w:r>
            <w:r w:rsidR="00BD0449" w:rsidRPr="0012101B">
              <w:rPr>
                <w:color w:val="000000"/>
                <w:w w:val="15"/>
                <w:shd w:val="solid" w:color="000000" w:fill="000000"/>
                <w:fitText w:val="10" w:id="-694437375"/>
                <w14:textFill>
                  <w14:solidFill>
                    <w14:srgbClr w14:val="000000">
                      <w14:alpha w14:val="100000"/>
                    </w14:srgbClr>
                  </w14:solidFill>
                </w14:textFill>
              </w:rPr>
              <w:t>|</w:t>
            </w:r>
            <w:r w:rsidR="00BD0449" w:rsidRPr="0012101B">
              <w:rPr>
                <w:rFonts w:hint="eastAsia"/>
                <w:color w:val="000000"/>
                <w:spacing w:val="-56"/>
                <w:w w:val="15"/>
                <w:shd w:val="solid" w:color="000000" w:fill="000000"/>
                <w:fitText w:val="10" w:id="-694437375"/>
                <w14:textFill>
                  <w14:solidFill>
                    <w14:srgbClr w14:val="000000">
                      <w14:alpha w14:val="100000"/>
                    </w14:srgbClr>
                  </w14:solidFill>
                </w14:textFill>
              </w:rPr>
              <w:t xml:space="preserve">　</w:t>
            </w:r>
            <w:r w:rsidRPr="005E7233">
              <w:t>%</w:t>
            </w:r>
          </w:p>
        </w:tc>
      </w:tr>
      <w:tr w:rsidR="00721F67" w:rsidRPr="005E7233" w14:paraId="20F33ADF" w14:textId="77777777" w:rsidTr="008A70D4">
        <w:trPr>
          <w:cantSplit/>
        </w:trPr>
        <w:tc>
          <w:tcPr>
            <w:tcW w:w="5098" w:type="dxa"/>
            <w:tcBorders>
              <w:bottom w:val="single" w:sz="4" w:space="0" w:color="auto"/>
              <w:right w:val="nil"/>
            </w:tcBorders>
          </w:tcPr>
          <w:p w14:paraId="66F20EDD" w14:textId="78358368" w:rsidR="00721F67" w:rsidRPr="005E7233" w:rsidRDefault="00C867E1" w:rsidP="00721F67">
            <w:pPr>
              <w:pStyle w:val="TableText0"/>
              <w:rPr>
                <w:b/>
                <w:bCs w:val="0"/>
              </w:rPr>
            </w:pPr>
            <w:r w:rsidRPr="005E7233">
              <w:rPr>
                <w:b/>
                <w:bCs w:val="0"/>
              </w:rPr>
              <w:t>Rehabilitative s</w:t>
            </w:r>
            <w:r w:rsidR="00721F67" w:rsidRPr="005E7233">
              <w:rPr>
                <w:b/>
                <w:bCs w:val="0"/>
              </w:rPr>
              <w:t>urgery rates </w:t>
            </w:r>
            <w:r w:rsidR="00AE0457">
              <w:rPr>
                <w:b/>
                <w:bCs w:val="0"/>
                <w:vertAlign w:val="superscript"/>
              </w:rPr>
              <w:t>a</w:t>
            </w:r>
          </w:p>
        </w:tc>
        <w:tc>
          <w:tcPr>
            <w:tcW w:w="1134" w:type="dxa"/>
            <w:tcBorders>
              <w:left w:val="nil"/>
              <w:bottom w:val="single" w:sz="4" w:space="0" w:color="auto"/>
              <w:right w:val="nil"/>
            </w:tcBorders>
          </w:tcPr>
          <w:p w14:paraId="6F313010"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4D0DD8B6"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273FA48C" w14:textId="77777777" w:rsidR="00721F67" w:rsidRPr="005E7233" w:rsidRDefault="00721F67" w:rsidP="00721F67">
            <w:pPr>
              <w:pStyle w:val="TableText0"/>
              <w:jc w:val="right"/>
            </w:pPr>
          </w:p>
        </w:tc>
        <w:tc>
          <w:tcPr>
            <w:tcW w:w="658" w:type="dxa"/>
            <w:tcBorders>
              <w:left w:val="nil"/>
              <w:bottom w:val="single" w:sz="4" w:space="0" w:color="auto"/>
            </w:tcBorders>
          </w:tcPr>
          <w:p w14:paraId="4F984DF3" w14:textId="77777777" w:rsidR="00721F67" w:rsidRPr="005E7233" w:rsidRDefault="00721F67" w:rsidP="00721F67">
            <w:pPr>
              <w:pStyle w:val="TableText0"/>
              <w:jc w:val="right"/>
            </w:pPr>
          </w:p>
        </w:tc>
      </w:tr>
      <w:tr w:rsidR="00721F67" w:rsidRPr="005E7233" w14:paraId="4163DB8B" w14:textId="77777777" w:rsidTr="008A70D4">
        <w:trPr>
          <w:cantSplit/>
        </w:trPr>
        <w:tc>
          <w:tcPr>
            <w:tcW w:w="5098" w:type="dxa"/>
            <w:tcBorders>
              <w:bottom w:val="nil"/>
            </w:tcBorders>
          </w:tcPr>
          <w:p w14:paraId="2E263D74" w14:textId="77777777" w:rsidR="00721F67" w:rsidRPr="005E7233" w:rsidRDefault="00721F67" w:rsidP="00303DD3">
            <w:pPr>
              <w:pStyle w:val="TableText0"/>
              <w:numPr>
                <w:ilvl w:val="0"/>
                <w:numId w:val="10"/>
              </w:numPr>
              <w:ind w:left="311" w:hanging="284"/>
            </w:pPr>
            <w:r w:rsidRPr="005E7233">
              <w:t>43.8% across all states (i.e. highest value)</w:t>
            </w:r>
          </w:p>
        </w:tc>
        <w:tc>
          <w:tcPr>
            <w:tcW w:w="1134" w:type="dxa"/>
            <w:tcBorders>
              <w:bottom w:val="nil"/>
            </w:tcBorders>
          </w:tcPr>
          <w:p w14:paraId="0C1046B6" w14:textId="21FE433F"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74"/>
                <w14:textFill>
                  <w14:solidFill>
                    <w14:srgbClr w14:val="000000">
                      <w14:alpha w14:val="100000"/>
                    </w14:srgbClr>
                  </w14:solidFill>
                </w14:textFill>
              </w:rPr>
              <w:t>|||</w:t>
            </w:r>
            <w:r w:rsidR="00BD0449" w:rsidRPr="00F969C2">
              <w:rPr>
                <w:color w:val="000000"/>
                <w:spacing w:val="1"/>
                <w:w w:val="84"/>
                <w:shd w:val="solid" w:color="000000" w:fill="000000"/>
                <w:fitText w:val="320" w:id="-694437374"/>
                <w14:textFill>
                  <w14:solidFill>
                    <w14:srgbClr w14:val="000000">
                      <w14:alpha w14:val="100000"/>
                    </w14:srgbClr>
                  </w14:solidFill>
                </w14:textFill>
              </w:rPr>
              <w:t>|</w:t>
            </w:r>
            <w:r w:rsidR="00A25BDC">
              <w:t xml:space="preserve"> </w:t>
            </w:r>
          </w:p>
        </w:tc>
        <w:tc>
          <w:tcPr>
            <w:tcW w:w="1134" w:type="dxa"/>
            <w:tcBorders>
              <w:bottom w:val="nil"/>
            </w:tcBorders>
          </w:tcPr>
          <w:p w14:paraId="6775771A" w14:textId="53C450D6" w:rsidR="00721F67" w:rsidRPr="005E7233" w:rsidRDefault="00721F67" w:rsidP="00721F67">
            <w:pPr>
              <w:pStyle w:val="TableText0"/>
              <w:jc w:val="right"/>
            </w:pPr>
            <w:r w:rsidRPr="005E7233">
              <w:t>0.954</w:t>
            </w:r>
          </w:p>
        </w:tc>
        <w:tc>
          <w:tcPr>
            <w:tcW w:w="993" w:type="dxa"/>
            <w:tcBorders>
              <w:bottom w:val="nil"/>
            </w:tcBorders>
          </w:tcPr>
          <w:p w14:paraId="2067091F" w14:textId="602F6177"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3"/>
                <w14:textFill>
                  <w14:solidFill>
                    <w14:srgbClr w14:val="000000">
                      <w14:alpha w14:val="100000"/>
                    </w14:srgbClr>
                  </w14:solidFill>
                </w14:textFill>
              </w:rPr>
              <w:t>|||</w:t>
            </w:r>
            <w:r w:rsidR="00BD0449" w:rsidRPr="00F969C2">
              <w:rPr>
                <w:color w:val="000000"/>
                <w:spacing w:val="1"/>
                <w:shd w:val="solid" w:color="000000" w:fill="000000"/>
                <w:fitText w:val="330" w:id="-694437373"/>
                <w14:textFill>
                  <w14:solidFill>
                    <w14:srgbClr w14:val="000000">
                      <w14:alpha w14:val="100000"/>
                    </w14:srgbClr>
                  </w14:solidFill>
                </w14:textFill>
              </w:rPr>
              <w:t>|</w:t>
            </w:r>
            <w:r w:rsidR="002E7038">
              <w:rPr>
                <w:b/>
                <w:bCs w:val="0"/>
              </w:rPr>
              <w:t xml:space="preserve"> </w:t>
            </w:r>
            <w:r w:rsidR="002E7038">
              <w:rPr>
                <w:b/>
                <w:bCs w:val="0"/>
                <w:vertAlign w:val="superscript"/>
              </w:rPr>
              <w:t>6</w:t>
            </w:r>
          </w:p>
        </w:tc>
        <w:tc>
          <w:tcPr>
            <w:tcW w:w="658" w:type="dxa"/>
            <w:tcBorders>
              <w:bottom w:val="nil"/>
            </w:tcBorders>
          </w:tcPr>
          <w:p w14:paraId="2BD5BA96" w14:textId="75F8391E" w:rsidR="00721F67" w:rsidRPr="005E7233" w:rsidRDefault="00BD0449" w:rsidP="00721F67">
            <w:pPr>
              <w:pStyle w:val="TableText0"/>
              <w:jc w:val="right"/>
            </w:pPr>
            <w:r w:rsidRPr="00BD0449">
              <w:rPr>
                <w:color w:val="000000"/>
                <w:spacing w:val="84"/>
                <w:shd w:val="solid" w:color="000000" w:fill="000000"/>
                <w:fitText w:val="170" w:id="-694437372"/>
                <w14:textFill>
                  <w14:solidFill>
                    <w14:srgbClr w14:val="000000">
                      <w14:alpha w14:val="100000"/>
                    </w14:srgbClr>
                  </w14:solidFill>
                </w14:textFill>
              </w:rPr>
              <w:t>|</w:t>
            </w:r>
            <w:r w:rsidRPr="00BD0449">
              <w:rPr>
                <w:color w:val="000000"/>
                <w:spacing w:val="1"/>
                <w:shd w:val="solid" w:color="000000" w:fill="000000"/>
                <w:fitText w:val="170" w:id="-694437372"/>
                <w14:textFill>
                  <w14:solidFill>
                    <w14:srgbClr w14:val="000000">
                      <w14:alpha w14:val="100000"/>
                    </w14:srgbClr>
                  </w14:solidFill>
                </w14:textFill>
              </w:rPr>
              <w:t>|</w:t>
            </w:r>
            <w:r w:rsidR="00721F67" w:rsidRPr="005E7233">
              <w:t>%</w:t>
            </w:r>
          </w:p>
        </w:tc>
      </w:tr>
      <w:tr w:rsidR="00721F67" w:rsidRPr="005E7233" w14:paraId="6F468E1F" w14:textId="77777777" w:rsidTr="008A70D4">
        <w:trPr>
          <w:cantSplit/>
        </w:trPr>
        <w:tc>
          <w:tcPr>
            <w:tcW w:w="5098" w:type="dxa"/>
            <w:tcBorders>
              <w:top w:val="nil"/>
              <w:bottom w:val="nil"/>
            </w:tcBorders>
          </w:tcPr>
          <w:p w14:paraId="26138033" w14:textId="77777777" w:rsidR="00721F67" w:rsidRPr="005E7233" w:rsidRDefault="00721F67" w:rsidP="00303DD3">
            <w:pPr>
              <w:pStyle w:val="TableText0"/>
              <w:numPr>
                <w:ilvl w:val="0"/>
                <w:numId w:val="10"/>
              </w:numPr>
              <w:ind w:left="311" w:hanging="284"/>
            </w:pPr>
            <w:r w:rsidRPr="005E7233">
              <w:t>5.0% across all states (i.e. lowest value)</w:t>
            </w:r>
          </w:p>
        </w:tc>
        <w:tc>
          <w:tcPr>
            <w:tcW w:w="1134" w:type="dxa"/>
            <w:tcBorders>
              <w:top w:val="nil"/>
              <w:bottom w:val="nil"/>
            </w:tcBorders>
          </w:tcPr>
          <w:p w14:paraId="5529F766" w14:textId="03BEA9F1"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71"/>
                <w14:textFill>
                  <w14:solidFill>
                    <w14:srgbClr w14:val="000000">
                      <w14:alpha w14:val="100000"/>
                    </w14:srgbClr>
                  </w14:solidFill>
                </w14:textFill>
              </w:rPr>
              <w:t>|||</w:t>
            </w:r>
            <w:r w:rsidR="00BD0449" w:rsidRPr="00F969C2">
              <w:rPr>
                <w:color w:val="000000"/>
                <w:spacing w:val="3"/>
                <w:shd w:val="solid" w:color="000000" w:fill="000000"/>
                <w:fitText w:val="320" w:id="-694437371"/>
                <w14:textFill>
                  <w14:solidFill>
                    <w14:srgbClr w14:val="000000">
                      <w14:alpha w14:val="100000"/>
                    </w14:srgbClr>
                  </w14:solidFill>
                </w14:textFill>
              </w:rPr>
              <w:t>|</w:t>
            </w:r>
            <w:r w:rsidR="00A25BDC">
              <w:t xml:space="preserve"> </w:t>
            </w:r>
          </w:p>
        </w:tc>
        <w:tc>
          <w:tcPr>
            <w:tcW w:w="1134" w:type="dxa"/>
            <w:tcBorders>
              <w:top w:val="nil"/>
              <w:bottom w:val="nil"/>
            </w:tcBorders>
          </w:tcPr>
          <w:p w14:paraId="4604D9D9" w14:textId="08DFBC6F" w:rsidR="00721F67" w:rsidRPr="005E7233" w:rsidRDefault="00721F67" w:rsidP="00721F67">
            <w:pPr>
              <w:pStyle w:val="TableText0"/>
              <w:jc w:val="right"/>
            </w:pPr>
            <w:r w:rsidRPr="005E7233">
              <w:t>1.059</w:t>
            </w:r>
          </w:p>
        </w:tc>
        <w:tc>
          <w:tcPr>
            <w:tcW w:w="993" w:type="dxa"/>
            <w:tcBorders>
              <w:top w:val="nil"/>
              <w:bottom w:val="nil"/>
            </w:tcBorders>
          </w:tcPr>
          <w:p w14:paraId="432632D9" w14:textId="67EFD1CD" w:rsidR="00721F67" w:rsidRPr="00BA6684" w:rsidRDefault="00721F67" w:rsidP="00721F67">
            <w:pPr>
              <w:pStyle w:val="TableText0"/>
              <w:jc w:val="right"/>
            </w:pPr>
            <w:r w:rsidRPr="005E7233">
              <w:t>$</w:t>
            </w:r>
            <w:r w:rsidR="00BD0449" w:rsidRPr="00F969C2">
              <w:rPr>
                <w:color w:val="000000"/>
                <w:spacing w:val="53"/>
                <w:shd w:val="solid" w:color="000000" w:fill="000000"/>
                <w:fitText w:val="330" w:id="-694437370"/>
                <w14:textFill>
                  <w14:solidFill>
                    <w14:srgbClr w14:val="000000">
                      <w14:alpha w14:val="100000"/>
                    </w14:srgbClr>
                  </w14:solidFill>
                </w14:textFill>
              </w:rPr>
              <w:t>|||</w:t>
            </w:r>
            <w:r w:rsidR="00BD0449" w:rsidRPr="00F969C2">
              <w:rPr>
                <w:color w:val="000000"/>
                <w:spacing w:val="1"/>
                <w:shd w:val="solid" w:color="000000" w:fill="000000"/>
                <w:fitText w:val="330" w:id="-694437370"/>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2B798095" w14:textId="74BA73BA"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69"/>
                <w14:textFill>
                  <w14:solidFill>
                    <w14:srgbClr w14:val="000000">
                      <w14:alpha w14:val="100000"/>
                    </w14:srgbClr>
                  </w14:solidFill>
                </w14:textFill>
              </w:rPr>
              <w:t xml:space="preserve">　</w:t>
            </w:r>
            <w:r w:rsidR="00BD0449" w:rsidRPr="0012101B">
              <w:rPr>
                <w:rFonts w:hint="eastAsia"/>
                <w:color w:val="000000"/>
                <w:w w:val="15"/>
                <w:shd w:val="solid" w:color="000000" w:fill="000000"/>
                <w:fitText w:val="10" w:id="-694437368"/>
                <w14:textFill>
                  <w14:solidFill>
                    <w14:srgbClr w14:val="000000">
                      <w14:alpha w14:val="100000"/>
                    </w14:srgbClr>
                  </w14:solidFill>
                </w14:textFill>
              </w:rPr>
              <w:t xml:space="preserve">　</w:t>
            </w:r>
            <w:r w:rsidR="00BD0449" w:rsidRPr="0012101B">
              <w:rPr>
                <w:color w:val="000000"/>
                <w:w w:val="15"/>
                <w:shd w:val="solid" w:color="000000" w:fill="000000"/>
                <w:fitText w:val="10" w:id="-694437368"/>
                <w14:textFill>
                  <w14:solidFill>
                    <w14:srgbClr w14:val="000000">
                      <w14:alpha w14:val="100000"/>
                    </w14:srgbClr>
                  </w14:solidFill>
                </w14:textFill>
              </w:rPr>
              <w:t>|</w:t>
            </w:r>
            <w:r w:rsidR="00BD0449" w:rsidRPr="0012101B">
              <w:rPr>
                <w:rFonts w:hint="eastAsia"/>
                <w:color w:val="000000"/>
                <w:spacing w:val="-56"/>
                <w:w w:val="15"/>
                <w:shd w:val="solid" w:color="000000" w:fill="000000"/>
                <w:fitText w:val="10" w:id="-694437368"/>
                <w14:textFill>
                  <w14:solidFill>
                    <w14:srgbClr w14:val="000000">
                      <w14:alpha w14:val="100000"/>
                    </w14:srgbClr>
                  </w14:solidFill>
                </w14:textFill>
              </w:rPr>
              <w:t xml:space="preserve">　</w:t>
            </w:r>
            <w:r w:rsidRPr="00625629">
              <w:t>%</w:t>
            </w:r>
          </w:p>
        </w:tc>
      </w:tr>
      <w:tr w:rsidR="005C22DE" w:rsidRPr="005E7233" w14:paraId="0C66432F" w14:textId="77777777" w:rsidTr="008A70D4">
        <w:trPr>
          <w:cantSplit/>
        </w:trPr>
        <w:tc>
          <w:tcPr>
            <w:tcW w:w="5098" w:type="dxa"/>
            <w:tcBorders>
              <w:top w:val="nil"/>
              <w:bottom w:val="nil"/>
            </w:tcBorders>
          </w:tcPr>
          <w:p w14:paraId="5F6A15C9" w14:textId="06E61692" w:rsidR="005C22DE" w:rsidRPr="005E7233" w:rsidRDefault="005C22DE" w:rsidP="00303DD3">
            <w:pPr>
              <w:pStyle w:val="TableText0"/>
              <w:numPr>
                <w:ilvl w:val="0"/>
                <w:numId w:val="10"/>
              </w:numPr>
              <w:ind w:left="311" w:hanging="284"/>
            </w:pPr>
            <w:r w:rsidRPr="005E7233">
              <w:t>0% across all states</w:t>
            </w:r>
          </w:p>
        </w:tc>
        <w:tc>
          <w:tcPr>
            <w:tcW w:w="1134" w:type="dxa"/>
            <w:tcBorders>
              <w:top w:val="nil"/>
              <w:bottom w:val="nil"/>
            </w:tcBorders>
          </w:tcPr>
          <w:p w14:paraId="03D2A4CD" w14:textId="14F605FE" w:rsidR="005C22DE" w:rsidRPr="005E7233" w:rsidRDefault="005C22DE" w:rsidP="005C22DE">
            <w:pPr>
              <w:pStyle w:val="TableText0"/>
              <w:jc w:val="right"/>
            </w:pPr>
            <w:r w:rsidRPr="005E7233">
              <w:t>$</w:t>
            </w:r>
            <w:r w:rsidR="00BD0449" w:rsidRPr="00F969C2">
              <w:rPr>
                <w:color w:val="000000"/>
                <w:spacing w:val="49"/>
                <w:shd w:val="solid" w:color="000000" w:fill="000000"/>
                <w:fitText w:val="320" w:id="-694437367"/>
                <w14:textFill>
                  <w14:solidFill>
                    <w14:srgbClr w14:val="000000">
                      <w14:alpha w14:val="100000"/>
                    </w14:srgbClr>
                  </w14:solidFill>
                </w14:textFill>
              </w:rPr>
              <w:t>|||</w:t>
            </w:r>
            <w:r w:rsidR="00BD0449" w:rsidRPr="00F969C2">
              <w:rPr>
                <w:color w:val="000000"/>
                <w:spacing w:val="3"/>
                <w:shd w:val="solid" w:color="000000" w:fill="000000"/>
                <w:fitText w:val="320" w:id="-694437367"/>
                <w14:textFill>
                  <w14:solidFill>
                    <w14:srgbClr w14:val="000000">
                      <w14:alpha w14:val="100000"/>
                    </w14:srgbClr>
                  </w14:solidFill>
                </w14:textFill>
              </w:rPr>
              <w:t>|</w:t>
            </w:r>
            <w:r w:rsidR="00A25BDC">
              <w:t xml:space="preserve"> </w:t>
            </w:r>
          </w:p>
        </w:tc>
        <w:tc>
          <w:tcPr>
            <w:tcW w:w="1134" w:type="dxa"/>
            <w:tcBorders>
              <w:top w:val="nil"/>
              <w:bottom w:val="nil"/>
            </w:tcBorders>
          </w:tcPr>
          <w:p w14:paraId="43090BB6" w14:textId="760EBEAD" w:rsidR="005C22DE" w:rsidRPr="005E7233" w:rsidRDefault="005C22DE" w:rsidP="005C22DE">
            <w:pPr>
              <w:pStyle w:val="TableText0"/>
              <w:jc w:val="right"/>
            </w:pPr>
            <w:r w:rsidRPr="005E7233">
              <w:t>1.513</w:t>
            </w:r>
          </w:p>
        </w:tc>
        <w:tc>
          <w:tcPr>
            <w:tcW w:w="993" w:type="dxa"/>
            <w:tcBorders>
              <w:top w:val="nil"/>
              <w:bottom w:val="nil"/>
            </w:tcBorders>
          </w:tcPr>
          <w:p w14:paraId="4D132AA5" w14:textId="56E7B572" w:rsidR="005C22DE" w:rsidRPr="005E7233" w:rsidRDefault="005C22DE" w:rsidP="005C22DE">
            <w:pPr>
              <w:pStyle w:val="TableText0"/>
              <w:jc w:val="right"/>
            </w:pPr>
            <w:r w:rsidRPr="005E7233">
              <w:t>$</w:t>
            </w:r>
            <w:r w:rsidR="00BD0449" w:rsidRPr="00F969C2">
              <w:rPr>
                <w:color w:val="000000"/>
                <w:spacing w:val="53"/>
                <w:shd w:val="solid" w:color="000000" w:fill="000000"/>
                <w:fitText w:val="330" w:id="-694437366"/>
                <w14:textFill>
                  <w14:solidFill>
                    <w14:srgbClr w14:val="000000">
                      <w14:alpha w14:val="100000"/>
                    </w14:srgbClr>
                  </w14:solidFill>
                </w14:textFill>
              </w:rPr>
              <w:t>|||</w:t>
            </w:r>
            <w:r w:rsidR="00BD0449" w:rsidRPr="00F969C2">
              <w:rPr>
                <w:color w:val="000000"/>
                <w:spacing w:val="1"/>
                <w:shd w:val="solid" w:color="000000" w:fill="000000"/>
                <w:fitText w:val="330" w:id="-694437366"/>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7357DA80" w14:textId="23C73EA1" w:rsidR="005C22DE" w:rsidRPr="005E7233" w:rsidRDefault="005C22DE" w:rsidP="005C22DE">
            <w:pPr>
              <w:pStyle w:val="TableText0"/>
              <w:jc w:val="right"/>
            </w:pPr>
            <w:r w:rsidRPr="005E7233">
              <w:t>−</w:t>
            </w:r>
            <w:r w:rsidR="00BD0449" w:rsidRPr="00BD0449">
              <w:rPr>
                <w:rFonts w:hint="eastAsia"/>
                <w:color w:val="000000"/>
                <w:spacing w:val="20"/>
                <w:w w:val="15"/>
                <w:shd w:val="solid" w:color="000000" w:fill="000000"/>
                <w:fitText w:val="50" w:id="-694437365"/>
                <w14:textFill>
                  <w14:solidFill>
                    <w14:srgbClr w14:val="000000">
                      <w14:alpha w14:val="100000"/>
                    </w14:srgbClr>
                  </w14:solidFill>
                </w14:textFill>
              </w:rPr>
              <w:t xml:space="preserve">　</w:t>
            </w:r>
            <w:r w:rsidR="00BD0449" w:rsidRPr="0012101B">
              <w:rPr>
                <w:rFonts w:hint="eastAsia"/>
                <w:color w:val="000000"/>
                <w:w w:val="15"/>
                <w:shd w:val="solid" w:color="000000" w:fill="000000"/>
                <w:fitText w:val="10" w:id="-694437120"/>
                <w14:textFill>
                  <w14:solidFill>
                    <w14:srgbClr w14:val="000000">
                      <w14:alpha w14:val="100000"/>
                    </w14:srgbClr>
                  </w14:solidFill>
                </w14:textFill>
              </w:rPr>
              <w:t xml:space="preserve">　</w:t>
            </w:r>
            <w:r w:rsidR="00BD0449" w:rsidRPr="0012101B">
              <w:rPr>
                <w:color w:val="000000"/>
                <w:w w:val="15"/>
                <w:shd w:val="solid" w:color="000000" w:fill="000000"/>
                <w:fitText w:val="10" w:id="-694437120"/>
                <w14:textFill>
                  <w14:solidFill>
                    <w14:srgbClr w14:val="000000">
                      <w14:alpha w14:val="100000"/>
                    </w14:srgbClr>
                  </w14:solidFill>
                </w14:textFill>
              </w:rPr>
              <w:t>|</w:t>
            </w:r>
            <w:r w:rsidR="00BD0449" w:rsidRPr="0012101B">
              <w:rPr>
                <w:rFonts w:hint="eastAsia"/>
                <w:color w:val="000000"/>
                <w:spacing w:val="-56"/>
                <w:w w:val="15"/>
                <w:shd w:val="solid" w:color="000000" w:fill="000000"/>
                <w:fitText w:val="10" w:id="-694437120"/>
                <w14:textFill>
                  <w14:solidFill>
                    <w14:srgbClr w14:val="000000">
                      <w14:alpha w14:val="100000"/>
                    </w14:srgbClr>
                  </w14:solidFill>
                </w14:textFill>
              </w:rPr>
              <w:t xml:space="preserve">　</w:t>
            </w:r>
            <w:r w:rsidRPr="005E7233">
              <w:t>%</w:t>
            </w:r>
          </w:p>
        </w:tc>
      </w:tr>
      <w:tr w:rsidR="00721F67" w:rsidRPr="005E7233" w14:paraId="63B7E230" w14:textId="77777777" w:rsidTr="008A70D4">
        <w:trPr>
          <w:cantSplit/>
        </w:trPr>
        <w:tc>
          <w:tcPr>
            <w:tcW w:w="5098" w:type="dxa"/>
            <w:tcBorders>
              <w:bottom w:val="single" w:sz="4" w:space="0" w:color="auto"/>
              <w:right w:val="nil"/>
            </w:tcBorders>
          </w:tcPr>
          <w:p w14:paraId="19E50874" w14:textId="77777777" w:rsidR="00721F67" w:rsidRPr="005E7233" w:rsidRDefault="00721F67" w:rsidP="00721F67">
            <w:pPr>
              <w:pStyle w:val="TableText0"/>
              <w:rPr>
                <w:b/>
                <w:bCs w:val="0"/>
              </w:rPr>
            </w:pPr>
            <w:r w:rsidRPr="005E7233">
              <w:rPr>
                <w:b/>
                <w:bCs w:val="0"/>
              </w:rPr>
              <w:t>SPND and SPID surgery rates (base case: 5%)</w:t>
            </w:r>
          </w:p>
        </w:tc>
        <w:tc>
          <w:tcPr>
            <w:tcW w:w="1134" w:type="dxa"/>
            <w:tcBorders>
              <w:left w:val="nil"/>
              <w:bottom w:val="single" w:sz="4" w:space="0" w:color="auto"/>
              <w:right w:val="nil"/>
            </w:tcBorders>
          </w:tcPr>
          <w:p w14:paraId="02821500"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536C3FB8"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7AD561D1" w14:textId="77777777" w:rsidR="00721F67" w:rsidRPr="005E7233" w:rsidRDefault="00721F67" w:rsidP="00721F67">
            <w:pPr>
              <w:pStyle w:val="TableText0"/>
              <w:jc w:val="right"/>
            </w:pPr>
          </w:p>
        </w:tc>
        <w:tc>
          <w:tcPr>
            <w:tcW w:w="658" w:type="dxa"/>
            <w:tcBorders>
              <w:left w:val="nil"/>
              <w:bottom w:val="single" w:sz="4" w:space="0" w:color="auto"/>
            </w:tcBorders>
          </w:tcPr>
          <w:p w14:paraId="671675F3" w14:textId="77777777" w:rsidR="00721F67" w:rsidRPr="005E7233" w:rsidRDefault="00721F67" w:rsidP="00721F67">
            <w:pPr>
              <w:pStyle w:val="TableText0"/>
              <w:jc w:val="right"/>
            </w:pPr>
          </w:p>
        </w:tc>
      </w:tr>
      <w:tr w:rsidR="00721F67" w:rsidRPr="005E7233" w14:paraId="14F6E41C" w14:textId="77777777" w:rsidTr="008A70D4">
        <w:trPr>
          <w:cantSplit/>
        </w:trPr>
        <w:tc>
          <w:tcPr>
            <w:tcW w:w="5098" w:type="dxa"/>
            <w:tcBorders>
              <w:top w:val="nil"/>
              <w:bottom w:val="nil"/>
            </w:tcBorders>
          </w:tcPr>
          <w:p w14:paraId="206D2F65" w14:textId="77777777" w:rsidR="00721F67" w:rsidRPr="005E7233" w:rsidRDefault="00721F67" w:rsidP="00303DD3">
            <w:pPr>
              <w:pStyle w:val="TableText0"/>
              <w:numPr>
                <w:ilvl w:val="0"/>
                <w:numId w:val="10"/>
              </w:numPr>
              <w:ind w:left="311" w:hanging="284"/>
            </w:pPr>
            <w:r w:rsidRPr="005E7233">
              <w:t>20%</w:t>
            </w:r>
          </w:p>
        </w:tc>
        <w:tc>
          <w:tcPr>
            <w:tcW w:w="1134" w:type="dxa"/>
            <w:tcBorders>
              <w:top w:val="nil"/>
              <w:bottom w:val="nil"/>
            </w:tcBorders>
          </w:tcPr>
          <w:p w14:paraId="17BFF502" w14:textId="15A9A7AC"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119"/>
                <w14:textFill>
                  <w14:solidFill>
                    <w14:srgbClr w14:val="000000">
                      <w14:alpha w14:val="100000"/>
                    </w14:srgbClr>
                  </w14:solidFill>
                </w14:textFill>
              </w:rPr>
              <w:t>|||</w:t>
            </w:r>
            <w:r w:rsidR="00BD0449" w:rsidRPr="00F969C2">
              <w:rPr>
                <w:color w:val="000000"/>
                <w:spacing w:val="1"/>
                <w:w w:val="84"/>
                <w:shd w:val="solid" w:color="000000" w:fill="000000"/>
                <w:fitText w:val="320" w:id="-694437119"/>
                <w14:textFill>
                  <w14:solidFill>
                    <w14:srgbClr w14:val="000000">
                      <w14:alpha w14:val="100000"/>
                    </w14:srgbClr>
                  </w14:solidFill>
                </w14:textFill>
              </w:rPr>
              <w:t>|</w:t>
            </w:r>
            <w:r w:rsidR="00A25BDC">
              <w:t xml:space="preserve"> </w:t>
            </w:r>
          </w:p>
        </w:tc>
        <w:tc>
          <w:tcPr>
            <w:tcW w:w="1134" w:type="dxa"/>
            <w:tcBorders>
              <w:top w:val="nil"/>
              <w:bottom w:val="nil"/>
            </w:tcBorders>
          </w:tcPr>
          <w:p w14:paraId="3A2713DC" w14:textId="3AC8118C" w:rsidR="00721F67" w:rsidRPr="005E7233" w:rsidRDefault="00721F67" w:rsidP="00721F67">
            <w:pPr>
              <w:pStyle w:val="TableText0"/>
              <w:jc w:val="right"/>
            </w:pPr>
            <w:r w:rsidRPr="005E7233">
              <w:t>1.159</w:t>
            </w:r>
          </w:p>
        </w:tc>
        <w:tc>
          <w:tcPr>
            <w:tcW w:w="993" w:type="dxa"/>
            <w:tcBorders>
              <w:top w:val="nil"/>
              <w:bottom w:val="nil"/>
            </w:tcBorders>
          </w:tcPr>
          <w:p w14:paraId="0831B95D" w14:textId="3683B167"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118"/>
                <w14:textFill>
                  <w14:solidFill>
                    <w14:srgbClr w14:val="000000">
                      <w14:alpha w14:val="100000"/>
                    </w14:srgbClr>
                  </w14:solidFill>
                </w14:textFill>
              </w:rPr>
              <w:t>|||</w:t>
            </w:r>
            <w:r w:rsidR="00BD0449" w:rsidRPr="00F969C2">
              <w:rPr>
                <w:color w:val="000000"/>
                <w:spacing w:val="1"/>
                <w:shd w:val="solid" w:color="000000" w:fill="000000"/>
                <w:fitText w:val="330" w:id="-694437118"/>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nil"/>
            </w:tcBorders>
          </w:tcPr>
          <w:p w14:paraId="76A0E179" w14:textId="5F6B4B27" w:rsidR="00721F67" w:rsidRPr="005E7233" w:rsidRDefault="00BD0449" w:rsidP="00721F67">
            <w:pPr>
              <w:pStyle w:val="TableText0"/>
              <w:jc w:val="right"/>
            </w:pPr>
            <w:r w:rsidRPr="00BD0449">
              <w:rPr>
                <w:color w:val="000000"/>
                <w:spacing w:val="84"/>
                <w:shd w:val="solid" w:color="000000" w:fill="000000"/>
                <w:fitText w:val="170" w:id="-694437117"/>
                <w14:textFill>
                  <w14:solidFill>
                    <w14:srgbClr w14:val="000000">
                      <w14:alpha w14:val="100000"/>
                    </w14:srgbClr>
                  </w14:solidFill>
                </w14:textFill>
              </w:rPr>
              <w:t>|</w:t>
            </w:r>
            <w:r w:rsidRPr="00BD0449">
              <w:rPr>
                <w:color w:val="000000"/>
                <w:spacing w:val="1"/>
                <w:shd w:val="solid" w:color="000000" w:fill="000000"/>
                <w:fitText w:val="170" w:id="-694437117"/>
                <w14:textFill>
                  <w14:solidFill>
                    <w14:srgbClr w14:val="000000">
                      <w14:alpha w14:val="100000"/>
                    </w14:srgbClr>
                  </w14:solidFill>
                </w14:textFill>
              </w:rPr>
              <w:t>|</w:t>
            </w:r>
            <w:r w:rsidR="00721F67" w:rsidRPr="005E7233">
              <w:t>%</w:t>
            </w:r>
          </w:p>
        </w:tc>
      </w:tr>
      <w:tr w:rsidR="00721F67" w:rsidRPr="005E7233" w14:paraId="6D4CF059" w14:textId="77777777" w:rsidTr="008A70D4">
        <w:trPr>
          <w:cantSplit/>
        </w:trPr>
        <w:tc>
          <w:tcPr>
            <w:tcW w:w="5098" w:type="dxa"/>
            <w:tcBorders>
              <w:top w:val="nil"/>
              <w:bottom w:val="single" w:sz="4" w:space="0" w:color="auto"/>
            </w:tcBorders>
          </w:tcPr>
          <w:p w14:paraId="5E99B11B" w14:textId="77777777" w:rsidR="00721F67" w:rsidRPr="005E7233" w:rsidRDefault="00721F67" w:rsidP="00303DD3">
            <w:pPr>
              <w:pStyle w:val="TableText0"/>
              <w:numPr>
                <w:ilvl w:val="0"/>
                <w:numId w:val="10"/>
              </w:numPr>
              <w:ind w:left="311" w:hanging="284"/>
            </w:pPr>
            <w:r w:rsidRPr="005E7233">
              <w:t>25%</w:t>
            </w:r>
          </w:p>
        </w:tc>
        <w:tc>
          <w:tcPr>
            <w:tcW w:w="1134" w:type="dxa"/>
            <w:tcBorders>
              <w:top w:val="nil"/>
              <w:bottom w:val="single" w:sz="4" w:space="0" w:color="auto"/>
            </w:tcBorders>
          </w:tcPr>
          <w:p w14:paraId="492C35B8" w14:textId="71B8AD91"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116"/>
                <w14:textFill>
                  <w14:solidFill>
                    <w14:srgbClr w14:val="000000">
                      <w14:alpha w14:val="100000"/>
                    </w14:srgbClr>
                  </w14:solidFill>
                </w14:textFill>
              </w:rPr>
              <w:t>|||</w:t>
            </w:r>
            <w:r w:rsidR="00BD0449" w:rsidRPr="00F969C2">
              <w:rPr>
                <w:color w:val="000000"/>
                <w:spacing w:val="1"/>
                <w:w w:val="84"/>
                <w:shd w:val="solid" w:color="000000" w:fill="000000"/>
                <w:fitText w:val="320" w:id="-694437116"/>
                <w14:textFill>
                  <w14:solidFill>
                    <w14:srgbClr w14:val="000000">
                      <w14:alpha w14:val="100000"/>
                    </w14:srgbClr>
                  </w14:solidFill>
                </w14:textFill>
              </w:rPr>
              <w:t>|</w:t>
            </w:r>
            <w:r w:rsidR="00A25BDC">
              <w:t xml:space="preserve"> </w:t>
            </w:r>
          </w:p>
        </w:tc>
        <w:tc>
          <w:tcPr>
            <w:tcW w:w="1134" w:type="dxa"/>
            <w:tcBorders>
              <w:top w:val="nil"/>
              <w:bottom w:val="single" w:sz="4" w:space="0" w:color="auto"/>
            </w:tcBorders>
          </w:tcPr>
          <w:p w14:paraId="4015B6AD" w14:textId="06D3DE78" w:rsidR="00721F67" w:rsidRPr="005E7233" w:rsidRDefault="00721F67" w:rsidP="00721F67">
            <w:pPr>
              <w:pStyle w:val="TableText0"/>
              <w:jc w:val="right"/>
            </w:pPr>
            <w:r w:rsidRPr="005E7233">
              <w:t>1.117</w:t>
            </w:r>
          </w:p>
        </w:tc>
        <w:tc>
          <w:tcPr>
            <w:tcW w:w="993" w:type="dxa"/>
            <w:tcBorders>
              <w:top w:val="nil"/>
              <w:bottom w:val="single" w:sz="4" w:space="0" w:color="auto"/>
            </w:tcBorders>
          </w:tcPr>
          <w:p w14:paraId="1C0DD4BB" w14:textId="2711A83E"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115"/>
                <w14:textFill>
                  <w14:solidFill>
                    <w14:srgbClr w14:val="000000">
                      <w14:alpha w14:val="100000"/>
                    </w14:srgbClr>
                  </w14:solidFill>
                </w14:textFill>
              </w:rPr>
              <w:t>|||</w:t>
            </w:r>
            <w:r w:rsidR="00BD0449" w:rsidRPr="00F969C2">
              <w:rPr>
                <w:color w:val="000000"/>
                <w:spacing w:val="1"/>
                <w:shd w:val="solid" w:color="000000" w:fill="000000"/>
                <w:fitText w:val="330" w:id="-694437115"/>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single" w:sz="4" w:space="0" w:color="auto"/>
            </w:tcBorders>
          </w:tcPr>
          <w:p w14:paraId="59A6C128" w14:textId="20E532D5" w:rsidR="00721F67" w:rsidRPr="005E7233" w:rsidRDefault="00BD0449" w:rsidP="00721F67">
            <w:pPr>
              <w:pStyle w:val="TableText0"/>
              <w:jc w:val="right"/>
            </w:pPr>
            <w:r w:rsidRPr="00BD0449">
              <w:rPr>
                <w:color w:val="000000"/>
                <w:spacing w:val="84"/>
                <w:shd w:val="solid" w:color="000000" w:fill="000000"/>
                <w:fitText w:val="170" w:id="-694437114"/>
                <w14:textFill>
                  <w14:solidFill>
                    <w14:srgbClr w14:val="000000">
                      <w14:alpha w14:val="100000"/>
                    </w14:srgbClr>
                  </w14:solidFill>
                </w14:textFill>
              </w:rPr>
              <w:t>|</w:t>
            </w:r>
            <w:r w:rsidRPr="00BD0449">
              <w:rPr>
                <w:color w:val="000000"/>
                <w:spacing w:val="1"/>
                <w:shd w:val="solid" w:color="000000" w:fill="000000"/>
                <w:fitText w:val="170" w:id="-694437114"/>
                <w14:textFill>
                  <w14:solidFill>
                    <w14:srgbClr w14:val="000000">
                      <w14:alpha w14:val="100000"/>
                    </w14:srgbClr>
                  </w14:solidFill>
                </w14:textFill>
              </w:rPr>
              <w:t>|</w:t>
            </w:r>
            <w:r w:rsidR="00721F67" w:rsidRPr="005E7233">
              <w:t>%</w:t>
            </w:r>
          </w:p>
        </w:tc>
      </w:tr>
      <w:tr w:rsidR="00721F67" w:rsidRPr="005E7233" w14:paraId="5E449B6A" w14:textId="77777777" w:rsidTr="008A70D4">
        <w:trPr>
          <w:cantSplit/>
        </w:trPr>
        <w:tc>
          <w:tcPr>
            <w:tcW w:w="5098" w:type="dxa"/>
            <w:tcBorders>
              <w:bottom w:val="single" w:sz="4" w:space="0" w:color="auto"/>
              <w:right w:val="nil"/>
            </w:tcBorders>
          </w:tcPr>
          <w:p w14:paraId="3BAD77D9" w14:textId="77777777" w:rsidR="00721F67" w:rsidRPr="005E7233" w:rsidRDefault="00721F67" w:rsidP="00721F67">
            <w:pPr>
              <w:pStyle w:val="TableText0"/>
              <w:rPr>
                <w:b/>
                <w:bCs w:val="0"/>
              </w:rPr>
            </w:pPr>
            <w:r w:rsidRPr="005E7233">
              <w:rPr>
                <w:b/>
                <w:bCs w:val="0"/>
              </w:rPr>
              <w:t>Surgery utility (base case: Surgery, 0.30; Post-surgery, 0.43)</w:t>
            </w:r>
          </w:p>
        </w:tc>
        <w:tc>
          <w:tcPr>
            <w:tcW w:w="1134" w:type="dxa"/>
            <w:tcBorders>
              <w:left w:val="nil"/>
              <w:bottom w:val="single" w:sz="4" w:space="0" w:color="auto"/>
              <w:right w:val="nil"/>
            </w:tcBorders>
          </w:tcPr>
          <w:p w14:paraId="08DBA0DE"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6CB720BD"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486FE66D" w14:textId="77777777" w:rsidR="00721F67" w:rsidRPr="005E7233" w:rsidRDefault="00721F67" w:rsidP="00721F67">
            <w:pPr>
              <w:pStyle w:val="TableText0"/>
              <w:jc w:val="right"/>
            </w:pPr>
          </w:p>
        </w:tc>
        <w:tc>
          <w:tcPr>
            <w:tcW w:w="658" w:type="dxa"/>
            <w:tcBorders>
              <w:left w:val="nil"/>
              <w:bottom w:val="single" w:sz="4" w:space="0" w:color="auto"/>
            </w:tcBorders>
          </w:tcPr>
          <w:p w14:paraId="07E7AF81" w14:textId="77777777" w:rsidR="00721F67" w:rsidRPr="005E7233" w:rsidRDefault="00721F67" w:rsidP="00721F67">
            <w:pPr>
              <w:pStyle w:val="TableText0"/>
              <w:jc w:val="right"/>
            </w:pPr>
          </w:p>
        </w:tc>
      </w:tr>
      <w:tr w:rsidR="00721F67" w:rsidRPr="005E7233" w14:paraId="2204A3F9" w14:textId="77777777" w:rsidTr="008A70D4">
        <w:trPr>
          <w:cantSplit/>
        </w:trPr>
        <w:tc>
          <w:tcPr>
            <w:tcW w:w="5098" w:type="dxa"/>
            <w:tcBorders>
              <w:top w:val="nil"/>
              <w:bottom w:val="nil"/>
            </w:tcBorders>
          </w:tcPr>
          <w:p w14:paraId="090B0A27" w14:textId="77777777" w:rsidR="00721F67" w:rsidRPr="005E7233" w:rsidRDefault="00721F67" w:rsidP="00303DD3">
            <w:pPr>
              <w:pStyle w:val="TableText0"/>
              <w:numPr>
                <w:ilvl w:val="0"/>
                <w:numId w:val="10"/>
              </w:numPr>
              <w:ind w:left="311" w:hanging="284"/>
            </w:pPr>
            <w:r w:rsidRPr="005E7233">
              <w:t>Post-surgery, 0.60 (as for SPND)</w:t>
            </w:r>
          </w:p>
        </w:tc>
        <w:tc>
          <w:tcPr>
            <w:tcW w:w="1134" w:type="dxa"/>
            <w:tcBorders>
              <w:top w:val="nil"/>
              <w:bottom w:val="nil"/>
            </w:tcBorders>
          </w:tcPr>
          <w:p w14:paraId="07912914" w14:textId="74A41415"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3"/>
                <w14:textFill>
                  <w14:solidFill>
                    <w14:srgbClr w14:val="000000">
                      <w14:alpha w14:val="100000"/>
                    </w14:srgbClr>
                  </w14:solidFill>
                </w14:textFill>
              </w:rPr>
              <w:t>|||</w:t>
            </w:r>
            <w:r w:rsidR="00BD0449" w:rsidRPr="00BD0449">
              <w:rPr>
                <w:color w:val="000000"/>
                <w:spacing w:val="3"/>
                <w:shd w:val="solid" w:color="000000" w:fill="000000"/>
                <w:fitText w:val="320" w:id="-694437113"/>
                <w14:textFill>
                  <w14:solidFill>
                    <w14:srgbClr w14:val="000000">
                      <w14:alpha w14:val="100000"/>
                    </w14:srgbClr>
                  </w14:solidFill>
                </w14:textFill>
              </w:rPr>
              <w:t>|</w:t>
            </w:r>
            <w:r w:rsidR="00A25BDC">
              <w:t xml:space="preserve"> </w:t>
            </w:r>
          </w:p>
        </w:tc>
        <w:tc>
          <w:tcPr>
            <w:tcW w:w="1134" w:type="dxa"/>
            <w:tcBorders>
              <w:top w:val="nil"/>
              <w:bottom w:val="nil"/>
            </w:tcBorders>
          </w:tcPr>
          <w:p w14:paraId="66E18C80" w14:textId="6E2BF12A" w:rsidR="00721F67" w:rsidRPr="005E7233" w:rsidRDefault="00721F67" w:rsidP="00721F67">
            <w:pPr>
              <w:pStyle w:val="TableText0"/>
              <w:jc w:val="right"/>
            </w:pPr>
            <w:r w:rsidRPr="005E7233">
              <w:t>1.048</w:t>
            </w:r>
          </w:p>
        </w:tc>
        <w:tc>
          <w:tcPr>
            <w:tcW w:w="993" w:type="dxa"/>
            <w:tcBorders>
              <w:top w:val="nil"/>
              <w:bottom w:val="nil"/>
            </w:tcBorders>
          </w:tcPr>
          <w:p w14:paraId="75D7F917" w14:textId="19ACB7A4"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2"/>
                <w14:textFill>
                  <w14:solidFill>
                    <w14:srgbClr w14:val="000000">
                      <w14:alpha w14:val="100000"/>
                    </w14:srgbClr>
                  </w14:solidFill>
                </w14:textFill>
              </w:rPr>
              <w:t>|||</w:t>
            </w:r>
            <w:r w:rsidR="00BD0449" w:rsidRPr="00BD0449">
              <w:rPr>
                <w:color w:val="000000"/>
                <w:spacing w:val="1"/>
                <w:shd w:val="solid" w:color="000000" w:fill="000000"/>
                <w:fitText w:val="330" w:id="-694437112"/>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nil"/>
            </w:tcBorders>
          </w:tcPr>
          <w:p w14:paraId="797BEB73" w14:textId="00CD9AAB" w:rsidR="00721F67" w:rsidRPr="005E7233" w:rsidRDefault="00BD0449" w:rsidP="00721F67">
            <w:pPr>
              <w:pStyle w:val="TableText0"/>
              <w:jc w:val="right"/>
            </w:pPr>
            <w:r w:rsidRPr="00BD0449">
              <w:rPr>
                <w:color w:val="000000"/>
                <w:spacing w:val="84"/>
                <w:shd w:val="solid" w:color="000000" w:fill="000000"/>
                <w:fitText w:val="170" w:id="-694437111"/>
                <w14:textFill>
                  <w14:solidFill>
                    <w14:srgbClr w14:val="000000">
                      <w14:alpha w14:val="100000"/>
                    </w14:srgbClr>
                  </w14:solidFill>
                </w14:textFill>
              </w:rPr>
              <w:t>|</w:t>
            </w:r>
            <w:r w:rsidRPr="00BD0449">
              <w:rPr>
                <w:color w:val="000000"/>
                <w:spacing w:val="1"/>
                <w:shd w:val="solid" w:color="000000" w:fill="000000"/>
                <w:fitText w:val="170" w:id="-694437111"/>
                <w14:textFill>
                  <w14:solidFill>
                    <w14:srgbClr w14:val="000000">
                      <w14:alpha w14:val="100000"/>
                    </w14:srgbClr>
                  </w14:solidFill>
                </w14:textFill>
              </w:rPr>
              <w:t>|</w:t>
            </w:r>
            <w:r w:rsidR="00721F67" w:rsidRPr="005E7233">
              <w:t>%</w:t>
            </w:r>
          </w:p>
        </w:tc>
      </w:tr>
      <w:tr w:rsidR="00721F67" w:rsidRPr="005E7233" w14:paraId="3EB97033" w14:textId="77777777" w:rsidTr="008A70D4">
        <w:trPr>
          <w:cantSplit/>
        </w:trPr>
        <w:tc>
          <w:tcPr>
            <w:tcW w:w="5098" w:type="dxa"/>
            <w:tcBorders>
              <w:top w:val="nil"/>
              <w:bottom w:val="single" w:sz="4" w:space="0" w:color="auto"/>
            </w:tcBorders>
          </w:tcPr>
          <w:p w14:paraId="2713516A" w14:textId="37FF2604" w:rsidR="00721F67" w:rsidRPr="005E7233" w:rsidRDefault="00721F67" w:rsidP="00303DD3">
            <w:pPr>
              <w:pStyle w:val="TableText0"/>
              <w:numPr>
                <w:ilvl w:val="0"/>
                <w:numId w:val="10"/>
              </w:numPr>
              <w:ind w:left="311" w:hanging="284"/>
            </w:pPr>
            <w:r w:rsidRPr="005E7233">
              <w:t>Surgery, 0.38; Post surgery: 0.50</w:t>
            </w:r>
            <w:r w:rsidR="009C0203" w:rsidRPr="005E7233">
              <w:t> </w:t>
            </w:r>
            <w:r w:rsidR="00134F73">
              <w:rPr>
                <w:vertAlign w:val="superscript"/>
              </w:rPr>
              <w:t>b</w:t>
            </w:r>
            <w:r w:rsidR="006E1712" w:rsidRPr="005E7233">
              <w:t xml:space="preserve"> </w:t>
            </w:r>
            <w:r w:rsidR="006E1712" w:rsidRPr="005E7233">
              <w:rPr>
                <w:b/>
                <w:bCs w:val="0"/>
              </w:rPr>
              <w:t>[#4]</w:t>
            </w:r>
          </w:p>
        </w:tc>
        <w:tc>
          <w:tcPr>
            <w:tcW w:w="1134" w:type="dxa"/>
            <w:tcBorders>
              <w:top w:val="nil"/>
              <w:bottom w:val="single" w:sz="4" w:space="0" w:color="auto"/>
            </w:tcBorders>
          </w:tcPr>
          <w:p w14:paraId="2B270DB3" w14:textId="652C9022"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0"/>
                <w14:textFill>
                  <w14:solidFill>
                    <w14:srgbClr w14:val="000000">
                      <w14:alpha w14:val="100000"/>
                    </w14:srgbClr>
                  </w14:solidFill>
                </w14:textFill>
              </w:rPr>
              <w:t>|||</w:t>
            </w:r>
            <w:r w:rsidR="00BD0449" w:rsidRPr="00BD0449">
              <w:rPr>
                <w:color w:val="000000"/>
                <w:spacing w:val="3"/>
                <w:shd w:val="solid" w:color="000000" w:fill="000000"/>
                <w:fitText w:val="320" w:id="-694437110"/>
                <w14:textFill>
                  <w14:solidFill>
                    <w14:srgbClr w14:val="000000">
                      <w14:alpha w14:val="100000"/>
                    </w14:srgbClr>
                  </w14:solidFill>
                </w14:textFill>
              </w:rPr>
              <w:t>|</w:t>
            </w:r>
            <w:r w:rsidR="00A25BDC">
              <w:t xml:space="preserve"> </w:t>
            </w:r>
          </w:p>
        </w:tc>
        <w:tc>
          <w:tcPr>
            <w:tcW w:w="1134" w:type="dxa"/>
            <w:tcBorders>
              <w:top w:val="nil"/>
              <w:bottom w:val="single" w:sz="4" w:space="0" w:color="auto"/>
            </w:tcBorders>
          </w:tcPr>
          <w:p w14:paraId="14455CBA" w14:textId="0AE18462" w:rsidR="00721F67" w:rsidRPr="005E7233" w:rsidRDefault="00721F67" w:rsidP="00721F67">
            <w:pPr>
              <w:pStyle w:val="TableText0"/>
              <w:jc w:val="right"/>
            </w:pPr>
            <w:r w:rsidRPr="005E7233">
              <w:t>1.153</w:t>
            </w:r>
          </w:p>
        </w:tc>
        <w:tc>
          <w:tcPr>
            <w:tcW w:w="993" w:type="dxa"/>
            <w:tcBorders>
              <w:top w:val="nil"/>
              <w:bottom w:val="single" w:sz="4" w:space="0" w:color="auto"/>
            </w:tcBorders>
          </w:tcPr>
          <w:p w14:paraId="44031719" w14:textId="6BCFF36C"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09"/>
                <w14:textFill>
                  <w14:solidFill>
                    <w14:srgbClr w14:val="000000">
                      <w14:alpha w14:val="100000"/>
                    </w14:srgbClr>
                  </w14:solidFill>
                </w14:textFill>
              </w:rPr>
              <w:t>|||</w:t>
            </w:r>
            <w:r w:rsidR="00BD0449" w:rsidRPr="00BD0449">
              <w:rPr>
                <w:color w:val="000000"/>
                <w:spacing w:val="1"/>
                <w:shd w:val="solid" w:color="000000" w:fill="000000"/>
                <w:fitText w:val="330" w:id="-694437109"/>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single" w:sz="4" w:space="0" w:color="auto"/>
            </w:tcBorders>
          </w:tcPr>
          <w:p w14:paraId="4599F785" w14:textId="204FD7B0" w:rsidR="00721F67" w:rsidRPr="005E7233" w:rsidRDefault="00BD0449" w:rsidP="00721F67">
            <w:pPr>
              <w:pStyle w:val="TableText0"/>
              <w:jc w:val="right"/>
            </w:pPr>
            <w:r w:rsidRPr="00BD0449">
              <w:rPr>
                <w:color w:val="000000"/>
                <w:spacing w:val="84"/>
                <w:shd w:val="solid" w:color="000000" w:fill="000000"/>
                <w:fitText w:val="170" w:id="-694437108"/>
                <w14:textFill>
                  <w14:solidFill>
                    <w14:srgbClr w14:val="000000">
                      <w14:alpha w14:val="100000"/>
                    </w14:srgbClr>
                  </w14:solidFill>
                </w14:textFill>
              </w:rPr>
              <w:t>|</w:t>
            </w:r>
            <w:r w:rsidRPr="00BD0449">
              <w:rPr>
                <w:color w:val="000000"/>
                <w:spacing w:val="1"/>
                <w:shd w:val="solid" w:color="000000" w:fill="000000"/>
                <w:fitText w:val="170" w:id="-694437108"/>
                <w14:textFill>
                  <w14:solidFill>
                    <w14:srgbClr w14:val="000000">
                      <w14:alpha w14:val="100000"/>
                    </w14:srgbClr>
                  </w14:solidFill>
                </w14:textFill>
              </w:rPr>
              <w:t>|</w:t>
            </w:r>
            <w:r w:rsidR="00721F67" w:rsidRPr="005E7233">
              <w:t>%</w:t>
            </w:r>
          </w:p>
        </w:tc>
      </w:tr>
      <w:tr w:rsidR="00721F67" w:rsidRPr="005E7233" w14:paraId="66C77012" w14:textId="77777777" w:rsidTr="008A70D4">
        <w:trPr>
          <w:cantSplit/>
        </w:trPr>
        <w:tc>
          <w:tcPr>
            <w:tcW w:w="5098" w:type="dxa"/>
            <w:tcBorders>
              <w:top w:val="single" w:sz="4" w:space="0" w:color="auto"/>
              <w:bottom w:val="single" w:sz="4" w:space="0" w:color="auto"/>
              <w:right w:val="nil"/>
            </w:tcBorders>
          </w:tcPr>
          <w:p w14:paraId="6B1227EC" w14:textId="77777777" w:rsidR="00721F67" w:rsidRPr="005E7233" w:rsidRDefault="00721F67" w:rsidP="00721F67">
            <w:pPr>
              <w:pStyle w:val="TableText0"/>
              <w:rPr>
                <w:b/>
                <w:bCs w:val="0"/>
              </w:rPr>
            </w:pPr>
            <w:r w:rsidRPr="005E7233">
              <w:rPr>
                <w:b/>
                <w:bCs w:val="0"/>
              </w:rPr>
              <w:t>TED symptom health state utility</w:t>
            </w:r>
          </w:p>
        </w:tc>
        <w:tc>
          <w:tcPr>
            <w:tcW w:w="1134" w:type="dxa"/>
            <w:tcBorders>
              <w:top w:val="single" w:sz="4" w:space="0" w:color="auto"/>
              <w:left w:val="nil"/>
              <w:bottom w:val="single" w:sz="4" w:space="0" w:color="auto"/>
              <w:right w:val="nil"/>
            </w:tcBorders>
          </w:tcPr>
          <w:p w14:paraId="329268F2" w14:textId="77777777" w:rsidR="00721F67" w:rsidRPr="005E7233" w:rsidRDefault="00721F67" w:rsidP="00721F67">
            <w:pPr>
              <w:pStyle w:val="TableText0"/>
              <w:jc w:val="right"/>
            </w:pPr>
          </w:p>
        </w:tc>
        <w:tc>
          <w:tcPr>
            <w:tcW w:w="1134" w:type="dxa"/>
            <w:tcBorders>
              <w:top w:val="single" w:sz="4" w:space="0" w:color="auto"/>
              <w:left w:val="nil"/>
              <w:bottom w:val="single" w:sz="4" w:space="0" w:color="auto"/>
              <w:right w:val="nil"/>
            </w:tcBorders>
          </w:tcPr>
          <w:p w14:paraId="35D0C815" w14:textId="77777777" w:rsidR="00721F67" w:rsidRPr="005E7233" w:rsidRDefault="00721F67" w:rsidP="00721F67">
            <w:pPr>
              <w:pStyle w:val="TableText0"/>
              <w:jc w:val="right"/>
            </w:pPr>
          </w:p>
        </w:tc>
        <w:tc>
          <w:tcPr>
            <w:tcW w:w="993" w:type="dxa"/>
            <w:tcBorders>
              <w:top w:val="single" w:sz="4" w:space="0" w:color="auto"/>
              <w:left w:val="nil"/>
              <w:bottom w:val="single" w:sz="4" w:space="0" w:color="auto"/>
              <w:right w:val="nil"/>
            </w:tcBorders>
          </w:tcPr>
          <w:p w14:paraId="2598A200" w14:textId="77777777" w:rsidR="00721F67" w:rsidRPr="005E7233" w:rsidRDefault="00721F67" w:rsidP="00721F67">
            <w:pPr>
              <w:pStyle w:val="TableText0"/>
              <w:jc w:val="right"/>
            </w:pPr>
          </w:p>
        </w:tc>
        <w:tc>
          <w:tcPr>
            <w:tcW w:w="658" w:type="dxa"/>
            <w:tcBorders>
              <w:top w:val="single" w:sz="4" w:space="0" w:color="auto"/>
              <w:left w:val="nil"/>
              <w:bottom w:val="single" w:sz="4" w:space="0" w:color="auto"/>
            </w:tcBorders>
          </w:tcPr>
          <w:p w14:paraId="6B8BA1B4" w14:textId="77777777" w:rsidR="00721F67" w:rsidRPr="005E7233" w:rsidRDefault="00721F67" w:rsidP="00721F67">
            <w:pPr>
              <w:pStyle w:val="TableText0"/>
              <w:jc w:val="right"/>
            </w:pPr>
          </w:p>
        </w:tc>
      </w:tr>
      <w:tr w:rsidR="00721F67" w:rsidRPr="005E7233" w14:paraId="2E93CFA7" w14:textId="77777777" w:rsidTr="008A70D4">
        <w:trPr>
          <w:cantSplit/>
        </w:trPr>
        <w:tc>
          <w:tcPr>
            <w:tcW w:w="5098" w:type="dxa"/>
            <w:tcBorders>
              <w:bottom w:val="nil"/>
            </w:tcBorders>
          </w:tcPr>
          <w:p w14:paraId="0C236225" w14:textId="77777777" w:rsidR="00721F67" w:rsidRPr="005E7233" w:rsidRDefault="00721F67" w:rsidP="00303DD3">
            <w:pPr>
              <w:pStyle w:val="TableText0"/>
              <w:numPr>
                <w:ilvl w:val="0"/>
                <w:numId w:val="10"/>
              </w:numPr>
              <w:ind w:left="311" w:hanging="284"/>
            </w:pPr>
            <w:r w:rsidRPr="005E7233">
              <w:t>SPND, 0.54 (base case: 0.60)</w:t>
            </w:r>
          </w:p>
        </w:tc>
        <w:tc>
          <w:tcPr>
            <w:tcW w:w="1134" w:type="dxa"/>
            <w:tcBorders>
              <w:bottom w:val="nil"/>
            </w:tcBorders>
          </w:tcPr>
          <w:p w14:paraId="4478E5BB" w14:textId="7D2C5F86"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07"/>
                <w14:textFill>
                  <w14:solidFill>
                    <w14:srgbClr w14:val="000000">
                      <w14:alpha w14:val="100000"/>
                    </w14:srgbClr>
                  </w14:solidFill>
                </w14:textFill>
              </w:rPr>
              <w:t>|||</w:t>
            </w:r>
            <w:r w:rsidR="00BD0449" w:rsidRPr="00BD0449">
              <w:rPr>
                <w:color w:val="000000"/>
                <w:spacing w:val="3"/>
                <w:shd w:val="solid" w:color="000000" w:fill="000000"/>
                <w:fitText w:val="320" w:id="-694437107"/>
                <w14:textFill>
                  <w14:solidFill>
                    <w14:srgbClr w14:val="000000">
                      <w14:alpha w14:val="100000"/>
                    </w14:srgbClr>
                  </w14:solidFill>
                </w14:textFill>
              </w:rPr>
              <w:t>|</w:t>
            </w:r>
            <w:r w:rsidR="00A25BDC">
              <w:t xml:space="preserve"> </w:t>
            </w:r>
          </w:p>
        </w:tc>
        <w:tc>
          <w:tcPr>
            <w:tcW w:w="1134" w:type="dxa"/>
            <w:tcBorders>
              <w:bottom w:val="nil"/>
            </w:tcBorders>
          </w:tcPr>
          <w:p w14:paraId="6D120AED" w14:textId="0C8C712C" w:rsidR="00721F67" w:rsidRPr="005E7233" w:rsidRDefault="00721F67" w:rsidP="00721F67">
            <w:pPr>
              <w:pStyle w:val="TableText0"/>
              <w:jc w:val="right"/>
            </w:pPr>
            <w:r w:rsidRPr="005E7233">
              <w:t>1.013</w:t>
            </w:r>
          </w:p>
        </w:tc>
        <w:tc>
          <w:tcPr>
            <w:tcW w:w="993" w:type="dxa"/>
            <w:tcBorders>
              <w:bottom w:val="nil"/>
            </w:tcBorders>
          </w:tcPr>
          <w:p w14:paraId="683A17B0" w14:textId="069CF49A"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06"/>
                <w14:textFill>
                  <w14:solidFill>
                    <w14:srgbClr w14:val="000000">
                      <w14:alpha w14:val="100000"/>
                    </w14:srgbClr>
                  </w14:solidFill>
                </w14:textFill>
              </w:rPr>
              <w:t>|||</w:t>
            </w:r>
            <w:r w:rsidR="00BD0449" w:rsidRPr="00BD0449">
              <w:rPr>
                <w:color w:val="000000"/>
                <w:spacing w:val="1"/>
                <w:shd w:val="solid" w:color="000000" w:fill="000000"/>
                <w:fitText w:val="330" w:id="-694437106"/>
                <w14:textFill>
                  <w14:solidFill>
                    <w14:srgbClr w14:val="000000">
                      <w14:alpha w14:val="100000"/>
                    </w14:srgbClr>
                  </w14:solidFill>
                </w14:textFill>
              </w:rPr>
              <w:t>|</w:t>
            </w:r>
            <w:r w:rsidR="002E7038">
              <w:rPr>
                <w:b/>
                <w:bCs w:val="0"/>
              </w:rPr>
              <w:t xml:space="preserve"> </w:t>
            </w:r>
            <w:r w:rsidR="002E7038">
              <w:rPr>
                <w:b/>
                <w:bCs w:val="0"/>
                <w:vertAlign w:val="superscript"/>
              </w:rPr>
              <w:t>6</w:t>
            </w:r>
          </w:p>
        </w:tc>
        <w:tc>
          <w:tcPr>
            <w:tcW w:w="658" w:type="dxa"/>
            <w:tcBorders>
              <w:bottom w:val="nil"/>
            </w:tcBorders>
          </w:tcPr>
          <w:p w14:paraId="17ABA2DE" w14:textId="649CC64A" w:rsidR="00721F67" w:rsidRPr="005E7233" w:rsidRDefault="00BD0449" w:rsidP="00721F67">
            <w:pPr>
              <w:pStyle w:val="TableText0"/>
              <w:jc w:val="right"/>
            </w:pPr>
            <w:r w:rsidRPr="00BD0449">
              <w:rPr>
                <w:color w:val="000000"/>
                <w:spacing w:val="84"/>
                <w:shd w:val="solid" w:color="000000" w:fill="000000"/>
                <w:fitText w:val="170" w:id="-694437105"/>
                <w14:textFill>
                  <w14:solidFill>
                    <w14:srgbClr w14:val="000000">
                      <w14:alpha w14:val="100000"/>
                    </w14:srgbClr>
                  </w14:solidFill>
                </w14:textFill>
              </w:rPr>
              <w:t>|</w:t>
            </w:r>
            <w:r w:rsidRPr="00BD0449">
              <w:rPr>
                <w:color w:val="000000"/>
                <w:spacing w:val="1"/>
                <w:shd w:val="solid" w:color="000000" w:fill="000000"/>
                <w:fitText w:val="170" w:id="-694437105"/>
                <w14:textFill>
                  <w14:solidFill>
                    <w14:srgbClr w14:val="000000">
                      <w14:alpha w14:val="100000"/>
                    </w14:srgbClr>
                  </w14:solidFill>
                </w14:textFill>
              </w:rPr>
              <w:t>|</w:t>
            </w:r>
            <w:r w:rsidR="00721F67" w:rsidRPr="005E7233">
              <w:t>%</w:t>
            </w:r>
          </w:p>
        </w:tc>
      </w:tr>
      <w:tr w:rsidR="00721F67" w:rsidRPr="005E7233" w14:paraId="1FF58804" w14:textId="77777777" w:rsidTr="008A70D4">
        <w:trPr>
          <w:cantSplit/>
        </w:trPr>
        <w:tc>
          <w:tcPr>
            <w:tcW w:w="5098" w:type="dxa"/>
            <w:tcBorders>
              <w:top w:val="nil"/>
              <w:bottom w:val="nil"/>
            </w:tcBorders>
          </w:tcPr>
          <w:p w14:paraId="77920B90" w14:textId="77777777" w:rsidR="00721F67" w:rsidRPr="005E7233" w:rsidRDefault="00721F67" w:rsidP="00303DD3">
            <w:pPr>
              <w:pStyle w:val="TableText0"/>
              <w:numPr>
                <w:ilvl w:val="0"/>
                <w:numId w:val="10"/>
              </w:numPr>
              <w:ind w:left="311" w:hanging="284"/>
            </w:pPr>
            <w:r w:rsidRPr="005E7233">
              <w:t>SPND, 0.67 (base case: 0.60)</w:t>
            </w:r>
          </w:p>
        </w:tc>
        <w:tc>
          <w:tcPr>
            <w:tcW w:w="1134" w:type="dxa"/>
            <w:tcBorders>
              <w:top w:val="nil"/>
              <w:bottom w:val="nil"/>
            </w:tcBorders>
          </w:tcPr>
          <w:p w14:paraId="38D2819C" w14:textId="251A0C93"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04"/>
                <w14:textFill>
                  <w14:solidFill>
                    <w14:srgbClr w14:val="000000">
                      <w14:alpha w14:val="100000"/>
                    </w14:srgbClr>
                  </w14:solidFill>
                </w14:textFill>
              </w:rPr>
              <w:t>|||</w:t>
            </w:r>
            <w:r w:rsidR="00BD0449" w:rsidRPr="00BD0449">
              <w:rPr>
                <w:color w:val="000000"/>
                <w:spacing w:val="3"/>
                <w:shd w:val="solid" w:color="000000" w:fill="000000"/>
                <w:fitText w:val="320" w:id="-694437104"/>
                <w14:textFill>
                  <w14:solidFill>
                    <w14:srgbClr w14:val="000000">
                      <w14:alpha w14:val="100000"/>
                    </w14:srgbClr>
                  </w14:solidFill>
                </w14:textFill>
              </w:rPr>
              <w:t>|</w:t>
            </w:r>
            <w:r w:rsidR="00A25BDC">
              <w:t xml:space="preserve"> </w:t>
            </w:r>
          </w:p>
        </w:tc>
        <w:tc>
          <w:tcPr>
            <w:tcW w:w="1134" w:type="dxa"/>
            <w:tcBorders>
              <w:top w:val="nil"/>
              <w:bottom w:val="nil"/>
            </w:tcBorders>
          </w:tcPr>
          <w:p w14:paraId="7EC2FF88" w14:textId="258768F7" w:rsidR="00721F67" w:rsidRPr="005E7233" w:rsidRDefault="00721F67" w:rsidP="00721F67">
            <w:pPr>
              <w:pStyle w:val="TableText0"/>
              <w:jc w:val="right"/>
            </w:pPr>
            <w:r w:rsidRPr="005E7233">
              <w:t>1.604</w:t>
            </w:r>
          </w:p>
        </w:tc>
        <w:tc>
          <w:tcPr>
            <w:tcW w:w="993" w:type="dxa"/>
            <w:tcBorders>
              <w:top w:val="nil"/>
              <w:bottom w:val="nil"/>
            </w:tcBorders>
          </w:tcPr>
          <w:p w14:paraId="19D1F7A6" w14:textId="048B67EF"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20"/>
                <w14:textFill>
                  <w14:solidFill>
                    <w14:srgbClr w14:val="000000">
                      <w14:alpha w14:val="100000"/>
                    </w14:srgbClr>
                  </w14:solidFill>
                </w14:textFill>
              </w:rPr>
              <w:t>|||</w:t>
            </w:r>
            <w:r w:rsidR="00BD0449" w:rsidRPr="00BD0449">
              <w:rPr>
                <w:color w:val="000000"/>
                <w:spacing w:val="1"/>
                <w:shd w:val="solid" w:color="000000" w:fill="000000"/>
                <w:fitText w:val="330" w:id="-694437120"/>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27165CDE" w14:textId="3F223210"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119"/>
                <w14:textFill>
                  <w14:solidFill>
                    <w14:srgbClr w14:val="000000">
                      <w14:alpha w14:val="100000"/>
                    </w14:srgbClr>
                  </w14:solidFill>
                </w14:textFill>
              </w:rPr>
              <w:t xml:space="preserve">　</w:t>
            </w:r>
            <w:r w:rsidR="00BD0449" w:rsidRPr="00BD0449">
              <w:rPr>
                <w:rFonts w:hint="eastAsia"/>
                <w:color w:val="000000"/>
                <w:w w:val="27"/>
                <w:shd w:val="solid" w:color="000000" w:fill="000000"/>
                <w:fitText w:val="120" w:id="-694437118"/>
                <w14:textFill>
                  <w14:solidFill>
                    <w14:srgbClr w14:val="000000">
                      <w14:alpha w14:val="100000"/>
                    </w14:srgbClr>
                  </w14:solidFill>
                </w14:textFill>
              </w:rPr>
              <w:t xml:space="preserve">　</w:t>
            </w:r>
            <w:r w:rsidR="00BD0449" w:rsidRPr="00BD0449">
              <w:rPr>
                <w:color w:val="000000"/>
                <w:w w:val="27"/>
                <w:shd w:val="solid" w:color="000000" w:fill="000000"/>
                <w:fitText w:val="120" w:id="-694437118"/>
                <w14:textFill>
                  <w14:solidFill>
                    <w14:srgbClr w14:val="000000">
                      <w14:alpha w14:val="100000"/>
                    </w14:srgbClr>
                  </w14:solidFill>
                </w14:textFill>
              </w:rPr>
              <w:t>|</w:t>
            </w:r>
            <w:r w:rsidR="00BD0449" w:rsidRPr="00BD0449">
              <w:rPr>
                <w:rFonts w:hint="eastAsia"/>
                <w:color w:val="000000"/>
                <w:w w:val="27"/>
                <w:shd w:val="solid" w:color="000000" w:fill="000000"/>
                <w:fitText w:val="120" w:id="-694437118"/>
                <w14:textFill>
                  <w14:solidFill>
                    <w14:srgbClr w14:val="000000">
                      <w14:alpha w14:val="100000"/>
                    </w14:srgbClr>
                  </w14:solidFill>
                </w14:textFill>
              </w:rPr>
              <w:t xml:space="preserve">　</w:t>
            </w:r>
            <w:r w:rsidRPr="005E7233">
              <w:t>%</w:t>
            </w:r>
          </w:p>
        </w:tc>
      </w:tr>
      <w:tr w:rsidR="00721F67" w:rsidRPr="005E7233" w14:paraId="7C97596D" w14:textId="77777777" w:rsidTr="008A70D4">
        <w:trPr>
          <w:cantSplit/>
        </w:trPr>
        <w:tc>
          <w:tcPr>
            <w:tcW w:w="5098" w:type="dxa"/>
            <w:tcBorders>
              <w:top w:val="nil"/>
              <w:bottom w:val="nil"/>
            </w:tcBorders>
          </w:tcPr>
          <w:p w14:paraId="296FD35A" w14:textId="77777777" w:rsidR="00721F67" w:rsidRPr="005E7233" w:rsidRDefault="00721F67" w:rsidP="00303DD3">
            <w:pPr>
              <w:pStyle w:val="TableText0"/>
              <w:numPr>
                <w:ilvl w:val="0"/>
                <w:numId w:val="10"/>
              </w:numPr>
              <w:ind w:left="311" w:hanging="284"/>
            </w:pPr>
            <w:r w:rsidRPr="005E7233">
              <w:t>LPID, 0.36 (base case: 0.43)</w:t>
            </w:r>
          </w:p>
        </w:tc>
        <w:tc>
          <w:tcPr>
            <w:tcW w:w="1134" w:type="dxa"/>
            <w:tcBorders>
              <w:top w:val="nil"/>
              <w:bottom w:val="nil"/>
            </w:tcBorders>
          </w:tcPr>
          <w:p w14:paraId="420BEBA0" w14:textId="24590310"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7"/>
                <w14:textFill>
                  <w14:solidFill>
                    <w14:srgbClr w14:val="000000">
                      <w14:alpha w14:val="100000"/>
                    </w14:srgbClr>
                  </w14:solidFill>
                </w14:textFill>
              </w:rPr>
              <w:t>|||</w:t>
            </w:r>
            <w:r w:rsidR="00BD0449" w:rsidRPr="00BD0449">
              <w:rPr>
                <w:color w:val="000000"/>
                <w:spacing w:val="3"/>
                <w:shd w:val="solid" w:color="000000" w:fill="000000"/>
                <w:fitText w:val="320" w:id="-694437117"/>
                <w14:textFill>
                  <w14:solidFill>
                    <w14:srgbClr w14:val="000000">
                      <w14:alpha w14:val="100000"/>
                    </w14:srgbClr>
                  </w14:solidFill>
                </w14:textFill>
              </w:rPr>
              <w:t>|</w:t>
            </w:r>
            <w:r w:rsidR="00A25BDC">
              <w:t xml:space="preserve"> </w:t>
            </w:r>
          </w:p>
        </w:tc>
        <w:tc>
          <w:tcPr>
            <w:tcW w:w="1134" w:type="dxa"/>
            <w:tcBorders>
              <w:top w:val="nil"/>
              <w:bottom w:val="nil"/>
            </w:tcBorders>
          </w:tcPr>
          <w:p w14:paraId="5E5B4159" w14:textId="68077328" w:rsidR="00721F67" w:rsidRPr="005E7233" w:rsidRDefault="00721F67" w:rsidP="00721F67">
            <w:pPr>
              <w:pStyle w:val="TableText0"/>
              <w:jc w:val="right"/>
            </w:pPr>
            <w:r w:rsidRPr="005E7233">
              <w:t>1.494</w:t>
            </w:r>
          </w:p>
        </w:tc>
        <w:tc>
          <w:tcPr>
            <w:tcW w:w="993" w:type="dxa"/>
            <w:tcBorders>
              <w:top w:val="nil"/>
              <w:bottom w:val="nil"/>
            </w:tcBorders>
          </w:tcPr>
          <w:p w14:paraId="6DE6E692" w14:textId="64DDB871"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6"/>
                <w14:textFill>
                  <w14:solidFill>
                    <w14:srgbClr w14:val="000000">
                      <w14:alpha w14:val="100000"/>
                    </w14:srgbClr>
                  </w14:solidFill>
                </w14:textFill>
              </w:rPr>
              <w:t>|||</w:t>
            </w:r>
            <w:r w:rsidR="00BD0449" w:rsidRPr="00BD0449">
              <w:rPr>
                <w:color w:val="000000"/>
                <w:spacing w:val="1"/>
                <w:shd w:val="solid" w:color="000000" w:fill="000000"/>
                <w:fitText w:val="330" w:id="-694437116"/>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4E2856D0" w14:textId="5A6F42A5"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115"/>
                <w14:textFill>
                  <w14:solidFill>
                    <w14:srgbClr w14:val="000000">
                      <w14:alpha w14:val="100000"/>
                    </w14:srgbClr>
                  </w14:solidFill>
                </w14:textFill>
              </w:rPr>
              <w:t xml:space="preserve">　</w:t>
            </w:r>
            <w:r w:rsidR="00BD0449" w:rsidRPr="00BD0449">
              <w:rPr>
                <w:rFonts w:hint="eastAsia"/>
                <w:color w:val="000000"/>
                <w:w w:val="27"/>
                <w:shd w:val="solid" w:color="000000" w:fill="000000"/>
                <w:fitText w:val="120" w:id="-694437114"/>
                <w14:textFill>
                  <w14:solidFill>
                    <w14:srgbClr w14:val="000000">
                      <w14:alpha w14:val="100000"/>
                    </w14:srgbClr>
                  </w14:solidFill>
                </w14:textFill>
              </w:rPr>
              <w:t xml:space="preserve">　</w:t>
            </w:r>
            <w:r w:rsidR="00BD0449" w:rsidRPr="00BD0449">
              <w:rPr>
                <w:color w:val="000000"/>
                <w:w w:val="27"/>
                <w:shd w:val="solid" w:color="000000" w:fill="000000"/>
                <w:fitText w:val="120" w:id="-694437114"/>
                <w14:textFill>
                  <w14:solidFill>
                    <w14:srgbClr w14:val="000000">
                      <w14:alpha w14:val="100000"/>
                    </w14:srgbClr>
                  </w14:solidFill>
                </w14:textFill>
              </w:rPr>
              <w:t>|</w:t>
            </w:r>
            <w:r w:rsidR="00BD0449" w:rsidRPr="00BD0449">
              <w:rPr>
                <w:rFonts w:hint="eastAsia"/>
                <w:color w:val="000000"/>
                <w:w w:val="27"/>
                <w:shd w:val="solid" w:color="000000" w:fill="000000"/>
                <w:fitText w:val="120" w:id="-694437114"/>
                <w14:textFill>
                  <w14:solidFill>
                    <w14:srgbClr w14:val="000000">
                      <w14:alpha w14:val="100000"/>
                    </w14:srgbClr>
                  </w14:solidFill>
                </w14:textFill>
              </w:rPr>
              <w:t xml:space="preserve">　</w:t>
            </w:r>
            <w:r w:rsidRPr="005E7233">
              <w:t>%</w:t>
            </w:r>
          </w:p>
        </w:tc>
      </w:tr>
      <w:tr w:rsidR="00721F67" w:rsidRPr="005E7233" w14:paraId="2FB3FAB7" w14:textId="77777777" w:rsidTr="008A70D4">
        <w:trPr>
          <w:cantSplit/>
        </w:trPr>
        <w:tc>
          <w:tcPr>
            <w:tcW w:w="5098" w:type="dxa"/>
            <w:tcBorders>
              <w:top w:val="nil"/>
              <w:bottom w:val="nil"/>
            </w:tcBorders>
          </w:tcPr>
          <w:p w14:paraId="554EB211" w14:textId="77777777" w:rsidR="00721F67" w:rsidRPr="005E7233" w:rsidRDefault="00721F67" w:rsidP="00303DD3">
            <w:pPr>
              <w:pStyle w:val="TableText0"/>
              <w:numPr>
                <w:ilvl w:val="0"/>
                <w:numId w:val="10"/>
              </w:numPr>
              <w:ind w:left="311" w:hanging="284"/>
            </w:pPr>
            <w:r w:rsidRPr="005E7233">
              <w:t>LPID, 0.49 (base case: 0.43)</w:t>
            </w:r>
          </w:p>
        </w:tc>
        <w:tc>
          <w:tcPr>
            <w:tcW w:w="1134" w:type="dxa"/>
            <w:tcBorders>
              <w:top w:val="nil"/>
              <w:bottom w:val="nil"/>
            </w:tcBorders>
          </w:tcPr>
          <w:p w14:paraId="47121F9A" w14:textId="098287B9"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3"/>
                <w14:textFill>
                  <w14:solidFill>
                    <w14:srgbClr w14:val="000000">
                      <w14:alpha w14:val="100000"/>
                    </w14:srgbClr>
                  </w14:solidFill>
                </w14:textFill>
              </w:rPr>
              <w:t>|||</w:t>
            </w:r>
            <w:r w:rsidR="00BD0449" w:rsidRPr="00BD0449">
              <w:rPr>
                <w:color w:val="000000"/>
                <w:spacing w:val="3"/>
                <w:shd w:val="solid" w:color="000000" w:fill="000000"/>
                <w:fitText w:val="320" w:id="-694437113"/>
                <w14:textFill>
                  <w14:solidFill>
                    <w14:srgbClr w14:val="000000">
                      <w14:alpha w14:val="100000"/>
                    </w14:srgbClr>
                  </w14:solidFill>
                </w14:textFill>
              </w:rPr>
              <w:t>|</w:t>
            </w:r>
            <w:r w:rsidR="00A25BDC">
              <w:t xml:space="preserve"> </w:t>
            </w:r>
          </w:p>
        </w:tc>
        <w:tc>
          <w:tcPr>
            <w:tcW w:w="1134" w:type="dxa"/>
            <w:tcBorders>
              <w:top w:val="nil"/>
              <w:bottom w:val="nil"/>
            </w:tcBorders>
          </w:tcPr>
          <w:p w14:paraId="1D53203A" w14:textId="38144D90" w:rsidR="00721F67" w:rsidRPr="005E7233" w:rsidRDefault="00721F67" w:rsidP="00721F67">
            <w:pPr>
              <w:pStyle w:val="TableText0"/>
              <w:jc w:val="right"/>
            </w:pPr>
            <w:r w:rsidRPr="005E7233">
              <w:t>1.149</w:t>
            </w:r>
          </w:p>
        </w:tc>
        <w:tc>
          <w:tcPr>
            <w:tcW w:w="993" w:type="dxa"/>
            <w:tcBorders>
              <w:top w:val="nil"/>
              <w:bottom w:val="nil"/>
            </w:tcBorders>
          </w:tcPr>
          <w:p w14:paraId="19081D46" w14:textId="4813CD80"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2"/>
                <w14:textFill>
                  <w14:solidFill>
                    <w14:srgbClr w14:val="000000">
                      <w14:alpha w14:val="100000"/>
                    </w14:srgbClr>
                  </w14:solidFill>
                </w14:textFill>
              </w:rPr>
              <w:t>|||</w:t>
            </w:r>
            <w:r w:rsidR="00BD0449" w:rsidRPr="00BD0449">
              <w:rPr>
                <w:color w:val="000000"/>
                <w:spacing w:val="1"/>
                <w:shd w:val="solid" w:color="000000" w:fill="000000"/>
                <w:fitText w:val="330" w:id="-694437112"/>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nil"/>
            </w:tcBorders>
          </w:tcPr>
          <w:p w14:paraId="6757D5DA" w14:textId="7895453D" w:rsidR="00721F67" w:rsidRPr="005E7233" w:rsidRDefault="00BD0449" w:rsidP="00721F67">
            <w:pPr>
              <w:pStyle w:val="TableText0"/>
              <w:jc w:val="right"/>
            </w:pPr>
            <w:r w:rsidRPr="00BD0449">
              <w:rPr>
                <w:color w:val="000000"/>
                <w:spacing w:val="84"/>
                <w:shd w:val="solid" w:color="000000" w:fill="000000"/>
                <w:fitText w:val="170" w:id="-694437111"/>
                <w14:textFill>
                  <w14:solidFill>
                    <w14:srgbClr w14:val="000000">
                      <w14:alpha w14:val="100000"/>
                    </w14:srgbClr>
                  </w14:solidFill>
                </w14:textFill>
              </w:rPr>
              <w:t>|</w:t>
            </w:r>
            <w:r w:rsidRPr="00BD0449">
              <w:rPr>
                <w:color w:val="000000"/>
                <w:spacing w:val="1"/>
                <w:shd w:val="solid" w:color="000000" w:fill="000000"/>
                <w:fitText w:val="170" w:id="-694437111"/>
                <w14:textFill>
                  <w14:solidFill>
                    <w14:srgbClr w14:val="000000">
                      <w14:alpha w14:val="100000"/>
                    </w14:srgbClr>
                  </w14:solidFill>
                </w14:textFill>
              </w:rPr>
              <w:t>|</w:t>
            </w:r>
            <w:r w:rsidR="00721F67" w:rsidRPr="005E7233">
              <w:t>%</w:t>
            </w:r>
          </w:p>
        </w:tc>
      </w:tr>
      <w:tr w:rsidR="00721F67" w:rsidRPr="005E7233" w14:paraId="6057F9C1" w14:textId="77777777" w:rsidTr="008A70D4">
        <w:trPr>
          <w:cantSplit/>
        </w:trPr>
        <w:tc>
          <w:tcPr>
            <w:tcW w:w="5098" w:type="dxa"/>
            <w:tcBorders>
              <w:top w:val="nil"/>
              <w:bottom w:val="nil"/>
            </w:tcBorders>
          </w:tcPr>
          <w:p w14:paraId="26A61540" w14:textId="77777777" w:rsidR="00721F67" w:rsidRPr="005E7233" w:rsidRDefault="00721F67" w:rsidP="00303DD3">
            <w:pPr>
              <w:pStyle w:val="TableText0"/>
              <w:numPr>
                <w:ilvl w:val="0"/>
                <w:numId w:val="10"/>
              </w:numPr>
              <w:ind w:left="311" w:hanging="284"/>
            </w:pPr>
            <w:r w:rsidRPr="005E7233">
              <w:t>LPCD, 0.24 (base case: 0.30)</w:t>
            </w:r>
          </w:p>
        </w:tc>
        <w:tc>
          <w:tcPr>
            <w:tcW w:w="1134" w:type="dxa"/>
            <w:tcBorders>
              <w:top w:val="nil"/>
              <w:bottom w:val="nil"/>
            </w:tcBorders>
          </w:tcPr>
          <w:p w14:paraId="4C89F8C3" w14:textId="344513EF"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0"/>
                <w14:textFill>
                  <w14:solidFill>
                    <w14:srgbClr w14:val="000000">
                      <w14:alpha w14:val="100000"/>
                    </w14:srgbClr>
                  </w14:solidFill>
                </w14:textFill>
              </w:rPr>
              <w:t>|||</w:t>
            </w:r>
            <w:r w:rsidR="00BD0449" w:rsidRPr="00BD0449">
              <w:rPr>
                <w:color w:val="000000"/>
                <w:spacing w:val="3"/>
                <w:shd w:val="solid" w:color="000000" w:fill="000000"/>
                <w:fitText w:val="320" w:id="-694437110"/>
                <w14:textFill>
                  <w14:solidFill>
                    <w14:srgbClr w14:val="000000">
                      <w14:alpha w14:val="100000"/>
                    </w14:srgbClr>
                  </w14:solidFill>
                </w14:textFill>
              </w:rPr>
              <w:t>|</w:t>
            </w:r>
            <w:r w:rsidR="00A25BDC">
              <w:t xml:space="preserve"> </w:t>
            </w:r>
          </w:p>
        </w:tc>
        <w:tc>
          <w:tcPr>
            <w:tcW w:w="1134" w:type="dxa"/>
            <w:tcBorders>
              <w:top w:val="nil"/>
              <w:bottom w:val="nil"/>
            </w:tcBorders>
          </w:tcPr>
          <w:p w14:paraId="641939BD" w14:textId="0A95619A" w:rsidR="00721F67" w:rsidRPr="005E7233" w:rsidRDefault="00721F67" w:rsidP="00721F67">
            <w:pPr>
              <w:pStyle w:val="TableText0"/>
              <w:jc w:val="right"/>
            </w:pPr>
            <w:r w:rsidRPr="005E7233">
              <w:t>1.445</w:t>
            </w:r>
          </w:p>
        </w:tc>
        <w:tc>
          <w:tcPr>
            <w:tcW w:w="993" w:type="dxa"/>
            <w:tcBorders>
              <w:top w:val="nil"/>
              <w:bottom w:val="nil"/>
            </w:tcBorders>
          </w:tcPr>
          <w:p w14:paraId="36C8ECE4" w14:textId="4DDBC17D"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09"/>
                <w14:textFill>
                  <w14:solidFill>
                    <w14:srgbClr w14:val="000000">
                      <w14:alpha w14:val="100000"/>
                    </w14:srgbClr>
                  </w14:solidFill>
                </w14:textFill>
              </w:rPr>
              <w:t>|||</w:t>
            </w:r>
            <w:r w:rsidR="00BD0449" w:rsidRPr="00BD0449">
              <w:rPr>
                <w:color w:val="000000"/>
                <w:spacing w:val="1"/>
                <w:shd w:val="solid" w:color="000000" w:fill="000000"/>
                <w:fitText w:val="330" w:id="-694437109"/>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5534A983" w14:textId="4F265EDA"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108"/>
                <w14:textFill>
                  <w14:solidFill>
                    <w14:srgbClr w14:val="000000">
                      <w14:alpha w14:val="100000"/>
                    </w14:srgbClr>
                  </w14:solidFill>
                </w14:textFill>
              </w:rPr>
              <w:t xml:space="preserve">　</w:t>
            </w:r>
            <w:r w:rsidR="00BD0449" w:rsidRPr="00BD0449">
              <w:rPr>
                <w:rFonts w:hint="eastAsia"/>
                <w:color w:val="000000"/>
                <w:w w:val="27"/>
                <w:shd w:val="solid" w:color="000000" w:fill="000000"/>
                <w:fitText w:val="120" w:id="-694437107"/>
                <w14:textFill>
                  <w14:solidFill>
                    <w14:srgbClr w14:val="000000">
                      <w14:alpha w14:val="100000"/>
                    </w14:srgbClr>
                  </w14:solidFill>
                </w14:textFill>
              </w:rPr>
              <w:t xml:space="preserve">　</w:t>
            </w:r>
            <w:r w:rsidR="00BD0449" w:rsidRPr="00BD0449">
              <w:rPr>
                <w:color w:val="000000"/>
                <w:w w:val="27"/>
                <w:shd w:val="solid" w:color="000000" w:fill="000000"/>
                <w:fitText w:val="120" w:id="-694437107"/>
                <w14:textFill>
                  <w14:solidFill>
                    <w14:srgbClr w14:val="000000">
                      <w14:alpha w14:val="100000"/>
                    </w14:srgbClr>
                  </w14:solidFill>
                </w14:textFill>
              </w:rPr>
              <w:t>|</w:t>
            </w:r>
            <w:r w:rsidR="00BD0449" w:rsidRPr="00BD0449">
              <w:rPr>
                <w:rFonts w:hint="eastAsia"/>
                <w:color w:val="000000"/>
                <w:w w:val="27"/>
                <w:shd w:val="solid" w:color="000000" w:fill="000000"/>
                <w:fitText w:val="120" w:id="-694437107"/>
                <w14:textFill>
                  <w14:solidFill>
                    <w14:srgbClr w14:val="000000">
                      <w14:alpha w14:val="100000"/>
                    </w14:srgbClr>
                  </w14:solidFill>
                </w14:textFill>
              </w:rPr>
              <w:t xml:space="preserve">　</w:t>
            </w:r>
            <w:r w:rsidRPr="005E7233">
              <w:t>%</w:t>
            </w:r>
          </w:p>
        </w:tc>
      </w:tr>
      <w:tr w:rsidR="00721F67" w:rsidRPr="005E7233" w14:paraId="3D4D0732" w14:textId="77777777" w:rsidTr="008A70D4">
        <w:trPr>
          <w:cantSplit/>
        </w:trPr>
        <w:tc>
          <w:tcPr>
            <w:tcW w:w="5098" w:type="dxa"/>
            <w:tcBorders>
              <w:top w:val="nil"/>
              <w:bottom w:val="nil"/>
            </w:tcBorders>
          </w:tcPr>
          <w:p w14:paraId="2A1541EC" w14:textId="77777777" w:rsidR="00721F67" w:rsidRPr="005E7233" w:rsidRDefault="00721F67" w:rsidP="00303DD3">
            <w:pPr>
              <w:pStyle w:val="TableText0"/>
              <w:numPr>
                <w:ilvl w:val="0"/>
                <w:numId w:val="10"/>
              </w:numPr>
              <w:ind w:left="311" w:hanging="284"/>
            </w:pPr>
            <w:r w:rsidRPr="005E7233">
              <w:t>LPCD, 0.36 (base case: 0.30)</w:t>
            </w:r>
          </w:p>
        </w:tc>
        <w:tc>
          <w:tcPr>
            <w:tcW w:w="1134" w:type="dxa"/>
            <w:tcBorders>
              <w:top w:val="nil"/>
              <w:bottom w:val="nil"/>
            </w:tcBorders>
          </w:tcPr>
          <w:p w14:paraId="0C8EC84A" w14:textId="6E0430B0"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06"/>
                <w14:textFill>
                  <w14:solidFill>
                    <w14:srgbClr w14:val="000000">
                      <w14:alpha w14:val="100000"/>
                    </w14:srgbClr>
                  </w14:solidFill>
                </w14:textFill>
              </w:rPr>
              <w:t>|||</w:t>
            </w:r>
            <w:r w:rsidR="00BD0449" w:rsidRPr="00BD0449">
              <w:rPr>
                <w:color w:val="000000"/>
                <w:spacing w:val="3"/>
                <w:shd w:val="solid" w:color="000000" w:fill="000000"/>
                <w:fitText w:val="320" w:id="-694437106"/>
                <w14:textFill>
                  <w14:solidFill>
                    <w14:srgbClr w14:val="000000">
                      <w14:alpha w14:val="100000"/>
                    </w14:srgbClr>
                  </w14:solidFill>
                </w14:textFill>
              </w:rPr>
              <w:t>|</w:t>
            </w:r>
            <w:r w:rsidR="00A25BDC">
              <w:t xml:space="preserve"> </w:t>
            </w:r>
          </w:p>
        </w:tc>
        <w:tc>
          <w:tcPr>
            <w:tcW w:w="1134" w:type="dxa"/>
            <w:tcBorders>
              <w:top w:val="nil"/>
              <w:bottom w:val="nil"/>
            </w:tcBorders>
          </w:tcPr>
          <w:p w14:paraId="5CA67248" w14:textId="3CB7BE7A" w:rsidR="00721F67" w:rsidRPr="005E7233" w:rsidRDefault="00721F67" w:rsidP="00721F67">
            <w:pPr>
              <w:pStyle w:val="TableText0"/>
              <w:jc w:val="right"/>
            </w:pPr>
            <w:r w:rsidRPr="005E7233">
              <w:t>1.135</w:t>
            </w:r>
          </w:p>
        </w:tc>
        <w:tc>
          <w:tcPr>
            <w:tcW w:w="993" w:type="dxa"/>
            <w:tcBorders>
              <w:top w:val="nil"/>
              <w:bottom w:val="nil"/>
            </w:tcBorders>
          </w:tcPr>
          <w:p w14:paraId="787B2538" w14:textId="059010D2"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05"/>
                <w14:textFill>
                  <w14:solidFill>
                    <w14:srgbClr w14:val="000000">
                      <w14:alpha w14:val="100000"/>
                    </w14:srgbClr>
                  </w14:solidFill>
                </w14:textFill>
              </w:rPr>
              <w:t>|||</w:t>
            </w:r>
            <w:r w:rsidR="00BD0449" w:rsidRPr="00BD0449">
              <w:rPr>
                <w:color w:val="000000"/>
                <w:spacing w:val="1"/>
                <w:shd w:val="solid" w:color="000000" w:fill="000000"/>
                <w:fitText w:val="330" w:id="-694437105"/>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nil"/>
            </w:tcBorders>
          </w:tcPr>
          <w:p w14:paraId="274FD938" w14:textId="500CC228" w:rsidR="00721F67" w:rsidRPr="005E7233" w:rsidRDefault="00BD0449" w:rsidP="00721F67">
            <w:pPr>
              <w:pStyle w:val="TableText0"/>
              <w:jc w:val="right"/>
            </w:pPr>
            <w:r w:rsidRPr="00BD0449">
              <w:rPr>
                <w:color w:val="000000"/>
                <w:spacing w:val="84"/>
                <w:shd w:val="solid" w:color="000000" w:fill="000000"/>
                <w:fitText w:val="170" w:id="-694437104"/>
                <w14:textFill>
                  <w14:solidFill>
                    <w14:srgbClr w14:val="000000">
                      <w14:alpha w14:val="100000"/>
                    </w14:srgbClr>
                  </w14:solidFill>
                </w14:textFill>
              </w:rPr>
              <w:t>|</w:t>
            </w:r>
            <w:r w:rsidRPr="00BD0449">
              <w:rPr>
                <w:color w:val="000000"/>
                <w:spacing w:val="1"/>
                <w:shd w:val="solid" w:color="000000" w:fill="000000"/>
                <w:fitText w:val="170" w:id="-694437104"/>
                <w14:textFill>
                  <w14:solidFill>
                    <w14:srgbClr w14:val="000000">
                      <w14:alpha w14:val="100000"/>
                    </w14:srgbClr>
                  </w14:solidFill>
                </w14:textFill>
              </w:rPr>
              <w:t>|</w:t>
            </w:r>
            <w:r w:rsidR="00721F67" w:rsidRPr="005E7233">
              <w:t>%</w:t>
            </w:r>
          </w:p>
        </w:tc>
      </w:tr>
      <w:tr w:rsidR="00721F67" w:rsidRPr="005E7233" w14:paraId="4662FF46" w14:textId="77777777" w:rsidTr="008A70D4">
        <w:trPr>
          <w:cantSplit/>
        </w:trPr>
        <w:tc>
          <w:tcPr>
            <w:tcW w:w="5098" w:type="dxa"/>
            <w:tcBorders>
              <w:top w:val="nil"/>
              <w:bottom w:val="single" w:sz="4" w:space="0" w:color="auto"/>
            </w:tcBorders>
          </w:tcPr>
          <w:p w14:paraId="4F19D870" w14:textId="6004E26B" w:rsidR="00721F67" w:rsidRPr="005E7233" w:rsidRDefault="00721F67" w:rsidP="00303DD3">
            <w:pPr>
              <w:pStyle w:val="TableText0"/>
              <w:numPr>
                <w:ilvl w:val="0"/>
                <w:numId w:val="10"/>
              </w:numPr>
              <w:ind w:left="311" w:hanging="284"/>
            </w:pPr>
            <w:r w:rsidRPr="005E7233">
              <w:t>Same utility for SPID, LPID, LPND states (median 0.46)</w:t>
            </w:r>
          </w:p>
        </w:tc>
        <w:tc>
          <w:tcPr>
            <w:tcW w:w="1134" w:type="dxa"/>
            <w:tcBorders>
              <w:top w:val="nil"/>
              <w:bottom w:val="single" w:sz="4" w:space="0" w:color="auto"/>
            </w:tcBorders>
          </w:tcPr>
          <w:p w14:paraId="2D912146" w14:textId="60304002"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20"/>
                <w14:textFill>
                  <w14:solidFill>
                    <w14:srgbClr w14:val="000000">
                      <w14:alpha w14:val="100000"/>
                    </w14:srgbClr>
                  </w14:solidFill>
                </w14:textFill>
              </w:rPr>
              <w:t>|||</w:t>
            </w:r>
            <w:r w:rsidR="00BD0449" w:rsidRPr="00BD0449">
              <w:rPr>
                <w:color w:val="000000"/>
                <w:spacing w:val="3"/>
                <w:shd w:val="solid" w:color="000000" w:fill="000000"/>
                <w:fitText w:val="320" w:id="-694437120"/>
                <w14:textFill>
                  <w14:solidFill>
                    <w14:srgbClr w14:val="000000">
                      <w14:alpha w14:val="100000"/>
                    </w14:srgbClr>
                  </w14:solidFill>
                </w14:textFill>
              </w:rPr>
              <w:t>|</w:t>
            </w:r>
            <w:r w:rsidR="00A25BDC">
              <w:t xml:space="preserve"> </w:t>
            </w:r>
          </w:p>
        </w:tc>
        <w:tc>
          <w:tcPr>
            <w:tcW w:w="1134" w:type="dxa"/>
            <w:tcBorders>
              <w:top w:val="nil"/>
              <w:bottom w:val="single" w:sz="4" w:space="0" w:color="auto"/>
            </w:tcBorders>
          </w:tcPr>
          <w:p w14:paraId="33B63314" w14:textId="299C82B5" w:rsidR="00721F67" w:rsidRPr="005E7233" w:rsidRDefault="00721F67" w:rsidP="00721F67">
            <w:pPr>
              <w:pStyle w:val="TableText0"/>
              <w:jc w:val="right"/>
            </w:pPr>
            <w:r w:rsidRPr="005E7233">
              <w:t>1.160</w:t>
            </w:r>
          </w:p>
        </w:tc>
        <w:tc>
          <w:tcPr>
            <w:tcW w:w="993" w:type="dxa"/>
            <w:tcBorders>
              <w:top w:val="nil"/>
              <w:bottom w:val="single" w:sz="4" w:space="0" w:color="auto"/>
            </w:tcBorders>
          </w:tcPr>
          <w:p w14:paraId="6FD24607" w14:textId="137A1333"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9"/>
                <w14:textFill>
                  <w14:solidFill>
                    <w14:srgbClr w14:val="000000">
                      <w14:alpha w14:val="100000"/>
                    </w14:srgbClr>
                  </w14:solidFill>
                </w14:textFill>
              </w:rPr>
              <w:t>|||</w:t>
            </w:r>
            <w:r w:rsidR="00BD0449" w:rsidRPr="00BD0449">
              <w:rPr>
                <w:color w:val="000000"/>
                <w:spacing w:val="1"/>
                <w:shd w:val="solid" w:color="000000" w:fill="000000"/>
                <w:fitText w:val="330" w:id="-694437119"/>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single" w:sz="4" w:space="0" w:color="auto"/>
            </w:tcBorders>
          </w:tcPr>
          <w:p w14:paraId="70D56A7C" w14:textId="006CBEF2" w:rsidR="00721F67" w:rsidRPr="005E7233" w:rsidRDefault="00BD0449" w:rsidP="00721F67">
            <w:pPr>
              <w:pStyle w:val="TableText0"/>
              <w:jc w:val="right"/>
            </w:pPr>
            <w:r w:rsidRPr="00BD0449">
              <w:rPr>
                <w:color w:val="000000"/>
                <w:spacing w:val="84"/>
                <w:shd w:val="solid" w:color="000000" w:fill="000000"/>
                <w:fitText w:val="170" w:id="-694437118"/>
                <w14:textFill>
                  <w14:solidFill>
                    <w14:srgbClr w14:val="000000">
                      <w14:alpha w14:val="100000"/>
                    </w14:srgbClr>
                  </w14:solidFill>
                </w14:textFill>
              </w:rPr>
              <w:t>|</w:t>
            </w:r>
            <w:r w:rsidRPr="00BD0449">
              <w:rPr>
                <w:color w:val="000000"/>
                <w:spacing w:val="1"/>
                <w:shd w:val="solid" w:color="000000" w:fill="000000"/>
                <w:fitText w:val="170" w:id="-694437118"/>
                <w14:textFill>
                  <w14:solidFill>
                    <w14:srgbClr w14:val="000000">
                      <w14:alpha w14:val="100000"/>
                    </w14:srgbClr>
                  </w14:solidFill>
                </w14:textFill>
              </w:rPr>
              <w:t>|</w:t>
            </w:r>
            <w:r w:rsidR="00721F67" w:rsidRPr="005E7233">
              <w:t>%</w:t>
            </w:r>
          </w:p>
        </w:tc>
      </w:tr>
      <w:tr w:rsidR="00721F67" w:rsidRPr="005E7233" w14:paraId="545D1045" w14:textId="77777777" w:rsidTr="008A70D4">
        <w:tc>
          <w:tcPr>
            <w:tcW w:w="5098" w:type="dxa"/>
            <w:tcBorders>
              <w:bottom w:val="single" w:sz="4" w:space="0" w:color="auto"/>
            </w:tcBorders>
          </w:tcPr>
          <w:p w14:paraId="1DE810B4" w14:textId="7230454E" w:rsidR="00721F67" w:rsidRPr="005E7233" w:rsidRDefault="00721F67" w:rsidP="00721F67">
            <w:pPr>
              <w:pStyle w:val="TableText0"/>
            </w:pPr>
            <w:r w:rsidRPr="005E7233">
              <w:rPr>
                <w:b/>
                <w:bCs w:val="0"/>
              </w:rPr>
              <w:t>TEP compliance, 100% (base case: 91.57%)</w:t>
            </w:r>
            <w:r w:rsidR="006E1712" w:rsidRPr="005E7233">
              <w:t xml:space="preserve"> </w:t>
            </w:r>
            <w:r w:rsidR="006E1712" w:rsidRPr="005E7233">
              <w:rPr>
                <w:b/>
                <w:bCs w:val="0"/>
              </w:rPr>
              <w:t>[#2]</w:t>
            </w:r>
          </w:p>
        </w:tc>
        <w:tc>
          <w:tcPr>
            <w:tcW w:w="1134" w:type="dxa"/>
            <w:tcBorders>
              <w:bottom w:val="single" w:sz="4" w:space="0" w:color="auto"/>
            </w:tcBorders>
          </w:tcPr>
          <w:p w14:paraId="6AD57F30" w14:textId="4C1114B2"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7"/>
                <w14:textFill>
                  <w14:solidFill>
                    <w14:srgbClr w14:val="000000">
                      <w14:alpha w14:val="100000"/>
                    </w14:srgbClr>
                  </w14:solidFill>
                </w14:textFill>
              </w:rPr>
              <w:t>|||</w:t>
            </w:r>
            <w:r w:rsidR="00BD0449" w:rsidRPr="00BD0449">
              <w:rPr>
                <w:color w:val="000000"/>
                <w:spacing w:val="3"/>
                <w:shd w:val="solid" w:color="000000" w:fill="000000"/>
                <w:fitText w:val="320" w:id="-694437117"/>
                <w14:textFill>
                  <w14:solidFill>
                    <w14:srgbClr w14:val="000000">
                      <w14:alpha w14:val="100000"/>
                    </w14:srgbClr>
                  </w14:solidFill>
                </w14:textFill>
              </w:rPr>
              <w:t>|</w:t>
            </w:r>
            <w:r w:rsidR="00A25BDC">
              <w:t xml:space="preserve"> </w:t>
            </w:r>
          </w:p>
        </w:tc>
        <w:tc>
          <w:tcPr>
            <w:tcW w:w="1134" w:type="dxa"/>
            <w:tcBorders>
              <w:bottom w:val="single" w:sz="4" w:space="0" w:color="auto"/>
            </w:tcBorders>
          </w:tcPr>
          <w:p w14:paraId="1B7D3E50" w14:textId="1A33C5A8" w:rsidR="00721F67" w:rsidRPr="005E7233" w:rsidRDefault="00721F67" w:rsidP="00721F67">
            <w:pPr>
              <w:pStyle w:val="TableText0"/>
              <w:jc w:val="right"/>
            </w:pPr>
            <w:r w:rsidRPr="005E7233">
              <w:t>1.286</w:t>
            </w:r>
          </w:p>
        </w:tc>
        <w:tc>
          <w:tcPr>
            <w:tcW w:w="993" w:type="dxa"/>
            <w:tcBorders>
              <w:bottom w:val="single" w:sz="4" w:space="0" w:color="auto"/>
            </w:tcBorders>
          </w:tcPr>
          <w:p w14:paraId="2ECC4FDE" w14:textId="226530AC"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6"/>
                <w14:textFill>
                  <w14:solidFill>
                    <w14:srgbClr w14:val="000000">
                      <w14:alpha w14:val="100000"/>
                    </w14:srgbClr>
                  </w14:solidFill>
                </w14:textFill>
              </w:rPr>
              <w:t>|||</w:t>
            </w:r>
            <w:r w:rsidR="00BD0449" w:rsidRPr="00BD0449">
              <w:rPr>
                <w:color w:val="000000"/>
                <w:spacing w:val="1"/>
                <w:shd w:val="solid" w:color="000000" w:fill="000000"/>
                <w:fitText w:val="330" w:id="-694437116"/>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bottom w:val="single" w:sz="4" w:space="0" w:color="auto"/>
            </w:tcBorders>
          </w:tcPr>
          <w:p w14:paraId="6F20B217" w14:textId="2B398FE8" w:rsidR="00721F67" w:rsidRPr="005E7233" w:rsidRDefault="00BD0449" w:rsidP="00721F67">
            <w:pPr>
              <w:pStyle w:val="TableText0"/>
              <w:jc w:val="right"/>
            </w:pPr>
            <w:r w:rsidRPr="00BD0449">
              <w:rPr>
                <w:color w:val="000000"/>
                <w:spacing w:val="84"/>
                <w:shd w:val="solid" w:color="000000" w:fill="000000"/>
                <w:fitText w:val="170" w:id="-694437115"/>
                <w14:textFill>
                  <w14:solidFill>
                    <w14:srgbClr w14:val="000000">
                      <w14:alpha w14:val="100000"/>
                    </w14:srgbClr>
                  </w14:solidFill>
                </w14:textFill>
              </w:rPr>
              <w:t>|</w:t>
            </w:r>
            <w:r w:rsidRPr="00BD0449">
              <w:rPr>
                <w:color w:val="000000"/>
                <w:spacing w:val="1"/>
                <w:shd w:val="solid" w:color="000000" w:fill="000000"/>
                <w:fitText w:val="170" w:id="-694437115"/>
                <w14:textFill>
                  <w14:solidFill>
                    <w14:srgbClr w14:val="000000">
                      <w14:alpha w14:val="100000"/>
                    </w14:srgbClr>
                  </w14:solidFill>
                </w14:textFill>
              </w:rPr>
              <w:t>|</w:t>
            </w:r>
            <w:r w:rsidR="00721F67" w:rsidRPr="005E7233">
              <w:t>%</w:t>
            </w:r>
          </w:p>
        </w:tc>
      </w:tr>
      <w:tr w:rsidR="006E1712" w:rsidRPr="005E7233" w14:paraId="6FC3B12A" w14:textId="77777777" w:rsidTr="008A70D4">
        <w:tc>
          <w:tcPr>
            <w:tcW w:w="5098" w:type="dxa"/>
            <w:tcBorders>
              <w:bottom w:val="single" w:sz="4" w:space="0" w:color="auto"/>
              <w:right w:val="nil"/>
            </w:tcBorders>
          </w:tcPr>
          <w:p w14:paraId="11EF3DE1" w14:textId="77777777" w:rsidR="006E1712" w:rsidRPr="005E7233" w:rsidRDefault="006E1712">
            <w:pPr>
              <w:pStyle w:val="TableText0"/>
              <w:keepNext w:val="0"/>
              <w:rPr>
                <w:b/>
                <w:bCs w:val="0"/>
              </w:rPr>
            </w:pPr>
            <w:r w:rsidRPr="005E7233">
              <w:rPr>
                <w:b/>
                <w:bCs w:val="0"/>
              </w:rPr>
              <w:t>Multivariate analysis</w:t>
            </w:r>
          </w:p>
        </w:tc>
        <w:tc>
          <w:tcPr>
            <w:tcW w:w="1134" w:type="dxa"/>
            <w:tcBorders>
              <w:left w:val="nil"/>
              <w:bottom w:val="single" w:sz="4" w:space="0" w:color="auto"/>
              <w:right w:val="nil"/>
            </w:tcBorders>
          </w:tcPr>
          <w:p w14:paraId="22258B99" w14:textId="77777777" w:rsidR="006E1712" w:rsidRPr="005E7233" w:rsidRDefault="006E1712">
            <w:pPr>
              <w:pStyle w:val="TableText0"/>
              <w:keepNext w:val="0"/>
              <w:jc w:val="right"/>
              <w:rPr>
                <w:b/>
                <w:bCs w:val="0"/>
              </w:rPr>
            </w:pPr>
          </w:p>
        </w:tc>
        <w:tc>
          <w:tcPr>
            <w:tcW w:w="1134" w:type="dxa"/>
            <w:tcBorders>
              <w:left w:val="nil"/>
              <w:bottom w:val="single" w:sz="4" w:space="0" w:color="auto"/>
              <w:right w:val="nil"/>
            </w:tcBorders>
          </w:tcPr>
          <w:p w14:paraId="15694287" w14:textId="77777777" w:rsidR="006E1712" w:rsidRPr="005E7233" w:rsidRDefault="006E1712">
            <w:pPr>
              <w:pStyle w:val="TableText0"/>
              <w:keepNext w:val="0"/>
              <w:jc w:val="right"/>
              <w:rPr>
                <w:b/>
                <w:bCs w:val="0"/>
              </w:rPr>
            </w:pPr>
          </w:p>
        </w:tc>
        <w:tc>
          <w:tcPr>
            <w:tcW w:w="993" w:type="dxa"/>
            <w:tcBorders>
              <w:left w:val="nil"/>
              <w:bottom w:val="single" w:sz="4" w:space="0" w:color="auto"/>
              <w:right w:val="nil"/>
            </w:tcBorders>
          </w:tcPr>
          <w:p w14:paraId="0229F5A3" w14:textId="77777777" w:rsidR="006E1712" w:rsidRPr="005E7233" w:rsidRDefault="006E1712">
            <w:pPr>
              <w:pStyle w:val="TableText0"/>
              <w:keepNext w:val="0"/>
              <w:jc w:val="right"/>
              <w:rPr>
                <w:b/>
                <w:bCs w:val="0"/>
              </w:rPr>
            </w:pPr>
          </w:p>
        </w:tc>
        <w:tc>
          <w:tcPr>
            <w:tcW w:w="658" w:type="dxa"/>
            <w:tcBorders>
              <w:left w:val="nil"/>
              <w:bottom w:val="single" w:sz="4" w:space="0" w:color="auto"/>
            </w:tcBorders>
          </w:tcPr>
          <w:p w14:paraId="1EC1115C" w14:textId="77777777" w:rsidR="006E1712" w:rsidRPr="005E7233" w:rsidRDefault="006E1712">
            <w:pPr>
              <w:pStyle w:val="TableText0"/>
              <w:keepNext w:val="0"/>
              <w:jc w:val="right"/>
              <w:rPr>
                <w:b/>
                <w:bCs w:val="0"/>
              </w:rPr>
            </w:pPr>
          </w:p>
        </w:tc>
      </w:tr>
      <w:tr w:rsidR="006E1712" w:rsidRPr="005E7233" w14:paraId="1F3839B5" w14:textId="77777777" w:rsidTr="008A70D4">
        <w:tc>
          <w:tcPr>
            <w:tcW w:w="5098" w:type="dxa"/>
            <w:tcBorders>
              <w:bottom w:val="nil"/>
            </w:tcBorders>
          </w:tcPr>
          <w:p w14:paraId="417098AF" w14:textId="77777777" w:rsidR="006E1712" w:rsidRPr="005E7233" w:rsidRDefault="006E1712">
            <w:pPr>
              <w:pStyle w:val="TableText0"/>
              <w:keepNext w:val="0"/>
            </w:pPr>
            <w:r w:rsidRPr="005E7233">
              <w:t>#1 and #2</w:t>
            </w:r>
          </w:p>
        </w:tc>
        <w:tc>
          <w:tcPr>
            <w:tcW w:w="1134" w:type="dxa"/>
            <w:tcBorders>
              <w:bottom w:val="nil"/>
            </w:tcBorders>
          </w:tcPr>
          <w:p w14:paraId="179E584E" w14:textId="0B5B81A3" w:rsidR="006E1712" w:rsidRPr="005E7233" w:rsidRDefault="006E1712">
            <w:pPr>
              <w:pStyle w:val="TableText0"/>
              <w:keepNext w:val="0"/>
              <w:jc w:val="right"/>
            </w:pPr>
            <w:r w:rsidRPr="005E7233">
              <w:t>$</w:t>
            </w:r>
            <w:r w:rsidR="00BD0449" w:rsidRPr="00BD0449">
              <w:rPr>
                <w:color w:val="000000"/>
                <w:spacing w:val="49"/>
                <w:shd w:val="solid" w:color="000000" w:fill="000000"/>
                <w:fitText w:val="320" w:id="-694437114"/>
                <w14:textFill>
                  <w14:solidFill>
                    <w14:srgbClr w14:val="000000">
                      <w14:alpha w14:val="100000"/>
                    </w14:srgbClr>
                  </w14:solidFill>
                </w14:textFill>
              </w:rPr>
              <w:t>|||</w:t>
            </w:r>
            <w:r w:rsidR="00BD0449" w:rsidRPr="00BD0449">
              <w:rPr>
                <w:color w:val="000000"/>
                <w:spacing w:val="3"/>
                <w:shd w:val="solid" w:color="000000" w:fill="000000"/>
                <w:fitText w:val="320" w:id="-694437114"/>
                <w14:textFill>
                  <w14:solidFill>
                    <w14:srgbClr w14:val="000000">
                      <w14:alpha w14:val="100000"/>
                    </w14:srgbClr>
                  </w14:solidFill>
                </w14:textFill>
              </w:rPr>
              <w:t>|</w:t>
            </w:r>
            <w:r w:rsidR="00A25BDC">
              <w:t xml:space="preserve"> </w:t>
            </w:r>
          </w:p>
        </w:tc>
        <w:tc>
          <w:tcPr>
            <w:tcW w:w="1134" w:type="dxa"/>
            <w:tcBorders>
              <w:bottom w:val="nil"/>
            </w:tcBorders>
          </w:tcPr>
          <w:p w14:paraId="30AE5CF0" w14:textId="77777777" w:rsidR="006E1712" w:rsidRPr="005E7233" w:rsidRDefault="006E1712">
            <w:pPr>
              <w:pStyle w:val="TableText0"/>
              <w:keepNext w:val="0"/>
              <w:jc w:val="right"/>
            </w:pPr>
            <w:r w:rsidRPr="005E7233">
              <w:t>1.182</w:t>
            </w:r>
          </w:p>
        </w:tc>
        <w:tc>
          <w:tcPr>
            <w:tcW w:w="993" w:type="dxa"/>
            <w:tcBorders>
              <w:bottom w:val="nil"/>
            </w:tcBorders>
          </w:tcPr>
          <w:p w14:paraId="2C302A4C" w14:textId="0EB04886" w:rsidR="006E1712" w:rsidRPr="005E7233" w:rsidRDefault="006E1712">
            <w:pPr>
              <w:pStyle w:val="TableText0"/>
              <w:keepNext w:val="0"/>
              <w:jc w:val="right"/>
            </w:pPr>
            <w:r w:rsidRPr="005E7233">
              <w:t>$</w:t>
            </w:r>
            <w:r w:rsidR="00BD0449" w:rsidRPr="00BD0449">
              <w:rPr>
                <w:color w:val="000000"/>
                <w:spacing w:val="53"/>
                <w:shd w:val="solid" w:color="000000" w:fill="000000"/>
                <w:fitText w:val="330" w:id="-694437113"/>
                <w14:textFill>
                  <w14:solidFill>
                    <w14:srgbClr w14:val="000000">
                      <w14:alpha w14:val="100000"/>
                    </w14:srgbClr>
                  </w14:solidFill>
                </w14:textFill>
              </w:rPr>
              <w:t>|||</w:t>
            </w:r>
            <w:r w:rsidR="00BD0449" w:rsidRPr="00BD0449">
              <w:rPr>
                <w:color w:val="000000"/>
                <w:spacing w:val="1"/>
                <w:shd w:val="solid" w:color="000000" w:fill="000000"/>
                <w:fitText w:val="330" w:id="-694437113"/>
                <w14:textFill>
                  <w14:solidFill>
                    <w14:srgbClr w14:val="000000">
                      <w14:alpha w14:val="100000"/>
                    </w14:srgbClr>
                  </w14:solidFill>
                </w14:textFill>
              </w:rPr>
              <w:t>|</w:t>
            </w:r>
            <w:r w:rsidR="008A70D4">
              <w:rPr>
                <w:b/>
                <w:bCs w:val="0"/>
              </w:rPr>
              <w:t xml:space="preserve"> </w:t>
            </w:r>
            <w:r w:rsidR="008A70D4">
              <w:rPr>
                <w:b/>
                <w:bCs w:val="0"/>
                <w:vertAlign w:val="superscript"/>
              </w:rPr>
              <w:t>2</w:t>
            </w:r>
          </w:p>
        </w:tc>
        <w:tc>
          <w:tcPr>
            <w:tcW w:w="658" w:type="dxa"/>
            <w:tcBorders>
              <w:bottom w:val="nil"/>
            </w:tcBorders>
          </w:tcPr>
          <w:p w14:paraId="4ED3678C" w14:textId="17438689" w:rsidR="006E1712" w:rsidRPr="005E7233" w:rsidRDefault="00BD0449">
            <w:pPr>
              <w:pStyle w:val="TableText0"/>
              <w:keepNext w:val="0"/>
              <w:jc w:val="right"/>
            </w:pPr>
            <w:r w:rsidRPr="00BD0449">
              <w:rPr>
                <w:color w:val="000000"/>
                <w:spacing w:val="84"/>
                <w:shd w:val="solid" w:color="000000" w:fill="000000"/>
                <w:fitText w:val="170" w:id="-694437112"/>
                <w14:textFill>
                  <w14:solidFill>
                    <w14:srgbClr w14:val="000000">
                      <w14:alpha w14:val="100000"/>
                    </w14:srgbClr>
                  </w14:solidFill>
                </w14:textFill>
              </w:rPr>
              <w:t>|</w:t>
            </w:r>
            <w:r w:rsidRPr="00BD0449">
              <w:rPr>
                <w:color w:val="000000"/>
                <w:spacing w:val="1"/>
                <w:shd w:val="solid" w:color="000000" w:fill="000000"/>
                <w:fitText w:val="170" w:id="-694437112"/>
                <w14:textFill>
                  <w14:solidFill>
                    <w14:srgbClr w14:val="000000">
                      <w14:alpha w14:val="100000"/>
                    </w14:srgbClr>
                  </w14:solidFill>
                </w14:textFill>
              </w:rPr>
              <w:t>|</w:t>
            </w:r>
            <w:r w:rsidR="006E1712" w:rsidRPr="005E7233">
              <w:t>%</w:t>
            </w:r>
          </w:p>
        </w:tc>
      </w:tr>
      <w:tr w:rsidR="006E1712" w:rsidRPr="005E7233" w14:paraId="3195A45F" w14:textId="77777777" w:rsidTr="008A70D4">
        <w:tc>
          <w:tcPr>
            <w:tcW w:w="5098" w:type="dxa"/>
            <w:tcBorders>
              <w:top w:val="nil"/>
              <w:bottom w:val="nil"/>
            </w:tcBorders>
          </w:tcPr>
          <w:p w14:paraId="4B0A920B" w14:textId="77777777" w:rsidR="006E1712" w:rsidRPr="005E7233" w:rsidRDefault="006E1712">
            <w:pPr>
              <w:pStyle w:val="TableText0"/>
              <w:keepNext w:val="0"/>
            </w:pPr>
            <w:r w:rsidRPr="005E7233">
              <w:t>#1, #2 and #3</w:t>
            </w:r>
          </w:p>
        </w:tc>
        <w:tc>
          <w:tcPr>
            <w:tcW w:w="1134" w:type="dxa"/>
            <w:tcBorders>
              <w:top w:val="nil"/>
              <w:bottom w:val="nil"/>
            </w:tcBorders>
          </w:tcPr>
          <w:p w14:paraId="6F91A029" w14:textId="69A8F27E" w:rsidR="006E1712" w:rsidRPr="005E7233" w:rsidRDefault="006E1712">
            <w:pPr>
              <w:pStyle w:val="TableText0"/>
              <w:keepNext w:val="0"/>
              <w:jc w:val="right"/>
            </w:pPr>
            <w:r w:rsidRPr="005E7233">
              <w:t>$</w:t>
            </w:r>
            <w:r w:rsidR="00BD0449" w:rsidRPr="00BD0449">
              <w:rPr>
                <w:color w:val="000000"/>
                <w:spacing w:val="49"/>
                <w:shd w:val="solid" w:color="000000" w:fill="000000"/>
                <w:fitText w:val="320" w:id="-694437111"/>
                <w14:textFill>
                  <w14:solidFill>
                    <w14:srgbClr w14:val="000000">
                      <w14:alpha w14:val="100000"/>
                    </w14:srgbClr>
                  </w14:solidFill>
                </w14:textFill>
              </w:rPr>
              <w:t>|||</w:t>
            </w:r>
            <w:r w:rsidR="00BD0449" w:rsidRPr="00BD0449">
              <w:rPr>
                <w:color w:val="000000"/>
                <w:spacing w:val="3"/>
                <w:shd w:val="solid" w:color="000000" w:fill="000000"/>
                <w:fitText w:val="320" w:id="-694437111"/>
                <w14:textFill>
                  <w14:solidFill>
                    <w14:srgbClr w14:val="000000">
                      <w14:alpha w14:val="100000"/>
                    </w14:srgbClr>
                  </w14:solidFill>
                </w14:textFill>
              </w:rPr>
              <w:t>|</w:t>
            </w:r>
            <w:r w:rsidR="00A25BDC">
              <w:t xml:space="preserve"> </w:t>
            </w:r>
          </w:p>
        </w:tc>
        <w:tc>
          <w:tcPr>
            <w:tcW w:w="1134" w:type="dxa"/>
            <w:tcBorders>
              <w:top w:val="nil"/>
              <w:bottom w:val="nil"/>
            </w:tcBorders>
          </w:tcPr>
          <w:p w14:paraId="40BA41E0" w14:textId="77777777" w:rsidR="006E1712" w:rsidRPr="005E7233" w:rsidRDefault="006E1712">
            <w:pPr>
              <w:pStyle w:val="TableText0"/>
              <w:keepNext w:val="0"/>
              <w:jc w:val="right"/>
            </w:pPr>
            <w:r w:rsidRPr="005E7233">
              <w:t>0.624</w:t>
            </w:r>
          </w:p>
        </w:tc>
        <w:tc>
          <w:tcPr>
            <w:tcW w:w="993" w:type="dxa"/>
            <w:tcBorders>
              <w:top w:val="nil"/>
              <w:bottom w:val="nil"/>
            </w:tcBorders>
          </w:tcPr>
          <w:p w14:paraId="447E0751" w14:textId="33E2DACA" w:rsidR="006E1712" w:rsidRPr="005E7233" w:rsidRDefault="006E1712">
            <w:pPr>
              <w:pStyle w:val="TableText0"/>
              <w:keepNext w:val="0"/>
              <w:jc w:val="right"/>
            </w:pPr>
            <w:r w:rsidRPr="005E7233">
              <w:t>$</w:t>
            </w:r>
            <w:r w:rsidR="00BD0449" w:rsidRPr="00BD0449">
              <w:rPr>
                <w:color w:val="000000"/>
                <w:spacing w:val="53"/>
                <w:shd w:val="solid" w:color="000000" w:fill="000000"/>
                <w:fitText w:val="330" w:id="-694437110"/>
                <w14:textFill>
                  <w14:solidFill>
                    <w14:srgbClr w14:val="000000">
                      <w14:alpha w14:val="100000"/>
                    </w14:srgbClr>
                  </w14:solidFill>
                </w14:textFill>
              </w:rPr>
              <w:t>|||</w:t>
            </w:r>
            <w:r w:rsidR="00BD0449" w:rsidRPr="00BD0449">
              <w:rPr>
                <w:color w:val="000000"/>
                <w:spacing w:val="1"/>
                <w:shd w:val="solid" w:color="000000" w:fill="000000"/>
                <w:fitText w:val="330" w:id="-694437110"/>
                <w14:textFill>
                  <w14:solidFill>
                    <w14:srgbClr w14:val="000000">
                      <w14:alpha w14:val="100000"/>
                    </w14:srgbClr>
                  </w14:solidFill>
                </w14:textFill>
              </w:rPr>
              <w:t>|</w:t>
            </w:r>
            <w:r w:rsidR="008A70D4">
              <w:rPr>
                <w:b/>
                <w:bCs w:val="0"/>
              </w:rPr>
              <w:t xml:space="preserve"> </w:t>
            </w:r>
            <w:r w:rsidR="008A70D4">
              <w:rPr>
                <w:b/>
                <w:bCs w:val="0"/>
                <w:vertAlign w:val="superscript"/>
              </w:rPr>
              <w:t>4</w:t>
            </w:r>
          </w:p>
        </w:tc>
        <w:tc>
          <w:tcPr>
            <w:tcW w:w="658" w:type="dxa"/>
            <w:tcBorders>
              <w:top w:val="nil"/>
              <w:bottom w:val="nil"/>
            </w:tcBorders>
          </w:tcPr>
          <w:p w14:paraId="31EB7935" w14:textId="6E0A4E75" w:rsidR="006E1712" w:rsidRPr="005E7233" w:rsidRDefault="00BD0449">
            <w:pPr>
              <w:pStyle w:val="TableText0"/>
              <w:keepNext w:val="0"/>
              <w:jc w:val="right"/>
            </w:pPr>
            <w:r w:rsidRPr="00BD0449">
              <w:rPr>
                <w:color w:val="000000"/>
                <w:spacing w:val="84"/>
                <w:shd w:val="solid" w:color="000000" w:fill="000000"/>
                <w:fitText w:val="170" w:id="-694437109"/>
                <w14:textFill>
                  <w14:solidFill>
                    <w14:srgbClr w14:val="000000">
                      <w14:alpha w14:val="100000"/>
                    </w14:srgbClr>
                  </w14:solidFill>
                </w14:textFill>
              </w:rPr>
              <w:t>|</w:t>
            </w:r>
            <w:r w:rsidRPr="00BD0449">
              <w:rPr>
                <w:color w:val="000000"/>
                <w:spacing w:val="1"/>
                <w:shd w:val="solid" w:color="000000" w:fill="000000"/>
                <w:fitText w:val="170" w:id="-694437109"/>
                <w14:textFill>
                  <w14:solidFill>
                    <w14:srgbClr w14:val="000000">
                      <w14:alpha w14:val="100000"/>
                    </w14:srgbClr>
                  </w14:solidFill>
                </w14:textFill>
              </w:rPr>
              <w:t>|</w:t>
            </w:r>
            <w:r w:rsidR="006E1712" w:rsidRPr="005E7233">
              <w:t>%</w:t>
            </w:r>
          </w:p>
        </w:tc>
      </w:tr>
      <w:tr w:rsidR="006E1712" w:rsidRPr="005E7233" w14:paraId="38037150" w14:textId="77777777" w:rsidTr="008A70D4">
        <w:tc>
          <w:tcPr>
            <w:tcW w:w="5098" w:type="dxa"/>
            <w:tcBorders>
              <w:top w:val="nil"/>
              <w:bottom w:val="nil"/>
            </w:tcBorders>
          </w:tcPr>
          <w:p w14:paraId="54CF9A3D" w14:textId="77777777" w:rsidR="006E1712" w:rsidRPr="005E7233" w:rsidRDefault="006E1712">
            <w:pPr>
              <w:pStyle w:val="TableText0"/>
              <w:keepNext w:val="0"/>
            </w:pPr>
            <w:r w:rsidRPr="005E7233">
              <w:t>#1, #2, #3 and #4</w:t>
            </w:r>
          </w:p>
        </w:tc>
        <w:tc>
          <w:tcPr>
            <w:tcW w:w="1134" w:type="dxa"/>
            <w:tcBorders>
              <w:top w:val="nil"/>
              <w:bottom w:val="nil"/>
            </w:tcBorders>
          </w:tcPr>
          <w:p w14:paraId="3B5D0C2C" w14:textId="41D8DB3F" w:rsidR="006E1712" w:rsidRPr="005E7233" w:rsidRDefault="006E1712">
            <w:pPr>
              <w:pStyle w:val="TableText0"/>
              <w:keepNext w:val="0"/>
              <w:jc w:val="right"/>
            </w:pPr>
            <w:r w:rsidRPr="005E7233">
              <w:t>$</w:t>
            </w:r>
            <w:r w:rsidR="00BD0449" w:rsidRPr="00BD0449">
              <w:rPr>
                <w:color w:val="000000"/>
                <w:spacing w:val="49"/>
                <w:shd w:val="solid" w:color="000000" w:fill="000000"/>
                <w:fitText w:val="320" w:id="-694437108"/>
                <w14:textFill>
                  <w14:solidFill>
                    <w14:srgbClr w14:val="000000">
                      <w14:alpha w14:val="100000"/>
                    </w14:srgbClr>
                  </w14:solidFill>
                </w14:textFill>
              </w:rPr>
              <w:t>|||</w:t>
            </w:r>
            <w:r w:rsidR="00BD0449" w:rsidRPr="00BD0449">
              <w:rPr>
                <w:color w:val="000000"/>
                <w:spacing w:val="3"/>
                <w:shd w:val="solid" w:color="000000" w:fill="000000"/>
                <w:fitText w:val="320" w:id="-694437108"/>
                <w14:textFill>
                  <w14:solidFill>
                    <w14:srgbClr w14:val="000000">
                      <w14:alpha w14:val="100000"/>
                    </w14:srgbClr>
                  </w14:solidFill>
                </w14:textFill>
              </w:rPr>
              <w:t>|</w:t>
            </w:r>
            <w:r w:rsidR="00A25BDC">
              <w:t xml:space="preserve"> </w:t>
            </w:r>
          </w:p>
        </w:tc>
        <w:tc>
          <w:tcPr>
            <w:tcW w:w="1134" w:type="dxa"/>
            <w:tcBorders>
              <w:top w:val="nil"/>
              <w:bottom w:val="nil"/>
            </w:tcBorders>
          </w:tcPr>
          <w:p w14:paraId="7BA8D10B" w14:textId="77777777" w:rsidR="006E1712" w:rsidRPr="005E7233" w:rsidRDefault="006E1712">
            <w:pPr>
              <w:pStyle w:val="TableText0"/>
              <w:keepNext w:val="0"/>
              <w:jc w:val="right"/>
            </w:pPr>
            <w:r w:rsidRPr="005E7233">
              <w:t>0.573</w:t>
            </w:r>
          </w:p>
        </w:tc>
        <w:tc>
          <w:tcPr>
            <w:tcW w:w="993" w:type="dxa"/>
            <w:tcBorders>
              <w:top w:val="nil"/>
              <w:bottom w:val="nil"/>
            </w:tcBorders>
          </w:tcPr>
          <w:p w14:paraId="166883C4" w14:textId="69566691" w:rsidR="006E1712" w:rsidRPr="005E7233" w:rsidRDefault="006E1712">
            <w:pPr>
              <w:pStyle w:val="TableText0"/>
              <w:keepNext w:val="0"/>
              <w:jc w:val="right"/>
            </w:pPr>
            <w:r w:rsidRPr="005E7233">
              <w:t>$</w:t>
            </w:r>
            <w:r w:rsidR="00BD0449" w:rsidRPr="00BD0449">
              <w:rPr>
                <w:color w:val="000000"/>
                <w:spacing w:val="53"/>
                <w:shd w:val="solid" w:color="000000" w:fill="000000"/>
                <w:fitText w:val="330" w:id="-694437107"/>
                <w14:textFill>
                  <w14:solidFill>
                    <w14:srgbClr w14:val="000000">
                      <w14:alpha w14:val="100000"/>
                    </w14:srgbClr>
                  </w14:solidFill>
                </w14:textFill>
              </w:rPr>
              <w:t>|||</w:t>
            </w:r>
            <w:r w:rsidR="00BD0449" w:rsidRPr="00BD0449">
              <w:rPr>
                <w:color w:val="000000"/>
                <w:spacing w:val="1"/>
                <w:shd w:val="solid" w:color="000000" w:fill="000000"/>
                <w:fitText w:val="330" w:id="-694437107"/>
                <w14:textFill>
                  <w14:solidFill>
                    <w14:srgbClr w14:val="000000">
                      <w14:alpha w14:val="100000"/>
                    </w14:srgbClr>
                  </w14:solidFill>
                </w14:textFill>
              </w:rPr>
              <w:t>|</w:t>
            </w:r>
            <w:r w:rsidR="008A70D4">
              <w:rPr>
                <w:b/>
                <w:bCs w:val="0"/>
              </w:rPr>
              <w:t xml:space="preserve"> </w:t>
            </w:r>
            <w:r w:rsidR="008A70D4">
              <w:rPr>
                <w:b/>
                <w:bCs w:val="0"/>
                <w:vertAlign w:val="superscript"/>
              </w:rPr>
              <w:t>4</w:t>
            </w:r>
          </w:p>
        </w:tc>
        <w:tc>
          <w:tcPr>
            <w:tcW w:w="658" w:type="dxa"/>
            <w:tcBorders>
              <w:top w:val="nil"/>
              <w:bottom w:val="nil"/>
            </w:tcBorders>
          </w:tcPr>
          <w:p w14:paraId="4293B7EA" w14:textId="180E1B11" w:rsidR="006E1712" w:rsidRPr="005E7233" w:rsidRDefault="00BD0449">
            <w:pPr>
              <w:pStyle w:val="TableText0"/>
              <w:keepNext w:val="0"/>
              <w:jc w:val="right"/>
            </w:pPr>
            <w:r w:rsidRPr="00BD0449">
              <w:rPr>
                <w:color w:val="000000"/>
                <w:spacing w:val="84"/>
                <w:shd w:val="solid" w:color="000000" w:fill="000000"/>
                <w:fitText w:val="170" w:id="-694437106"/>
                <w14:textFill>
                  <w14:solidFill>
                    <w14:srgbClr w14:val="000000">
                      <w14:alpha w14:val="100000"/>
                    </w14:srgbClr>
                  </w14:solidFill>
                </w14:textFill>
              </w:rPr>
              <w:t>|</w:t>
            </w:r>
            <w:r w:rsidRPr="00BD0449">
              <w:rPr>
                <w:color w:val="000000"/>
                <w:spacing w:val="1"/>
                <w:shd w:val="solid" w:color="000000" w:fill="000000"/>
                <w:fitText w:val="170" w:id="-694437106"/>
                <w14:textFill>
                  <w14:solidFill>
                    <w14:srgbClr w14:val="000000">
                      <w14:alpha w14:val="100000"/>
                    </w14:srgbClr>
                  </w14:solidFill>
                </w14:textFill>
              </w:rPr>
              <w:t>|</w:t>
            </w:r>
            <w:r w:rsidR="006E1712" w:rsidRPr="005E7233">
              <w:t>%</w:t>
            </w:r>
          </w:p>
        </w:tc>
      </w:tr>
      <w:tr w:rsidR="006E1712" w:rsidRPr="005E7233" w14:paraId="40EB2C5E" w14:textId="77777777" w:rsidTr="008A70D4">
        <w:tc>
          <w:tcPr>
            <w:tcW w:w="5098" w:type="dxa"/>
            <w:tcBorders>
              <w:top w:val="nil"/>
            </w:tcBorders>
          </w:tcPr>
          <w:p w14:paraId="771ED3B7" w14:textId="4BE4C5FB" w:rsidR="006E1712" w:rsidRPr="005E7233" w:rsidRDefault="006E1712">
            <w:pPr>
              <w:pStyle w:val="TableText0"/>
              <w:keepNext w:val="0"/>
            </w:pPr>
            <w:r w:rsidRPr="005E7233">
              <w:t>#1, #2, #3, #4 and #5</w:t>
            </w:r>
          </w:p>
        </w:tc>
        <w:tc>
          <w:tcPr>
            <w:tcW w:w="1134" w:type="dxa"/>
            <w:tcBorders>
              <w:top w:val="nil"/>
            </w:tcBorders>
          </w:tcPr>
          <w:p w14:paraId="74AD0285" w14:textId="39481AB2" w:rsidR="006E1712" w:rsidRPr="005E7233" w:rsidRDefault="006E1712">
            <w:pPr>
              <w:pStyle w:val="TableText0"/>
              <w:keepNext w:val="0"/>
              <w:jc w:val="right"/>
            </w:pPr>
            <w:r w:rsidRPr="005E7233">
              <w:t>$</w:t>
            </w:r>
            <w:r w:rsidR="00BD0449" w:rsidRPr="00BD0449">
              <w:rPr>
                <w:color w:val="000000"/>
                <w:spacing w:val="49"/>
                <w:shd w:val="solid" w:color="000000" w:fill="000000"/>
                <w:fitText w:val="320" w:id="-694437105"/>
                <w14:textFill>
                  <w14:solidFill>
                    <w14:srgbClr w14:val="000000">
                      <w14:alpha w14:val="100000"/>
                    </w14:srgbClr>
                  </w14:solidFill>
                </w14:textFill>
              </w:rPr>
              <w:t>|||</w:t>
            </w:r>
            <w:r w:rsidR="00BD0449" w:rsidRPr="00BD0449">
              <w:rPr>
                <w:color w:val="000000"/>
                <w:spacing w:val="3"/>
                <w:shd w:val="solid" w:color="000000" w:fill="000000"/>
                <w:fitText w:val="320" w:id="-694437105"/>
                <w14:textFill>
                  <w14:solidFill>
                    <w14:srgbClr w14:val="000000">
                      <w14:alpha w14:val="100000"/>
                    </w14:srgbClr>
                  </w14:solidFill>
                </w14:textFill>
              </w:rPr>
              <w:t>|</w:t>
            </w:r>
            <w:r w:rsidR="00A25BDC">
              <w:t xml:space="preserve"> </w:t>
            </w:r>
          </w:p>
        </w:tc>
        <w:tc>
          <w:tcPr>
            <w:tcW w:w="1134" w:type="dxa"/>
            <w:tcBorders>
              <w:top w:val="nil"/>
            </w:tcBorders>
          </w:tcPr>
          <w:p w14:paraId="2C46B003" w14:textId="77777777" w:rsidR="006E1712" w:rsidRPr="005E7233" w:rsidRDefault="006E1712">
            <w:pPr>
              <w:pStyle w:val="TableText0"/>
              <w:keepNext w:val="0"/>
              <w:jc w:val="right"/>
            </w:pPr>
            <w:r w:rsidRPr="005E7233">
              <w:t>0.385</w:t>
            </w:r>
          </w:p>
        </w:tc>
        <w:tc>
          <w:tcPr>
            <w:tcW w:w="993" w:type="dxa"/>
            <w:tcBorders>
              <w:top w:val="nil"/>
            </w:tcBorders>
          </w:tcPr>
          <w:p w14:paraId="2EDB3B22" w14:textId="269689D8" w:rsidR="006E1712" w:rsidRPr="005E7233" w:rsidRDefault="006E1712">
            <w:pPr>
              <w:pStyle w:val="TableText0"/>
              <w:keepNext w:val="0"/>
              <w:jc w:val="right"/>
            </w:pPr>
            <w:r w:rsidRPr="005E7233">
              <w:t>$</w:t>
            </w:r>
            <w:r w:rsidR="00BD0449" w:rsidRPr="00BD0449">
              <w:rPr>
                <w:color w:val="000000"/>
                <w:spacing w:val="53"/>
                <w:shd w:val="solid" w:color="000000" w:fill="000000"/>
                <w:fitText w:val="330" w:id="-694437104"/>
                <w14:textFill>
                  <w14:solidFill>
                    <w14:srgbClr w14:val="000000">
                      <w14:alpha w14:val="100000"/>
                    </w14:srgbClr>
                  </w14:solidFill>
                </w14:textFill>
              </w:rPr>
              <w:t>|||</w:t>
            </w:r>
            <w:r w:rsidR="00BD0449" w:rsidRPr="00BD0449">
              <w:rPr>
                <w:color w:val="000000"/>
                <w:spacing w:val="1"/>
                <w:shd w:val="solid" w:color="000000" w:fill="000000"/>
                <w:fitText w:val="330" w:id="-694437104"/>
                <w14:textFill>
                  <w14:solidFill>
                    <w14:srgbClr w14:val="000000">
                      <w14:alpha w14:val="100000"/>
                    </w14:srgbClr>
                  </w14:solidFill>
                </w14:textFill>
              </w:rPr>
              <w:t>|</w:t>
            </w:r>
            <w:r w:rsidR="00B871DE">
              <w:rPr>
                <w:b/>
                <w:bCs w:val="0"/>
              </w:rPr>
              <w:t xml:space="preserve"> </w:t>
            </w:r>
            <w:r w:rsidR="00B871DE">
              <w:rPr>
                <w:b/>
                <w:bCs w:val="0"/>
                <w:vertAlign w:val="superscript"/>
              </w:rPr>
              <w:t>7</w:t>
            </w:r>
          </w:p>
        </w:tc>
        <w:tc>
          <w:tcPr>
            <w:tcW w:w="658" w:type="dxa"/>
            <w:tcBorders>
              <w:top w:val="nil"/>
            </w:tcBorders>
          </w:tcPr>
          <w:p w14:paraId="2B784B3D" w14:textId="78027900" w:rsidR="006E1712" w:rsidRPr="005E7233" w:rsidRDefault="00BD0449">
            <w:pPr>
              <w:pStyle w:val="TableText0"/>
              <w:keepNext w:val="0"/>
              <w:jc w:val="right"/>
            </w:pPr>
            <w:r w:rsidRPr="00F969C2">
              <w:rPr>
                <w:color w:val="000000"/>
                <w:spacing w:val="84"/>
                <w:shd w:val="solid" w:color="000000" w:fill="000000"/>
                <w:fitText w:val="170" w:id="-694437120"/>
                <w14:textFill>
                  <w14:solidFill>
                    <w14:srgbClr w14:val="000000">
                      <w14:alpha w14:val="100000"/>
                    </w14:srgbClr>
                  </w14:solidFill>
                </w14:textFill>
              </w:rPr>
              <w:t>|</w:t>
            </w:r>
            <w:r w:rsidRPr="00F969C2">
              <w:rPr>
                <w:color w:val="000000"/>
                <w:spacing w:val="1"/>
                <w:shd w:val="solid" w:color="000000" w:fill="000000"/>
                <w:fitText w:val="170" w:id="-694437120"/>
                <w14:textFill>
                  <w14:solidFill>
                    <w14:srgbClr w14:val="000000">
                      <w14:alpha w14:val="100000"/>
                    </w14:srgbClr>
                  </w14:solidFill>
                </w14:textFill>
              </w:rPr>
              <w:t>|</w:t>
            </w:r>
            <w:r w:rsidR="006E1712" w:rsidRPr="005E7233">
              <w:t>%</w:t>
            </w:r>
          </w:p>
        </w:tc>
      </w:tr>
    </w:tbl>
    <w:p w14:paraId="5EE7ED61" w14:textId="77777777" w:rsidR="00E327E9" w:rsidRPr="005E7233" w:rsidRDefault="00E327E9" w:rsidP="009D129A">
      <w:pPr>
        <w:pStyle w:val="TableFigureFooter"/>
        <w:jc w:val="both"/>
      </w:pPr>
      <w:r w:rsidRPr="005E7233">
        <w:t>Source: Adapted from Table 3–48, p219 of the submission.</w:t>
      </w:r>
    </w:p>
    <w:p w14:paraId="028A90FD" w14:textId="7459A523" w:rsidR="00E327E9" w:rsidRPr="005E7233" w:rsidRDefault="00E327E9" w:rsidP="009D129A">
      <w:pPr>
        <w:pStyle w:val="TableFigureFooter"/>
        <w:jc w:val="both"/>
        <w:rPr>
          <w:sz w:val="20"/>
        </w:rPr>
      </w:pPr>
      <w:r w:rsidRPr="005E7233">
        <w:t xml:space="preserve">2L = second-line; ICER = incremental cost-effectiveness ratio; IVMP = intravenous methylprednisolone; LPCD = large proptosis with constant diplopia; LPID = large proptosis with </w:t>
      </w:r>
      <w:r w:rsidR="00C34E13" w:rsidRPr="005E7233">
        <w:t>intermittent</w:t>
      </w:r>
      <w:r w:rsidRPr="005E7233">
        <w:t xml:space="preserve">/inconstant diplopia; LPND = large proptosis with no diplopia; OR = odds ratio; PBO = placebo; </w:t>
      </w:r>
      <w:r w:rsidR="003759C8" w:rsidRPr="005E7233">
        <w:t xml:space="preserve">QALY = quality-adjusted life year; </w:t>
      </w:r>
      <w:r w:rsidRPr="005E7233">
        <w:t xml:space="preserve">SPID = small proptosis with </w:t>
      </w:r>
      <w:r w:rsidR="00C34E13" w:rsidRPr="005E7233">
        <w:t>intermittent</w:t>
      </w:r>
      <w:r w:rsidRPr="005E7233">
        <w:t>/inconstant diplopia; SPND = small proptosis with no diplopia; TED = thyroid eye disease; TEP = teprotumumab</w:t>
      </w:r>
    </w:p>
    <w:p w14:paraId="18E8D8DC" w14:textId="77777777" w:rsidR="00E327E9" w:rsidRPr="005E7233" w:rsidRDefault="00E327E9" w:rsidP="009D129A">
      <w:pPr>
        <w:pStyle w:val="TableFigureFooter"/>
        <w:jc w:val="both"/>
      </w:pPr>
      <w:r w:rsidRPr="005E7233">
        <w:t>Note: Analyses in italics text were conducted during the evaluation.</w:t>
      </w:r>
    </w:p>
    <w:p w14:paraId="37D42413" w14:textId="69050ABD" w:rsidR="00E327E9" w:rsidRPr="005E7233" w:rsidRDefault="00AE0457" w:rsidP="009D129A">
      <w:pPr>
        <w:pStyle w:val="TableFigureFooter"/>
        <w:jc w:val="both"/>
      </w:pPr>
      <w:r>
        <w:rPr>
          <w:vertAlign w:val="superscript"/>
        </w:rPr>
        <w:lastRenderedPageBreak/>
        <w:t>a</w:t>
      </w:r>
      <w:r w:rsidR="00E327E9" w:rsidRPr="005E7233">
        <w:t xml:space="preserve"> Base case</w:t>
      </w:r>
      <w:r w:rsidR="005C22DE" w:rsidRPr="005E7233">
        <w:t xml:space="preserve"> </w:t>
      </w:r>
      <w:r w:rsidR="009B1754" w:rsidRPr="005E7233">
        <w:t xml:space="preserve">(one-off) </w:t>
      </w:r>
      <w:r w:rsidR="005C22DE" w:rsidRPr="005E7233">
        <w:t>surgery rates</w:t>
      </w:r>
      <w:r w:rsidR="00E327E9" w:rsidRPr="005E7233">
        <w:t>: SPND: 5.0%; LPND: 38.1%; SPID: 5.0%; LPID: 41.3%; SPCD: 43.8%; LPCD: 43.8%</w:t>
      </w:r>
    </w:p>
    <w:p w14:paraId="61BCFF92" w14:textId="0179E44F" w:rsidR="009C0203" w:rsidRDefault="00134F73" w:rsidP="009D129A">
      <w:pPr>
        <w:pStyle w:val="TableFigureFooter"/>
        <w:spacing w:after="0"/>
        <w:jc w:val="both"/>
      </w:pPr>
      <w:r>
        <w:rPr>
          <w:vertAlign w:val="superscript"/>
        </w:rPr>
        <w:t>b</w:t>
      </w:r>
      <w:r w:rsidR="009C0203" w:rsidRPr="005E7233">
        <w:t xml:space="preserve"> Alternate approach in the submission’s workbook to estimating these utilities, based on the average utility for the LPND, LPID, SPCD and LPCD health states for Surgery; and the average of the SPND, LPND, SPID and LPID health states for Post-surgery.</w:t>
      </w:r>
    </w:p>
    <w:p w14:paraId="768D76DE" w14:textId="77777777" w:rsidR="009D129A" w:rsidRPr="00A83E0F" w:rsidRDefault="009D129A" w:rsidP="009D129A">
      <w:pPr>
        <w:rPr>
          <w:rFonts w:ascii="Arial Narrow" w:hAnsi="Arial Narrow"/>
          <w:iCs/>
          <w:sz w:val="18"/>
          <w:szCs w:val="18"/>
        </w:rPr>
      </w:pPr>
      <w:r w:rsidRPr="00A83E0F">
        <w:rPr>
          <w:rFonts w:ascii="Arial Narrow" w:hAnsi="Arial Narrow"/>
          <w:iCs/>
          <w:sz w:val="18"/>
          <w:szCs w:val="18"/>
        </w:rPr>
        <w:t xml:space="preserve">The redacted values correspond to the following ranges: </w:t>
      </w:r>
    </w:p>
    <w:p w14:paraId="2C160F72" w14:textId="76069275" w:rsidR="009D129A" w:rsidRPr="00A83E0F" w:rsidRDefault="009D129A" w:rsidP="009D129A">
      <w:pPr>
        <w:rPr>
          <w:rFonts w:ascii="Arial Narrow" w:hAnsi="Arial Narrow"/>
          <w:iCs/>
          <w:sz w:val="18"/>
          <w:szCs w:val="18"/>
        </w:rPr>
      </w:pPr>
      <w:r w:rsidRPr="00A83E0F">
        <w:rPr>
          <w:rFonts w:ascii="Arial Narrow" w:hAnsi="Arial Narrow"/>
          <w:iCs/>
          <w:sz w:val="18"/>
          <w:szCs w:val="18"/>
          <w:vertAlign w:val="superscript"/>
        </w:rPr>
        <w:t>1</w:t>
      </w:r>
      <w:r w:rsidRPr="00A83E0F">
        <w:rPr>
          <w:rFonts w:ascii="Arial Narrow" w:hAnsi="Arial Narrow"/>
          <w:iCs/>
          <w:sz w:val="18"/>
          <w:szCs w:val="18"/>
        </w:rPr>
        <w:t xml:space="preserve"> </w:t>
      </w:r>
      <w:r w:rsidR="00813555" w:rsidRPr="00A83E0F">
        <w:rPr>
          <w:rFonts w:ascii="Arial Narrow" w:hAnsi="Arial Narrow"/>
          <w:iCs/>
          <w:sz w:val="18"/>
          <w:szCs w:val="18"/>
        </w:rPr>
        <w:t>$55,000 to &lt; $75,000</w:t>
      </w:r>
    </w:p>
    <w:p w14:paraId="655B585C" w14:textId="2A331F07" w:rsidR="009D129A" w:rsidRPr="00A83E0F" w:rsidRDefault="009D129A" w:rsidP="009D129A">
      <w:pPr>
        <w:rPr>
          <w:rFonts w:ascii="Arial Narrow" w:hAnsi="Arial Narrow"/>
          <w:iCs/>
          <w:sz w:val="18"/>
          <w:szCs w:val="18"/>
        </w:rPr>
      </w:pPr>
      <w:r w:rsidRPr="00A83E0F">
        <w:rPr>
          <w:rFonts w:ascii="Arial Narrow" w:hAnsi="Arial Narrow"/>
          <w:iCs/>
          <w:sz w:val="18"/>
          <w:szCs w:val="18"/>
          <w:vertAlign w:val="superscript"/>
        </w:rPr>
        <w:t>2</w:t>
      </w:r>
      <w:r w:rsidRPr="00A83E0F">
        <w:rPr>
          <w:rFonts w:ascii="Arial Narrow" w:hAnsi="Arial Narrow"/>
          <w:iCs/>
          <w:sz w:val="18"/>
          <w:szCs w:val="18"/>
        </w:rPr>
        <w:t xml:space="preserve"> </w:t>
      </w:r>
      <w:r w:rsidR="000D5CC5" w:rsidRPr="00A83E0F">
        <w:rPr>
          <w:rFonts w:ascii="Arial Narrow" w:hAnsi="Arial Narrow"/>
          <w:iCs/>
          <w:sz w:val="18"/>
          <w:szCs w:val="18"/>
        </w:rPr>
        <w:t>$75,000 to &lt; $95,000</w:t>
      </w:r>
    </w:p>
    <w:p w14:paraId="7C59BA5A" w14:textId="11A22570" w:rsidR="009D129A" w:rsidRPr="00A83E0F" w:rsidRDefault="009D129A" w:rsidP="009D129A">
      <w:pPr>
        <w:rPr>
          <w:rFonts w:ascii="Arial Narrow" w:hAnsi="Arial Narrow"/>
          <w:iCs/>
          <w:sz w:val="18"/>
          <w:szCs w:val="18"/>
        </w:rPr>
      </w:pPr>
      <w:r w:rsidRPr="00A83E0F">
        <w:rPr>
          <w:rFonts w:ascii="Arial Narrow" w:hAnsi="Arial Narrow"/>
          <w:iCs/>
          <w:sz w:val="18"/>
          <w:szCs w:val="18"/>
          <w:vertAlign w:val="superscript"/>
        </w:rPr>
        <w:t>3</w:t>
      </w:r>
      <w:r w:rsidRPr="00A83E0F">
        <w:rPr>
          <w:rFonts w:ascii="Arial Narrow" w:hAnsi="Arial Narrow"/>
          <w:iCs/>
          <w:sz w:val="18"/>
          <w:szCs w:val="18"/>
        </w:rPr>
        <w:t xml:space="preserve"> </w:t>
      </w:r>
      <w:r w:rsidR="00E25EA4" w:rsidRPr="00A83E0F">
        <w:rPr>
          <w:rFonts w:ascii="Arial Narrow" w:hAnsi="Arial Narrow"/>
          <w:iCs/>
          <w:sz w:val="18"/>
          <w:szCs w:val="18"/>
        </w:rPr>
        <w:t>$35,000 to &lt; $45,000</w:t>
      </w:r>
    </w:p>
    <w:p w14:paraId="194F1558" w14:textId="33CE931D" w:rsidR="009D129A" w:rsidRPr="00A83E0F" w:rsidRDefault="009D129A" w:rsidP="009D129A">
      <w:pPr>
        <w:rPr>
          <w:rFonts w:ascii="Arial Narrow" w:hAnsi="Arial Narrow"/>
          <w:iCs/>
          <w:sz w:val="18"/>
          <w:szCs w:val="18"/>
        </w:rPr>
      </w:pPr>
      <w:r w:rsidRPr="00A83E0F">
        <w:rPr>
          <w:rFonts w:ascii="Arial Narrow" w:hAnsi="Arial Narrow"/>
          <w:iCs/>
          <w:sz w:val="18"/>
          <w:szCs w:val="18"/>
          <w:vertAlign w:val="superscript"/>
        </w:rPr>
        <w:t>4</w:t>
      </w:r>
      <w:r w:rsidRPr="00A83E0F">
        <w:rPr>
          <w:rFonts w:ascii="Arial Narrow" w:hAnsi="Arial Narrow"/>
          <w:iCs/>
          <w:sz w:val="18"/>
          <w:szCs w:val="18"/>
        </w:rPr>
        <w:t xml:space="preserve"> </w:t>
      </w:r>
      <w:r w:rsidR="00BE23DD" w:rsidRPr="00A83E0F">
        <w:rPr>
          <w:rFonts w:ascii="Arial Narrow" w:hAnsi="Arial Narrow"/>
          <w:iCs/>
          <w:sz w:val="18"/>
          <w:szCs w:val="18"/>
        </w:rPr>
        <w:t>$155,000 to &lt; $255,000</w:t>
      </w:r>
    </w:p>
    <w:p w14:paraId="09F2942F" w14:textId="7EAA981E" w:rsidR="009D129A" w:rsidRPr="00A83E0F" w:rsidRDefault="009D129A" w:rsidP="009D129A">
      <w:pPr>
        <w:rPr>
          <w:rFonts w:ascii="Arial Narrow" w:hAnsi="Arial Narrow"/>
          <w:iCs/>
          <w:sz w:val="18"/>
          <w:szCs w:val="18"/>
        </w:rPr>
      </w:pPr>
      <w:r w:rsidRPr="00A83E0F">
        <w:rPr>
          <w:rFonts w:ascii="Arial Narrow" w:hAnsi="Arial Narrow"/>
          <w:iCs/>
          <w:sz w:val="18"/>
          <w:szCs w:val="18"/>
          <w:vertAlign w:val="superscript"/>
        </w:rPr>
        <w:t>5</w:t>
      </w:r>
      <w:r w:rsidRPr="00A83E0F">
        <w:rPr>
          <w:rFonts w:ascii="Arial Narrow" w:hAnsi="Arial Narrow"/>
          <w:iCs/>
          <w:sz w:val="18"/>
          <w:szCs w:val="18"/>
        </w:rPr>
        <w:t xml:space="preserve"> </w:t>
      </w:r>
      <w:r w:rsidR="00022031" w:rsidRPr="00A83E0F">
        <w:rPr>
          <w:rFonts w:ascii="Arial Narrow" w:hAnsi="Arial Narrow"/>
          <w:iCs/>
          <w:sz w:val="18"/>
          <w:szCs w:val="18"/>
        </w:rPr>
        <w:t>$135,000 to &lt; $155,000</w:t>
      </w:r>
    </w:p>
    <w:p w14:paraId="3A2B7FEE" w14:textId="7B40D635" w:rsidR="009D129A" w:rsidRPr="00A83E0F" w:rsidRDefault="009D129A" w:rsidP="009D129A">
      <w:pPr>
        <w:rPr>
          <w:rFonts w:ascii="Arial Narrow" w:hAnsi="Arial Narrow"/>
          <w:iCs/>
          <w:sz w:val="18"/>
          <w:szCs w:val="18"/>
        </w:rPr>
      </w:pPr>
      <w:r w:rsidRPr="00A83E0F">
        <w:rPr>
          <w:rFonts w:ascii="Arial Narrow" w:hAnsi="Arial Narrow"/>
          <w:iCs/>
          <w:sz w:val="18"/>
          <w:szCs w:val="18"/>
          <w:vertAlign w:val="superscript"/>
        </w:rPr>
        <w:t>6</w:t>
      </w:r>
      <w:r w:rsidRPr="00A83E0F">
        <w:rPr>
          <w:rFonts w:ascii="Arial Narrow" w:hAnsi="Arial Narrow"/>
          <w:iCs/>
          <w:sz w:val="18"/>
          <w:szCs w:val="18"/>
        </w:rPr>
        <w:t xml:space="preserve"> </w:t>
      </w:r>
      <w:r w:rsidR="001D231E" w:rsidRPr="00A83E0F">
        <w:rPr>
          <w:rFonts w:ascii="Arial Narrow" w:hAnsi="Arial Narrow"/>
          <w:iCs/>
          <w:sz w:val="18"/>
          <w:szCs w:val="18"/>
        </w:rPr>
        <w:t>$95,000 to &lt; $115,000</w:t>
      </w:r>
    </w:p>
    <w:p w14:paraId="1B0CD857" w14:textId="36E0BC1B" w:rsidR="009D129A" w:rsidRPr="00A83E0F" w:rsidRDefault="009D129A" w:rsidP="009D129A">
      <w:pPr>
        <w:spacing w:after="120"/>
        <w:rPr>
          <w:rFonts w:ascii="Arial Narrow" w:hAnsi="Arial Narrow"/>
          <w:iCs/>
          <w:sz w:val="18"/>
          <w:szCs w:val="18"/>
        </w:rPr>
      </w:pPr>
      <w:r w:rsidRPr="00A83E0F">
        <w:rPr>
          <w:rFonts w:ascii="Arial Narrow" w:hAnsi="Arial Narrow"/>
          <w:iCs/>
          <w:sz w:val="18"/>
          <w:szCs w:val="18"/>
          <w:vertAlign w:val="superscript"/>
        </w:rPr>
        <w:t>7</w:t>
      </w:r>
      <w:r w:rsidRPr="00A83E0F">
        <w:rPr>
          <w:rFonts w:ascii="Arial Narrow" w:hAnsi="Arial Narrow"/>
          <w:iCs/>
          <w:sz w:val="18"/>
          <w:szCs w:val="18"/>
        </w:rPr>
        <w:t xml:space="preserve"> </w:t>
      </w:r>
      <w:r w:rsidR="00082A48" w:rsidRPr="00A83E0F">
        <w:rPr>
          <w:rFonts w:ascii="Arial Narrow" w:hAnsi="Arial Narrow"/>
          <w:iCs/>
          <w:sz w:val="18"/>
          <w:szCs w:val="18"/>
        </w:rPr>
        <w:t>$255,000 to &lt; $355,000</w:t>
      </w:r>
    </w:p>
    <w:p w14:paraId="148CD747" w14:textId="3C38508A" w:rsidR="00E327E9" w:rsidRPr="005E7233" w:rsidRDefault="00E327E9" w:rsidP="00E327E9">
      <w:pPr>
        <w:pStyle w:val="3-BodyText"/>
      </w:pPr>
      <w:bookmarkStart w:id="104" w:name="_Ref195432421"/>
      <w:r w:rsidRPr="005E7233">
        <w:t xml:space="preserve">The submission did not present multivariate analyses. </w:t>
      </w:r>
      <w:r w:rsidR="00072E37" w:rsidRPr="005E7233">
        <w:t>Multivariate analyses were conducted during the evaluation to correct inappropriate assumptions (i.e. exclu</w:t>
      </w:r>
      <w:r w:rsidR="003B33B3">
        <w:t>sion</w:t>
      </w:r>
      <w:r w:rsidR="00500417">
        <w:t xml:space="preserve"> of</w:t>
      </w:r>
      <w:r w:rsidR="00072E37" w:rsidRPr="005E7233">
        <w:t xml:space="preserve"> double-counted teprotumumab compliance and apply the treatment effect for IVMP over the first two cycles, rather than one cycle) and explore the cumulative effect of plausible changes in key areas of uncertainty in the time horizon, post-surgery utility weights and IVMP relapse rates in cycles 5–12. The ICER was highly sensitive to these cumulative changes, though residual uncertainty remains, given the uncertainty in the treatment effect applied for teprotumumab compared to IVMP, surgery rates by TED symptom health state and health state utility values (in particular SPND and applicability of values derived for active</w:t>
      </w:r>
      <w:r w:rsidR="00F81CB1" w:rsidRPr="005E7233">
        <w:t xml:space="preserve"> to inactive TED</w:t>
      </w:r>
      <w:r w:rsidR="00072E37" w:rsidRPr="005E7233">
        <w:t>).</w:t>
      </w:r>
      <w:bookmarkEnd w:id="104"/>
    </w:p>
    <w:p w14:paraId="472842D7" w14:textId="393DBB85" w:rsidR="00C25D9C" w:rsidRPr="005E7233" w:rsidRDefault="00C25D9C" w:rsidP="00BB732D">
      <w:pPr>
        <w:pStyle w:val="4-SubsectionHeading"/>
      </w:pPr>
      <w:bookmarkStart w:id="105" w:name="_Toc187759720"/>
      <w:bookmarkStart w:id="106" w:name="_Hlk187660627"/>
      <w:r w:rsidRPr="005E7233">
        <w:t>Drug cost/patient/course</w:t>
      </w:r>
      <w:bookmarkEnd w:id="79"/>
      <w:bookmarkEnd w:id="105"/>
    </w:p>
    <w:p w14:paraId="7DC697F0" w14:textId="425D3043" w:rsidR="0021102A" w:rsidRPr="005E7233" w:rsidRDefault="0021102A" w:rsidP="00E327E9">
      <w:pPr>
        <w:pStyle w:val="3-BodyText"/>
      </w:pPr>
      <w:bookmarkStart w:id="107" w:name="_Ref104805102"/>
      <w:r w:rsidRPr="005E7233">
        <w:t xml:space="preserve">The per patient cost of teprotumumab and IVMP ± MMF based on use </w:t>
      </w:r>
      <w:r w:rsidR="00256DA2" w:rsidRPr="005E7233">
        <w:t xml:space="preserve">in </w:t>
      </w:r>
      <w:r w:rsidRPr="005E7233">
        <w:t xml:space="preserve">clinical evidence, the economic model and in the financial estimates are presented in </w:t>
      </w:r>
      <w:r w:rsidRPr="005E7233">
        <w:fldChar w:fldCharType="begin"/>
      </w:r>
      <w:r w:rsidRPr="005E7233">
        <w:instrText xml:space="preserve"> REF _Ref187656934 \h </w:instrText>
      </w:r>
      <w:r w:rsidR="0066573D" w:rsidRPr="005E7233">
        <w:instrText xml:space="preserve"> \* MERGEFORMAT </w:instrText>
      </w:r>
      <w:r w:rsidRPr="005E7233">
        <w:fldChar w:fldCharType="separate"/>
      </w:r>
      <w:r w:rsidR="0012101B" w:rsidRPr="005E7233">
        <w:t xml:space="preserve">Table </w:t>
      </w:r>
      <w:r w:rsidR="0012101B">
        <w:rPr>
          <w:noProof/>
        </w:rPr>
        <w:t>20</w:t>
      </w:r>
      <w:r w:rsidRPr="005E7233">
        <w:fldChar w:fldCharType="end"/>
      </w:r>
      <w:r w:rsidRPr="005E7233">
        <w:t>.</w:t>
      </w:r>
      <w:r w:rsidR="00B04416" w:rsidRPr="005E7233">
        <w:t xml:space="preserve"> While the use of teprotumumab was similar across the teprotumumab trials and economic and financial estimates, variation in the course cost was observed. In the economic analysis a lower course cost was estimated due to the lower cost per dose applied following adjustment for treatment compliance (91.6%). As described in para </w:t>
      </w:r>
      <w:r w:rsidR="00777A3F" w:rsidRPr="005E7233">
        <w:fldChar w:fldCharType="begin"/>
      </w:r>
      <w:r w:rsidR="00777A3F" w:rsidRPr="005E7233">
        <w:instrText xml:space="preserve"> REF _Ref188354733 \n \h </w:instrText>
      </w:r>
      <w:r w:rsidR="004A0276" w:rsidRPr="005E7233">
        <w:instrText xml:space="preserve"> \* MERGEFORMAT </w:instrText>
      </w:r>
      <w:r w:rsidR="00777A3F" w:rsidRPr="005E7233">
        <w:fldChar w:fldCharType="separate"/>
      </w:r>
      <w:r w:rsidR="0012101B">
        <w:t>6.81</w:t>
      </w:r>
      <w:r w:rsidR="00777A3F" w:rsidRPr="005E7233">
        <w:fldChar w:fldCharType="end"/>
      </w:r>
      <w:r w:rsidR="00B04416" w:rsidRPr="005E7233">
        <w:t xml:space="preserve"> this adjustment double-counted the impact of teprotumumab discontinuation. Further, across the economic and financial analyses it is not appropriate to assume less than one initial dose.</w:t>
      </w:r>
    </w:p>
    <w:p w14:paraId="51691BD3" w14:textId="474A14F3" w:rsidR="00494207" w:rsidRPr="005E7233" w:rsidRDefault="00E16AD8" w:rsidP="00E16AD8">
      <w:pPr>
        <w:pStyle w:val="Caption"/>
        <w:rPr>
          <w:rStyle w:val="CommentReference"/>
          <w:b/>
          <w:szCs w:val="24"/>
        </w:rPr>
      </w:pPr>
      <w:bookmarkStart w:id="108" w:name="_Ref187656934"/>
      <w:r w:rsidRPr="005E7233">
        <w:lastRenderedPageBreak/>
        <w:t xml:space="preserve">Table </w:t>
      </w:r>
      <w:r w:rsidR="00FB1BE3">
        <w:fldChar w:fldCharType="begin"/>
      </w:r>
      <w:r w:rsidR="00FB1BE3">
        <w:instrText xml:space="preserve"> SEQ Table \* ARABIC </w:instrText>
      </w:r>
      <w:r w:rsidR="00FB1BE3">
        <w:fldChar w:fldCharType="separate"/>
      </w:r>
      <w:r w:rsidR="0012101B">
        <w:rPr>
          <w:noProof/>
        </w:rPr>
        <w:t>20</w:t>
      </w:r>
      <w:r w:rsidR="00FB1BE3">
        <w:rPr>
          <w:noProof/>
        </w:rPr>
        <w:fldChar w:fldCharType="end"/>
      </w:r>
      <w:bookmarkEnd w:id="107"/>
      <w:bookmarkEnd w:id="108"/>
      <w:r w:rsidRPr="005E7233">
        <w:t>:</w:t>
      </w:r>
      <w:r w:rsidR="00494207" w:rsidRPr="005E7233">
        <w:rPr>
          <w:rStyle w:val="CommentReference"/>
          <w:b/>
          <w:szCs w:val="24"/>
        </w:rPr>
        <w:t xml:space="preserve"> Drug cost per patient for proposed and comparator </w:t>
      </w:r>
      <w:r w:rsidR="00E327E9" w:rsidRPr="005E7233">
        <w:rPr>
          <w:rStyle w:val="CommentReference"/>
          <w:b/>
          <w:szCs w:val="24"/>
        </w:rPr>
        <w:t>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
        <w:gridCol w:w="1228"/>
        <w:gridCol w:w="1228"/>
        <w:gridCol w:w="1228"/>
        <w:gridCol w:w="1448"/>
        <w:gridCol w:w="1448"/>
        <w:gridCol w:w="1448"/>
      </w:tblGrid>
      <w:tr w:rsidR="0083057A" w:rsidRPr="005E7233" w14:paraId="690D11AE" w14:textId="77777777" w:rsidTr="733957FC">
        <w:trPr>
          <w:cantSplit/>
          <w:tblHeader/>
          <w:jc w:val="center"/>
        </w:trPr>
        <w:tc>
          <w:tcPr>
            <w:tcW w:w="548" w:type="pct"/>
            <w:vMerge w:val="restart"/>
            <w:shd w:val="clear" w:color="auto" w:fill="auto"/>
            <w:vAlign w:val="center"/>
          </w:tcPr>
          <w:p w14:paraId="1FC00EBB" w14:textId="77777777" w:rsidR="0083057A" w:rsidRPr="005E7233" w:rsidRDefault="0083057A">
            <w:pPr>
              <w:pStyle w:val="In-tableHeading"/>
              <w:rPr>
                <w:lang w:val="en-AU"/>
              </w:rPr>
            </w:pPr>
            <w:bookmarkStart w:id="109" w:name="_Toc22897647"/>
          </w:p>
        </w:tc>
        <w:tc>
          <w:tcPr>
            <w:tcW w:w="2043" w:type="pct"/>
            <w:gridSpan w:val="3"/>
            <w:shd w:val="clear" w:color="auto" w:fill="auto"/>
            <w:vAlign w:val="center"/>
          </w:tcPr>
          <w:p w14:paraId="2601DA20" w14:textId="77777777" w:rsidR="0083057A" w:rsidRPr="005E7233" w:rsidRDefault="0083057A">
            <w:pPr>
              <w:pStyle w:val="In-tableHeading"/>
              <w:jc w:val="center"/>
              <w:rPr>
                <w:lang w:val="en-AU"/>
              </w:rPr>
            </w:pPr>
            <w:r w:rsidRPr="005E7233">
              <w:rPr>
                <w:lang w:val="en-AU"/>
              </w:rPr>
              <w:t>Teprotumumab</w:t>
            </w:r>
          </w:p>
        </w:tc>
        <w:tc>
          <w:tcPr>
            <w:tcW w:w="2409" w:type="pct"/>
            <w:gridSpan w:val="3"/>
            <w:shd w:val="clear" w:color="auto" w:fill="auto"/>
            <w:vAlign w:val="center"/>
          </w:tcPr>
          <w:p w14:paraId="3019CE53" w14:textId="77777777" w:rsidR="0083057A" w:rsidRPr="005E7233" w:rsidRDefault="0083057A">
            <w:pPr>
              <w:pStyle w:val="In-tableHeading"/>
              <w:jc w:val="center"/>
              <w:rPr>
                <w:lang w:val="en-AU"/>
              </w:rPr>
            </w:pPr>
            <w:r w:rsidRPr="005E7233">
              <w:rPr>
                <w:lang w:val="en-AU"/>
              </w:rPr>
              <w:t>IVMP ± MMF</w:t>
            </w:r>
          </w:p>
        </w:tc>
      </w:tr>
      <w:tr w:rsidR="0083057A" w:rsidRPr="005E7233" w14:paraId="464E7F86" w14:textId="77777777" w:rsidTr="733957FC">
        <w:trPr>
          <w:cantSplit/>
          <w:tblHeader/>
          <w:jc w:val="center"/>
        </w:trPr>
        <w:tc>
          <w:tcPr>
            <w:tcW w:w="548" w:type="pct"/>
            <w:vMerge/>
            <w:vAlign w:val="center"/>
          </w:tcPr>
          <w:p w14:paraId="356C1DA6" w14:textId="77777777" w:rsidR="0083057A" w:rsidRPr="005E7233" w:rsidRDefault="0083057A">
            <w:pPr>
              <w:pStyle w:val="In-tableHeading"/>
              <w:rPr>
                <w:lang w:val="en-AU"/>
              </w:rPr>
            </w:pPr>
          </w:p>
        </w:tc>
        <w:tc>
          <w:tcPr>
            <w:tcW w:w="681" w:type="pct"/>
            <w:shd w:val="clear" w:color="auto" w:fill="auto"/>
            <w:vAlign w:val="center"/>
          </w:tcPr>
          <w:p w14:paraId="0FBA3031" w14:textId="77777777" w:rsidR="0083057A" w:rsidRPr="005E7233" w:rsidRDefault="0083057A">
            <w:pPr>
              <w:pStyle w:val="In-tableHeading"/>
              <w:jc w:val="center"/>
              <w:rPr>
                <w:lang w:val="en-AU"/>
              </w:rPr>
            </w:pPr>
            <w:r w:rsidRPr="005E7233">
              <w:rPr>
                <w:lang w:val="en-AU"/>
              </w:rPr>
              <w:t>Trial dose and duration</w:t>
            </w:r>
          </w:p>
        </w:tc>
        <w:tc>
          <w:tcPr>
            <w:tcW w:w="681" w:type="pct"/>
            <w:shd w:val="clear" w:color="auto" w:fill="auto"/>
            <w:vAlign w:val="center"/>
          </w:tcPr>
          <w:p w14:paraId="74D774D4" w14:textId="77777777" w:rsidR="0083057A" w:rsidRPr="005E7233" w:rsidRDefault="0083057A">
            <w:pPr>
              <w:pStyle w:val="In-tableHeading"/>
              <w:jc w:val="center"/>
              <w:rPr>
                <w:lang w:val="en-AU"/>
              </w:rPr>
            </w:pPr>
            <w:r w:rsidRPr="005E7233">
              <w:rPr>
                <w:lang w:val="en-AU"/>
              </w:rPr>
              <w:t>Economic model</w:t>
            </w:r>
          </w:p>
        </w:tc>
        <w:tc>
          <w:tcPr>
            <w:tcW w:w="681" w:type="pct"/>
            <w:shd w:val="clear" w:color="auto" w:fill="auto"/>
            <w:vAlign w:val="center"/>
          </w:tcPr>
          <w:p w14:paraId="08A9EF97" w14:textId="77777777" w:rsidR="0083057A" w:rsidRPr="005E7233" w:rsidRDefault="0083057A">
            <w:pPr>
              <w:pStyle w:val="In-tableHeading"/>
              <w:jc w:val="center"/>
              <w:rPr>
                <w:lang w:val="en-AU"/>
              </w:rPr>
            </w:pPr>
            <w:r w:rsidRPr="005E7233">
              <w:rPr>
                <w:lang w:val="en-AU"/>
              </w:rPr>
              <w:t>Financial estimates</w:t>
            </w:r>
          </w:p>
        </w:tc>
        <w:tc>
          <w:tcPr>
            <w:tcW w:w="803" w:type="pct"/>
            <w:shd w:val="clear" w:color="auto" w:fill="auto"/>
            <w:vAlign w:val="center"/>
          </w:tcPr>
          <w:p w14:paraId="7A593005" w14:textId="77777777" w:rsidR="0083057A" w:rsidRPr="005E7233" w:rsidRDefault="0083057A">
            <w:pPr>
              <w:pStyle w:val="In-tableHeading"/>
              <w:jc w:val="center"/>
              <w:rPr>
                <w:lang w:val="en-AU"/>
              </w:rPr>
            </w:pPr>
            <w:r w:rsidRPr="005E7233">
              <w:rPr>
                <w:lang w:val="en-AU"/>
              </w:rPr>
              <w:t>Trial dose and duration </w:t>
            </w:r>
            <w:r w:rsidRPr="005E7233">
              <w:rPr>
                <w:vertAlign w:val="superscript"/>
                <w:lang w:val="en-AU"/>
              </w:rPr>
              <w:t>a</w:t>
            </w:r>
          </w:p>
        </w:tc>
        <w:tc>
          <w:tcPr>
            <w:tcW w:w="803" w:type="pct"/>
            <w:shd w:val="clear" w:color="auto" w:fill="auto"/>
            <w:vAlign w:val="center"/>
          </w:tcPr>
          <w:p w14:paraId="4A942A8C" w14:textId="77777777" w:rsidR="0083057A" w:rsidRPr="005E7233" w:rsidRDefault="0083057A">
            <w:pPr>
              <w:pStyle w:val="In-tableHeading"/>
              <w:jc w:val="center"/>
              <w:rPr>
                <w:lang w:val="en-AU"/>
              </w:rPr>
            </w:pPr>
            <w:r w:rsidRPr="005E7233">
              <w:rPr>
                <w:lang w:val="en-AU"/>
              </w:rPr>
              <w:t>Economic model </w:t>
            </w:r>
            <w:r w:rsidRPr="005E7233">
              <w:rPr>
                <w:vertAlign w:val="superscript"/>
                <w:lang w:val="en-AU"/>
              </w:rPr>
              <w:t>b</w:t>
            </w:r>
          </w:p>
        </w:tc>
        <w:tc>
          <w:tcPr>
            <w:tcW w:w="803" w:type="pct"/>
            <w:vAlign w:val="center"/>
          </w:tcPr>
          <w:p w14:paraId="31312B15" w14:textId="77777777" w:rsidR="0083057A" w:rsidRPr="005E7233" w:rsidRDefault="0083057A">
            <w:pPr>
              <w:pStyle w:val="In-tableHeading"/>
              <w:jc w:val="center"/>
              <w:rPr>
                <w:lang w:val="en-AU"/>
              </w:rPr>
            </w:pPr>
            <w:r w:rsidRPr="005E7233">
              <w:rPr>
                <w:lang w:val="en-AU"/>
              </w:rPr>
              <w:t>Financial estimates</w:t>
            </w:r>
          </w:p>
        </w:tc>
      </w:tr>
      <w:tr w:rsidR="0083057A" w:rsidRPr="005E7233" w14:paraId="7288A847" w14:textId="77777777" w:rsidTr="733957FC">
        <w:trPr>
          <w:cantSplit/>
          <w:jc w:val="center"/>
        </w:trPr>
        <w:tc>
          <w:tcPr>
            <w:tcW w:w="548" w:type="pct"/>
            <w:shd w:val="clear" w:color="auto" w:fill="auto"/>
            <w:vAlign w:val="center"/>
          </w:tcPr>
          <w:p w14:paraId="4C7F08AD" w14:textId="77777777" w:rsidR="0083057A" w:rsidRPr="005E7233" w:rsidRDefault="0083057A">
            <w:pPr>
              <w:pStyle w:val="TableText0"/>
            </w:pPr>
            <w:r w:rsidRPr="005E7233">
              <w:t>Mean dose</w:t>
            </w:r>
          </w:p>
        </w:tc>
        <w:tc>
          <w:tcPr>
            <w:tcW w:w="681" w:type="pct"/>
            <w:shd w:val="clear" w:color="auto" w:fill="auto"/>
          </w:tcPr>
          <w:p w14:paraId="407CBC40" w14:textId="2B23F04E" w:rsidR="0083057A" w:rsidRPr="005E7233" w:rsidRDefault="0083057A">
            <w:pPr>
              <w:pStyle w:val="TableText0"/>
            </w:pPr>
            <w:r w:rsidRPr="005E7233">
              <w:t xml:space="preserve">Initial: </w:t>
            </w:r>
            <w:r w:rsidRPr="005E7233">
              <w:br/>
              <w:t>2.11 vials</w:t>
            </w:r>
            <w:r w:rsidR="007A4F82" w:rsidRPr="005E7233">
              <w:t> </w:t>
            </w:r>
            <w:r w:rsidR="007A4F82" w:rsidRPr="005E7233">
              <w:rPr>
                <w:vertAlign w:val="superscript"/>
              </w:rPr>
              <w:t>c</w:t>
            </w:r>
          </w:p>
          <w:p w14:paraId="0C4EB034" w14:textId="77777777" w:rsidR="0083057A" w:rsidRPr="005E7233" w:rsidRDefault="0083057A">
            <w:pPr>
              <w:pStyle w:val="TableText0"/>
            </w:pPr>
          </w:p>
          <w:p w14:paraId="41CA8346" w14:textId="0DAAAFFD" w:rsidR="007A4F82" w:rsidRPr="005E7233" w:rsidRDefault="0083057A">
            <w:pPr>
              <w:pStyle w:val="TableText0"/>
            </w:pPr>
            <w:r w:rsidRPr="005E7233">
              <w:t xml:space="preserve">Continuing: </w:t>
            </w:r>
            <w:r w:rsidRPr="005E7233">
              <w:br/>
              <w:t>3.60 vials</w:t>
            </w:r>
            <w:r w:rsidR="007A4F82" w:rsidRPr="005E7233">
              <w:t> </w:t>
            </w:r>
            <w:r w:rsidR="007A4F82" w:rsidRPr="005E7233">
              <w:rPr>
                <w:vertAlign w:val="superscript"/>
              </w:rPr>
              <w:t>c</w:t>
            </w:r>
          </w:p>
        </w:tc>
        <w:tc>
          <w:tcPr>
            <w:tcW w:w="681" w:type="pct"/>
            <w:shd w:val="clear" w:color="auto" w:fill="auto"/>
          </w:tcPr>
          <w:p w14:paraId="111AD9BE" w14:textId="52673094" w:rsidR="0083057A" w:rsidRPr="005E7233" w:rsidRDefault="0083057A">
            <w:pPr>
              <w:pStyle w:val="TableText0"/>
            </w:pPr>
            <w:r w:rsidRPr="005E7233">
              <w:t xml:space="preserve">Initial: </w:t>
            </w:r>
            <w:r w:rsidRPr="005E7233">
              <w:br/>
              <w:t>2.10 vials</w:t>
            </w:r>
            <w:r w:rsidR="007A4F82" w:rsidRPr="005E7233">
              <w:t> </w:t>
            </w:r>
            <w:r w:rsidR="007A4F82" w:rsidRPr="005E7233">
              <w:rPr>
                <w:vertAlign w:val="superscript"/>
              </w:rPr>
              <w:t>d</w:t>
            </w:r>
          </w:p>
          <w:p w14:paraId="4E20022C" w14:textId="77777777" w:rsidR="0083057A" w:rsidRPr="005E7233" w:rsidRDefault="0083057A">
            <w:pPr>
              <w:pStyle w:val="TableText0"/>
            </w:pPr>
          </w:p>
          <w:p w14:paraId="3D003C02" w14:textId="5E8122C5" w:rsidR="0083057A" w:rsidRPr="005E7233" w:rsidRDefault="0083057A">
            <w:pPr>
              <w:pStyle w:val="TableText0"/>
            </w:pPr>
            <w:r w:rsidRPr="005E7233">
              <w:t xml:space="preserve">Continuing: </w:t>
            </w:r>
            <w:r w:rsidRPr="005E7233">
              <w:br/>
              <w:t>3.58 vials</w:t>
            </w:r>
            <w:r w:rsidR="007A4F82" w:rsidRPr="005E7233">
              <w:t> </w:t>
            </w:r>
            <w:r w:rsidR="007A4F82" w:rsidRPr="005E7233">
              <w:rPr>
                <w:vertAlign w:val="superscript"/>
              </w:rPr>
              <w:t>d</w:t>
            </w:r>
          </w:p>
        </w:tc>
        <w:tc>
          <w:tcPr>
            <w:tcW w:w="681" w:type="pct"/>
            <w:shd w:val="clear" w:color="auto" w:fill="auto"/>
          </w:tcPr>
          <w:p w14:paraId="4D0AF364" w14:textId="2A946267" w:rsidR="0083057A" w:rsidRPr="005E7233" w:rsidRDefault="0083057A">
            <w:pPr>
              <w:pStyle w:val="TableText0"/>
            </w:pPr>
            <w:r w:rsidRPr="005E7233">
              <w:t xml:space="preserve">Initial: </w:t>
            </w:r>
            <w:r w:rsidRPr="005E7233">
              <w:br/>
              <w:t>2.12 vials</w:t>
            </w:r>
            <w:r w:rsidR="007A4F82" w:rsidRPr="005E7233">
              <w:t> </w:t>
            </w:r>
            <w:r w:rsidR="007A4F82" w:rsidRPr="005E7233">
              <w:rPr>
                <w:vertAlign w:val="superscript"/>
              </w:rPr>
              <w:t>e</w:t>
            </w:r>
          </w:p>
          <w:p w14:paraId="382814ED" w14:textId="77777777" w:rsidR="0083057A" w:rsidRPr="005E7233" w:rsidRDefault="0083057A">
            <w:pPr>
              <w:pStyle w:val="TableText0"/>
            </w:pPr>
          </w:p>
          <w:p w14:paraId="74B79A84" w14:textId="3FA6B14E" w:rsidR="0083057A" w:rsidRPr="005E7233" w:rsidRDefault="0083057A">
            <w:pPr>
              <w:pStyle w:val="TableText0"/>
            </w:pPr>
            <w:r w:rsidRPr="005E7233">
              <w:t xml:space="preserve">Continuing: </w:t>
            </w:r>
            <w:r w:rsidRPr="005E7233">
              <w:br/>
              <w:t>3.61 vials</w:t>
            </w:r>
            <w:r w:rsidR="007A4F82" w:rsidRPr="005E7233">
              <w:t> </w:t>
            </w:r>
            <w:r w:rsidR="007A4F82" w:rsidRPr="005E7233">
              <w:rPr>
                <w:vertAlign w:val="superscript"/>
              </w:rPr>
              <w:t>e</w:t>
            </w:r>
          </w:p>
        </w:tc>
        <w:tc>
          <w:tcPr>
            <w:tcW w:w="803" w:type="pct"/>
            <w:shd w:val="clear" w:color="auto" w:fill="auto"/>
          </w:tcPr>
          <w:p w14:paraId="42AFB2AA" w14:textId="77777777" w:rsidR="0083057A" w:rsidRPr="005E7233" w:rsidRDefault="0083057A">
            <w:pPr>
              <w:pStyle w:val="TableText0"/>
              <w:rPr>
                <w:u w:val="single"/>
              </w:rPr>
            </w:pPr>
            <w:r w:rsidRPr="005E7233">
              <w:rPr>
                <w:u w:val="single"/>
              </w:rPr>
              <w:t>IVMP</w:t>
            </w:r>
          </w:p>
          <w:p w14:paraId="6965EF35" w14:textId="77777777" w:rsidR="0083057A" w:rsidRPr="005E7233" w:rsidRDefault="0083057A">
            <w:pPr>
              <w:pStyle w:val="TableText0"/>
            </w:pPr>
            <w:r w:rsidRPr="005E7233">
              <w:t>Weeks 1–6: 500 mg per week</w:t>
            </w:r>
          </w:p>
          <w:p w14:paraId="0696C117" w14:textId="77777777" w:rsidR="0083057A" w:rsidRPr="005E7233" w:rsidRDefault="0083057A">
            <w:pPr>
              <w:pStyle w:val="TableText0"/>
            </w:pPr>
            <w:r w:rsidRPr="005E7233">
              <w:t>Weeks 7–12: 250 mg per week</w:t>
            </w:r>
          </w:p>
        </w:tc>
        <w:tc>
          <w:tcPr>
            <w:tcW w:w="803" w:type="pct"/>
            <w:shd w:val="clear" w:color="auto" w:fill="auto"/>
          </w:tcPr>
          <w:p w14:paraId="607A33FE" w14:textId="77777777" w:rsidR="0083057A" w:rsidRPr="005E7233" w:rsidRDefault="0083057A">
            <w:pPr>
              <w:pStyle w:val="TableText0"/>
              <w:rPr>
                <w:u w:val="single"/>
              </w:rPr>
            </w:pPr>
            <w:r w:rsidRPr="005E7233">
              <w:rPr>
                <w:u w:val="single"/>
              </w:rPr>
              <w:t>IVMP</w:t>
            </w:r>
          </w:p>
          <w:p w14:paraId="4B2990A8" w14:textId="77777777" w:rsidR="0083057A" w:rsidRPr="005E7233" w:rsidRDefault="0083057A">
            <w:pPr>
              <w:pStyle w:val="TableText0"/>
            </w:pPr>
            <w:r w:rsidRPr="005E7233">
              <w:t>Weeks 1–6: 500 mg per week</w:t>
            </w:r>
          </w:p>
          <w:p w14:paraId="149F60C4" w14:textId="77777777" w:rsidR="0083057A" w:rsidRPr="005E7233" w:rsidRDefault="0083057A">
            <w:pPr>
              <w:pStyle w:val="TableText0"/>
            </w:pPr>
            <w:r w:rsidRPr="005E7233">
              <w:t>Weeks 7–12: 250 mg per week</w:t>
            </w:r>
          </w:p>
        </w:tc>
        <w:tc>
          <w:tcPr>
            <w:tcW w:w="803" w:type="pct"/>
          </w:tcPr>
          <w:p w14:paraId="414FE99D" w14:textId="77777777" w:rsidR="0083057A" w:rsidRPr="005E7233" w:rsidRDefault="0083057A">
            <w:pPr>
              <w:pStyle w:val="TableText0"/>
              <w:rPr>
                <w:u w:val="single"/>
              </w:rPr>
            </w:pPr>
            <w:r w:rsidRPr="005E7233">
              <w:rPr>
                <w:u w:val="single"/>
              </w:rPr>
              <w:t>IVMP</w:t>
            </w:r>
          </w:p>
          <w:p w14:paraId="31C1FE88" w14:textId="77777777" w:rsidR="0083057A" w:rsidRPr="005E7233" w:rsidRDefault="0083057A">
            <w:pPr>
              <w:pStyle w:val="TableText0"/>
            </w:pPr>
            <w:r w:rsidRPr="005E7233">
              <w:t>Weeks 1–6: 500 mg per week</w:t>
            </w:r>
          </w:p>
          <w:p w14:paraId="7A4E80B8" w14:textId="77777777" w:rsidR="0083057A" w:rsidRPr="005E7233" w:rsidRDefault="0083057A">
            <w:pPr>
              <w:pStyle w:val="TableText0"/>
            </w:pPr>
            <w:r w:rsidRPr="005E7233">
              <w:t>Weeks 7–12: 250 mg per week</w:t>
            </w:r>
          </w:p>
          <w:p w14:paraId="30AD0077" w14:textId="77777777" w:rsidR="0083057A" w:rsidRPr="005E7233" w:rsidRDefault="0083057A">
            <w:pPr>
              <w:pStyle w:val="TableText0"/>
            </w:pPr>
          </w:p>
          <w:p w14:paraId="77F7A52D" w14:textId="77777777" w:rsidR="0083057A" w:rsidRPr="005E7233" w:rsidRDefault="0083057A">
            <w:pPr>
              <w:pStyle w:val="TableText0"/>
            </w:pPr>
            <w:r w:rsidRPr="005E7233">
              <w:t>MMF: 720 mg/day</w:t>
            </w:r>
          </w:p>
        </w:tc>
      </w:tr>
      <w:tr w:rsidR="0083057A" w:rsidRPr="005E7233" w14:paraId="104AC0F2" w14:textId="77777777" w:rsidTr="733957FC">
        <w:trPr>
          <w:cantSplit/>
          <w:jc w:val="center"/>
        </w:trPr>
        <w:tc>
          <w:tcPr>
            <w:tcW w:w="548" w:type="pct"/>
            <w:shd w:val="clear" w:color="auto" w:fill="auto"/>
            <w:vAlign w:val="center"/>
          </w:tcPr>
          <w:p w14:paraId="7FACB296" w14:textId="77777777" w:rsidR="0083057A" w:rsidRPr="005E7233" w:rsidRDefault="0083057A">
            <w:pPr>
              <w:pStyle w:val="TableText0"/>
            </w:pPr>
            <w:r w:rsidRPr="005E7233">
              <w:t>Mean no. doses per patient</w:t>
            </w:r>
          </w:p>
        </w:tc>
        <w:tc>
          <w:tcPr>
            <w:tcW w:w="681" w:type="pct"/>
            <w:shd w:val="clear" w:color="auto" w:fill="auto"/>
          </w:tcPr>
          <w:p w14:paraId="1F4C1C01" w14:textId="77777777" w:rsidR="0083057A" w:rsidRPr="005E7233" w:rsidRDefault="0083057A">
            <w:pPr>
              <w:pStyle w:val="TableText0"/>
            </w:pPr>
            <w:r w:rsidRPr="005E7233">
              <w:t>7.7 (OPTIC)</w:t>
            </w:r>
          </w:p>
        </w:tc>
        <w:tc>
          <w:tcPr>
            <w:tcW w:w="681" w:type="pct"/>
            <w:shd w:val="clear" w:color="auto" w:fill="auto"/>
          </w:tcPr>
          <w:p w14:paraId="45DB216A" w14:textId="77777777" w:rsidR="0083057A" w:rsidRPr="005E7233" w:rsidRDefault="0083057A">
            <w:pPr>
              <w:pStyle w:val="TableText0"/>
            </w:pPr>
            <w:r w:rsidRPr="005E7233">
              <w:t>Initial: 0.97</w:t>
            </w:r>
          </w:p>
          <w:p w14:paraId="029DAB31" w14:textId="77777777" w:rsidR="0083057A" w:rsidRPr="005E7233" w:rsidRDefault="0083057A">
            <w:pPr>
              <w:pStyle w:val="TableText0"/>
            </w:pPr>
            <w:r w:rsidRPr="005E7233">
              <w:t>Continuing: 6.50</w:t>
            </w:r>
          </w:p>
          <w:p w14:paraId="75BD1572" w14:textId="77777777" w:rsidR="0083057A" w:rsidRPr="005E7233" w:rsidRDefault="0083057A">
            <w:pPr>
              <w:pStyle w:val="TableText0"/>
            </w:pPr>
          </w:p>
          <w:p w14:paraId="71EC9B6B" w14:textId="77777777" w:rsidR="0083057A" w:rsidRPr="005E7233" w:rsidRDefault="0083057A">
            <w:pPr>
              <w:pStyle w:val="TableText0"/>
            </w:pPr>
            <w:r w:rsidRPr="005E7233">
              <w:t>Total: 7.5</w:t>
            </w:r>
          </w:p>
        </w:tc>
        <w:tc>
          <w:tcPr>
            <w:tcW w:w="681" w:type="pct"/>
            <w:shd w:val="clear" w:color="auto" w:fill="auto"/>
          </w:tcPr>
          <w:p w14:paraId="1D134319" w14:textId="6C1CCAAB" w:rsidR="0083057A" w:rsidRPr="005E7233" w:rsidRDefault="0083057A">
            <w:pPr>
              <w:pStyle w:val="TableText0"/>
              <w:rPr>
                <w:vertAlign w:val="superscript"/>
              </w:rPr>
            </w:pPr>
            <w:r w:rsidRPr="005E7233">
              <w:t>Initial: 0.92 </w:t>
            </w:r>
            <w:r w:rsidR="007A4F82" w:rsidRPr="005E7233">
              <w:rPr>
                <w:vertAlign w:val="superscript"/>
              </w:rPr>
              <w:t>f</w:t>
            </w:r>
          </w:p>
          <w:p w14:paraId="0701C6DD" w14:textId="0AD7FBC5" w:rsidR="0083057A" w:rsidRPr="005E7233" w:rsidRDefault="0083057A">
            <w:pPr>
              <w:pStyle w:val="TableText0"/>
              <w:rPr>
                <w:vertAlign w:val="superscript"/>
              </w:rPr>
            </w:pPr>
            <w:r w:rsidRPr="005E7233">
              <w:t>Continuing: 6.41 </w:t>
            </w:r>
            <w:r w:rsidR="007A4F82" w:rsidRPr="005E7233">
              <w:rPr>
                <w:vertAlign w:val="superscript"/>
              </w:rPr>
              <w:t>f</w:t>
            </w:r>
            <w:r w:rsidRPr="005E7233">
              <w:rPr>
                <w:vertAlign w:val="superscript"/>
              </w:rPr>
              <w:t xml:space="preserve"> </w:t>
            </w:r>
          </w:p>
          <w:p w14:paraId="6A36C946" w14:textId="77777777" w:rsidR="0083057A" w:rsidRPr="005E7233" w:rsidRDefault="0083057A">
            <w:pPr>
              <w:pStyle w:val="TableText0"/>
            </w:pPr>
          </w:p>
          <w:p w14:paraId="52D47D16" w14:textId="77777777" w:rsidR="0083057A" w:rsidRPr="005E7233" w:rsidRDefault="0083057A">
            <w:pPr>
              <w:pStyle w:val="TableText0"/>
            </w:pPr>
            <w:r w:rsidRPr="005E7233">
              <w:t>Total: 7.3</w:t>
            </w:r>
          </w:p>
        </w:tc>
        <w:tc>
          <w:tcPr>
            <w:tcW w:w="803" w:type="pct"/>
            <w:shd w:val="clear" w:color="auto" w:fill="auto"/>
          </w:tcPr>
          <w:p w14:paraId="3CCF9C18" w14:textId="77777777" w:rsidR="0083057A" w:rsidRPr="005E7233" w:rsidRDefault="0083057A">
            <w:pPr>
              <w:pStyle w:val="TableText0"/>
            </w:pPr>
            <w:r w:rsidRPr="005E7233">
              <w:t>NR</w:t>
            </w:r>
          </w:p>
        </w:tc>
        <w:tc>
          <w:tcPr>
            <w:tcW w:w="803" w:type="pct"/>
            <w:shd w:val="clear" w:color="auto" w:fill="auto"/>
          </w:tcPr>
          <w:p w14:paraId="03A41C2A" w14:textId="77777777" w:rsidR="0083057A" w:rsidRPr="005E7233" w:rsidRDefault="0083057A">
            <w:pPr>
              <w:pStyle w:val="TableText0"/>
              <w:rPr>
                <w:u w:val="single"/>
              </w:rPr>
            </w:pPr>
            <w:r w:rsidRPr="005E7233">
              <w:rPr>
                <w:u w:val="single"/>
              </w:rPr>
              <w:t>IVMP</w:t>
            </w:r>
          </w:p>
          <w:p w14:paraId="49D929C2" w14:textId="77777777" w:rsidR="0083057A" w:rsidRPr="005E7233" w:rsidRDefault="0083057A">
            <w:pPr>
              <w:pStyle w:val="TableText0"/>
            </w:pPr>
            <w:r w:rsidRPr="005E7233">
              <w:t>Weeks 1–6: 5.58</w:t>
            </w:r>
          </w:p>
          <w:p w14:paraId="2B23E1A7" w14:textId="77777777" w:rsidR="0083057A" w:rsidRPr="005E7233" w:rsidRDefault="0083057A">
            <w:pPr>
              <w:pStyle w:val="TableText0"/>
            </w:pPr>
            <w:r w:rsidRPr="005E7233">
              <w:t>Weeks 7–12: 5.84</w:t>
            </w:r>
          </w:p>
        </w:tc>
        <w:tc>
          <w:tcPr>
            <w:tcW w:w="803" w:type="pct"/>
          </w:tcPr>
          <w:p w14:paraId="1A9485E8" w14:textId="5190C7AC" w:rsidR="0083057A" w:rsidRPr="005E7233" w:rsidRDefault="0083057A">
            <w:pPr>
              <w:pStyle w:val="TableText0"/>
              <w:rPr>
                <w:u w:val="single"/>
                <w:vertAlign w:val="superscript"/>
              </w:rPr>
            </w:pPr>
            <w:r w:rsidRPr="005E7233">
              <w:rPr>
                <w:u w:val="single"/>
              </w:rPr>
              <w:t>IVMP</w:t>
            </w:r>
            <w:r w:rsidR="00A72B4A" w:rsidRPr="005E7233">
              <w:rPr>
                <w:u w:val="single"/>
              </w:rPr>
              <w:t> </w:t>
            </w:r>
            <w:r w:rsidR="007A4F82" w:rsidRPr="005E7233">
              <w:rPr>
                <w:u w:val="single"/>
                <w:vertAlign w:val="superscript"/>
              </w:rPr>
              <w:t>g</w:t>
            </w:r>
          </w:p>
          <w:p w14:paraId="4EE1DEA3" w14:textId="77777777" w:rsidR="0083057A" w:rsidRPr="005E7233" w:rsidRDefault="0083057A">
            <w:pPr>
              <w:pStyle w:val="TableText0"/>
            </w:pPr>
            <w:r w:rsidRPr="005E7233">
              <w:t>Weeks 1–6: 2.55</w:t>
            </w:r>
          </w:p>
          <w:p w14:paraId="4A26E663" w14:textId="77777777" w:rsidR="0083057A" w:rsidRPr="005E7233" w:rsidRDefault="0083057A">
            <w:pPr>
              <w:pStyle w:val="TableText0"/>
            </w:pPr>
            <w:r w:rsidRPr="005E7233">
              <w:t>Weeks 7–12: 1.28</w:t>
            </w:r>
          </w:p>
          <w:p w14:paraId="1724EAD5" w14:textId="1A23B6C7" w:rsidR="0083057A" w:rsidRPr="005E7233" w:rsidRDefault="0083057A">
            <w:pPr>
              <w:pStyle w:val="TableText0"/>
              <w:rPr>
                <w:vertAlign w:val="superscript"/>
              </w:rPr>
            </w:pPr>
            <w:r w:rsidRPr="005E7233">
              <w:t>Revised</w:t>
            </w:r>
            <w:r w:rsidR="00A72B4A" w:rsidRPr="005E7233">
              <w:t> </w:t>
            </w:r>
            <w:r w:rsidR="007A4F82" w:rsidRPr="005E7233">
              <w:rPr>
                <w:vertAlign w:val="superscript"/>
              </w:rPr>
              <w:t>h</w:t>
            </w:r>
            <w:r w:rsidR="00511363" w:rsidRPr="005E7233">
              <w:t xml:space="preserve">: </w:t>
            </w:r>
            <w:r w:rsidR="00511363" w:rsidRPr="005E7233">
              <w:br/>
            </w:r>
            <w:r w:rsidRPr="005E7233">
              <w:t>Weeks 1-12: 5.10</w:t>
            </w:r>
          </w:p>
          <w:p w14:paraId="7E519949" w14:textId="77777777" w:rsidR="0083057A" w:rsidRPr="005E7233" w:rsidRDefault="0083057A">
            <w:pPr>
              <w:pStyle w:val="TableText0"/>
            </w:pPr>
          </w:p>
          <w:p w14:paraId="1B72704B" w14:textId="77777777" w:rsidR="0083057A" w:rsidRPr="005E7233" w:rsidRDefault="0083057A">
            <w:pPr>
              <w:pStyle w:val="TableText0"/>
            </w:pPr>
            <w:r w:rsidRPr="005E7233">
              <w:rPr>
                <w:u w:val="single"/>
              </w:rPr>
              <w:t>MMF:</w:t>
            </w:r>
            <w:r w:rsidRPr="005E7233">
              <w:t xml:space="preserve"> 2.38</w:t>
            </w:r>
          </w:p>
        </w:tc>
      </w:tr>
      <w:tr w:rsidR="0083057A" w:rsidRPr="005E7233" w14:paraId="7F8D076B" w14:textId="77777777" w:rsidTr="733957FC">
        <w:trPr>
          <w:cantSplit/>
          <w:jc w:val="center"/>
        </w:trPr>
        <w:tc>
          <w:tcPr>
            <w:tcW w:w="548" w:type="pct"/>
            <w:shd w:val="clear" w:color="auto" w:fill="auto"/>
            <w:vAlign w:val="center"/>
          </w:tcPr>
          <w:p w14:paraId="1ED8B345" w14:textId="77777777" w:rsidR="0083057A" w:rsidRPr="005E7233" w:rsidRDefault="0083057A">
            <w:pPr>
              <w:pStyle w:val="TableText0"/>
            </w:pPr>
            <w:r w:rsidRPr="005E7233">
              <w:t xml:space="preserve">Cost per dose </w:t>
            </w:r>
          </w:p>
        </w:tc>
        <w:tc>
          <w:tcPr>
            <w:tcW w:w="681" w:type="pct"/>
            <w:shd w:val="clear" w:color="auto" w:fill="auto"/>
          </w:tcPr>
          <w:p w14:paraId="7A62301C" w14:textId="71E2D7BB" w:rsidR="0083057A" w:rsidRPr="005E7233" w:rsidRDefault="0083057A">
            <w:pPr>
              <w:pStyle w:val="TableText0"/>
            </w:pPr>
            <w:r w:rsidRPr="005E7233">
              <w:t>Initial: $</w:t>
            </w:r>
            <w:r w:rsidR="00BD0449" w:rsidRPr="00BD0449">
              <w:rPr>
                <w:color w:val="000000"/>
                <w:spacing w:val="53"/>
                <w:shd w:val="solid" w:color="000000" w:fill="000000"/>
                <w:fitText w:val="330" w:id="-694437119"/>
                <w14:textFill>
                  <w14:solidFill>
                    <w14:srgbClr w14:val="000000">
                      <w14:alpha w14:val="100000"/>
                    </w14:srgbClr>
                  </w14:solidFill>
                </w14:textFill>
              </w:rPr>
              <w:t>|||</w:t>
            </w:r>
            <w:r w:rsidR="00BD0449" w:rsidRPr="00BD0449">
              <w:rPr>
                <w:color w:val="000000"/>
                <w:spacing w:val="1"/>
                <w:shd w:val="solid" w:color="000000" w:fill="000000"/>
                <w:fitText w:val="330" w:id="-694437119"/>
                <w14:textFill>
                  <w14:solidFill>
                    <w14:srgbClr w14:val="000000">
                      <w14:alpha w14:val="100000"/>
                    </w14:srgbClr>
                  </w14:solidFill>
                </w14:textFill>
              </w:rPr>
              <w:t>|</w:t>
            </w:r>
          </w:p>
          <w:p w14:paraId="23DC9E68" w14:textId="3ABE4EEA" w:rsidR="0083057A" w:rsidRPr="005E7233" w:rsidRDefault="0083057A">
            <w:pPr>
              <w:pStyle w:val="TableText0"/>
            </w:pPr>
            <w:r w:rsidRPr="005E7233">
              <w:t>Continuing: $</w:t>
            </w:r>
            <w:r w:rsidR="00BD0449" w:rsidRPr="00BD0449">
              <w:rPr>
                <w:color w:val="000000"/>
                <w:spacing w:val="53"/>
                <w:shd w:val="solid" w:color="000000" w:fill="000000"/>
                <w:fitText w:val="330" w:id="-694437118"/>
                <w14:textFill>
                  <w14:solidFill>
                    <w14:srgbClr w14:val="000000">
                      <w14:alpha w14:val="100000"/>
                    </w14:srgbClr>
                  </w14:solidFill>
                </w14:textFill>
              </w:rPr>
              <w:t>|||</w:t>
            </w:r>
            <w:r w:rsidR="00BD0449" w:rsidRPr="00BD0449">
              <w:rPr>
                <w:color w:val="000000"/>
                <w:spacing w:val="1"/>
                <w:shd w:val="solid" w:color="000000" w:fill="000000"/>
                <w:fitText w:val="330" w:id="-694437118"/>
                <w14:textFill>
                  <w14:solidFill>
                    <w14:srgbClr w14:val="000000">
                      <w14:alpha w14:val="100000"/>
                    </w14:srgbClr>
                  </w14:solidFill>
                </w14:textFill>
              </w:rPr>
              <w:t>|</w:t>
            </w:r>
          </w:p>
        </w:tc>
        <w:tc>
          <w:tcPr>
            <w:tcW w:w="681" w:type="pct"/>
            <w:shd w:val="clear" w:color="auto" w:fill="auto"/>
          </w:tcPr>
          <w:p w14:paraId="61B5B58D" w14:textId="03A8E5A5" w:rsidR="0083057A" w:rsidRPr="005E7233" w:rsidRDefault="0083057A">
            <w:pPr>
              <w:pStyle w:val="TableText0"/>
              <w:rPr>
                <w:vertAlign w:val="superscript"/>
              </w:rPr>
            </w:pPr>
            <w:r w:rsidRPr="005E7233">
              <w:t>Initial: $</w:t>
            </w:r>
            <w:r w:rsidR="00BD0449" w:rsidRPr="00BD0449">
              <w:rPr>
                <w:color w:val="000000"/>
                <w:spacing w:val="53"/>
                <w:shd w:val="solid" w:color="000000" w:fill="000000"/>
                <w:fitText w:val="330" w:id="-694437117"/>
                <w14:textFill>
                  <w14:solidFill>
                    <w14:srgbClr w14:val="000000">
                      <w14:alpha w14:val="100000"/>
                    </w14:srgbClr>
                  </w14:solidFill>
                </w14:textFill>
              </w:rPr>
              <w:t>|||</w:t>
            </w:r>
            <w:r w:rsidR="00BD0449" w:rsidRPr="00BD0449">
              <w:rPr>
                <w:color w:val="000000"/>
                <w:spacing w:val="1"/>
                <w:shd w:val="solid" w:color="000000" w:fill="000000"/>
                <w:fitText w:val="330" w:id="-694437117"/>
                <w14:textFill>
                  <w14:solidFill>
                    <w14:srgbClr w14:val="000000">
                      <w14:alpha w14:val="100000"/>
                    </w14:srgbClr>
                  </w14:solidFill>
                </w14:textFill>
              </w:rPr>
              <w:t>|</w:t>
            </w:r>
            <w:r w:rsidR="00A72B4A" w:rsidRPr="005E7233">
              <w:t> </w:t>
            </w:r>
            <w:r w:rsidR="007A4F82" w:rsidRPr="005E7233">
              <w:rPr>
                <w:vertAlign w:val="superscript"/>
              </w:rPr>
              <w:t>i</w:t>
            </w:r>
          </w:p>
          <w:p w14:paraId="1302BDCA" w14:textId="376A2614" w:rsidR="0083057A" w:rsidRPr="005E7233" w:rsidRDefault="0083057A">
            <w:pPr>
              <w:pStyle w:val="TableText0"/>
              <w:rPr>
                <w:vertAlign w:val="superscript"/>
              </w:rPr>
            </w:pPr>
            <w:r w:rsidRPr="005E7233">
              <w:t>Continuing: $</w:t>
            </w:r>
            <w:r w:rsidR="00BD0449" w:rsidRPr="00BD0449">
              <w:rPr>
                <w:color w:val="000000"/>
                <w:spacing w:val="53"/>
                <w:shd w:val="solid" w:color="000000" w:fill="000000"/>
                <w:fitText w:val="330" w:id="-694437116"/>
                <w14:textFill>
                  <w14:solidFill>
                    <w14:srgbClr w14:val="000000">
                      <w14:alpha w14:val="100000"/>
                    </w14:srgbClr>
                  </w14:solidFill>
                </w14:textFill>
              </w:rPr>
              <w:t>|||</w:t>
            </w:r>
            <w:r w:rsidR="00BD0449" w:rsidRPr="00BD0449">
              <w:rPr>
                <w:color w:val="000000"/>
                <w:spacing w:val="1"/>
                <w:shd w:val="solid" w:color="000000" w:fill="000000"/>
                <w:fitText w:val="330" w:id="-694437116"/>
                <w14:textFill>
                  <w14:solidFill>
                    <w14:srgbClr w14:val="000000">
                      <w14:alpha w14:val="100000"/>
                    </w14:srgbClr>
                  </w14:solidFill>
                </w14:textFill>
              </w:rPr>
              <w:t>|</w:t>
            </w:r>
            <w:r w:rsidRPr="005E7233">
              <w:t> </w:t>
            </w:r>
            <w:r w:rsidR="007A4F82" w:rsidRPr="005E7233">
              <w:rPr>
                <w:vertAlign w:val="superscript"/>
              </w:rPr>
              <w:t>i</w:t>
            </w:r>
          </w:p>
        </w:tc>
        <w:tc>
          <w:tcPr>
            <w:tcW w:w="681" w:type="pct"/>
            <w:shd w:val="clear" w:color="auto" w:fill="auto"/>
          </w:tcPr>
          <w:p w14:paraId="6B37A082" w14:textId="0E6D3456" w:rsidR="0083057A" w:rsidRPr="005E7233" w:rsidRDefault="0083057A">
            <w:pPr>
              <w:pStyle w:val="TableText0"/>
              <w:rPr>
                <w:vertAlign w:val="superscript"/>
              </w:rPr>
            </w:pPr>
            <w:r w:rsidRPr="005E7233">
              <w:t>Initial: $</w:t>
            </w:r>
            <w:r w:rsidR="00BD0449" w:rsidRPr="00BD0449">
              <w:rPr>
                <w:color w:val="000000"/>
                <w:spacing w:val="53"/>
                <w:shd w:val="solid" w:color="000000" w:fill="000000"/>
                <w:fitText w:val="330" w:id="-694437115"/>
                <w14:textFill>
                  <w14:solidFill>
                    <w14:srgbClr w14:val="000000">
                      <w14:alpha w14:val="100000"/>
                    </w14:srgbClr>
                  </w14:solidFill>
                </w14:textFill>
              </w:rPr>
              <w:t>|||</w:t>
            </w:r>
            <w:r w:rsidR="00BD0449" w:rsidRPr="00BD0449">
              <w:rPr>
                <w:color w:val="000000"/>
                <w:spacing w:val="1"/>
                <w:shd w:val="solid" w:color="000000" w:fill="000000"/>
                <w:fitText w:val="330" w:id="-694437115"/>
                <w14:textFill>
                  <w14:solidFill>
                    <w14:srgbClr w14:val="000000">
                      <w14:alpha w14:val="100000"/>
                    </w14:srgbClr>
                  </w14:solidFill>
                </w14:textFill>
              </w:rPr>
              <w:t>|</w:t>
            </w:r>
          </w:p>
          <w:p w14:paraId="501588EC" w14:textId="01793416" w:rsidR="0083057A" w:rsidRPr="005E7233" w:rsidRDefault="0083057A">
            <w:pPr>
              <w:pStyle w:val="TableText0"/>
              <w:rPr>
                <w:vertAlign w:val="superscript"/>
              </w:rPr>
            </w:pPr>
            <w:r w:rsidRPr="005E7233">
              <w:t>Continuing: $</w:t>
            </w:r>
            <w:r w:rsidR="00BD0449" w:rsidRPr="00BD0449">
              <w:rPr>
                <w:color w:val="000000"/>
                <w:spacing w:val="53"/>
                <w:shd w:val="solid" w:color="000000" w:fill="000000"/>
                <w:fitText w:val="330" w:id="-694437114"/>
                <w14:textFill>
                  <w14:solidFill>
                    <w14:srgbClr w14:val="000000">
                      <w14:alpha w14:val="100000"/>
                    </w14:srgbClr>
                  </w14:solidFill>
                </w14:textFill>
              </w:rPr>
              <w:t>|||</w:t>
            </w:r>
            <w:r w:rsidR="00BD0449" w:rsidRPr="00BD0449">
              <w:rPr>
                <w:color w:val="000000"/>
                <w:spacing w:val="1"/>
                <w:shd w:val="solid" w:color="000000" w:fill="000000"/>
                <w:fitText w:val="330" w:id="-694437114"/>
                <w14:textFill>
                  <w14:solidFill>
                    <w14:srgbClr w14:val="000000">
                      <w14:alpha w14:val="100000"/>
                    </w14:srgbClr>
                  </w14:solidFill>
                </w14:textFill>
              </w:rPr>
              <w:t>|</w:t>
            </w:r>
          </w:p>
        </w:tc>
        <w:tc>
          <w:tcPr>
            <w:tcW w:w="803" w:type="pct"/>
            <w:shd w:val="clear" w:color="auto" w:fill="auto"/>
          </w:tcPr>
          <w:p w14:paraId="65329C93" w14:textId="77777777" w:rsidR="0083057A" w:rsidRPr="005E7233" w:rsidRDefault="0083057A">
            <w:pPr>
              <w:pStyle w:val="TableText0"/>
            </w:pPr>
            <w:r w:rsidRPr="005E7233">
              <w:t>NR</w:t>
            </w:r>
          </w:p>
        </w:tc>
        <w:tc>
          <w:tcPr>
            <w:tcW w:w="803" w:type="pct"/>
            <w:shd w:val="clear" w:color="auto" w:fill="auto"/>
          </w:tcPr>
          <w:p w14:paraId="61ADA13F" w14:textId="77777777" w:rsidR="0083057A" w:rsidRPr="005E7233" w:rsidRDefault="0083057A">
            <w:pPr>
              <w:pStyle w:val="TableText0"/>
              <w:rPr>
                <w:u w:val="single"/>
              </w:rPr>
            </w:pPr>
            <w:r w:rsidRPr="005E7233">
              <w:rPr>
                <w:u w:val="single"/>
              </w:rPr>
              <w:t>IVMP</w:t>
            </w:r>
          </w:p>
          <w:p w14:paraId="5D0FD2AA" w14:textId="3A366FD5" w:rsidR="0083057A" w:rsidRPr="005E7233" w:rsidRDefault="0083057A">
            <w:pPr>
              <w:pStyle w:val="TableText0"/>
            </w:pPr>
            <w:r w:rsidRPr="005E7233">
              <w:t>Weeks 1–6: $44 </w:t>
            </w:r>
            <w:r w:rsidR="007A4F82" w:rsidRPr="005E7233">
              <w:rPr>
                <w:vertAlign w:val="superscript"/>
              </w:rPr>
              <w:t>j</w:t>
            </w:r>
          </w:p>
          <w:p w14:paraId="4311A95C" w14:textId="543B9A0B" w:rsidR="0083057A" w:rsidRPr="005E7233" w:rsidRDefault="0083057A">
            <w:pPr>
              <w:pStyle w:val="TableText0"/>
            </w:pPr>
            <w:r w:rsidRPr="005E7233">
              <w:t>Weeks 7–12: $39 </w:t>
            </w:r>
            <w:r w:rsidR="007A4F82" w:rsidRPr="005E7233">
              <w:rPr>
                <w:vertAlign w:val="superscript"/>
              </w:rPr>
              <w:t>j</w:t>
            </w:r>
          </w:p>
        </w:tc>
        <w:tc>
          <w:tcPr>
            <w:tcW w:w="803" w:type="pct"/>
          </w:tcPr>
          <w:p w14:paraId="179B13F4" w14:textId="54BA0B3F" w:rsidR="0083057A" w:rsidRPr="005E7233" w:rsidRDefault="0083057A">
            <w:pPr>
              <w:pStyle w:val="TableText0"/>
              <w:rPr>
                <w:vertAlign w:val="superscript"/>
              </w:rPr>
            </w:pPr>
            <w:r w:rsidRPr="005E7233">
              <w:rPr>
                <w:u w:val="single"/>
              </w:rPr>
              <w:t>IVMP</w:t>
            </w:r>
            <w:r w:rsidRPr="005E7233">
              <w:t>: $</w:t>
            </w:r>
            <w:r w:rsidR="00102E53" w:rsidRPr="005E7233">
              <w:t>46</w:t>
            </w:r>
          </w:p>
          <w:p w14:paraId="33592FD7" w14:textId="35822567" w:rsidR="0083057A" w:rsidRPr="005E7233" w:rsidRDefault="0083057A">
            <w:pPr>
              <w:pStyle w:val="TableText0"/>
              <w:rPr>
                <w:vertAlign w:val="superscript"/>
              </w:rPr>
            </w:pPr>
            <w:r w:rsidRPr="005E7233">
              <w:rPr>
                <w:u w:val="single"/>
              </w:rPr>
              <w:t>MMF:</w:t>
            </w:r>
            <w:r w:rsidRPr="005E7233">
              <w:t xml:space="preserve"> $</w:t>
            </w:r>
            <w:r w:rsidR="00102E53" w:rsidRPr="005E7233">
              <w:t>202</w:t>
            </w:r>
          </w:p>
        </w:tc>
      </w:tr>
      <w:tr w:rsidR="0083057A" w:rsidRPr="005E7233" w14:paraId="40422BAD" w14:textId="77777777" w:rsidTr="733957FC">
        <w:trPr>
          <w:cantSplit/>
          <w:jc w:val="center"/>
        </w:trPr>
        <w:tc>
          <w:tcPr>
            <w:tcW w:w="548" w:type="pct"/>
            <w:shd w:val="clear" w:color="auto" w:fill="auto"/>
            <w:vAlign w:val="center"/>
          </w:tcPr>
          <w:p w14:paraId="60629C8A" w14:textId="77777777" w:rsidR="0083057A" w:rsidRPr="005E7233" w:rsidRDefault="0083057A">
            <w:pPr>
              <w:pStyle w:val="TableText0"/>
            </w:pPr>
            <w:r w:rsidRPr="005E7233">
              <w:t>Cost per course</w:t>
            </w:r>
          </w:p>
        </w:tc>
        <w:tc>
          <w:tcPr>
            <w:tcW w:w="681" w:type="pct"/>
            <w:shd w:val="clear" w:color="auto" w:fill="auto"/>
          </w:tcPr>
          <w:p w14:paraId="421C3FF6" w14:textId="0519A276" w:rsidR="0083057A" w:rsidRPr="005E7233" w:rsidRDefault="0083057A">
            <w:pPr>
              <w:pStyle w:val="TableText0"/>
            </w:pPr>
            <w:r w:rsidRPr="005E7233">
              <w:t>$</w:t>
            </w:r>
            <w:r w:rsidR="00BD0449" w:rsidRPr="00BD0449">
              <w:rPr>
                <w:color w:val="000000"/>
                <w:spacing w:val="53"/>
                <w:shd w:val="solid" w:color="000000" w:fill="000000"/>
                <w:fitText w:val="330" w:id="-694437113"/>
                <w14:textFill>
                  <w14:solidFill>
                    <w14:srgbClr w14:val="000000">
                      <w14:alpha w14:val="100000"/>
                    </w14:srgbClr>
                  </w14:solidFill>
                </w14:textFill>
              </w:rPr>
              <w:t>|||</w:t>
            </w:r>
            <w:r w:rsidR="00BD0449" w:rsidRPr="00BD0449">
              <w:rPr>
                <w:color w:val="000000"/>
                <w:spacing w:val="1"/>
                <w:shd w:val="solid" w:color="000000" w:fill="000000"/>
                <w:fitText w:val="330" w:id="-694437113"/>
                <w14:textFill>
                  <w14:solidFill>
                    <w14:srgbClr w14:val="000000">
                      <w14:alpha w14:val="100000"/>
                    </w14:srgbClr>
                  </w14:solidFill>
                </w14:textFill>
              </w:rPr>
              <w:t>|</w:t>
            </w:r>
            <w:r w:rsidRPr="005E7233">
              <w:t> </w:t>
            </w:r>
            <w:r w:rsidR="007A4F82" w:rsidRPr="005E7233">
              <w:rPr>
                <w:vertAlign w:val="superscript"/>
              </w:rPr>
              <w:t>k</w:t>
            </w:r>
          </w:p>
        </w:tc>
        <w:tc>
          <w:tcPr>
            <w:tcW w:w="681" w:type="pct"/>
            <w:shd w:val="clear" w:color="auto" w:fill="auto"/>
          </w:tcPr>
          <w:p w14:paraId="50CE9470" w14:textId="45592468" w:rsidR="0083057A" w:rsidRPr="005E7233" w:rsidRDefault="0083057A">
            <w:pPr>
              <w:pStyle w:val="TableText0"/>
            </w:pPr>
            <w:r w:rsidRPr="005E7233">
              <w:t>$</w:t>
            </w:r>
            <w:r w:rsidR="00BD0449" w:rsidRPr="00BD0449">
              <w:rPr>
                <w:color w:val="000000"/>
                <w:spacing w:val="53"/>
                <w:shd w:val="solid" w:color="000000" w:fill="000000"/>
                <w:fitText w:val="330" w:id="-694437112"/>
                <w14:textFill>
                  <w14:solidFill>
                    <w14:srgbClr w14:val="000000">
                      <w14:alpha w14:val="100000"/>
                    </w14:srgbClr>
                  </w14:solidFill>
                </w14:textFill>
              </w:rPr>
              <w:t>|||</w:t>
            </w:r>
            <w:r w:rsidR="00BD0449" w:rsidRPr="00BD0449">
              <w:rPr>
                <w:color w:val="000000"/>
                <w:spacing w:val="1"/>
                <w:shd w:val="solid" w:color="000000" w:fill="000000"/>
                <w:fitText w:val="330" w:id="-694437112"/>
                <w14:textFill>
                  <w14:solidFill>
                    <w14:srgbClr w14:val="000000">
                      <w14:alpha w14:val="100000"/>
                    </w14:srgbClr>
                  </w14:solidFill>
                </w14:textFill>
              </w:rPr>
              <w:t>|</w:t>
            </w:r>
          </w:p>
        </w:tc>
        <w:tc>
          <w:tcPr>
            <w:tcW w:w="681" w:type="pct"/>
            <w:shd w:val="clear" w:color="auto" w:fill="auto"/>
          </w:tcPr>
          <w:p w14:paraId="20215EE3" w14:textId="0B62D5A6" w:rsidR="0083057A" w:rsidRPr="005E7233" w:rsidRDefault="0083057A">
            <w:pPr>
              <w:pStyle w:val="TableText0"/>
              <w:rPr>
                <w:vertAlign w:val="superscript"/>
              </w:rPr>
            </w:pPr>
            <w:r w:rsidRPr="005E7233">
              <w:t>$</w:t>
            </w:r>
            <w:r w:rsidR="00BD0449" w:rsidRPr="00BD0449">
              <w:rPr>
                <w:color w:val="000000"/>
                <w:spacing w:val="53"/>
                <w:shd w:val="solid" w:color="000000" w:fill="000000"/>
                <w:fitText w:val="330" w:id="-694437111"/>
                <w14:textFill>
                  <w14:solidFill>
                    <w14:srgbClr w14:val="000000">
                      <w14:alpha w14:val="100000"/>
                    </w14:srgbClr>
                  </w14:solidFill>
                </w14:textFill>
              </w:rPr>
              <w:t>|||</w:t>
            </w:r>
            <w:r w:rsidR="00BD0449" w:rsidRPr="00BD0449">
              <w:rPr>
                <w:color w:val="000000"/>
                <w:spacing w:val="1"/>
                <w:shd w:val="solid" w:color="000000" w:fill="000000"/>
                <w:fitText w:val="330" w:id="-694437111"/>
                <w14:textFill>
                  <w14:solidFill>
                    <w14:srgbClr w14:val="000000">
                      <w14:alpha w14:val="100000"/>
                    </w14:srgbClr>
                  </w14:solidFill>
                </w14:textFill>
              </w:rPr>
              <w:t>|</w:t>
            </w:r>
          </w:p>
        </w:tc>
        <w:tc>
          <w:tcPr>
            <w:tcW w:w="803" w:type="pct"/>
            <w:shd w:val="clear" w:color="auto" w:fill="auto"/>
          </w:tcPr>
          <w:p w14:paraId="3B41E7E8" w14:textId="77777777" w:rsidR="0083057A" w:rsidRPr="005E7233" w:rsidRDefault="0083057A">
            <w:pPr>
              <w:pStyle w:val="TableText0"/>
            </w:pPr>
            <w:r w:rsidRPr="005E7233">
              <w:t>NR</w:t>
            </w:r>
          </w:p>
        </w:tc>
        <w:tc>
          <w:tcPr>
            <w:tcW w:w="803" w:type="pct"/>
            <w:shd w:val="clear" w:color="auto" w:fill="auto"/>
          </w:tcPr>
          <w:p w14:paraId="6A6A8705" w14:textId="77777777" w:rsidR="0083057A" w:rsidRPr="005E7233" w:rsidRDefault="0083057A">
            <w:pPr>
              <w:pStyle w:val="TableText0"/>
            </w:pPr>
            <w:r w:rsidRPr="005E7233">
              <w:t>$485</w:t>
            </w:r>
          </w:p>
        </w:tc>
        <w:tc>
          <w:tcPr>
            <w:tcW w:w="803" w:type="pct"/>
          </w:tcPr>
          <w:p w14:paraId="13CABF8F" w14:textId="77777777" w:rsidR="0083057A" w:rsidRPr="005E7233" w:rsidRDefault="0083057A">
            <w:pPr>
              <w:pStyle w:val="TableText0"/>
            </w:pPr>
            <w:r w:rsidRPr="005E7233">
              <w:rPr>
                <w:u w:val="single"/>
              </w:rPr>
              <w:t>IVMP:</w:t>
            </w:r>
            <w:r w:rsidRPr="005E7233">
              <w:t xml:space="preserve"> $176</w:t>
            </w:r>
          </w:p>
          <w:p w14:paraId="64238446" w14:textId="778BC52F" w:rsidR="0083057A" w:rsidRPr="005E7233" w:rsidRDefault="0083057A">
            <w:pPr>
              <w:pStyle w:val="TableText0"/>
              <w:rPr>
                <w:vertAlign w:val="superscript"/>
              </w:rPr>
            </w:pPr>
            <w:r w:rsidRPr="005E7233">
              <w:t>Revised</w:t>
            </w:r>
            <w:r w:rsidR="00A72B4A" w:rsidRPr="005E7233">
              <w:t> </w:t>
            </w:r>
            <w:r w:rsidR="007A4F82" w:rsidRPr="005E7233">
              <w:rPr>
                <w:vertAlign w:val="superscript"/>
              </w:rPr>
              <w:t>h</w:t>
            </w:r>
            <w:r w:rsidRPr="005E7233">
              <w:t>: $469</w:t>
            </w:r>
          </w:p>
          <w:p w14:paraId="41965B87" w14:textId="77777777" w:rsidR="0083057A" w:rsidRPr="005E7233" w:rsidRDefault="0083057A">
            <w:pPr>
              <w:pStyle w:val="TableText0"/>
            </w:pPr>
            <w:r w:rsidRPr="005E7233">
              <w:rPr>
                <w:u w:val="single"/>
              </w:rPr>
              <w:t>MMF:</w:t>
            </w:r>
            <w:r w:rsidRPr="005E7233">
              <w:t xml:space="preserve"> $481</w:t>
            </w:r>
          </w:p>
        </w:tc>
      </w:tr>
    </w:tbl>
    <w:p w14:paraId="45925953" w14:textId="77777777" w:rsidR="0083057A" w:rsidRPr="005E7233" w:rsidRDefault="0083057A" w:rsidP="0083057A">
      <w:pPr>
        <w:pStyle w:val="TableFigureFooter"/>
      </w:pPr>
      <w:r w:rsidRPr="005E7233">
        <w:t>Source: Constructed during the evaluation from Table 12–1, p114 of the OPTIC CSR and the ‘Attachment 17 Tepezza Economic model.xlsb’ and ‘Attachment 19 - Tepezza TED Financial Model.xlsx’ files included in the submission.</w:t>
      </w:r>
    </w:p>
    <w:p w14:paraId="1A7997F3" w14:textId="57768D8F" w:rsidR="0083057A" w:rsidRPr="005E7233" w:rsidRDefault="0083057A" w:rsidP="0083057A">
      <w:pPr>
        <w:pStyle w:val="TableFigureFooter"/>
      </w:pPr>
      <w:r w:rsidRPr="005E7233">
        <w:t xml:space="preserve">IVMP = intravenous methylprednisolone; MMF = mycophenolate </w:t>
      </w:r>
      <w:r w:rsidR="007B534A" w:rsidRPr="005E7233">
        <w:t>mofetil</w:t>
      </w:r>
      <w:r w:rsidR="003759C8" w:rsidRPr="005E7233">
        <w:t>; NR = not reported.</w:t>
      </w:r>
    </w:p>
    <w:p w14:paraId="45C7141A" w14:textId="77777777" w:rsidR="0083057A" w:rsidRPr="005E7233" w:rsidRDefault="0083057A" w:rsidP="0083057A">
      <w:pPr>
        <w:pStyle w:val="TableFigureFooter"/>
      </w:pPr>
      <w:r w:rsidRPr="005E7233">
        <w:rPr>
          <w:vertAlign w:val="superscript"/>
        </w:rPr>
        <w:t>a</w:t>
      </w:r>
      <w:r w:rsidRPr="005E7233">
        <w:t xml:space="preserve"> The studies included in the clinical evidence did not include MMF.</w:t>
      </w:r>
    </w:p>
    <w:p w14:paraId="015B0696" w14:textId="0D89F4E6" w:rsidR="0083057A" w:rsidRPr="005E7233" w:rsidRDefault="0083057A" w:rsidP="0083057A">
      <w:pPr>
        <w:pStyle w:val="TableFigureFooter"/>
      </w:pPr>
      <w:r w:rsidRPr="005E7233">
        <w:rPr>
          <w:vertAlign w:val="superscript"/>
        </w:rPr>
        <w:t>b</w:t>
      </w:r>
      <w:r w:rsidRPr="005E7233">
        <w:t xml:space="preserve"> The economic model presented three separate comparisons: teprotumumab vs IVMP in 1L; teprotumumab vs IVMP + MMF in 1L; and teprotumumab vs tocilizumab in 2L. The use of IVMP in this table is focused on the economic evaluation of 1L teprotumumab therapy relative to IVMP given the limitations of the evidence presented (see para </w:t>
      </w:r>
      <w:r w:rsidRPr="005E7233">
        <w:fldChar w:fldCharType="begin"/>
      </w:r>
      <w:r w:rsidRPr="005E7233">
        <w:instrText xml:space="preserve"> REF _Ref187655196 \n \h </w:instrText>
      </w:r>
      <w:r w:rsidR="0066573D" w:rsidRPr="005E7233">
        <w:instrText xml:space="preserve"> \* MERGEFORMAT </w:instrText>
      </w:r>
      <w:r w:rsidRPr="005E7233">
        <w:fldChar w:fldCharType="separate"/>
      </w:r>
      <w:r w:rsidR="0012101B">
        <w:t>6.62</w:t>
      </w:r>
      <w:r w:rsidRPr="005E7233">
        <w:fldChar w:fldCharType="end"/>
      </w:r>
      <w:r w:rsidRPr="005E7233">
        <w:t>).</w:t>
      </w:r>
    </w:p>
    <w:p w14:paraId="1C185381" w14:textId="589D46B9" w:rsidR="0083057A" w:rsidRPr="005E7233" w:rsidRDefault="0083057A" w:rsidP="0083057A">
      <w:pPr>
        <w:pStyle w:val="TableFigureFooter"/>
      </w:pPr>
      <w:r w:rsidRPr="005E7233">
        <w:rPr>
          <w:vertAlign w:val="superscript"/>
        </w:rPr>
        <w:t>c</w:t>
      </w:r>
      <w:r w:rsidRPr="005E7233">
        <w:t xml:space="preserve"> </w:t>
      </w:r>
      <w:r w:rsidR="007A4F82" w:rsidRPr="005E7233">
        <w:t>Based on IPD of patient weight in teprotumumab-treated patients across the pooled analysis.</w:t>
      </w:r>
    </w:p>
    <w:p w14:paraId="6C483961" w14:textId="399AED04" w:rsidR="0083057A" w:rsidRPr="005E7233" w:rsidRDefault="0083057A" w:rsidP="0083057A">
      <w:pPr>
        <w:pStyle w:val="TableFigureFooter"/>
      </w:pPr>
      <w:r w:rsidRPr="005E7233">
        <w:rPr>
          <w:vertAlign w:val="superscript"/>
        </w:rPr>
        <w:t xml:space="preserve">d </w:t>
      </w:r>
      <w:r w:rsidR="007A4F82" w:rsidRPr="005E7233">
        <w:t>Based on IPD of patient weight in all patients enrolled in OPTIC.</w:t>
      </w:r>
    </w:p>
    <w:p w14:paraId="29CE2873" w14:textId="038C25D9" w:rsidR="0083057A" w:rsidRPr="005E7233" w:rsidRDefault="0083057A" w:rsidP="0083057A">
      <w:pPr>
        <w:pStyle w:val="TableFigureFooter"/>
      </w:pPr>
      <w:r w:rsidRPr="005E7233">
        <w:rPr>
          <w:vertAlign w:val="superscript"/>
        </w:rPr>
        <w:t xml:space="preserve">e </w:t>
      </w:r>
      <w:r w:rsidR="007A4F82" w:rsidRPr="005E7233">
        <w:t>Based on IPD of patient weight in all patients across the pooled analysis.</w:t>
      </w:r>
    </w:p>
    <w:p w14:paraId="64F29CB7" w14:textId="229347F6" w:rsidR="0083057A" w:rsidRPr="005E7233" w:rsidRDefault="0083057A" w:rsidP="0083057A">
      <w:pPr>
        <w:pStyle w:val="TableFigureFooter"/>
      </w:pPr>
      <w:r w:rsidRPr="005E7233">
        <w:rPr>
          <w:vertAlign w:val="superscript"/>
        </w:rPr>
        <w:t xml:space="preserve">f </w:t>
      </w:r>
      <w:r w:rsidR="007A4F82" w:rsidRPr="005E7233">
        <w:t>Based on a treatment compliance of 91.57% to 1 initial dose and 7continuing doses.</w:t>
      </w:r>
    </w:p>
    <w:p w14:paraId="4A73099F" w14:textId="380E6EEE" w:rsidR="0083057A" w:rsidRPr="005E7233" w:rsidRDefault="0083057A" w:rsidP="0083057A">
      <w:pPr>
        <w:pStyle w:val="TableFigureFooter"/>
      </w:pPr>
      <w:r w:rsidRPr="005E7233">
        <w:rPr>
          <w:vertAlign w:val="superscript"/>
        </w:rPr>
        <w:t>g</w:t>
      </w:r>
      <w:r w:rsidRPr="005E7233">
        <w:t xml:space="preserve"> </w:t>
      </w:r>
      <w:r w:rsidR="007A4F82" w:rsidRPr="005E7233">
        <w:t>Scripts per treatment were based on a treatment compliance of 85% for both IVMP and MMF and assumed vial sharing for IVMP.</w:t>
      </w:r>
    </w:p>
    <w:p w14:paraId="03B3FD42" w14:textId="43A9761F" w:rsidR="0083057A" w:rsidRPr="005E7233" w:rsidRDefault="00102E53" w:rsidP="0083057A">
      <w:pPr>
        <w:pStyle w:val="TableFigureFooter"/>
      </w:pPr>
      <w:r w:rsidRPr="005E7233">
        <w:rPr>
          <w:vertAlign w:val="superscript"/>
        </w:rPr>
        <w:t>h</w:t>
      </w:r>
      <w:r w:rsidR="0083057A" w:rsidRPr="005E7233">
        <w:rPr>
          <w:vertAlign w:val="superscript"/>
        </w:rPr>
        <w:t xml:space="preserve"> </w:t>
      </w:r>
      <w:r w:rsidR="007A4F82" w:rsidRPr="005E7233">
        <w:t>Revised to assume no vial sharing for IVMP.</w:t>
      </w:r>
    </w:p>
    <w:p w14:paraId="3032F497" w14:textId="3EE62AA1" w:rsidR="007A4F82" w:rsidRPr="005E7233" w:rsidRDefault="007A4F82" w:rsidP="0083057A">
      <w:pPr>
        <w:pStyle w:val="TableFigureFooter"/>
      </w:pPr>
      <w:r w:rsidRPr="005E7233">
        <w:rPr>
          <w:vertAlign w:val="superscript"/>
        </w:rPr>
        <w:t>i</w:t>
      </w:r>
      <w:r w:rsidRPr="005E7233">
        <w:t xml:space="preserve"> Cost per teprotumumab dose was adjusted for 91.57% compliance.</w:t>
      </w:r>
    </w:p>
    <w:p w14:paraId="3CF0687A" w14:textId="0FA0C27E" w:rsidR="007A4F82" w:rsidRPr="005E7233" w:rsidRDefault="007A4F82" w:rsidP="0083057A">
      <w:pPr>
        <w:pStyle w:val="TableFigureFooter"/>
      </w:pPr>
      <w:r w:rsidRPr="005E7233">
        <w:rPr>
          <w:vertAlign w:val="superscript"/>
        </w:rPr>
        <w:t>j</w:t>
      </w:r>
      <w:r w:rsidRPr="005E7233">
        <w:t xml:space="preserve"> Cost per IVMP dose was adjusted for 95% compliance in Weeks 1–6, and 85% compliance in Weeks 7–12.</w:t>
      </w:r>
    </w:p>
    <w:p w14:paraId="7EAADE96" w14:textId="7AFDC3EE" w:rsidR="007A4F82" w:rsidRPr="005E7233" w:rsidRDefault="007A4F82" w:rsidP="0083057A">
      <w:pPr>
        <w:pStyle w:val="TableFigureFooter"/>
      </w:pPr>
      <w:r w:rsidRPr="005E7233">
        <w:rPr>
          <w:vertAlign w:val="superscript"/>
        </w:rPr>
        <w:t>k</w:t>
      </w:r>
      <w:r w:rsidRPr="005E7233">
        <w:t xml:space="preserve"> Assuming 1 initial script and 6.7 continuing scripts.</w:t>
      </w:r>
    </w:p>
    <w:p w14:paraId="268768EF" w14:textId="3626F292" w:rsidR="00B60939" w:rsidRPr="005E7233" w:rsidRDefault="00B60939" w:rsidP="002B05A1">
      <w:pPr>
        <w:pStyle w:val="4-SubsectionHeading"/>
      </w:pPr>
      <w:bookmarkStart w:id="110" w:name="_Toc187759721"/>
      <w:r w:rsidRPr="005E7233">
        <w:t>Estimated PBS usage &amp; financial implications</w:t>
      </w:r>
      <w:bookmarkEnd w:id="109"/>
      <w:bookmarkEnd w:id="110"/>
    </w:p>
    <w:p w14:paraId="62BA9EAC" w14:textId="2932DD29" w:rsidR="00826D04" w:rsidRPr="005E7233" w:rsidRDefault="00B1488D" w:rsidP="009F494E">
      <w:pPr>
        <w:pStyle w:val="3-BodyText"/>
        <w:rPr>
          <w:rFonts w:ascii="Arial Narrow" w:hAnsi="Arial Narrow"/>
          <w:b/>
          <w:bCs/>
          <w:iCs/>
          <w:sz w:val="20"/>
          <w:szCs w:val="20"/>
        </w:rPr>
      </w:pPr>
      <w:bookmarkStart w:id="111" w:name="_Toc22897650"/>
      <w:bookmarkEnd w:id="106"/>
      <w:r w:rsidRPr="005E7233">
        <w:t>The submission was</w:t>
      </w:r>
      <w:r w:rsidR="00CD7602" w:rsidRPr="005E7233">
        <w:rPr>
          <w:iCs/>
        </w:rPr>
        <w:t xml:space="preserve"> consider</w:t>
      </w:r>
      <w:r w:rsidR="002E78C3" w:rsidRPr="005E7233">
        <w:rPr>
          <w:iCs/>
        </w:rPr>
        <w:t>ed</w:t>
      </w:r>
      <w:r w:rsidR="00CD7602" w:rsidRPr="005E7233">
        <w:rPr>
          <w:iCs/>
        </w:rPr>
        <w:t xml:space="preserve"> </w:t>
      </w:r>
      <w:r w:rsidRPr="005E7233">
        <w:t>by DUSC.</w:t>
      </w:r>
      <w:r w:rsidR="00992077" w:rsidRPr="005E7233">
        <w:t xml:space="preserve"> </w:t>
      </w:r>
      <w:r w:rsidR="00485627" w:rsidRPr="005E7233">
        <w:t xml:space="preserve">The submission utilised an epidemiological approach to estimate </w:t>
      </w:r>
      <w:r w:rsidR="00CD7602" w:rsidRPr="005E7233">
        <w:rPr>
          <w:iCs/>
        </w:rPr>
        <w:t xml:space="preserve">the </w:t>
      </w:r>
      <w:r w:rsidR="00485627" w:rsidRPr="005E7233">
        <w:t>extent of use and financial impact of listing teprotumumab for the treatment of active MS TED. The key inputs utilised in the financial analysis are summarised in</w:t>
      </w:r>
      <w:r w:rsidR="0050107A">
        <w:t xml:space="preserve"> </w:t>
      </w:r>
      <w:r w:rsidR="0051067B">
        <w:fldChar w:fldCharType="begin"/>
      </w:r>
      <w:r w:rsidR="0051067B">
        <w:instrText xml:space="preserve"> REF _Ref195271356 \h  \* MERGEFORMAT </w:instrText>
      </w:r>
      <w:r w:rsidR="0051067B">
        <w:fldChar w:fldCharType="separate"/>
      </w:r>
      <w:r w:rsidR="0012101B" w:rsidRPr="0012101B">
        <w:t>Table 21</w:t>
      </w:r>
      <w:r w:rsidR="0051067B">
        <w:fldChar w:fldCharType="end"/>
      </w:r>
      <w:r w:rsidR="00485627" w:rsidRPr="005E7233">
        <w:t>.</w:t>
      </w:r>
    </w:p>
    <w:p w14:paraId="152CB85C" w14:textId="2E992345" w:rsidR="00846B7C" w:rsidRPr="005E7233" w:rsidRDefault="0050107A" w:rsidP="00293979">
      <w:pPr>
        <w:pStyle w:val="3-BodyText"/>
        <w:keepNext/>
        <w:keepLines/>
        <w:numPr>
          <w:ilvl w:val="0"/>
          <w:numId w:val="0"/>
        </w:numPr>
        <w:spacing w:after="0"/>
        <w:rPr>
          <w:rFonts w:ascii="Arial Narrow" w:hAnsi="Arial Narrow"/>
          <w:b/>
          <w:bCs/>
          <w:iCs/>
          <w:sz w:val="20"/>
          <w:szCs w:val="20"/>
        </w:rPr>
      </w:pPr>
      <w:bookmarkStart w:id="112" w:name="_Ref195271356"/>
      <w:r w:rsidRPr="005E7233">
        <w:rPr>
          <w:rFonts w:ascii="Arial Narrow" w:hAnsi="Arial Narrow"/>
          <w:b/>
          <w:bCs/>
          <w:sz w:val="20"/>
          <w:szCs w:val="18"/>
        </w:rPr>
        <w:lastRenderedPageBreak/>
        <w:t xml:space="preserve">Table </w:t>
      </w:r>
      <w:r w:rsidRPr="005E7233">
        <w:rPr>
          <w:rFonts w:ascii="Arial Narrow" w:hAnsi="Arial Narrow"/>
          <w:b/>
          <w:bCs/>
          <w:sz w:val="20"/>
          <w:szCs w:val="18"/>
        </w:rPr>
        <w:fldChar w:fldCharType="begin"/>
      </w:r>
      <w:r w:rsidRPr="005E7233">
        <w:rPr>
          <w:rFonts w:ascii="Arial Narrow" w:hAnsi="Arial Narrow"/>
          <w:b/>
          <w:bCs/>
          <w:sz w:val="20"/>
          <w:szCs w:val="18"/>
        </w:rPr>
        <w:instrText xml:space="preserve"> SEQ Table \* ARABIC </w:instrText>
      </w:r>
      <w:r w:rsidRPr="005E7233">
        <w:rPr>
          <w:rFonts w:ascii="Arial Narrow" w:hAnsi="Arial Narrow"/>
          <w:b/>
          <w:bCs/>
          <w:sz w:val="20"/>
          <w:szCs w:val="18"/>
        </w:rPr>
        <w:fldChar w:fldCharType="separate"/>
      </w:r>
      <w:r w:rsidR="0012101B">
        <w:rPr>
          <w:rFonts w:ascii="Arial Narrow" w:hAnsi="Arial Narrow"/>
          <w:b/>
          <w:bCs/>
          <w:noProof/>
          <w:sz w:val="20"/>
          <w:szCs w:val="18"/>
        </w:rPr>
        <w:t>21</w:t>
      </w:r>
      <w:r w:rsidRPr="005E7233">
        <w:rPr>
          <w:rFonts w:ascii="Arial Narrow" w:hAnsi="Arial Narrow"/>
          <w:b/>
          <w:bCs/>
          <w:noProof/>
          <w:sz w:val="20"/>
          <w:szCs w:val="18"/>
        </w:rPr>
        <w:fldChar w:fldCharType="end"/>
      </w:r>
      <w:bookmarkEnd w:id="112"/>
      <w:r w:rsidRPr="005E7233">
        <w:rPr>
          <w:rFonts w:ascii="Arial Narrow" w:hAnsi="Arial Narrow"/>
          <w:b/>
          <w:bCs/>
          <w:sz w:val="20"/>
          <w:szCs w:val="18"/>
        </w:rPr>
        <w:t>:</w:t>
      </w:r>
      <w:r w:rsidRPr="005E7233">
        <w:rPr>
          <w:rFonts w:ascii="Arial Narrow" w:hAnsi="Arial Narrow"/>
          <w:b/>
          <w:bCs/>
          <w:sz w:val="20"/>
        </w:rPr>
        <w:t xml:space="preserve"> </w:t>
      </w:r>
      <w:r w:rsidR="00AC4DD3" w:rsidRPr="005E7233">
        <w:rPr>
          <w:rFonts w:ascii="Arial Narrow" w:hAnsi="Arial Narrow"/>
          <w:b/>
          <w:bCs/>
          <w:iCs/>
          <w:sz w:val="20"/>
          <w:szCs w:val="20"/>
        </w:rPr>
        <w:t>Data sources and parameter</w:t>
      </w:r>
      <w:r w:rsidR="0061631C" w:rsidRPr="005E7233">
        <w:rPr>
          <w:rFonts w:ascii="Arial Narrow" w:hAnsi="Arial Narrow"/>
          <w:b/>
          <w:bCs/>
          <w:iCs/>
          <w:sz w:val="20"/>
          <w:szCs w:val="20"/>
        </w:rPr>
        <w:t xml:space="preserve"> values applied in the utilisation and financial </w:t>
      </w:r>
      <w:r w:rsidR="00CD7602" w:rsidRPr="005E7233">
        <w:rPr>
          <w:rFonts w:ascii="Arial Narrow" w:hAnsi="Arial Narrow"/>
          <w:b/>
          <w:sz w:val="20"/>
        </w:rPr>
        <w:t>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174"/>
        <w:gridCol w:w="1883"/>
        <w:gridCol w:w="4485"/>
      </w:tblGrid>
      <w:tr w:rsidR="005F22A9" w:rsidRPr="005E7233" w14:paraId="5E6F13CF" w14:textId="77777777" w:rsidTr="00E80F6A">
        <w:trPr>
          <w:tblHeader/>
        </w:trPr>
        <w:tc>
          <w:tcPr>
            <w:tcW w:w="818" w:type="pct"/>
          </w:tcPr>
          <w:p w14:paraId="4B663446" w14:textId="77777777" w:rsidR="005F22A9" w:rsidRPr="005E7233" w:rsidRDefault="005F22A9" w:rsidP="00293979">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Data</w:t>
            </w:r>
          </w:p>
        </w:tc>
        <w:tc>
          <w:tcPr>
            <w:tcW w:w="651" w:type="pct"/>
          </w:tcPr>
          <w:p w14:paraId="2AF0411D" w14:textId="77777777" w:rsidR="005F22A9" w:rsidRPr="005E7233" w:rsidRDefault="005F22A9" w:rsidP="00293979">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Value</w:t>
            </w:r>
          </w:p>
        </w:tc>
        <w:tc>
          <w:tcPr>
            <w:tcW w:w="1044" w:type="pct"/>
          </w:tcPr>
          <w:p w14:paraId="5DFECDA6" w14:textId="77777777" w:rsidR="005F22A9" w:rsidRPr="005E7233" w:rsidRDefault="005F22A9" w:rsidP="00293979">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Source</w:t>
            </w:r>
          </w:p>
        </w:tc>
        <w:tc>
          <w:tcPr>
            <w:tcW w:w="2488" w:type="pct"/>
          </w:tcPr>
          <w:p w14:paraId="724BBBC3" w14:textId="5169A49C" w:rsidR="005F22A9" w:rsidRPr="005E7233" w:rsidRDefault="005F22A9" w:rsidP="00293979">
            <w:pPr>
              <w:keepNext/>
              <w:keepLines/>
              <w:jc w:val="left"/>
              <w:rPr>
                <w:rFonts w:ascii="Arial Narrow" w:eastAsiaTheme="majorEastAsia" w:hAnsi="Arial Narrow" w:cs="Times New Roman"/>
                <w:b/>
                <w:snapToGrid w:val="0"/>
                <w:sz w:val="20"/>
                <w:szCs w:val="20"/>
                <w:lang w:eastAsia="en-US"/>
              </w:rPr>
            </w:pPr>
            <w:r w:rsidRPr="005E7233">
              <w:rPr>
                <w:rFonts w:ascii="Arial Narrow" w:eastAsiaTheme="majorEastAsia" w:hAnsi="Arial Narrow" w:cs="Times New Roman"/>
                <w:b/>
                <w:snapToGrid w:val="0"/>
                <w:sz w:val="20"/>
                <w:szCs w:val="20"/>
                <w:lang w:eastAsia="en-US"/>
              </w:rPr>
              <w:t>Comments</w:t>
            </w:r>
          </w:p>
        </w:tc>
      </w:tr>
      <w:tr w:rsidR="00A37336" w:rsidRPr="005E7233" w14:paraId="549F4DE7" w14:textId="77777777" w:rsidTr="00D12B92">
        <w:tc>
          <w:tcPr>
            <w:tcW w:w="5000" w:type="pct"/>
            <w:gridSpan w:val="4"/>
          </w:tcPr>
          <w:p w14:paraId="6657E2A9" w14:textId="77777777" w:rsidR="00A37336" w:rsidRPr="005E7233" w:rsidRDefault="00A37336" w:rsidP="00293979">
            <w:pPr>
              <w:keepNext/>
              <w:keepLines/>
              <w:jc w:val="left"/>
              <w:rPr>
                <w:rFonts w:ascii="Arial Narrow" w:hAnsi="Arial Narrow" w:cs="Times New Roman"/>
                <w:b/>
                <w:bCs/>
                <w:snapToGrid w:val="0"/>
                <w:sz w:val="20"/>
                <w:lang w:eastAsia="en-US"/>
              </w:rPr>
            </w:pPr>
            <w:r w:rsidRPr="005E7233">
              <w:rPr>
                <w:rFonts w:ascii="Arial Narrow" w:hAnsi="Arial Narrow" w:cs="Times New Roman"/>
                <w:b/>
                <w:bCs/>
                <w:snapToGrid w:val="0"/>
                <w:sz w:val="20"/>
                <w:lang w:eastAsia="en-US"/>
              </w:rPr>
              <w:t>Eligible population</w:t>
            </w:r>
          </w:p>
        </w:tc>
      </w:tr>
      <w:tr w:rsidR="00E73D0B" w:rsidRPr="005E7233" w14:paraId="585A3376" w14:textId="77777777" w:rsidTr="00293979">
        <w:trPr>
          <w:trHeight w:val="907"/>
        </w:trPr>
        <w:tc>
          <w:tcPr>
            <w:tcW w:w="818" w:type="pct"/>
          </w:tcPr>
          <w:p w14:paraId="6727ACD4" w14:textId="3A8FF7E3" w:rsidR="00E73D0B" w:rsidRPr="005E7233" w:rsidRDefault="00E73D0B"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Incidence rate of active MS TED</w:t>
            </w:r>
          </w:p>
          <w:p w14:paraId="419BFE92" w14:textId="4A6E5F5B" w:rsidR="00E73D0B" w:rsidRPr="005E7233" w:rsidRDefault="006F3074"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 xml:space="preserve">- </w:t>
            </w:r>
            <w:r w:rsidR="00E73D0B" w:rsidRPr="005E7233">
              <w:rPr>
                <w:rFonts w:ascii="Arial Narrow" w:hAnsi="Arial Narrow" w:cs="Times New Roman"/>
                <w:snapToGrid w:val="0"/>
                <w:sz w:val="20"/>
                <w:lang w:eastAsia="en-US"/>
              </w:rPr>
              <w:t>In males</w:t>
            </w:r>
          </w:p>
          <w:p w14:paraId="7E7C6EF5" w14:textId="2DC86EFB" w:rsidR="00E73D0B" w:rsidRPr="005E7233" w:rsidRDefault="006F3074"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w:t>
            </w:r>
            <w:r w:rsidR="00576C8D" w:rsidRPr="005E7233">
              <w:rPr>
                <w:rFonts w:ascii="Arial Narrow" w:hAnsi="Arial Narrow" w:cs="Times New Roman"/>
                <w:snapToGrid w:val="0"/>
                <w:sz w:val="20"/>
                <w:lang w:eastAsia="en-US"/>
              </w:rPr>
              <w:t xml:space="preserve"> </w:t>
            </w:r>
            <w:r w:rsidR="00E73D0B" w:rsidRPr="005E7233">
              <w:rPr>
                <w:rFonts w:ascii="Arial Narrow" w:hAnsi="Arial Narrow" w:cs="Times New Roman"/>
                <w:snapToGrid w:val="0"/>
                <w:sz w:val="20"/>
                <w:lang w:eastAsia="en-US"/>
              </w:rPr>
              <w:t>In females</w:t>
            </w:r>
          </w:p>
        </w:tc>
        <w:tc>
          <w:tcPr>
            <w:tcW w:w="651" w:type="pct"/>
          </w:tcPr>
          <w:p w14:paraId="3004C2D7" w14:textId="77777777" w:rsidR="00E73D0B" w:rsidRPr="005E7233" w:rsidRDefault="00E73D0B"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0.54/100,000</w:t>
            </w:r>
          </w:p>
          <w:p w14:paraId="06B99742" w14:textId="41B38C2B" w:rsidR="00E73D0B" w:rsidRPr="005E7233" w:rsidRDefault="00E73D0B"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2.67/100,000</w:t>
            </w:r>
          </w:p>
        </w:tc>
        <w:tc>
          <w:tcPr>
            <w:tcW w:w="1044" w:type="pct"/>
          </w:tcPr>
          <w:p w14:paraId="18EC61F9" w14:textId="233F8D06" w:rsidR="00E73D0B" w:rsidRPr="005E7233" w:rsidRDefault="00E73D0B" w:rsidP="00293979">
            <w:pPr>
              <w:keepNext/>
              <w:keepLines/>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Bartalena et al., 2020</w:t>
            </w:r>
            <w:r w:rsidR="007929A4">
              <w:rPr>
                <w:rStyle w:val="FootnoteReference"/>
                <w:rFonts w:ascii="Arial Narrow" w:hAnsi="Arial Narrow" w:cs="Times New Roman"/>
                <w:snapToGrid w:val="0"/>
                <w:sz w:val="20"/>
                <w:szCs w:val="20"/>
                <w:lang w:eastAsia="en-US"/>
              </w:rPr>
              <w:footnoteReference w:id="51"/>
            </w:r>
            <w:r w:rsidRPr="005E7233">
              <w:rPr>
                <w:rFonts w:ascii="Arial Narrow" w:hAnsi="Arial Narrow" w:cs="Times New Roman"/>
                <w:snapToGrid w:val="0"/>
                <w:sz w:val="20"/>
                <w:szCs w:val="20"/>
                <w:lang w:eastAsia="en-US"/>
              </w:rPr>
              <w:t xml:space="preserve"> and Laurberg et al., 2012</w:t>
            </w:r>
            <w:r w:rsidR="00BB7102">
              <w:rPr>
                <w:rStyle w:val="FootnoteReference"/>
                <w:rFonts w:ascii="Arial Narrow" w:hAnsi="Arial Narrow" w:cs="Times New Roman"/>
                <w:snapToGrid w:val="0"/>
                <w:sz w:val="20"/>
                <w:szCs w:val="20"/>
                <w:lang w:eastAsia="en-US"/>
              </w:rPr>
              <w:footnoteReference w:id="52"/>
            </w:r>
          </w:p>
        </w:tc>
        <w:tc>
          <w:tcPr>
            <w:tcW w:w="2488" w:type="pct"/>
          </w:tcPr>
          <w:p w14:paraId="1B459B0E" w14:textId="4ADCCA3E" w:rsidR="00E73D0B" w:rsidRPr="005E7233" w:rsidRDefault="00E73D0B"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szCs w:val="20"/>
                <w:lang w:eastAsia="en-US"/>
              </w:rPr>
              <w:t xml:space="preserve">Due to limited data on the incidence of active MS TED, </w:t>
            </w:r>
            <w:r w:rsidR="00954A65">
              <w:rPr>
                <w:rFonts w:ascii="Arial Narrow" w:hAnsi="Arial Narrow" w:cs="Times New Roman"/>
                <w:snapToGrid w:val="0"/>
                <w:sz w:val="20"/>
                <w:szCs w:val="20"/>
                <w:lang w:eastAsia="en-US"/>
              </w:rPr>
              <w:t xml:space="preserve">the evaluation considered that </w:t>
            </w:r>
            <w:r w:rsidR="00197C16">
              <w:rPr>
                <w:rFonts w:ascii="Arial Narrow" w:hAnsi="Arial Narrow" w:cs="Times New Roman"/>
                <w:snapToGrid w:val="0"/>
                <w:sz w:val="20"/>
                <w:szCs w:val="20"/>
                <w:lang w:eastAsia="en-US"/>
              </w:rPr>
              <w:t>the incidence rates applied</w:t>
            </w:r>
            <w:r w:rsidR="00197C16" w:rsidRPr="005E7233">
              <w:rPr>
                <w:rFonts w:ascii="Arial Narrow" w:hAnsi="Arial Narrow" w:cs="Times New Roman"/>
                <w:snapToGrid w:val="0"/>
                <w:sz w:val="20"/>
                <w:szCs w:val="20"/>
                <w:lang w:eastAsia="en-US"/>
              </w:rPr>
              <w:t xml:space="preserve"> </w:t>
            </w:r>
            <w:r w:rsidR="00954A65">
              <w:rPr>
                <w:rFonts w:ascii="Arial Narrow" w:hAnsi="Arial Narrow" w:cs="Times New Roman"/>
                <w:snapToGrid w:val="0"/>
                <w:sz w:val="20"/>
                <w:szCs w:val="20"/>
                <w:lang w:eastAsia="en-US"/>
              </w:rPr>
              <w:t>w</w:t>
            </w:r>
            <w:r w:rsidR="00197C16">
              <w:rPr>
                <w:rFonts w:ascii="Arial Narrow" w:hAnsi="Arial Narrow" w:cs="Times New Roman"/>
                <w:snapToGrid w:val="0"/>
                <w:sz w:val="20"/>
                <w:szCs w:val="20"/>
                <w:lang w:eastAsia="en-US"/>
              </w:rPr>
              <w:t>ere</w:t>
            </w:r>
            <w:r w:rsidR="00954A65" w:rsidRPr="005E7233">
              <w:rPr>
                <w:rFonts w:ascii="Arial Narrow" w:hAnsi="Arial Narrow" w:cs="Times New Roman"/>
                <w:snapToGrid w:val="0"/>
                <w:sz w:val="20"/>
                <w:szCs w:val="20"/>
                <w:lang w:eastAsia="en-US"/>
              </w:rPr>
              <w:t xml:space="preserve"> </w:t>
            </w:r>
            <w:r w:rsidRPr="005E7233">
              <w:rPr>
                <w:rFonts w:ascii="Arial Narrow" w:hAnsi="Arial Narrow" w:cs="Times New Roman"/>
                <w:snapToGrid w:val="0"/>
                <w:sz w:val="20"/>
                <w:szCs w:val="20"/>
                <w:lang w:eastAsia="en-US"/>
              </w:rPr>
              <w:t>uncertain.</w:t>
            </w:r>
            <w:r w:rsidR="005614D0">
              <w:rPr>
                <w:rFonts w:ascii="Arial Narrow" w:hAnsi="Arial Narrow" w:cs="Times New Roman"/>
                <w:snapToGrid w:val="0"/>
                <w:sz w:val="20"/>
                <w:szCs w:val="20"/>
                <w:lang w:eastAsia="en-US"/>
              </w:rPr>
              <w:t xml:space="preserve"> </w:t>
            </w:r>
          </w:p>
        </w:tc>
      </w:tr>
      <w:tr w:rsidR="005F22A9" w:rsidRPr="005E7233" w14:paraId="3F78CD3F" w14:textId="77777777" w:rsidTr="00E80F6A">
        <w:tc>
          <w:tcPr>
            <w:tcW w:w="818" w:type="pct"/>
          </w:tcPr>
          <w:p w14:paraId="48613A8F"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Incident patients</w:t>
            </w:r>
          </w:p>
        </w:tc>
        <w:tc>
          <w:tcPr>
            <w:tcW w:w="651" w:type="pct"/>
          </w:tcPr>
          <w:p w14:paraId="55105D62"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1: 449</w:t>
            </w:r>
          </w:p>
          <w:p w14:paraId="6FDB65D8"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2: 455</w:t>
            </w:r>
          </w:p>
          <w:p w14:paraId="4EDF093A"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3: 462</w:t>
            </w:r>
          </w:p>
          <w:p w14:paraId="5D71D65A"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4: 468</w:t>
            </w:r>
          </w:p>
          <w:p w14:paraId="73392431"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5: 473</w:t>
            </w:r>
          </w:p>
          <w:p w14:paraId="722E6269"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6: 479</w:t>
            </w:r>
          </w:p>
        </w:tc>
        <w:tc>
          <w:tcPr>
            <w:tcW w:w="1044" w:type="pct"/>
          </w:tcPr>
          <w:p w14:paraId="788244A9" w14:textId="7C7D0241"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Estimated incidence rate of active MS TED applied to ABS population projections (2022-2071).</w:t>
            </w:r>
          </w:p>
        </w:tc>
        <w:tc>
          <w:tcPr>
            <w:tcW w:w="2488" w:type="pct"/>
          </w:tcPr>
          <w:p w14:paraId="2E6A4F81" w14:textId="62CC84A0" w:rsidR="005F22A9" w:rsidRPr="005E7233" w:rsidRDefault="005F22A9" w:rsidP="00293979">
            <w:pPr>
              <w:keepNext/>
              <w:keepLines/>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This remains uncertain. See comments above.</w:t>
            </w:r>
          </w:p>
        </w:tc>
      </w:tr>
      <w:tr w:rsidR="005F22A9" w:rsidRPr="005E7233" w14:paraId="14E2921F" w14:textId="77777777" w:rsidTr="00E80F6A">
        <w:tc>
          <w:tcPr>
            <w:tcW w:w="818" w:type="pct"/>
          </w:tcPr>
          <w:p w14:paraId="1866CB5F" w14:textId="77777777" w:rsidR="005F22A9" w:rsidRPr="005E7233" w:rsidRDefault="005F22A9" w:rsidP="00D12B92">
            <w:pPr>
              <w:jc w:val="left"/>
              <w:rPr>
                <w:rFonts w:ascii="Arial Narrow" w:hAnsi="Arial Narrow" w:cs="Times New Roman"/>
                <w:snapToGrid w:val="0"/>
                <w:sz w:val="20"/>
                <w:lang w:eastAsia="en-US"/>
              </w:rPr>
            </w:pPr>
            <w:bookmarkStart w:id="113" w:name="_Hlk190158681"/>
            <w:r w:rsidRPr="005E7233">
              <w:rPr>
                <w:rFonts w:ascii="Arial Narrow" w:hAnsi="Arial Narrow" w:cs="Times New Roman"/>
                <w:snapToGrid w:val="0"/>
                <w:sz w:val="20"/>
                <w:lang w:eastAsia="en-US"/>
              </w:rPr>
              <w:t>Prevalent patients (included only in Year 1)</w:t>
            </w:r>
          </w:p>
        </w:tc>
        <w:tc>
          <w:tcPr>
            <w:tcW w:w="651" w:type="pct"/>
          </w:tcPr>
          <w:p w14:paraId="3A94BB0D" w14:textId="77777777" w:rsidR="005F22A9" w:rsidRPr="005E7233" w:rsidRDefault="005F22A9"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221</w:t>
            </w:r>
          </w:p>
        </w:tc>
        <w:tc>
          <w:tcPr>
            <w:tcW w:w="1044" w:type="pct"/>
          </w:tcPr>
          <w:p w14:paraId="76D8BCC2" w14:textId="5B08E8A2" w:rsidR="005F22A9" w:rsidRPr="005E7233" w:rsidRDefault="005F22A9"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Assumption; 50% of incident patients in 2025 (estimated incidence rate applied to ABS population in 2025).</w:t>
            </w:r>
          </w:p>
        </w:tc>
        <w:tc>
          <w:tcPr>
            <w:tcW w:w="2488" w:type="pct"/>
          </w:tcPr>
          <w:p w14:paraId="5759B716" w14:textId="7FD16803" w:rsidR="005F22A9" w:rsidRPr="005E7233" w:rsidRDefault="005F22A9" w:rsidP="00D12B92">
            <w:pPr>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The financial analysis did not consider retreatment with teprotumumab during the active phase and for treatment of disease reactivation.</w:t>
            </w:r>
          </w:p>
          <w:p w14:paraId="5B5988D1" w14:textId="74029CD2" w:rsidR="005F22A9" w:rsidRPr="005E7233" w:rsidRDefault="005F22A9" w:rsidP="00D12B92">
            <w:pPr>
              <w:jc w:val="left"/>
              <w:rPr>
                <w:rFonts w:ascii="Arial Narrow" w:hAnsi="Arial Narrow" w:cs="Times New Roman"/>
                <w:snapToGrid w:val="0"/>
                <w:sz w:val="20"/>
                <w:lang w:eastAsia="en-US"/>
              </w:rPr>
            </w:pPr>
          </w:p>
        </w:tc>
      </w:tr>
      <w:bookmarkEnd w:id="113"/>
      <w:tr w:rsidR="0059796E" w:rsidRPr="005E7233" w14:paraId="2F1112EF" w14:textId="77777777" w:rsidTr="00E80F6A">
        <w:tc>
          <w:tcPr>
            <w:tcW w:w="818" w:type="pct"/>
          </w:tcPr>
          <w:p w14:paraId="530C5AB8"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 of initiating patients who continue treatment</w:t>
            </w:r>
          </w:p>
        </w:tc>
        <w:tc>
          <w:tcPr>
            <w:tcW w:w="651" w:type="pct"/>
          </w:tcPr>
          <w:p w14:paraId="1C012C2C" w14:textId="74A8D5C5"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100%</w:t>
            </w:r>
          </w:p>
        </w:tc>
        <w:tc>
          <w:tcPr>
            <w:tcW w:w="1044" w:type="pct"/>
          </w:tcPr>
          <w:p w14:paraId="740859F7" w14:textId="0C1DD2EB"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Assumption</w:t>
            </w:r>
          </w:p>
        </w:tc>
        <w:tc>
          <w:tcPr>
            <w:tcW w:w="2488" w:type="pct"/>
          </w:tcPr>
          <w:p w14:paraId="1210F198" w14:textId="5738A5C3" w:rsidR="0059796E" w:rsidRPr="005E7233" w:rsidRDefault="00107F34"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 xml:space="preserve">This </w:t>
            </w:r>
            <w:r w:rsidR="001C469C" w:rsidRPr="005E7233">
              <w:rPr>
                <w:rFonts w:ascii="Arial Narrow" w:hAnsi="Arial Narrow" w:cs="Times New Roman"/>
                <w:snapToGrid w:val="0"/>
                <w:sz w:val="20"/>
                <w:lang w:eastAsia="en-US"/>
              </w:rPr>
              <w:t>was</w:t>
            </w:r>
            <w:r w:rsidR="0059796E" w:rsidRPr="005E7233">
              <w:rPr>
                <w:rFonts w:ascii="Arial Narrow" w:hAnsi="Arial Narrow" w:cs="Times New Roman"/>
                <w:snapToGrid w:val="0"/>
                <w:sz w:val="20"/>
                <w:lang w:eastAsia="en-US"/>
              </w:rPr>
              <w:t xml:space="preserve"> reasonable.</w:t>
            </w:r>
          </w:p>
        </w:tc>
      </w:tr>
      <w:tr w:rsidR="00A37336" w:rsidRPr="005E7233" w14:paraId="31F20D3B" w14:textId="77777777" w:rsidTr="00D12B92">
        <w:tc>
          <w:tcPr>
            <w:tcW w:w="5000" w:type="pct"/>
            <w:gridSpan w:val="4"/>
          </w:tcPr>
          <w:p w14:paraId="3D1035F0" w14:textId="77777777" w:rsidR="00A37336" w:rsidRPr="005E7233" w:rsidRDefault="00A37336" w:rsidP="00D12B92">
            <w:pPr>
              <w:jc w:val="left"/>
              <w:rPr>
                <w:rFonts w:ascii="Arial Narrow" w:hAnsi="Arial Narrow" w:cs="Times New Roman"/>
                <w:b/>
                <w:bCs/>
                <w:snapToGrid w:val="0"/>
                <w:sz w:val="20"/>
                <w:lang w:eastAsia="en-US"/>
              </w:rPr>
            </w:pPr>
            <w:r w:rsidRPr="005E7233">
              <w:rPr>
                <w:rFonts w:ascii="Arial Narrow" w:hAnsi="Arial Narrow" w:cs="Times New Roman"/>
                <w:b/>
                <w:bCs/>
                <w:snapToGrid w:val="0"/>
                <w:sz w:val="20"/>
                <w:lang w:eastAsia="en-US"/>
              </w:rPr>
              <w:t>Treatment utilisation</w:t>
            </w:r>
          </w:p>
        </w:tc>
      </w:tr>
      <w:tr w:rsidR="0059796E" w:rsidRPr="005E7233" w14:paraId="79BB7BD5" w14:textId="77777777" w:rsidTr="00E80F6A">
        <w:tc>
          <w:tcPr>
            <w:tcW w:w="818" w:type="pct"/>
          </w:tcPr>
          <w:p w14:paraId="2DF2707E"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Uptake rate</w:t>
            </w:r>
          </w:p>
        </w:tc>
        <w:tc>
          <w:tcPr>
            <w:tcW w:w="651" w:type="pct"/>
          </w:tcPr>
          <w:p w14:paraId="48D2665E"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1: 85%</w:t>
            </w:r>
          </w:p>
          <w:p w14:paraId="4AAE00C2"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2: 87.5%</w:t>
            </w:r>
          </w:p>
          <w:p w14:paraId="105FFFCD"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3: 90%</w:t>
            </w:r>
          </w:p>
          <w:p w14:paraId="4DE50F79"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4: 92.5%</w:t>
            </w:r>
          </w:p>
          <w:p w14:paraId="678F710B"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5: 95%</w:t>
            </w:r>
          </w:p>
          <w:p w14:paraId="04F095E8"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6: 95%</w:t>
            </w:r>
          </w:p>
        </w:tc>
        <w:tc>
          <w:tcPr>
            <w:tcW w:w="1044" w:type="pct"/>
          </w:tcPr>
          <w:p w14:paraId="1CB38FC5" w14:textId="6F3127A8"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Assumption</w:t>
            </w:r>
          </w:p>
        </w:tc>
        <w:tc>
          <w:tcPr>
            <w:tcW w:w="2488" w:type="pct"/>
          </w:tcPr>
          <w:p w14:paraId="0F95BA51" w14:textId="0575BFFF" w:rsidR="005E692B" w:rsidRDefault="0059796E" w:rsidP="00C945BB">
            <w:pPr>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Since the submission request</w:t>
            </w:r>
            <w:r w:rsidR="00CB57F4">
              <w:rPr>
                <w:rFonts w:ascii="Arial Narrow" w:hAnsi="Arial Narrow" w:cs="Times New Roman"/>
                <w:snapToGrid w:val="0"/>
                <w:sz w:val="20"/>
                <w:szCs w:val="20"/>
                <w:lang w:eastAsia="en-US"/>
              </w:rPr>
              <w:t>ed</w:t>
            </w:r>
            <w:r w:rsidRPr="005E7233">
              <w:rPr>
                <w:rFonts w:ascii="Arial Narrow" w:hAnsi="Arial Narrow" w:cs="Times New Roman"/>
                <w:snapToGrid w:val="0"/>
                <w:sz w:val="20"/>
                <w:szCs w:val="20"/>
                <w:lang w:eastAsia="en-US"/>
              </w:rPr>
              <w:t xml:space="preserve"> a line-agnostic listing, it was assumed that the extent of use of teprotumumab in the 1L and 2L settings would be captured by these uptake rates.</w:t>
            </w:r>
            <w:r w:rsidR="00C945BB">
              <w:rPr>
                <w:rFonts w:ascii="Arial Narrow" w:hAnsi="Arial Narrow" w:cs="Times New Roman"/>
                <w:snapToGrid w:val="0"/>
                <w:sz w:val="20"/>
                <w:szCs w:val="20"/>
                <w:lang w:eastAsia="en-US"/>
              </w:rPr>
              <w:t xml:space="preserve"> </w:t>
            </w:r>
          </w:p>
          <w:p w14:paraId="4DB71928" w14:textId="77777777" w:rsidR="005E692B" w:rsidRDefault="005E692B" w:rsidP="00C945BB">
            <w:pPr>
              <w:jc w:val="left"/>
              <w:rPr>
                <w:rFonts w:ascii="Arial Narrow" w:hAnsi="Arial Narrow" w:cs="Times New Roman"/>
                <w:snapToGrid w:val="0"/>
                <w:sz w:val="20"/>
                <w:szCs w:val="20"/>
                <w:lang w:eastAsia="en-US"/>
              </w:rPr>
            </w:pPr>
          </w:p>
          <w:p w14:paraId="5F451ECD" w14:textId="0BB465B6" w:rsidR="0059796E" w:rsidRPr="005E7233" w:rsidRDefault="00C945BB" w:rsidP="00D12B92">
            <w:pPr>
              <w:jc w:val="left"/>
              <w:rPr>
                <w:rFonts w:ascii="Arial Narrow" w:hAnsi="Arial Narrow" w:cs="Times New Roman"/>
                <w:snapToGrid w:val="0"/>
                <w:sz w:val="20"/>
                <w:lang w:eastAsia="en-US"/>
              </w:rPr>
            </w:pPr>
            <w:r w:rsidRPr="001B2A62">
              <w:rPr>
                <w:rFonts w:ascii="Arial Narrow" w:hAnsi="Arial Narrow" w:cs="Times New Roman"/>
                <w:snapToGrid w:val="0"/>
                <w:sz w:val="20"/>
                <w:szCs w:val="20"/>
                <w:lang w:eastAsia="en-US"/>
              </w:rPr>
              <w:t xml:space="preserve">The </w:t>
            </w:r>
            <w:r w:rsidRPr="001B2A62">
              <w:rPr>
                <w:rFonts w:ascii="Arial Narrow" w:hAnsi="Arial Narrow" w:cs="Times New Roman"/>
                <w:sz w:val="20"/>
              </w:rPr>
              <w:t>DUSC considered this to be an overestimate. Uptake may be lower, particularly in the first 1-2 years as experience develops.</w:t>
            </w:r>
          </w:p>
        </w:tc>
      </w:tr>
      <w:tr w:rsidR="0059796E" w:rsidRPr="005E7233" w:rsidDel="006E75FF" w14:paraId="41E2E6B0" w14:textId="77777777" w:rsidTr="00E80F6A">
        <w:tc>
          <w:tcPr>
            <w:tcW w:w="818" w:type="pct"/>
          </w:tcPr>
          <w:p w14:paraId="288A80A8" w14:textId="77777777" w:rsidR="0059796E" w:rsidRPr="005E7233" w:rsidDel="006E75FF" w:rsidRDefault="0059796E"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Duration of teprotumumab treatment</w:t>
            </w:r>
          </w:p>
        </w:tc>
        <w:tc>
          <w:tcPr>
            <w:tcW w:w="651" w:type="pct"/>
          </w:tcPr>
          <w:p w14:paraId="6476849F" w14:textId="77777777" w:rsidR="0059796E" w:rsidRPr="005E7233" w:rsidDel="006E75FF" w:rsidRDefault="0059796E"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24 weeks</w:t>
            </w:r>
          </w:p>
        </w:tc>
        <w:tc>
          <w:tcPr>
            <w:tcW w:w="1044" w:type="pct"/>
          </w:tcPr>
          <w:p w14:paraId="31CAAE91" w14:textId="51F973A5" w:rsidR="0059796E" w:rsidRPr="005E7233" w:rsidDel="006E75FF" w:rsidRDefault="0059796E"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Draft product information</w:t>
            </w:r>
          </w:p>
        </w:tc>
        <w:tc>
          <w:tcPr>
            <w:tcW w:w="2488" w:type="pct"/>
          </w:tcPr>
          <w:p w14:paraId="20B7AFE0" w14:textId="3B7765FD" w:rsidR="0059796E" w:rsidRPr="005E7233" w:rsidRDefault="00107F34"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 xml:space="preserve">This </w:t>
            </w:r>
            <w:r w:rsidR="001C469C" w:rsidRPr="005E7233">
              <w:rPr>
                <w:rFonts w:ascii="Arial Narrow" w:eastAsiaTheme="majorEastAsia" w:hAnsi="Arial Narrow" w:cstheme="majorBidi"/>
                <w:bCs/>
                <w:snapToGrid w:val="0"/>
                <w:sz w:val="20"/>
                <w:lang w:eastAsia="en-US"/>
              </w:rPr>
              <w:t>was</w:t>
            </w:r>
            <w:r w:rsidR="0059796E" w:rsidRPr="005E7233">
              <w:rPr>
                <w:rFonts w:ascii="Arial Narrow" w:eastAsiaTheme="majorEastAsia" w:hAnsi="Arial Narrow" w:cstheme="majorBidi"/>
                <w:bCs/>
                <w:snapToGrid w:val="0"/>
                <w:sz w:val="20"/>
                <w:lang w:eastAsia="en-US"/>
              </w:rPr>
              <w:t xml:space="preserve"> reasonable.</w:t>
            </w:r>
          </w:p>
        </w:tc>
      </w:tr>
      <w:tr w:rsidR="0059796E" w:rsidRPr="005E7233" w14:paraId="336FFECB" w14:textId="77777777" w:rsidTr="00E80F6A">
        <w:tc>
          <w:tcPr>
            <w:tcW w:w="818" w:type="pct"/>
          </w:tcPr>
          <w:p w14:paraId="38B8BE43" w14:textId="69D667E4"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Treatment compliance for teprotumumab</w:t>
            </w:r>
          </w:p>
        </w:tc>
        <w:tc>
          <w:tcPr>
            <w:tcW w:w="651" w:type="pct"/>
          </w:tcPr>
          <w:p w14:paraId="2267DF64" w14:textId="615C85B2"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91.57%</w:t>
            </w:r>
          </w:p>
        </w:tc>
        <w:tc>
          <w:tcPr>
            <w:tcW w:w="1044" w:type="pct"/>
          </w:tcPr>
          <w:p w14:paraId="05F1CB02"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 xml:space="preserve">TED01RV </w:t>
            </w:r>
            <w:r w:rsidRPr="005E7233">
              <w:rPr>
                <w:rFonts w:ascii="Arial Narrow" w:hAnsi="Arial Narrow" w:cs="Times New Roman"/>
                <w:snapToGrid w:val="0"/>
                <w:sz w:val="20"/>
                <w:lang w:eastAsia="en-US"/>
              </w:rPr>
              <w:fldChar w:fldCharType="begin">
                <w:fldData xml:space="preserve">PEVuZE5vdGU+PENpdGU+PEF1dGhvcj5TbWl0aDwvQXV0aG9yPjxZZWFyPjIwMTc8L1llYXI+PFJl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</w:fldData>
              </w:fldChar>
            </w:r>
            <w:r w:rsidRPr="005E7233">
              <w:rPr>
                <w:rFonts w:ascii="Arial Narrow" w:hAnsi="Arial Narrow" w:cs="Times New Roman"/>
                <w:snapToGrid w:val="0"/>
                <w:sz w:val="20"/>
                <w:lang w:eastAsia="en-US"/>
              </w:rPr>
              <w:instrText xml:space="preserve"> ADDIN EN.CITE </w:instrText>
            </w:r>
            <w:r w:rsidRPr="005E7233">
              <w:rPr>
                <w:rFonts w:ascii="Arial Narrow" w:hAnsi="Arial Narrow" w:cs="Times New Roman"/>
                <w:snapToGrid w:val="0"/>
                <w:sz w:val="20"/>
                <w:lang w:eastAsia="en-US"/>
              </w:rPr>
              <w:fldChar w:fldCharType="begin">
                <w:fldData xml:space="preserve">PEVuZE5vdGU+PENpdGU+PEF1dGhvcj5TbWl0aDwvQXV0aG9yPjxZZWFyPjIwMTc8L1llYXI+PFJl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</w:fldData>
              </w:fldChar>
            </w:r>
            <w:r w:rsidRPr="005E7233">
              <w:rPr>
                <w:rFonts w:ascii="Arial Narrow" w:hAnsi="Arial Narrow" w:cs="Times New Roman"/>
                <w:snapToGrid w:val="0"/>
                <w:sz w:val="20"/>
                <w:lang w:eastAsia="en-US"/>
              </w:rPr>
              <w:instrText xml:space="preserve"> ADDIN EN.CITE.DATA </w:instrText>
            </w:r>
            <w:r w:rsidRPr="005E7233">
              <w:rPr>
                <w:rFonts w:ascii="Arial Narrow" w:hAnsi="Arial Narrow" w:cs="Times New Roman"/>
                <w:snapToGrid w:val="0"/>
                <w:sz w:val="20"/>
                <w:lang w:eastAsia="en-US"/>
              </w:rPr>
            </w:r>
            <w:r w:rsidRPr="005E7233">
              <w:rPr>
                <w:rFonts w:ascii="Arial Narrow" w:hAnsi="Arial Narrow" w:cs="Times New Roman"/>
                <w:snapToGrid w:val="0"/>
                <w:sz w:val="20"/>
                <w:lang w:eastAsia="en-US"/>
              </w:rPr>
              <w:fldChar w:fldCharType="end"/>
            </w:r>
            <w:r w:rsidRPr="005E7233">
              <w:rPr>
                <w:rFonts w:ascii="Arial Narrow" w:hAnsi="Arial Narrow" w:cs="Times New Roman"/>
                <w:snapToGrid w:val="0"/>
                <w:sz w:val="20"/>
                <w:lang w:eastAsia="en-US"/>
              </w:rPr>
            </w:r>
            <w:r w:rsidRPr="005E7233">
              <w:rPr>
                <w:rFonts w:ascii="Arial Narrow" w:hAnsi="Arial Narrow" w:cs="Times New Roman"/>
                <w:snapToGrid w:val="0"/>
                <w:sz w:val="20"/>
                <w:lang w:eastAsia="en-US"/>
              </w:rPr>
              <w:fldChar w:fldCharType="separate"/>
            </w:r>
            <w:r w:rsidRPr="005E7233">
              <w:rPr>
                <w:rFonts w:ascii="Arial Narrow" w:hAnsi="Arial Narrow" w:cs="Times New Roman"/>
                <w:noProof/>
                <w:snapToGrid w:val="0"/>
                <w:sz w:val="20"/>
                <w:vertAlign w:val="superscript"/>
                <w:lang w:eastAsia="en-US"/>
              </w:rPr>
              <w:t>10</w:t>
            </w:r>
            <w:r w:rsidRPr="005E7233">
              <w:rPr>
                <w:rFonts w:ascii="Arial Narrow" w:hAnsi="Arial Narrow" w:cs="Times New Roman"/>
                <w:snapToGrid w:val="0"/>
                <w:sz w:val="20"/>
                <w:lang w:eastAsia="en-US"/>
              </w:rPr>
              <w:fldChar w:fldCharType="end"/>
            </w:r>
            <w:r w:rsidRPr="005E7233">
              <w:rPr>
                <w:rFonts w:ascii="Arial Narrow" w:hAnsi="Arial Narrow" w:cs="Times New Roman"/>
                <w:snapToGrid w:val="0"/>
                <w:sz w:val="20"/>
                <w:lang w:eastAsia="en-US"/>
              </w:rPr>
              <w:t xml:space="preserve"> and OPTIC </w:t>
            </w:r>
            <w:r w:rsidRPr="005E7233">
              <w:rPr>
                <w:rFonts w:ascii="Arial Narrow" w:hAnsi="Arial Narrow" w:cs="Times New Roman"/>
                <w:snapToGrid w:val="0"/>
                <w:sz w:val="20"/>
                <w:lang w:eastAsia="en-US"/>
              </w:rPr>
              <w:fldChar w:fldCharType="begin">
                <w:fldData xml:space="preserve">PEVuZE5vdGU+PENpdGU+PEF1dGhvcj5Eb3VnbGFzPC9BdXRob3I+PFllYXI+MjAyMDwvWWVhcj48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</w:fldData>
              </w:fldChar>
            </w:r>
            <w:r w:rsidRPr="005E7233">
              <w:rPr>
                <w:rFonts w:ascii="Arial Narrow" w:hAnsi="Arial Narrow" w:cs="Times New Roman"/>
                <w:snapToGrid w:val="0"/>
                <w:sz w:val="20"/>
                <w:lang w:eastAsia="en-US"/>
              </w:rPr>
              <w:instrText xml:space="preserve"> ADDIN EN.CITE </w:instrText>
            </w:r>
            <w:r w:rsidRPr="005E7233">
              <w:rPr>
                <w:rFonts w:ascii="Arial Narrow" w:hAnsi="Arial Narrow" w:cs="Times New Roman"/>
                <w:snapToGrid w:val="0"/>
                <w:sz w:val="20"/>
                <w:lang w:eastAsia="en-US"/>
              </w:rPr>
              <w:fldChar w:fldCharType="begin">
                <w:fldData xml:space="preserve">PEVuZE5vdGU+PENpdGU+PEF1dGhvcj5Eb3VnbGFzPC9BdXRob3I+PFllYXI+MjAyMDwvWWVhcj48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</w:fldData>
              </w:fldChar>
            </w:r>
            <w:r w:rsidRPr="005E7233">
              <w:rPr>
                <w:rFonts w:ascii="Arial Narrow" w:hAnsi="Arial Narrow" w:cs="Times New Roman"/>
                <w:snapToGrid w:val="0"/>
                <w:sz w:val="20"/>
                <w:lang w:eastAsia="en-US"/>
              </w:rPr>
              <w:instrText xml:space="preserve"> ADDIN EN.CITE.DATA </w:instrText>
            </w:r>
            <w:r w:rsidRPr="005E7233">
              <w:rPr>
                <w:rFonts w:ascii="Arial Narrow" w:hAnsi="Arial Narrow" w:cs="Times New Roman"/>
                <w:snapToGrid w:val="0"/>
                <w:sz w:val="20"/>
                <w:lang w:eastAsia="en-US"/>
              </w:rPr>
            </w:r>
            <w:r w:rsidRPr="005E7233">
              <w:rPr>
                <w:rFonts w:ascii="Arial Narrow" w:hAnsi="Arial Narrow" w:cs="Times New Roman"/>
                <w:snapToGrid w:val="0"/>
                <w:sz w:val="20"/>
                <w:lang w:eastAsia="en-US"/>
              </w:rPr>
              <w:fldChar w:fldCharType="end"/>
            </w:r>
            <w:r w:rsidRPr="005E7233">
              <w:rPr>
                <w:rFonts w:ascii="Arial Narrow" w:hAnsi="Arial Narrow" w:cs="Times New Roman"/>
                <w:snapToGrid w:val="0"/>
                <w:sz w:val="20"/>
                <w:lang w:eastAsia="en-US"/>
              </w:rPr>
            </w:r>
            <w:r w:rsidRPr="005E7233">
              <w:rPr>
                <w:rFonts w:ascii="Arial Narrow" w:hAnsi="Arial Narrow" w:cs="Times New Roman"/>
                <w:snapToGrid w:val="0"/>
                <w:sz w:val="20"/>
                <w:lang w:eastAsia="en-US"/>
              </w:rPr>
              <w:fldChar w:fldCharType="separate"/>
            </w:r>
            <w:r w:rsidRPr="005E7233">
              <w:rPr>
                <w:rFonts w:ascii="Arial Narrow" w:hAnsi="Arial Narrow" w:cs="Times New Roman"/>
                <w:noProof/>
                <w:snapToGrid w:val="0"/>
                <w:sz w:val="20"/>
                <w:vertAlign w:val="superscript"/>
                <w:lang w:eastAsia="en-US"/>
              </w:rPr>
              <w:t>52</w:t>
            </w:r>
            <w:r w:rsidRPr="005E7233">
              <w:rPr>
                <w:rFonts w:ascii="Arial Narrow" w:hAnsi="Arial Narrow" w:cs="Times New Roman"/>
                <w:snapToGrid w:val="0"/>
                <w:sz w:val="20"/>
                <w:lang w:eastAsia="en-US"/>
              </w:rPr>
              <w:fldChar w:fldCharType="end"/>
            </w:r>
            <w:r w:rsidRPr="005E7233">
              <w:rPr>
                <w:rFonts w:ascii="Arial Narrow" w:hAnsi="Arial Narrow" w:cs="Times New Roman"/>
                <w:snapToGrid w:val="0"/>
                <w:sz w:val="20"/>
                <w:lang w:eastAsia="en-US"/>
              </w:rPr>
              <w:t xml:space="preserve"> trials</w:t>
            </w:r>
          </w:p>
        </w:tc>
        <w:tc>
          <w:tcPr>
            <w:tcW w:w="2488" w:type="pct"/>
          </w:tcPr>
          <w:p w14:paraId="6EB3710C" w14:textId="77777777" w:rsidR="005E692B" w:rsidRDefault="0059796E" w:rsidP="00D12B92">
            <w:pPr>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This was consistent with the economic evaluation. However, in the OPTIC trial, the mean number of doses in the teprotumumab arm was 7.7, resulting in a treatment compliance of 96.25%, which</w:t>
            </w:r>
            <w:r w:rsidR="005C4A86" w:rsidRPr="005E7233">
              <w:rPr>
                <w:rFonts w:ascii="Arial Narrow" w:hAnsi="Arial Narrow" w:cs="Times New Roman"/>
                <w:snapToGrid w:val="0"/>
                <w:sz w:val="20"/>
                <w:szCs w:val="20"/>
                <w:lang w:eastAsia="en-US"/>
              </w:rPr>
              <w:t xml:space="preserve"> </w:t>
            </w:r>
            <w:r w:rsidR="00106FAD" w:rsidRPr="005E7233">
              <w:rPr>
                <w:rFonts w:ascii="Arial Narrow" w:hAnsi="Arial Narrow" w:cs="Times New Roman"/>
                <w:snapToGrid w:val="0"/>
                <w:sz w:val="20"/>
                <w:szCs w:val="20"/>
                <w:lang w:eastAsia="en-US"/>
              </w:rPr>
              <w:t>wa</w:t>
            </w:r>
            <w:r w:rsidRPr="005E7233">
              <w:rPr>
                <w:rFonts w:ascii="Arial Narrow" w:hAnsi="Arial Narrow" w:cs="Times New Roman"/>
                <w:snapToGrid w:val="0"/>
                <w:sz w:val="20"/>
                <w:szCs w:val="20"/>
                <w:lang w:eastAsia="en-US"/>
              </w:rPr>
              <w:t>s higher than that applied in the submission’s base case. While 88% of patients in the TED01RV trial received all 8 infusions, the mean number of doses remains unknown.</w:t>
            </w:r>
            <w:r w:rsidR="009F5B65">
              <w:rPr>
                <w:rFonts w:ascii="Arial Narrow" w:hAnsi="Arial Narrow" w:cs="Times New Roman"/>
                <w:snapToGrid w:val="0"/>
                <w:sz w:val="20"/>
                <w:szCs w:val="20"/>
                <w:lang w:eastAsia="en-US"/>
              </w:rPr>
              <w:t xml:space="preserve"> </w:t>
            </w:r>
          </w:p>
          <w:p w14:paraId="7C8D63D9" w14:textId="77777777" w:rsidR="005E692B" w:rsidRDefault="005E692B" w:rsidP="00D12B92">
            <w:pPr>
              <w:jc w:val="left"/>
              <w:rPr>
                <w:rFonts w:ascii="Arial Narrow" w:hAnsi="Arial Narrow" w:cs="Times New Roman"/>
                <w:snapToGrid w:val="0"/>
                <w:sz w:val="20"/>
                <w:lang w:eastAsia="en-US"/>
              </w:rPr>
            </w:pPr>
          </w:p>
          <w:p w14:paraId="46B22AF0" w14:textId="05ED52C8" w:rsidR="005E692B" w:rsidRDefault="001A4C44" w:rsidP="00D12B92">
            <w:pPr>
              <w:jc w:val="left"/>
              <w:rPr>
                <w:rFonts w:ascii="Arial Narrow" w:hAnsi="Arial Narrow" w:cs="Times New Roman"/>
                <w:snapToGrid w:val="0"/>
                <w:sz w:val="20"/>
                <w:szCs w:val="20"/>
                <w:lang w:eastAsia="en-US"/>
              </w:rPr>
            </w:pPr>
            <w:r>
              <w:rPr>
                <w:rFonts w:ascii="Arial Narrow" w:hAnsi="Arial Narrow" w:cs="Times New Roman"/>
                <w:snapToGrid w:val="0"/>
                <w:sz w:val="20"/>
                <w:lang w:eastAsia="en-US"/>
              </w:rPr>
              <w:t xml:space="preserve">The </w:t>
            </w:r>
            <w:r w:rsidR="0059796E" w:rsidRPr="005E7233">
              <w:rPr>
                <w:rFonts w:ascii="Arial Narrow" w:hAnsi="Arial Narrow" w:cs="Times New Roman"/>
                <w:snapToGrid w:val="0"/>
                <w:sz w:val="20"/>
                <w:lang w:eastAsia="en-US"/>
              </w:rPr>
              <w:t xml:space="preserve">DUSC considered </w:t>
            </w:r>
            <w:r w:rsidR="005E3513" w:rsidRPr="005E7233">
              <w:rPr>
                <w:rFonts w:ascii="Arial Narrow" w:hAnsi="Arial Narrow" w:cs="Times New Roman"/>
                <w:snapToGrid w:val="0"/>
                <w:sz w:val="20"/>
                <w:lang w:eastAsia="en-US"/>
              </w:rPr>
              <w:t>treatment compliance</w:t>
            </w:r>
            <w:r w:rsidR="0059796E" w:rsidRPr="005E7233">
              <w:rPr>
                <w:rFonts w:ascii="Arial Narrow" w:hAnsi="Arial Narrow" w:cs="Times New Roman"/>
                <w:snapToGrid w:val="0"/>
                <w:sz w:val="20"/>
                <w:lang w:eastAsia="en-US"/>
              </w:rPr>
              <w:t xml:space="preserve"> to potentially </w:t>
            </w:r>
            <w:r w:rsidR="00234229" w:rsidRPr="005E7233">
              <w:rPr>
                <w:rFonts w:ascii="Arial Narrow" w:hAnsi="Arial Narrow" w:cs="Times New Roman"/>
                <w:snapToGrid w:val="0"/>
                <w:sz w:val="20"/>
                <w:lang w:eastAsia="en-US"/>
              </w:rPr>
              <w:t xml:space="preserve">have been </w:t>
            </w:r>
            <w:r w:rsidR="0059796E" w:rsidRPr="005E7233">
              <w:rPr>
                <w:rFonts w:ascii="Arial Narrow" w:hAnsi="Arial Narrow" w:cs="Times New Roman"/>
                <w:snapToGrid w:val="0"/>
                <w:sz w:val="20"/>
                <w:lang w:eastAsia="en-US"/>
              </w:rPr>
              <w:t>overestimate</w:t>
            </w:r>
            <w:r w:rsidR="00234229" w:rsidRPr="005E7233">
              <w:rPr>
                <w:rFonts w:ascii="Arial Narrow" w:hAnsi="Arial Narrow" w:cs="Times New Roman"/>
                <w:snapToGrid w:val="0"/>
                <w:sz w:val="20"/>
                <w:lang w:eastAsia="en-US"/>
              </w:rPr>
              <w:t xml:space="preserve">d. </w:t>
            </w:r>
            <w:r w:rsidR="00EA67C0">
              <w:rPr>
                <w:rFonts w:ascii="Arial Narrow" w:hAnsi="Arial Narrow" w:cs="Times New Roman"/>
                <w:snapToGrid w:val="0"/>
                <w:sz w:val="20"/>
                <w:lang w:eastAsia="en-US"/>
              </w:rPr>
              <w:t xml:space="preserve">The </w:t>
            </w:r>
            <w:r w:rsidR="0059796E" w:rsidRPr="005E7233">
              <w:rPr>
                <w:rFonts w:ascii="Arial Narrow" w:hAnsi="Arial Narrow" w:cs="Times New Roman"/>
                <w:snapToGrid w:val="0"/>
                <w:sz w:val="20"/>
                <w:szCs w:val="20"/>
                <w:lang w:eastAsia="en-US"/>
              </w:rPr>
              <w:t xml:space="preserve">DUSC noted that the estimate was consistent with the clinical trials but </w:t>
            </w:r>
            <w:r w:rsidR="00234229" w:rsidRPr="005E7233">
              <w:rPr>
                <w:rFonts w:ascii="Arial Narrow" w:hAnsi="Arial Narrow" w:cs="Times New Roman"/>
                <w:snapToGrid w:val="0"/>
                <w:sz w:val="20"/>
                <w:szCs w:val="20"/>
                <w:lang w:eastAsia="en-US"/>
              </w:rPr>
              <w:t xml:space="preserve">that </w:t>
            </w:r>
            <w:r w:rsidR="0059796E" w:rsidRPr="005E7233">
              <w:rPr>
                <w:rFonts w:ascii="Arial Narrow" w:hAnsi="Arial Narrow" w:cs="Times New Roman"/>
                <w:snapToGrid w:val="0"/>
                <w:sz w:val="20"/>
                <w:szCs w:val="20"/>
                <w:lang w:eastAsia="en-US"/>
              </w:rPr>
              <w:t>real-</w:t>
            </w:r>
            <w:r w:rsidR="0059796E" w:rsidRPr="005E7233">
              <w:rPr>
                <w:rFonts w:ascii="Arial Narrow" w:hAnsi="Arial Narrow" w:cs="Times New Roman"/>
                <w:snapToGrid w:val="0"/>
                <w:sz w:val="20"/>
                <w:szCs w:val="20"/>
                <w:lang w:eastAsia="en-US"/>
              </w:rPr>
              <w:lastRenderedPageBreak/>
              <w:t xml:space="preserve">world compliance is generally lower than under ideal trial conditions. </w:t>
            </w:r>
          </w:p>
          <w:p w14:paraId="7A648D0A" w14:textId="77777777" w:rsidR="005E692B" w:rsidRDefault="005E692B" w:rsidP="00D12B92">
            <w:pPr>
              <w:jc w:val="left"/>
              <w:rPr>
                <w:rFonts w:ascii="Arial Narrow" w:hAnsi="Arial Narrow" w:cs="Times New Roman"/>
                <w:snapToGrid w:val="0"/>
                <w:sz w:val="20"/>
                <w:szCs w:val="20"/>
                <w:lang w:eastAsia="en-US"/>
              </w:rPr>
            </w:pPr>
          </w:p>
          <w:p w14:paraId="7D5EA86B" w14:textId="221B37A9" w:rsidR="0059796E" w:rsidRPr="009F5B65" w:rsidRDefault="00EA67C0" w:rsidP="00D12B92">
            <w:pPr>
              <w:jc w:val="left"/>
              <w:rPr>
                <w:rFonts w:ascii="Arial Narrow" w:hAnsi="Arial Narrow" w:cs="Times New Roman"/>
                <w:snapToGrid w:val="0"/>
                <w:sz w:val="20"/>
                <w:szCs w:val="20"/>
                <w:lang w:eastAsia="en-US"/>
              </w:rPr>
            </w:pPr>
            <w:r>
              <w:rPr>
                <w:rFonts w:ascii="Arial Narrow" w:hAnsi="Arial Narrow" w:cs="Times New Roman"/>
                <w:snapToGrid w:val="0"/>
                <w:sz w:val="20"/>
                <w:szCs w:val="20"/>
                <w:lang w:eastAsia="en-US"/>
              </w:rPr>
              <w:t xml:space="preserve">The </w:t>
            </w:r>
            <w:r w:rsidR="0059796E" w:rsidRPr="005E7233">
              <w:rPr>
                <w:rFonts w:ascii="Arial Narrow" w:hAnsi="Arial Narrow" w:cs="Times New Roman"/>
                <w:snapToGrid w:val="0"/>
                <w:sz w:val="20"/>
                <w:lang w:eastAsia="en-US"/>
              </w:rPr>
              <w:t xml:space="preserve">DUSC noted compliance with </w:t>
            </w:r>
            <w:r w:rsidR="001908BB" w:rsidRPr="005E7233">
              <w:rPr>
                <w:rFonts w:ascii="Arial Narrow" w:hAnsi="Arial Narrow" w:cs="Times New Roman"/>
                <w:snapToGrid w:val="0"/>
                <w:sz w:val="20"/>
                <w:lang w:eastAsia="en-US"/>
              </w:rPr>
              <w:t>IVMP</w:t>
            </w:r>
            <w:r w:rsidR="0059796E" w:rsidRPr="005E7233">
              <w:rPr>
                <w:rFonts w:ascii="Arial Narrow" w:hAnsi="Arial Narrow" w:cs="Times New Roman"/>
                <w:snapToGrid w:val="0"/>
                <w:sz w:val="20"/>
                <w:lang w:eastAsia="en-US"/>
              </w:rPr>
              <w:t xml:space="preserve"> </w:t>
            </w:r>
            <w:r>
              <w:rPr>
                <w:rFonts w:ascii="Arial Narrow" w:hAnsi="Arial Narrow" w:cs="Times New Roman"/>
                <w:snapToGrid w:val="0"/>
                <w:sz w:val="20"/>
                <w:lang w:eastAsia="en-US"/>
              </w:rPr>
              <w:t>was</w:t>
            </w:r>
            <w:r w:rsidR="0059796E" w:rsidRPr="005E7233">
              <w:rPr>
                <w:rFonts w:ascii="Arial Narrow" w:hAnsi="Arial Narrow" w:cs="Times New Roman"/>
                <w:snapToGrid w:val="0"/>
                <w:sz w:val="20"/>
                <w:lang w:eastAsia="en-US"/>
              </w:rPr>
              <w:t xml:space="preserve"> 85%</w:t>
            </w:r>
            <w:r w:rsidR="006D2B05">
              <w:rPr>
                <w:rFonts w:ascii="Arial Narrow" w:hAnsi="Arial Narrow" w:cs="Times New Roman"/>
                <w:snapToGrid w:val="0"/>
                <w:sz w:val="20"/>
                <w:lang w:eastAsia="en-US"/>
              </w:rPr>
              <w:t>,and considered this would be an appropriate proxy measure.</w:t>
            </w:r>
          </w:p>
        </w:tc>
      </w:tr>
      <w:tr w:rsidR="001908BB" w:rsidRPr="005E7233" w:rsidDel="006E75FF" w14:paraId="2968AA36" w14:textId="77777777" w:rsidTr="00E80F6A">
        <w:tc>
          <w:tcPr>
            <w:tcW w:w="818" w:type="pct"/>
          </w:tcPr>
          <w:p w14:paraId="6A8E7734" w14:textId="3581DEC6"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lastRenderedPageBreak/>
              <w:t>Duration of IVMP + MMF treatment</w:t>
            </w:r>
          </w:p>
        </w:tc>
        <w:tc>
          <w:tcPr>
            <w:tcW w:w="651" w:type="pct"/>
          </w:tcPr>
          <w:p w14:paraId="767FEE56" w14:textId="77777777"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12 weeks of IVMP and 24 weeks of MMF treatment</w:t>
            </w:r>
          </w:p>
        </w:tc>
        <w:tc>
          <w:tcPr>
            <w:tcW w:w="1044" w:type="pct"/>
          </w:tcPr>
          <w:p w14:paraId="24E76164" w14:textId="77777777"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EUGOGO protocol</w:t>
            </w:r>
          </w:p>
        </w:tc>
        <w:tc>
          <w:tcPr>
            <w:tcW w:w="2488" w:type="pct"/>
          </w:tcPr>
          <w:p w14:paraId="5EF07554" w14:textId="1475AA86" w:rsidR="001908BB"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This differs from the Royal Victorian Ear and Eye hospital guidelines which suggest</w:t>
            </w:r>
            <w:r w:rsidR="000D5740">
              <w:rPr>
                <w:rFonts w:ascii="Arial Narrow" w:eastAsiaTheme="majorEastAsia" w:hAnsi="Arial Narrow" w:cstheme="majorBidi"/>
                <w:bCs/>
                <w:snapToGrid w:val="0"/>
                <w:sz w:val="20"/>
                <w:lang w:eastAsia="en-US"/>
              </w:rPr>
              <w:t>s the</w:t>
            </w:r>
            <w:r w:rsidRPr="005E7233">
              <w:rPr>
                <w:rFonts w:ascii="Arial Narrow" w:eastAsiaTheme="majorEastAsia" w:hAnsi="Arial Narrow" w:cstheme="majorBidi"/>
                <w:bCs/>
                <w:snapToGrid w:val="0"/>
                <w:sz w:val="20"/>
                <w:lang w:eastAsia="en-US"/>
              </w:rPr>
              <w:t xml:space="preserve"> addition of MMF to IVMP only for patients who do not respond after 3 infusions.</w:t>
            </w:r>
          </w:p>
          <w:p w14:paraId="43EF33F7" w14:textId="77777777" w:rsidR="005E692B" w:rsidRPr="005E7233" w:rsidDel="006E75FF" w:rsidRDefault="005E692B" w:rsidP="00D12B92">
            <w:pPr>
              <w:keepNext/>
              <w:keepLines/>
              <w:jc w:val="left"/>
              <w:rPr>
                <w:rFonts w:ascii="Arial Narrow" w:eastAsiaTheme="majorEastAsia" w:hAnsi="Arial Narrow" w:cstheme="majorBidi"/>
                <w:bCs/>
                <w:snapToGrid w:val="0"/>
                <w:sz w:val="20"/>
                <w:lang w:eastAsia="en-US"/>
              </w:rPr>
            </w:pPr>
          </w:p>
          <w:p w14:paraId="3BBBA9AA" w14:textId="1C398C97" w:rsidR="001908BB" w:rsidRPr="005E7233" w:rsidRDefault="005A39C3" w:rsidP="00D12B92">
            <w:pPr>
              <w:keepNext/>
              <w:keepLines/>
              <w:jc w:val="left"/>
              <w:rPr>
                <w:rFonts w:ascii="Arial Narrow" w:eastAsiaTheme="majorEastAsia" w:hAnsi="Arial Narrow" w:cstheme="majorBidi"/>
                <w:bCs/>
                <w:snapToGrid w:val="0"/>
                <w:sz w:val="20"/>
                <w:lang w:eastAsia="en-US"/>
              </w:rPr>
            </w:pPr>
            <w:r>
              <w:rPr>
                <w:rFonts w:ascii="Arial Narrow" w:eastAsiaTheme="majorEastAsia" w:hAnsi="Arial Narrow" w:cstheme="majorBidi"/>
                <w:bCs/>
                <w:snapToGrid w:val="0"/>
                <w:sz w:val="20"/>
                <w:lang w:eastAsia="en-US"/>
              </w:rPr>
              <w:t xml:space="preserve">The </w:t>
            </w:r>
            <w:r w:rsidR="001908BB" w:rsidRPr="005E7233">
              <w:rPr>
                <w:rFonts w:ascii="Arial Narrow" w:eastAsiaTheme="majorEastAsia" w:hAnsi="Arial Narrow" w:cstheme="majorBidi"/>
                <w:bCs/>
                <w:snapToGrid w:val="0"/>
                <w:sz w:val="20"/>
                <w:lang w:eastAsia="en-US"/>
              </w:rPr>
              <w:t>DUSC considered that the difference with the guidelines will have a small impact on the estimates.</w:t>
            </w:r>
          </w:p>
        </w:tc>
      </w:tr>
      <w:tr w:rsidR="001908BB" w:rsidRPr="005E7233" w:rsidDel="006E75FF" w14:paraId="123CD7B9" w14:textId="77777777" w:rsidTr="00E80F6A">
        <w:tc>
          <w:tcPr>
            <w:tcW w:w="818" w:type="pct"/>
          </w:tcPr>
          <w:p w14:paraId="2F56B016" w14:textId="77777777"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Treatment compliance for IVMP + MMF</w:t>
            </w:r>
          </w:p>
        </w:tc>
        <w:tc>
          <w:tcPr>
            <w:tcW w:w="651" w:type="pct"/>
          </w:tcPr>
          <w:p w14:paraId="2BAE06FF" w14:textId="4BCE1D8E"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85%</w:t>
            </w:r>
          </w:p>
        </w:tc>
        <w:tc>
          <w:tcPr>
            <w:tcW w:w="1044" w:type="pct"/>
          </w:tcPr>
          <w:p w14:paraId="4E4F37A8" w14:textId="2347229F"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inorHAnsi"/>
                <w:bCs/>
                <w:snapToGrid w:val="0"/>
                <w:sz w:val="20"/>
                <w:lang w:eastAsia="en-US"/>
              </w:rPr>
              <w:t>Teprotumumab Advisory Board Meeting minutes</w:t>
            </w:r>
          </w:p>
        </w:tc>
        <w:tc>
          <w:tcPr>
            <w:tcW w:w="2488" w:type="pct"/>
          </w:tcPr>
          <w:p w14:paraId="1F2B089D" w14:textId="27848521" w:rsidR="001908BB" w:rsidRPr="005E7233" w:rsidRDefault="00107F34"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 xml:space="preserve">This </w:t>
            </w:r>
            <w:r w:rsidR="001C469C" w:rsidRPr="005E7233">
              <w:rPr>
                <w:rFonts w:ascii="Arial Narrow" w:eastAsiaTheme="majorEastAsia" w:hAnsi="Arial Narrow" w:cstheme="majorBidi"/>
                <w:bCs/>
                <w:snapToGrid w:val="0"/>
                <w:sz w:val="20"/>
                <w:lang w:eastAsia="en-US"/>
              </w:rPr>
              <w:t>was</w:t>
            </w:r>
            <w:r w:rsidR="001908BB" w:rsidRPr="005E7233">
              <w:rPr>
                <w:rFonts w:ascii="Arial Narrow" w:eastAsiaTheme="majorEastAsia" w:hAnsi="Arial Narrow" w:cstheme="majorBidi"/>
                <w:bCs/>
                <w:snapToGrid w:val="0"/>
                <w:sz w:val="20"/>
                <w:lang w:eastAsia="en-US"/>
              </w:rPr>
              <w:t xml:space="preserve"> reasonable.</w:t>
            </w:r>
          </w:p>
          <w:p w14:paraId="50F64188" w14:textId="77777777" w:rsidR="001908BB" w:rsidRPr="005E7233" w:rsidRDefault="001908BB" w:rsidP="00D12B92">
            <w:pPr>
              <w:keepNext/>
              <w:keepLines/>
              <w:jc w:val="left"/>
              <w:rPr>
                <w:rFonts w:ascii="Arial Narrow" w:eastAsiaTheme="majorEastAsia" w:hAnsi="Arial Narrow" w:cstheme="majorBidi"/>
                <w:bCs/>
                <w:snapToGrid w:val="0"/>
                <w:sz w:val="20"/>
                <w:lang w:eastAsia="en-US"/>
              </w:rPr>
            </w:pPr>
          </w:p>
        </w:tc>
      </w:tr>
      <w:tr w:rsidR="00A37336" w:rsidRPr="005E7233" w14:paraId="2154F41B" w14:textId="77777777" w:rsidTr="00D12B92">
        <w:tc>
          <w:tcPr>
            <w:tcW w:w="5000" w:type="pct"/>
            <w:gridSpan w:val="4"/>
          </w:tcPr>
          <w:p w14:paraId="432C9B77" w14:textId="77777777" w:rsidR="00A37336" w:rsidRPr="005E7233" w:rsidRDefault="00A37336" w:rsidP="00D12B92">
            <w:pPr>
              <w:keepNext/>
              <w:keepLines/>
              <w:jc w:val="left"/>
              <w:rPr>
                <w:rFonts w:ascii="Arial Narrow" w:eastAsiaTheme="majorEastAsia" w:hAnsi="Arial Narrow" w:cstheme="majorBidi"/>
                <w:b/>
                <w:snapToGrid w:val="0"/>
                <w:sz w:val="20"/>
                <w:szCs w:val="20"/>
                <w:lang w:eastAsia="en-US"/>
              </w:rPr>
            </w:pPr>
            <w:r w:rsidRPr="005E7233">
              <w:rPr>
                <w:rFonts w:ascii="Arial Narrow" w:eastAsiaTheme="majorEastAsia" w:hAnsi="Arial Narrow" w:cstheme="majorBidi"/>
                <w:b/>
                <w:snapToGrid w:val="0"/>
                <w:sz w:val="20"/>
                <w:szCs w:val="20"/>
                <w:lang w:eastAsia="en-US"/>
              </w:rPr>
              <w:t>Costs</w:t>
            </w:r>
          </w:p>
        </w:tc>
      </w:tr>
      <w:tr w:rsidR="001908BB" w:rsidRPr="005E7233" w14:paraId="61266333" w14:textId="77777777" w:rsidTr="00E80F6A">
        <w:tc>
          <w:tcPr>
            <w:tcW w:w="818" w:type="pct"/>
          </w:tcPr>
          <w:p w14:paraId="53257B69" w14:textId="77777777" w:rsidR="001908BB" w:rsidRPr="005E7233"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Teprotumumab</w:t>
            </w:r>
          </w:p>
        </w:tc>
        <w:tc>
          <w:tcPr>
            <w:tcW w:w="651" w:type="pct"/>
          </w:tcPr>
          <w:p w14:paraId="5FFC4F8C" w14:textId="38C62FA3" w:rsidR="001908BB" w:rsidRPr="005E7233"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Pr>
                <w:rFonts w:ascii="Arial Narrow" w:eastAsiaTheme="majorEastAsia" w:hAnsi="Arial Narrow" w:cstheme="majorBidi"/>
                <w:bCs/>
                <w:snapToGrid w:val="0"/>
                <w:color w:val="000000"/>
                <w:spacing w:val="52"/>
                <w:sz w:val="20"/>
                <w:shd w:val="solid" w:color="000000" w:fill="000000"/>
                <w:fitText w:val="330" w:id="-694437110"/>
                <w:lang w:eastAsia="en-US"/>
                <w14:textFill>
                  <w14:solidFill>
                    <w14:srgbClr w14:val="000000">
                      <w14:alpha w14:val="100000"/>
                    </w14:srgbClr>
                  </w14:solidFill>
                </w14:textFill>
              </w:rPr>
              <w:t>|||</w:t>
            </w:r>
            <w:r w:rsidR="00BD0449">
              <w:rPr>
                <w:rFonts w:ascii="Arial Narrow" w:eastAsiaTheme="majorEastAsia" w:hAnsi="Arial Narrow" w:cstheme="majorBidi"/>
                <w:bCs/>
                <w:snapToGrid w:val="0"/>
                <w:color w:val="000000"/>
                <w:spacing w:val="2"/>
                <w:sz w:val="20"/>
                <w:shd w:val="solid" w:color="000000" w:fill="000000"/>
                <w:fitText w:val="330" w:id="-694437110"/>
                <w:lang w:eastAsia="en-US"/>
                <w14:textFill>
                  <w14:solidFill>
                    <w14:srgbClr w14:val="000000">
                      <w14:alpha w14:val="100000"/>
                    </w14:srgbClr>
                  </w14:solidFill>
                </w14:textFill>
              </w:rPr>
              <w:t>|</w:t>
            </w:r>
            <w:r w:rsidRPr="005E7233">
              <w:rPr>
                <w:rFonts w:ascii="Arial Narrow" w:eastAsiaTheme="majorEastAsia" w:hAnsi="Arial Narrow" w:cstheme="majorBidi"/>
                <w:bCs/>
                <w:snapToGrid w:val="0"/>
                <w:sz w:val="20"/>
                <w:lang w:eastAsia="en-US"/>
              </w:rPr>
              <w:t xml:space="preserve"> per 500</w:t>
            </w:r>
            <w:r w:rsidR="00B13E9D">
              <w:rPr>
                <w:rFonts w:ascii="Arial Narrow" w:eastAsiaTheme="majorEastAsia" w:hAnsi="Arial Narrow" w:cstheme="majorBidi"/>
                <w:bCs/>
                <w:snapToGrid w:val="0"/>
                <w:sz w:val="20"/>
                <w:lang w:eastAsia="en-US"/>
              </w:rPr>
              <w:t> </w:t>
            </w:r>
            <w:r w:rsidRPr="005E7233">
              <w:rPr>
                <w:rFonts w:ascii="Arial Narrow" w:eastAsiaTheme="majorEastAsia" w:hAnsi="Arial Narrow" w:cstheme="majorBidi"/>
                <w:bCs/>
                <w:snapToGrid w:val="0"/>
                <w:sz w:val="20"/>
                <w:lang w:eastAsia="en-US"/>
              </w:rPr>
              <w:t>mg vial</w:t>
            </w:r>
          </w:p>
        </w:tc>
        <w:tc>
          <w:tcPr>
            <w:tcW w:w="1044" w:type="pct"/>
          </w:tcPr>
          <w:p w14:paraId="6D8496FB" w14:textId="77777777" w:rsidR="001908BB" w:rsidRPr="005E7233"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Proposed AEMP</w:t>
            </w:r>
          </w:p>
        </w:tc>
        <w:tc>
          <w:tcPr>
            <w:tcW w:w="2488" w:type="pct"/>
          </w:tcPr>
          <w:p w14:paraId="0674ACA5" w14:textId="725D90AA" w:rsidR="00107F34" w:rsidRPr="005E7233" w:rsidRDefault="00107F34"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 xml:space="preserve">This </w:t>
            </w:r>
            <w:r w:rsidR="001C469C" w:rsidRPr="005E7233">
              <w:rPr>
                <w:rFonts w:ascii="Arial Narrow" w:eastAsiaTheme="majorEastAsia" w:hAnsi="Arial Narrow" w:cstheme="majorBidi"/>
                <w:bCs/>
                <w:snapToGrid w:val="0"/>
                <w:sz w:val="20"/>
                <w:lang w:eastAsia="en-US"/>
              </w:rPr>
              <w:t>was</w:t>
            </w:r>
            <w:r w:rsidRPr="005E7233">
              <w:rPr>
                <w:rFonts w:ascii="Arial Narrow" w:eastAsiaTheme="majorEastAsia" w:hAnsi="Arial Narrow" w:cstheme="majorBidi"/>
                <w:bCs/>
                <w:snapToGrid w:val="0"/>
                <w:sz w:val="20"/>
                <w:lang w:eastAsia="en-US"/>
              </w:rPr>
              <w:t xml:space="preserve"> reasonable.</w:t>
            </w:r>
          </w:p>
          <w:p w14:paraId="48BBA143" w14:textId="745BF28B" w:rsidR="001908BB" w:rsidRPr="005E7233" w:rsidRDefault="001908BB" w:rsidP="00D12B92">
            <w:pPr>
              <w:keepNext/>
              <w:keepLines/>
              <w:jc w:val="left"/>
              <w:rPr>
                <w:rFonts w:ascii="Arial Narrow" w:eastAsiaTheme="majorEastAsia" w:hAnsi="Arial Narrow" w:cstheme="majorBidi"/>
                <w:bCs/>
                <w:snapToGrid w:val="0"/>
                <w:sz w:val="20"/>
                <w:lang w:eastAsia="en-US"/>
              </w:rPr>
            </w:pPr>
          </w:p>
        </w:tc>
      </w:tr>
      <w:tr w:rsidR="00785F5A" w:rsidRPr="005E7233" w14:paraId="65E493CC" w14:textId="77777777" w:rsidTr="00E80F6A">
        <w:trPr>
          <w:trHeight w:val="167"/>
        </w:trPr>
        <w:tc>
          <w:tcPr>
            <w:tcW w:w="818" w:type="pct"/>
            <w:tcBorders>
              <w:bottom w:val="single" w:sz="4" w:space="0" w:color="auto"/>
            </w:tcBorders>
          </w:tcPr>
          <w:p w14:paraId="18B88FE5"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IVMP</w:t>
            </w:r>
          </w:p>
        </w:tc>
        <w:tc>
          <w:tcPr>
            <w:tcW w:w="651" w:type="pct"/>
            <w:tcBorders>
              <w:bottom w:val="single" w:sz="4" w:space="0" w:color="auto"/>
            </w:tcBorders>
          </w:tcPr>
          <w:p w14:paraId="7B74FB09" w14:textId="33077FAA"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$45.96 per 1</w:t>
            </w:r>
            <w:r w:rsidR="00B13E9D">
              <w:rPr>
                <w:rFonts w:ascii="Arial Narrow" w:eastAsiaTheme="majorEastAsia" w:hAnsi="Arial Narrow" w:cstheme="majorBidi"/>
                <w:bCs/>
                <w:snapToGrid w:val="0"/>
                <w:sz w:val="20"/>
                <w:lang w:eastAsia="en-US"/>
              </w:rPr>
              <w:t> </w:t>
            </w:r>
            <w:r w:rsidRPr="005E7233">
              <w:rPr>
                <w:rFonts w:ascii="Arial Narrow" w:eastAsiaTheme="majorEastAsia" w:hAnsi="Arial Narrow" w:cstheme="majorBidi"/>
                <w:bCs/>
                <w:snapToGrid w:val="0"/>
                <w:sz w:val="20"/>
                <w:lang w:eastAsia="en-US"/>
              </w:rPr>
              <w:t>g vial</w:t>
            </w:r>
          </w:p>
        </w:tc>
        <w:tc>
          <w:tcPr>
            <w:tcW w:w="1044" w:type="pct"/>
            <w:vMerge w:val="restart"/>
          </w:tcPr>
          <w:p w14:paraId="51CF86F9"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DPMQs, PBS item numbers 5264C, 2193K</w:t>
            </w:r>
          </w:p>
        </w:tc>
        <w:tc>
          <w:tcPr>
            <w:tcW w:w="2488" w:type="pct"/>
            <w:vMerge w:val="restart"/>
          </w:tcPr>
          <w:p w14:paraId="5B51A2EF" w14:textId="7CBF509C" w:rsidR="00785F5A" w:rsidRPr="005E7233" w:rsidRDefault="001C469C"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This</w:t>
            </w:r>
            <w:r w:rsidR="00785F5A" w:rsidRPr="005E7233">
              <w:rPr>
                <w:rFonts w:ascii="Arial Narrow" w:eastAsiaTheme="majorEastAsia" w:hAnsi="Arial Narrow" w:cstheme="majorBidi"/>
                <w:bCs/>
                <w:snapToGrid w:val="0"/>
                <w:sz w:val="20"/>
                <w:lang w:eastAsia="en-US"/>
              </w:rPr>
              <w:t xml:space="preserve"> was reasonable.</w:t>
            </w:r>
          </w:p>
        </w:tc>
      </w:tr>
      <w:tr w:rsidR="00785F5A" w:rsidRPr="005E7233" w14:paraId="4D9FBC0C" w14:textId="77777777" w:rsidTr="00E80F6A">
        <w:trPr>
          <w:trHeight w:val="557"/>
        </w:trPr>
        <w:tc>
          <w:tcPr>
            <w:tcW w:w="818" w:type="pct"/>
            <w:tcBorders>
              <w:bottom w:val="single" w:sz="4" w:space="0" w:color="auto"/>
            </w:tcBorders>
          </w:tcPr>
          <w:p w14:paraId="0D06E54F"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MMF</w:t>
            </w:r>
          </w:p>
        </w:tc>
        <w:tc>
          <w:tcPr>
            <w:tcW w:w="651" w:type="pct"/>
            <w:tcBorders>
              <w:bottom w:val="single" w:sz="4" w:space="0" w:color="auto"/>
            </w:tcBorders>
          </w:tcPr>
          <w:p w14:paraId="5C97C643" w14:textId="4CCBEC6D"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$202.14 per pack (360mg x 120 capsules)</w:t>
            </w:r>
          </w:p>
        </w:tc>
        <w:tc>
          <w:tcPr>
            <w:tcW w:w="1044" w:type="pct"/>
            <w:vMerge/>
          </w:tcPr>
          <w:p w14:paraId="459DEBE1"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p>
        </w:tc>
        <w:tc>
          <w:tcPr>
            <w:tcW w:w="2488" w:type="pct"/>
            <w:vMerge/>
          </w:tcPr>
          <w:p w14:paraId="7994697C" w14:textId="66D99493" w:rsidR="00785F5A" w:rsidRPr="005E7233" w:rsidRDefault="00785F5A" w:rsidP="00D12B92">
            <w:pPr>
              <w:keepNext/>
              <w:keepLines/>
              <w:jc w:val="left"/>
              <w:rPr>
                <w:rFonts w:ascii="Arial Narrow" w:eastAsiaTheme="majorEastAsia" w:hAnsi="Arial Narrow" w:cstheme="majorBidi"/>
                <w:bCs/>
                <w:snapToGrid w:val="0"/>
                <w:sz w:val="20"/>
                <w:lang w:eastAsia="en-US"/>
              </w:rPr>
            </w:pPr>
          </w:p>
        </w:tc>
      </w:tr>
      <w:tr w:rsidR="00785F5A" w:rsidRPr="005E7233" w14:paraId="18AA1EBF" w14:textId="77777777" w:rsidTr="00E80F6A">
        <w:tc>
          <w:tcPr>
            <w:tcW w:w="818" w:type="pct"/>
          </w:tcPr>
          <w:p w14:paraId="03FDF7E6"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Patient copayment</w:t>
            </w:r>
          </w:p>
        </w:tc>
        <w:tc>
          <w:tcPr>
            <w:tcW w:w="651" w:type="pct"/>
          </w:tcPr>
          <w:p w14:paraId="411BD65F"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PBS: $15.87</w:t>
            </w:r>
          </w:p>
          <w:p w14:paraId="63FBCD9B"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RPBS: $4.15</w:t>
            </w:r>
          </w:p>
        </w:tc>
        <w:tc>
          <w:tcPr>
            <w:tcW w:w="1044" w:type="pct"/>
          </w:tcPr>
          <w:p w14:paraId="4E0B9E02"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PBS utilisation statistics for items: 5264C, 2193K</w:t>
            </w:r>
          </w:p>
        </w:tc>
        <w:tc>
          <w:tcPr>
            <w:tcW w:w="2488" w:type="pct"/>
          </w:tcPr>
          <w:p w14:paraId="1D587F1D" w14:textId="49D3210C" w:rsidR="00785F5A" w:rsidRPr="005E7233" w:rsidRDefault="001C469C"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This</w:t>
            </w:r>
            <w:r w:rsidR="00785F5A" w:rsidRPr="005E7233">
              <w:rPr>
                <w:rFonts w:ascii="Arial Narrow" w:eastAsiaTheme="majorEastAsia" w:hAnsi="Arial Narrow" w:cstheme="majorBidi"/>
                <w:bCs/>
                <w:snapToGrid w:val="0"/>
                <w:sz w:val="20"/>
                <w:lang w:eastAsia="en-US"/>
              </w:rPr>
              <w:t xml:space="preserve"> was reasonable.</w:t>
            </w:r>
          </w:p>
          <w:p w14:paraId="67112AF6"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p>
        </w:tc>
      </w:tr>
      <w:tr w:rsidR="00785F5A" w:rsidRPr="005E7233" w14:paraId="3155C591" w14:textId="77777777" w:rsidTr="00E80F6A">
        <w:tc>
          <w:tcPr>
            <w:tcW w:w="818" w:type="pct"/>
            <w:tcBorders>
              <w:bottom w:val="single" w:sz="4" w:space="0" w:color="auto"/>
            </w:tcBorders>
          </w:tcPr>
          <w:p w14:paraId="516A5722"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MBS items</w:t>
            </w:r>
          </w:p>
        </w:tc>
        <w:tc>
          <w:tcPr>
            <w:tcW w:w="651" w:type="pct"/>
            <w:tcBorders>
              <w:bottom w:val="single" w:sz="4" w:space="0" w:color="auto"/>
            </w:tcBorders>
          </w:tcPr>
          <w:p w14:paraId="779D93B5"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p>
        </w:tc>
        <w:tc>
          <w:tcPr>
            <w:tcW w:w="1044" w:type="pct"/>
            <w:tcBorders>
              <w:bottom w:val="single" w:sz="4" w:space="0" w:color="auto"/>
            </w:tcBorders>
          </w:tcPr>
          <w:p w14:paraId="73387738" w14:textId="3D509CCA"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Not included.</w:t>
            </w:r>
          </w:p>
        </w:tc>
        <w:tc>
          <w:tcPr>
            <w:tcW w:w="2488" w:type="pct"/>
            <w:tcBorders>
              <w:bottom w:val="single" w:sz="4" w:space="0" w:color="auto"/>
            </w:tcBorders>
          </w:tcPr>
          <w:p w14:paraId="6D4CB940" w14:textId="77777777" w:rsidR="005E692B" w:rsidRDefault="00785F5A" w:rsidP="00D12B92">
            <w:pPr>
              <w:keepNext/>
              <w:keepLines/>
              <w:jc w:val="left"/>
              <w:rPr>
                <w:rFonts w:ascii="Arial Narrow" w:eastAsiaTheme="majorEastAsia" w:hAnsi="Arial Narrow" w:cstheme="majorBidi"/>
                <w:snapToGrid w:val="0"/>
                <w:sz w:val="20"/>
                <w:szCs w:val="20"/>
                <w:lang w:eastAsia="en-US"/>
              </w:rPr>
            </w:pPr>
            <w:r w:rsidRPr="005E7233">
              <w:rPr>
                <w:rFonts w:ascii="Arial Narrow" w:eastAsiaTheme="majorEastAsia" w:hAnsi="Arial Narrow" w:cstheme="majorBidi"/>
                <w:snapToGrid w:val="0"/>
                <w:sz w:val="20"/>
                <w:szCs w:val="20"/>
                <w:lang w:eastAsia="en-US"/>
              </w:rPr>
              <w:t>This was not appropriate given that teprotumumab and IV</w:t>
            </w:r>
            <w:r w:rsidR="00A65D23" w:rsidRPr="005E7233">
              <w:rPr>
                <w:rFonts w:ascii="Arial Narrow" w:eastAsiaTheme="majorEastAsia" w:hAnsi="Arial Narrow" w:cstheme="majorBidi"/>
                <w:snapToGrid w:val="0"/>
                <w:sz w:val="20"/>
                <w:szCs w:val="20"/>
                <w:lang w:eastAsia="en-US"/>
              </w:rPr>
              <w:t>M</w:t>
            </w:r>
            <w:r w:rsidRPr="005E7233">
              <w:rPr>
                <w:rFonts w:ascii="Arial Narrow" w:eastAsiaTheme="majorEastAsia" w:hAnsi="Arial Narrow" w:cstheme="majorBidi"/>
                <w:snapToGrid w:val="0"/>
                <w:sz w:val="20"/>
                <w:szCs w:val="20"/>
                <w:lang w:eastAsia="en-US"/>
              </w:rPr>
              <w:t>P are administered intravenously and for different treatment durations and dosing schedules. Further, if teprotumumab is listed as a line</w:t>
            </w:r>
            <w:r w:rsidR="00A65D23" w:rsidRPr="005E7233">
              <w:rPr>
                <w:rFonts w:ascii="Arial Narrow" w:eastAsiaTheme="majorEastAsia" w:hAnsi="Arial Narrow" w:cstheme="majorBidi"/>
                <w:snapToGrid w:val="0"/>
                <w:sz w:val="20"/>
                <w:szCs w:val="20"/>
                <w:lang w:eastAsia="en-US"/>
              </w:rPr>
              <w:t xml:space="preserve"> </w:t>
            </w:r>
            <w:r w:rsidRPr="005E7233">
              <w:rPr>
                <w:rFonts w:ascii="Arial Narrow" w:eastAsiaTheme="majorEastAsia" w:hAnsi="Arial Narrow" w:cstheme="majorBidi"/>
                <w:snapToGrid w:val="0"/>
                <w:sz w:val="20"/>
                <w:szCs w:val="20"/>
                <w:lang w:eastAsia="en-US"/>
              </w:rPr>
              <w:t xml:space="preserve">agnostic treatment, there may be offsets associated with a reduction in use of orbital radiotherapy. </w:t>
            </w:r>
          </w:p>
          <w:p w14:paraId="6859C2C9" w14:textId="77777777" w:rsidR="005E692B" w:rsidRDefault="005E692B" w:rsidP="00D12B92">
            <w:pPr>
              <w:keepNext/>
              <w:keepLines/>
              <w:jc w:val="left"/>
              <w:rPr>
                <w:rFonts w:ascii="Arial Narrow" w:eastAsiaTheme="majorEastAsia" w:hAnsi="Arial Narrow" w:cstheme="majorBidi"/>
                <w:snapToGrid w:val="0"/>
                <w:sz w:val="20"/>
                <w:szCs w:val="20"/>
                <w:lang w:eastAsia="en-US"/>
              </w:rPr>
            </w:pPr>
          </w:p>
          <w:p w14:paraId="0CE46726" w14:textId="3F7BF4F3" w:rsidR="00785F5A" w:rsidRPr="005E7233" w:rsidRDefault="00F745BB" w:rsidP="00D12B92">
            <w:pPr>
              <w:keepNext/>
              <w:keepLines/>
              <w:jc w:val="left"/>
              <w:rPr>
                <w:rFonts w:ascii="Arial Narrow" w:eastAsiaTheme="majorEastAsia" w:hAnsi="Arial Narrow" w:cstheme="majorBidi"/>
                <w:snapToGrid w:val="0"/>
                <w:sz w:val="20"/>
                <w:szCs w:val="20"/>
                <w:lang w:eastAsia="en-US"/>
              </w:rPr>
            </w:pPr>
            <w:r>
              <w:rPr>
                <w:rFonts w:ascii="Arial Narrow" w:eastAsiaTheme="majorEastAsia" w:hAnsi="Arial Narrow" w:cstheme="majorBidi"/>
                <w:snapToGrid w:val="0"/>
                <w:sz w:val="20"/>
                <w:szCs w:val="20"/>
                <w:lang w:eastAsia="en-US"/>
              </w:rPr>
              <w:t xml:space="preserve">The </w:t>
            </w:r>
            <w:r w:rsidR="00785F5A" w:rsidRPr="005E7233">
              <w:rPr>
                <w:rFonts w:ascii="Arial Narrow" w:eastAsiaTheme="majorEastAsia" w:hAnsi="Arial Narrow" w:cstheme="majorBidi"/>
                <w:snapToGrid w:val="0"/>
                <w:sz w:val="20"/>
                <w:szCs w:val="20"/>
                <w:lang w:eastAsia="en-US"/>
              </w:rPr>
              <w:t>DUSC considered that the cost of baseline and regular hearing tests should</w:t>
            </w:r>
            <w:r w:rsidR="00FA04B2">
              <w:rPr>
                <w:rFonts w:ascii="Arial Narrow" w:eastAsiaTheme="majorEastAsia" w:hAnsi="Arial Narrow" w:cstheme="majorBidi"/>
                <w:snapToGrid w:val="0"/>
                <w:sz w:val="20"/>
                <w:szCs w:val="20"/>
                <w:lang w:eastAsia="en-US"/>
              </w:rPr>
              <w:t xml:space="preserve"> also</w:t>
            </w:r>
            <w:r w:rsidR="00785F5A" w:rsidRPr="005E7233">
              <w:rPr>
                <w:rFonts w:ascii="Arial Narrow" w:eastAsiaTheme="majorEastAsia" w:hAnsi="Arial Narrow" w:cstheme="majorBidi"/>
                <w:snapToGrid w:val="0"/>
                <w:sz w:val="20"/>
                <w:szCs w:val="20"/>
                <w:lang w:eastAsia="en-US"/>
              </w:rPr>
              <w:t xml:space="preserve"> be included and </w:t>
            </w:r>
            <w:r w:rsidR="00943EDD">
              <w:rPr>
                <w:rFonts w:ascii="Arial Narrow" w:eastAsiaTheme="majorEastAsia" w:hAnsi="Arial Narrow" w:cstheme="majorBidi"/>
                <w:snapToGrid w:val="0"/>
                <w:sz w:val="20"/>
                <w:szCs w:val="20"/>
                <w:lang w:eastAsia="en-US"/>
              </w:rPr>
              <w:t xml:space="preserve">also considered </w:t>
            </w:r>
            <w:r w:rsidR="00785F5A" w:rsidRPr="005E7233">
              <w:rPr>
                <w:rFonts w:ascii="Arial Narrow" w:eastAsiaTheme="majorEastAsia" w:hAnsi="Arial Narrow" w:cstheme="majorBidi"/>
                <w:snapToGrid w:val="0"/>
                <w:sz w:val="20"/>
                <w:szCs w:val="20"/>
                <w:lang w:eastAsia="en-US"/>
              </w:rPr>
              <w:t xml:space="preserve">that there may be </w:t>
            </w:r>
            <w:r w:rsidR="005A366C">
              <w:rPr>
                <w:rFonts w:ascii="Arial Narrow" w:eastAsiaTheme="majorEastAsia" w:hAnsi="Arial Narrow" w:cstheme="majorBidi"/>
                <w:snapToGrid w:val="0"/>
                <w:sz w:val="20"/>
                <w:szCs w:val="20"/>
                <w:lang w:eastAsia="en-US"/>
              </w:rPr>
              <w:t xml:space="preserve">cost </w:t>
            </w:r>
            <w:r w:rsidR="00785F5A" w:rsidRPr="005E7233">
              <w:rPr>
                <w:rFonts w:ascii="Arial Narrow" w:eastAsiaTheme="majorEastAsia" w:hAnsi="Arial Narrow" w:cstheme="majorBidi"/>
                <w:snapToGrid w:val="0"/>
                <w:sz w:val="20"/>
                <w:szCs w:val="20"/>
                <w:lang w:eastAsia="en-US"/>
              </w:rPr>
              <w:t xml:space="preserve">offsets associated with a reduction in use of orbital radiotherapy. </w:t>
            </w:r>
          </w:p>
        </w:tc>
      </w:tr>
    </w:tbl>
    <w:p w14:paraId="42891E52" w14:textId="7596201C" w:rsidR="00A37336" w:rsidRPr="005E7233" w:rsidRDefault="00A37336" w:rsidP="00A37336">
      <w:pPr>
        <w:keepLines/>
        <w:spacing w:after="120"/>
        <w:contextualSpacing/>
        <w:rPr>
          <w:rFonts w:ascii="Arial Narrow" w:hAnsi="Arial Narrow"/>
          <w:snapToGrid w:val="0"/>
          <w:sz w:val="18"/>
          <w:szCs w:val="18"/>
          <w:lang w:eastAsia="en-US"/>
        </w:rPr>
      </w:pPr>
      <w:r w:rsidRPr="005E7233">
        <w:rPr>
          <w:rFonts w:ascii="Arial Narrow" w:hAnsi="Arial Narrow"/>
          <w:snapToGrid w:val="0"/>
          <w:sz w:val="18"/>
          <w:szCs w:val="18"/>
          <w:lang w:eastAsia="en-US"/>
        </w:rPr>
        <w:t xml:space="preserve">Source: </w:t>
      </w:r>
      <w:r w:rsidR="002841FE" w:rsidRPr="005E7233">
        <w:rPr>
          <w:rFonts w:ascii="Arial Narrow" w:hAnsi="Arial Narrow"/>
          <w:snapToGrid w:val="0"/>
          <w:sz w:val="18"/>
          <w:szCs w:val="22"/>
        </w:rPr>
        <w:t>Table 4-2, p223 of the submission and the DUSC Advice for teprotumumab</w:t>
      </w:r>
    </w:p>
    <w:p w14:paraId="215D170B" w14:textId="1B5AC75D" w:rsidR="00A37336" w:rsidRPr="005E7233" w:rsidRDefault="00A37336" w:rsidP="00A37336">
      <w:pPr>
        <w:keepLines/>
        <w:spacing w:after="120"/>
        <w:contextualSpacing/>
        <w:rPr>
          <w:rFonts w:ascii="Arial Narrow" w:hAnsi="Arial Narrow"/>
          <w:snapToGrid w:val="0"/>
          <w:sz w:val="18"/>
          <w:szCs w:val="18"/>
          <w:lang w:eastAsia="en-US"/>
        </w:rPr>
      </w:pPr>
      <w:r w:rsidRPr="005E7233">
        <w:rPr>
          <w:rFonts w:ascii="Arial Narrow" w:hAnsi="Arial Narrow"/>
          <w:snapToGrid w:val="0"/>
          <w:sz w:val="18"/>
          <w:szCs w:val="18"/>
          <w:lang w:eastAsia="en-US"/>
        </w:rPr>
        <w:t>1L = first-line; 2L = second-line; ABS = Australian Bureau of Statistics; AEMP = approved ex-manufacturer price; DPMQs = dispensed price for maximum quantities; IVMP = intravenous methylprednisolone; MMF = mycophenolate mofetil; TED = thyroid eye disease</w:t>
      </w:r>
    </w:p>
    <w:p w14:paraId="3BFC72A0" w14:textId="4639F15B" w:rsidR="008976A7" w:rsidRPr="005E7233" w:rsidRDefault="008976A7" w:rsidP="00303DD3">
      <w:pPr>
        <w:numPr>
          <w:ilvl w:val="1"/>
          <w:numId w:val="6"/>
        </w:numPr>
        <w:spacing w:before="240" w:after="60"/>
        <w:rPr>
          <w:rFonts w:asciiTheme="minorHAnsi" w:eastAsiaTheme="minorHAnsi" w:hAnsiTheme="minorHAnsi" w:cstheme="minorBidi"/>
          <w:szCs w:val="22"/>
        </w:rPr>
      </w:pPr>
      <w:r w:rsidRPr="005E7233">
        <w:rPr>
          <w:rFonts w:asciiTheme="minorHAnsi" w:eastAsiaTheme="minorHAnsi" w:hAnsiTheme="minorHAnsi" w:cstheme="minorBidi"/>
          <w:szCs w:val="22"/>
        </w:rPr>
        <w:t xml:space="preserve">The incidence rates of active MS TED were sourced from a study that reported incidence rates of TED in Sweden, Minnesota and Denmark. The incidence rates from the Danish study, which was a prospective registry-based study of 143 newly diagnosed patients between 1992 and 2009 in Denmark, was utilised in the submission as it reported incidence rates of active MS TED in males and females. There is limited data to accurately inform the incidence of active MS TED </w:t>
      </w:r>
      <w:r w:rsidR="00025CAF">
        <w:rPr>
          <w:rFonts w:asciiTheme="minorHAnsi" w:eastAsiaTheme="minorHAnsi" w:hAnsiTheme="minorHAnsi" w:cstheme="minorBidi"/>
          <w:szCs w:val="22"/>
        </w:rPr>
        <w:t>a</w:t>
      </w:r>
      <w:r w:rsidR="00444CC1">
        <w:rPr>
          <w:rFonts w:asciiTheme="minorHAnsi" w:eastAsiaTheme="minorHAnsi" w:hAnsiTheme="minorHAnsi" w:cstheme="minorBidi"/>
          <w:szCs w:val="22"/>
        </w:rPr>
        <w:t>nd t</w:t>
      </w:r>
      <w:r w:rsidRPr="005E7233">
        <w:rPr>
          <w:rFonts w:asciiTheme="minorHAnsi" w:eastAsiaTheme="minorHAnsi" w:hAnsiTheme="minorHAnsi" w:cstheme="minorBidi"/>
          <w:szCs w:val="22"/>
        </w:rPr>
        <w:t xml:space="preserve">hus, the incidence of active MS TED remains largely uncertain. </w:t>
      </w:r>
      <w:r w:rsidR="0023767D">
        <w:rPr>
          <w:rFonts w:asciiTheme="minorHAnsi" w:eastAsiaTheme="minorHAnsi" w:hAnsiTheme="minorHAnsi" w:cstheme="minorBidi"/>
          <w:szCs w:val="22"/>
        </w:rPr>
        <w:t xml:space="preserve">The </w:t>
      </w:r>
      <w:r w:rsidR="0023767D" w:rsidRPr="0023767D">
        <w:rPr>
          <w:rFonts w:asciiTheme="minorHAnsi" w:eastAsiaTheme="minorHAnsi" w:hAnsiTheme="minorHAnsi" w:cstheme="minorBidi"/>
          <w:szCs w:val="22"/>
        </w:rPr>
        <w:t xml:space="preserve">DUSC </w:t>
      </w:r>
      <w:r w:rsidR="001166E0">
        <w:rPr>
          <w:rFonts w:asciiTheme="minorHAnsi" w:eastAsiaTheme="minorHAnsi" w:hAnsiTheme="minorHAnsi" w:cstheme="minorBidi"/>
          <w:szCs w:val="22"/>
        </w:rPr>
        <w:t xml:space="preserve">agreed with the evaluation and </w:t>
      </w:r>
      <w:r w:rsidR="0023767D" w:rsidRPr="0023767D">
        <w:rPr>
          <w:rFonts w:asciiTheme="minorHAnsi" w:eastAsiaTheme="minorHAnsi" w:hAnsiTheme="minorHAnsi" w:cstheme="minorBidi"/>
          <w:szCs w:val="22"/>
        </w:rPr>
        <w:t>considered that the</w:t>
      </w:r>
      <w:r w:rsidR="0023767D">
        <w:rPr>
          <w:rFonts w:asciiTheme="minorHAnsi" w:eastAsiaTheme="minorHAnsi" w:hAnsiTheme="minorHAnsi" w:cstheme="minorBidi"/>
          <w:szCs w:val="22"/>
        </w:rPr>
        <w:t xml:space="preserve"> incidence</w:t>
      </w:r>
      <w:r w:rsidR="0023767D" w:rsidRPr="0023767D">
        <w:rPr>
          <w:rFonts w:asciiTheme="minorHAnsi" w:eastAsiaTheme="minorHAnsi" w:hAnsiTheme="minorHAnsi" w:cstheme="minorBidi"/>
          <w:szCs w:val="22"/>
        </w:rPr>
        <w:t xml:space="preserve"> estimates were uncertain, with the potential to be under or over estimated.</w:t>
      </w:r>
    </w:p>
    <w:p w14:paraId="2B076198" w14:textId="7E1D55F6" w:rsidR="0032375E" w:rsidRPr="005E7233" w:rsidRDefault="008F44FF" w:rsidP="008E5C47">
      <w:pPr>
        <w:pStyle w:val="3-BodyText"/>
      </w:pPr>
      <w:r w:rsidRPr="005E7233">
        <w:lastRenderedPageBreak/>
        <w:t xml:space="preserve">A prevalent population was included in Year 1 only and was estimated by assuming that 50% of the incidence patients diagnosed in the year before listing would fail IVMP therapy and be eligible for teprotumumab therapy. The approach utilised in the submission did not consider retreatment after not responding to teprotumumab or after relapsing following prior teprotumumab during the active phase </w:t>
      </w:r>
      <w:r w:rsidR="00E65835" w:rsidRPr="005E7233">
        <w:t>and</w:t>
      </w:r>
      <w:r w:rsidRPr="005E7233">
        <w:t xml:space="preserve"> did not consider the use of teprotumumab to treat reactivation of disease. Overall, the </w:t>
      </w:r>
      <w:r w:rsidR="00E65835" w:rsidRPr="005E7233">
        <w:t xml:space="preserve">evaluation considered that the </w:t>
      </w:r>
      <w:r w:rsidRPr="005E7233">
        <w:t>submission may have underestimated the extent of use and the PBS/RPBS costs of associated with the listing of teprotumumab.</w:t>
      </w:r>
      <w:r w:rsidR="0038584B" w:rsidRPr="005E7233">
        <w:t xml:space="preserve"> </w:t>
      </w:r>
      <w:r w:rsidR="00665C7D">
        <w:t xml:space="preserve">The </w:t>
      </w:r>
      <w:r w:rsidR="009D5AF9">
        <w:t xml:space="preserve">DUSC considered that the estimate for </w:t>
      </w:r>
      <w:r w:rsidR="00E2543E">
        <w:t>Y</w:t>
      </w:r>
      <w:r w:rsidR="009D5AF9">
        <w:t>ear 1 was reasonable</w:t>
      </w:r>
      <w:r w:rsidR="00C0686D">
        <w:t xml:space="preserve">, however may </w:t>
      </w:r>
      <w:r w:rsidR="009D5AF9">
        <w:t xml:space="preserve">potentially </w:t>
      </w:r>
      <w:r w:rsidR="00C0686D">
        <w:t xml:space="preserve">be </w:t>
      </w:r>
      <w:r w:rsidR="009D5AF9">
        <w:t>an overestimate as patients diagnosed in the year prior o</w:t>
      </w:r>
      <w:r w:rsidR="003475E6">
        <w:t>f</w:t>
      </w:r>
      <w:r w:rsidR="009D5AF9">
        <w:t xml:space="preserve"> listing will most likely be managed according to current local guidelines (IVMP). </w:t>
      </w:r>
      <w:r w:rsidR="008B4088">
        <w:t xml:space="preserve">The </w:t>
      </w:r>
      <w:r w:rsidR="008B4088" w:rsidRPr="008B4088">
        <w:t xml:space="preserve">DUSC considered </w:t>
      </w:r>
      <w:r w:rsidR="002D7593">
        <w:t xml:space="preserve">that it was more likely that </w:t>
      </w:r>
      <w:r w:rsidR="008B4088" w:rsidRPr="008B4088">
        <w:t>25%</w:t>
      </w:r>
      <w:r w:rsidR="003E5965">
        <w:t xml:space="preserve"> of patients would receive teprotumumab as 2L</w:t>
      </w:r>
      <w:r w:rsidR="008B4088" w:rsidRPr="008B4088">
        <w:t xml:space="preserve"> based on IVMP non-responder/relapse rates reported in the literature.</w:t>
      </w:r>
      <w:r w:rsidR="008E5C47">
        <w:t xml:space="preserve"> </w:t>
      </w:r>
      <w:r w:rsidR="003D0F2C">
        <w:t xml:space="preserve">The </w:t>
      </w:r>
      <w:r w:rsidR="00AB524B" w:rsidRPr="00AB524B">
        <w:t>DUSC</w:t>
      </w:r>
      <w:r w:rsidR="008E5C47">
        <w:t xml:space="preserve"> also</w:t>
      </w:r>
      <w:r w:rsidR="00AB524B" w:rsidRPr="00AB524B">
        <w:t xml:space="preserve"> considered that the prevalence estimates for Years 2 to 6 </w:t>
      </w:r>
      <w:r w:rsidR="00807030">
        <w:t>were</w:t>
      </w:r>
      <w:r w:rsidR="00AB524B" w:rsidRPr="00AB524B">
        <w:t xml:space="preserve"> likely to be an underestimate as treatment of disease reactivation or re-treatment after non-response to the initial 8 doses, or flare,</w:t>
      </w:r>
      <w:r w:rsidR="00807030">
        <w:t xml:space="preserve"> had not</w:t>
      </w:r>
      <w:r w:rsidR="00AB524B" w:rsidRPr="00AB524B">
        <w:t xml:space="preserve"> been </w:t>
      </w:r>
      <w:r w:rsidR="008F3B6D">
        <w:t>accounted for</w:t>
      </w:r>
      <w:r w:rsidR="00AB524B" w:rsidRPr="00AB524B">
        <w:t xml:space="preserve">. </w:t>
      </w:r>
    </w:p>
    <w:p w14:paraId="56231C77" w14:textId="37ED0F25" w:rsidR="008F44FF" w:rsidRPr="005F2582" w:rsidRDefault="008F44FF" w:rsidP="005F2582">
      <w:pPr>
        <w:pStyle w:val="3-BodyText"/>
        <w:rPr>
          <w:rFonts w:eastAsia="Times New Roman" w:cs="Arial"/>
          <w:i/>
          <w:iCs/>
          <w:szCs w:val="24"/>
        </w:rPr>
      </w:pPr>
      <w:r w:rsidRPr="005E7233">
        <w:t>The financial analysis assumed that if teprotumumab is listed on the PBS, it would replace IVMP + MMF in 100% of treated patients.</w:t>
      </w:r>
      <w:r w:rsidRPr="005E7233">
        <w:rPr>
          <w:rFonts w:cstheme="minorHAnsi"/>
        </w:rPr>
        <w:t xml:space="preserve"> </w:t>
      </w:r>
      <w:r w:rsidRPr="005E7233">
        <w:t xml:space="preserve">Further, the submission assumed that all patients would receive MMF in combination with IVMP. This was not consistent with the proposed clinical algorithm for the intended use of teprotumumab which indicated that some patients would receive IVMP following prior teprotumumab; nor did the submission’s assumption align with current clinical guidelines that recommend MMF only for patients that do not respond to IVMP after the first 3 infusions. Thus, the reduction in use of IVMP + MMF due to the listing of teprotumumab has been overestimated. On the other hand, the cost offsets were underestimated as the submission assumed vial sharing for IVMP which was not in line with IVMP product information which specifies that one vial is intended for single-use in a single patient and that any unused product should be discarded. </w:t>
      </w:r>
      <w:r w:rsidR="005F2582">
        <w:t xml:space="preserve">The </w:t>
      </w:r>
      <w:r w:rsidR="005F2582" w:rsidRPr="005F2582">
        <w:t xml:space="preserve">DUSC agreed with </w:t>
      </w:r>
      <w:r w:rsidR="005F2582">
        <w:t>the</w:t>
      </w:r>
      <w:r w:rsidR="002070CF">
        <w:t xml:space="preserve"> </w:t>
      </w:r>
      <w:r w:rsidR="005F2582" w:rsidRPr="005F2582">
        <w:t xml:space="preserve">evaluation that teprotumumab would likely displace </w:t>
      </w:r>
      <w:r w:rsidR="009D44A4">
        <w:t xml:space="preserve">and not replace </w:t>
      </w:r>
      <w:r w:rsidR="005F2582" w:rsidRPr="005F2582">
        <w:t>IVMP+MMF and that this will need to be considered in the cost offsets.</w:t>
      </w:r>
    </w:p>
    <w:p w14:paraId="085D376E" w14:textId="5D3E7AE6" w:rsidR="00E56648" w:rsidRPr="005E7233" w:rsidRDefault="00E56648" w:rsidP="00A73A1C">
      <w:pPr>
        <w:pStyle w:val="3-BodyText"/>
      </w:pPr>
      <w:r>
        <w:t xml:space="preserve">No MBS </w:t>
      </w:r>
      <w:r w:rsidR="00911287">
        <w:t xml:space="preserve">costs were applied to the financial estimates. </w:t>
      </w:r>
      <w:r w:rsidR="00911287" w:rsidRPr="00911287">
        <w:t>This was not appropriate given that teprotumumab and IVMP are administered intravenously and for different treatment durations and dosing schedules. Further, if teprotumumab is listed as a line agnostic treatment, there may be</w:t>
      </w:r>
      <w:r w:rsidR="00AB2383">
        <w:t xml:space="preserve"> cost</w:t>
      </w:r>
      <w:r w:rsidR="00911287" w:rsidRPr="00911287">
        <w:t xml:space="preserve"> offsets associated with a reduction in use of orbital radiotherapy. The DUSC considered that the cost of baseline and regular hearing tests should also be included</w:t>
      </w:r>
      <w:r w:rsidR="001060CE">
        <w:t xml:space="preserve"> </w:t>
      </w:r>
      <w:r w:rsidR="00911287" w:rsidRPr="00911287">
        <w:t xml:space="preserve">and also considered that there may be cost offsets associated with a reduction in use of orbital radiotherapy. </w:t>
      </w:r>
    </w:p>
    <w:p w14:paraId="7B4DF0EA" w14:textId="1CA9912E" w:rsidR="0037340B" w:rsidRPr="005E7233" w:rsidRDefault="0037340B" w:rsidP="00A73A1C">
      <w:pPr>
        <w:pStyle w:val="3-BodyText"/>
      </w:pPr>
      <w:r w:rsidRPr="005E7233">
        <w:t>The net financial implications of listing teprotumumab, based on the proposed effective price, are presented in</w:t>
      </w:r>
      <w:r w:rsidR="00EF464F">
        <w:t xml:space="preserve"> </w:t>
      </w:r>
      <w:r w:rsidR="00EF464F">
        <w:fldChar w:fldCharType="begin"/>
      </w:r>
      <w:r w:rsidR="00EF464F">
        <w:instrText xml:space="preserve"> REF _Ref195274187 \h  \* MERGEFORMAT </w:instrText>
      </w:r>
      <w:r w:rsidR="00EF464F">
        <w:fldChar w:fldCharType="separate"/>
      </w:r>
      <w:r w:rsidR="0012101B" w:rsidRPr="0012101B">
        <w:t>Table 22</w:t>
      </w:r>
      <w:r w:rsidR="00EF464F">
        <w:fldChar w:fldCharType="end"/>
      </w:r>
      <w:r w:rsidRPr="005E7233">
        <w:t xml:space="preserve">. The submission did not estimate cost implications to the MBS. This </w:t>
      </w:r>
      <w:r w:rsidR="00C70392" w:rsidRPr="005E7233">
        <w:t>wa</w:t>
      </w:r>
      <w:r w:rsidRPr="005E7233">
        <w:t xml:space="preserve">s not reasonable as both </w:t>
      </w:r>
      <w:r w:rsidR="008C73AD" w:rsidRPr="005E7233">
        <w:t>teprotumumab,</w:t>
      </w:r>
      <w:r w:rsidRPr="005E7233">
        <w:t xml:space="preserve"> and methylprednisolone are administered intravenously but with different dosing frequency and treatment duration. The associated MBS costs were calculated during </w:t>
      </w:r>
      <w:r w:rsidRPr="005E7233">
        <w:lastRenderedPageBreak/>
        <w:t xml:space="preserve">the evaluation using MBS item 105 ($49.75, 80% benefit) in line with previous PBAC advice (para 7.15, ravulizumab PSD, March 2021 PBAC meeting). </w:t>
      </w:r>
    </w:p>
    <w:p w14:paraId="771869DF" w14:textId="5A8844B4" w:rsidR="009D2988" w:rsidRPr="005E7233" w:rsidRDefault="0050107A" w:rsidP="009D2988">
      <w:pPr>
        <w:pStyle w:val="Tabletitle"/>
      </w:pPr>
      <w:bookmarkStart w:id="114" w:name="_Ref195274187"/>
      <w:r w:rsidRPr="005E7233">
        <w:rPr>
          <w:bCs/>
          <w:szCs w:val="18"/>
        </w:rPr>
        <w:t xml:space="preserve">Table </w:t>
      </w:r>
      <w:r w:rsidRPr="0050107A">
        <w:rPr>
          <w:bCs/>
          <w:szCs w:val="18"/>
        </w:rPr>
        <w:fldChar w:fldCharType="begin"/>
      </w:r>
      <w:r w:rsidRPr="005E7233">
        <w:rPr>
          <w:bCs/>
          <w:szCs w:val="18"/>
        </w:rPr>
        <w:instrText xml:space="preserve"> SEQ Table \* ARABIC </w:instrText>
      </w:r>
      <w:r w:rsidRPr="0050107A">
        <w:rPr>
          <w:bCs/>
          <w:szCs w:val="18"/>
        </w:rPr>
        <w:fldChar w:fldCharType="separate"/>
      </w:r>
      <w:r w:rsidR="0012101B">
        <w:rPr>
          <w:bCs/>
          <w:noProof/>
          <w:szCs w:val="18"/>
        </w:rPr>
        <w:t>22</w:t>
      </w:r>
      <w:r w:rsidRPr="0050107A">
        <w:rPr>
          <w:bCs/>
          <w:szCs w:val="18"/>
        </w:rPr>
        <w:fldChar w:fldCharType="end"/>
      </w:r>
      <w:bookmarkEnd w:id="114"/>
      <w:r w:rsidR="003D5E41" w:rsidRPr="005E7233">
        <w:rPr>
          <w:iCs/>
        </w:rPr>
        <w:t>:</w:t>
      </w:r>
      <w:r w:rsidR="009D2988" w:rsidRPr="005E7233">
        <w:rPr>
          <w:b w:val="0"/>
        </w:rPr>
        <w:t xml:space="preserve"> </w:t>
      </w:r>
      <w:r w:rsidR="009D2988" w:rsidRPr="005E7233">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3"/>
        <w:gridCol w:w="1127"/>
        <w:gridCol w:w="1127"/>
        <w:gridCol w:w="1127"/>
        <w:gridCol w:w="1127"/>
        <w:gridCol w:w="1127"/>
        <w:gridCol w:w="1129"/>
      </w:tblGrid>
      <w:tr w:rsidR="009D2988" w:rsidRPr="005E7233" w14:paraId="27E5D3AA" w14:textId="77777777" w:rsidTr="00FA35FA">
        <w:trPr>
          <w:tblHeader/>
        </w:trPr>
        <w:tc>
          <w:tcPr>
            <w:tcW w:w="1249" w:type="pct"/>
            <w:shd w:val="clear" w:color="auto" w:fill="auto"/>
            <w:vAlign w:val="center"/>
          </w:tcPr>
          <w:p w14:paraId="7EA27A42"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p>
        </w:tc>
        <w:tc>
          <w:tcPr>
            <w:tcW w:w="625" w:type="pct"/>
            <w:shd w:val="clear" w:color="auto" w:fill="auto"/>
            <w:vAlign w:val="center"/>
          </w:tcPr>
          <w:p w14:paraId="3A3925B2"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1</w:t>
            </w:r>
          </w:p>
        </w:tc>
        <w:tc>
          <w:tcPr>
            <w:tcW w:w="625" w:type="pct"/>
            <w:shd w:val="clear" w:color="auto" w:fill="auto"/>
            <w:vAlign w:val="center"/>
          </w:tcPr>
          <w:p w14:paraId="3D67F0E9"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2</w:t>
            </w:r>
          </w:p>
        </w:tc>
        <w:tc>
          <w:tcPr>
            <w:tcW w:w="625" w:type="pct"/>
            <w:shd w:val="clear" w:color="auto" w:fill="auto"/>
            <w:vAlign w:val="center"/>
          </w:tcPr>
          <w:p w14:paraId="5791ECEA"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3</w:t>
            </w:r>
          </w:p>
        </w:tc>
        <w:tc>
          <w:tcPr>
            <w:tcW w:w="625" w:type="pct"/>
            <w:shd w:val="clear" w:color="auto" w:fill="auto"/>
            <w:vAlign w:val="center"/>
          </w:tcPr>
          <w:p w14:paraId="143AB7C9"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4</w:t>
            </w:r>
          </w:p>
        </w:tc>
        <w:tc>
          <w:tcPr>
            <w:tcW w:w="625" w:type="pct"/>
            <w:shd w:val="clear" w:color="auto" w:fill="auto"/>
            <w:vAlign w:val="center"/>
          </w:tcPr>
          <w:p w14:paraId="2BA94747"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5</w:t>
            </w:r>
          </w:p>
        </w:tc>
        <w:tc>
          <w:tcPr>
            <w:tcW w:w="626" w:type="pct"/>
            <w:shd w:val="clear" w:color="auto" w:fill="auto"/>
            <w:vAlign w:val="center"/>
          </w:tcPr>
          <w:p w14:paraId="18203D8C"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6</w:t>
            </w:r>
          </w:p>
        </w:tc>
      </w:tr>
      <w:tr w:rsidR="009D2988" w:rsidRPr="005E7233" w14:paraId="14F4D8C2" w14:textId="77777777" w:rsidTr="00FA35FA">
        <w:trPr>
          <w:tblHeader/>
        </w:trPr>
        <w:tc>
          <w:tcPr>
            <w:tcW w:w="5000" w:type="pct"/>
            <w:gridSpan w:val="7"/>
            <w:shd w:val="clear" w:color="auto" w:fill="auto"/>
            <w:vAlign w:val="center"/>
          </w:tcPr>
          <w:p w14:paraId="36F5F640"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Estimated extent of use of teprotumumab</w:t>
            </w:r>
          </w:p>
        </w:tc>
      </w:tr>
      <w:tr w:rsidR="009D2988" w:rsidRPr="005E7233" w14:paraId="398B35CF" w14:textId="77777777" w:rsidTr="00FA35FA">
        <w:tc>
          <w:tcPr>
            <w:tcW w:w="1249" w:type="pct"/>
            <w:shd w:val="clear" w:color="auto" w:fill="auto"/>
            <w:vAlign w:val="center"/>
          </w:tcPr>
          <w:p w14:paraId="102C4659" w14:textId="7777777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Number of patients treated</w:t>
            </w:r>
          </w:p>
        </w:tc>
        <w:tc>
          <w:tcPr>
            <w:tcW w:w="625" w:type="pct"/>
            <w:shd w:val="clear" w:color="auto" w:fill="auto"/>
          </w:tcPr>
          <w:p w14:paraId="0D937CD5" w14:textId="564092D4" w:rsidR="009D2988" w:rsidRPr="00A36691" w:rsidRDefault="00BD0449" w:rsidP="009D2988">
            <w:pPr>
              <w:keepNext/>
              <w:keepLines/>
              <w:jc w:val="left"/>
              <w:rPr>
                <w:rFonts w:ascii="Arial Narrow" w:eastAsiaTheme="majorEastAsia" w:hAnsi="Arial Narrow" w:cstheme="majorBidi"/>
                <w:bCs/>
                <w:snapToGrid w:val="0"/>
                <w:sz w:val="20"/>
                <w:vertAlign w:val="superscript"/>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9"/>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9"/>
                <w:lang w:eastAsia="en-US"/>
                <w14:textFill>
                  <w14:solidFill>
                    <w14:srgbClr w14:val="000000">
                      <w14:alpha w14:val="100000"/>
                    </w14:srgbClr>
                  </w14:solidFill>
                </w14:textFill>
              </w:rPr>
              <w:t>|</w:t>
            </w:r>
            <w:r w:rsidR="00A36691">
              <w:rPr>
                <w:rFonts w:ascii="Arial Narrow" w:eastAsiaTheme="majorEastAsia" w:hAnsi="Arial Narrow" w:cstheme="majorBidi"/>
                <w:bCs/>
                <w:snapToGrid w:val="0"/>
                <w:sz w:val="20"/>
                <w:lang w:eastAsia="en-US"/>
              </w:rPr>
              <w:t xml:space="preserve"> </w:t>
            </w:r>
            <w:r w:rsidR="00A36691">
              <w:rPr>
                <w:rFonts w:ascii="Arial Narrow" w:eastAsiaTheme="majorEastAsia" w:hAnsi="Arial Narrow" w:cstheme="majorBidi"/>
                <w:bCs/>
                <w:snapToGrid w:val="0"/>
                <w:sz w:val="20"/>
                <w:vertAlign w:val="superscript"/>
                <w:lang w:eastAsia="en-US"/>
              </w:rPr>
              <w:t>1</w:t>
            </w:r>
          </w:p>
        </w:tc>
        <w:tc>
          <w:tcPr>
            <w:tcW w:w="625" w:type="pct"/>
            <w:shd w:val="clear" w:color="auto" w:fill="auto"/>
          </w:tcPr>
          <w:p w14:paraId="6E28A934" w14:textId="37C3EE46"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8"/>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c>
          <w:tcPr>
            <w:tcW w:w="625" w:type="pct"/>
            <w:shd w:val="clear" w:color="auto" w:fill="auto"/>
          </w:tcPr>
          <w:p w14:paraId="28F02814" w14:textId="26C6716D"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7"/>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c>
          <w:tcPr>
            <w:tcW w:w="625" w:type="pct"/>
            <w:shd w:val="clear" w:color="auto" w:fill="auto"/>
          </w:tcPr>
          <w:p w14:paraId="203E483B" w14:textId="242AE8DE"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6"/>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c>
          <w:tcPr>
            <w:tcW w:w="625" w:type="pct"/>
            <w:shd w:val="clear" w:color="auto" w:fill="auto"/>
          </w:tcPr>
          <w:p w14:paraId="1065C56B" w14:textId="0E61D27E"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5"/>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c>
          <w:tcPr>
            <w:tcW w:w="626" w:type="pct"/>
            <w:shd w:val="clear" w:color="auto" w:fill="auto"/>
          </w:tcPr>
          <w:p w14:paraId="2B536660" w14:textId="3D38A5DF"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4"/>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r>
      <w:tr w:rsidR="009D2988" w:rsidRPr="005E7233" w14:paraId="41B08F4A" w14:textId="77777777" w:rsidTr="00FA35FA">
        <w:tc>
          <w:tcPr>
            <w:tcW w:w="1249" w:type="pct"/>
            <w:shd w:val="clear" w:color="auto" w:fill="auto"/>
            <w:vAlign w:val="center"/>
          </w:tcPr>
          <w:p w14:paraId="2C9C243C" w14:textId="77777777" w:rsidR="009D2988" w:rsidRPr="005E7233" w:rsidRDefault="009D2988" w:rsidP="009D2988">
            <w:pPr>
              <w:keepNext/>
              <w:keepLines/>
              <w:jc w:val="left"/>
              <w:rPr>
                <w:rFonts w:ascii="Arial Narrow" w:eastAsiaTheme="majorEastAsia" w:hAnsi="Arial Narrow" w:cstheme="majorBidi"/>
                <w:bCs/>
                <w:snapToGrid w:val="0"/>
                <w:sz w:val="20"/>
                <w:vertAlign w:val="superscript"/>
                <w:lang w:eastAsia="en-US"/>
              </w:rPr>
            </w:pPr>
            <w:r w:rsidRPr="005E7233">
              <w:rPr>
                <w:rFonts w:ascii="Arial Narrow" w:eastAsiaTheme="majorEastAsia" w:hAnsi="Arial Narrow" w:cstheme="majorBidi"/>
                <w:bCs/>
                <w:snapToGrid w:val="0"/>
                <w:sz w:val="20"/>
                <w:lang w:eastAsia="en-US"/>
              </w:rPr>
              <w:t>Total script numbers</w:t>
            </w:r>
          </w:p>
        </w:tc>
        <w:tc>
          <w:tcPr>
            <w:tcW w:w="625" w:type="pct"/>
            <w:shd w:val="clear" w:color="auto" w:fill="auto"/>
            <w:vAlign w:val="center"/>
          </w:tcPr>
          <w:p w14:paraId="7D26EA0F" w14:textId="7871B9AF"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20"/>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20"/>
                <w:lang w:eastAsia="en-US"/>
                <w14:textFill>
                  <w14:solidFill>
                    <w14:srgbClr w14:val="000000">
                      <w14:alpha w14:val="100000"/>
                    </w14:srgbClr>
                  </w14:solidFill>
                </w14:textFill>
              </w:rPr>
              <w:t>|</w:t>
            </w:r>
            <w:r w:rsidR="00A36691">
              <w:rPr>
                <w:rFonts w:ascii="Arial Narrow" w:eastAsiaTheme="majorEastAsia" w:hAnsi="Arial Narrow" w:cstheme="majorBidi"/>
                <w:bCs/>
                <w:snapToGrid w:val="0"/>
                <w:sz w:val="20"/>
                <w:lang w:eastAsia="en-US"/>
              </w:rPr>
              <w:t xml:space="preserve"> </w:t>
            </w:r>
            <w:r w:rsidR="00A36691">
              <w:rPr>
                <w:rFonts w:ascii="Arial Narrow" w:eastAsiaTheme="majorEastAsia" w:hAnsi="Arial Narrow" w:cstheme="majorBidi"/>
                <w:bCs/>
                <w:snapToGrid w:val="0"/>
                <w:sz w:val="20"/>
                <w:vertAlign w:val="superscript"/>
                <w:lang w:eastAsia="en-US"/>
              </w:rPr>
              <w:t>1</w:t>
            </w:r>
          </w:p>
        </w:tc>
        <w:tc>
          <w:tcPr>
            <w:tcW w:w="625" w:type="pct"/>
            <w:shd w:val="clear" w:color="auto" w:fill="auto"/>
            <w:vAlign w:val="center"/>
          </w:tcPr>
          <w:p w14:paraId="58EE409A" w14:textId="29F9529E"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19"/>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19"/>
                <w:lang w:eastAsia="en-US"/>
                <w14:textFill>
                  <w14:solidFill>
                    <w14:srgbClr w14:val="000000">
                      <w14:alpha w14:val="100000"/>
                    </w14:srgbClr>
                  </w14:solidFill>
                </w14:textFill>
              </w:rPr>
              <w:t>|</w:t>
            </w:r>
            <w:r w:rsidR="00A36691">
              <w:rPr>
                <w:rFonts w:ascii="Arial Narrow" w:eastAsiaTheme="majorEastAsia" w:hAnsi="Arial Narrow" w:cstheme="majorBidi"/>
                <w:bCs/>
                <w:snapToGrid w:val="0"/>
                <w:sz w:val="20"/>
                <w:lang w:eastAsia="en-US"/>
              </w:rPr>
              <w:t xml:space="preserve"> </w:t>
            </w:r>
            <w:r w:rsidR="00A36691">
              <w:rPr>
                <w:rFonts w:ascii="Arial Narrow" w:eastAsiaTheme="majorEastAsia" w:hAnsi="Arial Narrow" w:cstheme="majorBidi"/>
                <w:bCs/>
                <w:snapToGrid w:val="0"/>
                <w:sz w:val="20"/>
                <w:vertAlign w:val="superscript"/>
                <w:lang w:eastAsia="en-US"/>
              </w:rPr>
              <w:t>1</w:t>
            </w:r>
          </w:p>
        </w:tc>
        <w:tc>
          <w:tcPr>
            <w:tcW w:w="625" w:type="pct"/>
            <w:shd w:val="clear" w:color="auto" w:fill="auto"/>
            <w:vAlign w:val="center"/>
          </w:tcPr>
          <w:p w14:paraId="4731373A" w14:textId="766CDFB0"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18"/>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18"/>
                <w:lang w:eastAsia="en-US"/>
                <w14:textFill>
                  <w14:solidFill>
                    <w14:srgbClr w14:val="000000">
                      <w14:alpha w14:val="100000"/>
                    </w14:srgbClr>
                  </w14:solidFill>
                </w14:textFill>
              </w:rPr>
              <w:t>|</w:t>
            </w:r>
            <w:r w:rsidR="009D2988" w:rsidRPr="005E7233">
              <w:rPr>
                <w:rFonts w:ascii="Arial Narrow" w:eastAsiaTheme="majorEastAsia" w:hAnsi="Arial Narrow" w:cstheme="majorBidi"/>
                <w:bCs/>
                <w:snapToGrid w:val="0"/>
                <w:sz w:val="20"/>
                <w:lang w:eastAsia="en-US"/>
              </w:rPr>
              <w:t xml:space="preserve"> </w:t>
            </w:r>
            <w:r w:rsidR="00A36691">
              <w:rPr>
                <w:rFonts w:ascii="Arial Narrow" w:eastAsiaTheme="majorEastAsia" w:hAnsi="Arial Narrow" w:cstheme="majorBidi"/>
                <w:bCs/>
                <w:snapToGrid w:val="0"/>
                <w:sz w:val="20"/>
                <w:vertAlign w:val="superscript"/>
                <w:lang w:eastAsia="en-US"/>
              </w:rPr>
              <w:t>1</w:t>
            </w:r>
          </w:p>
        </w:tc>
        <w:tc>
          <w:tcPr>
            <w:tcW w:w="625" w:type="pct"/>
            <w:shd w:val="clear" w:color="auto" w:fill="auto"/>
            <w:vAlign w:val="center"/>
          </w:tcPr>
          <w:p w14:paraId="46207965" w14:textId="2813AD29"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5840"/>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584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1</w:t>
            </w:r>
          </w:p>
        </w:tc>
        <w:tc>
          <w:tcPr>
            <w:tcW w:w="625" w:type="pct"/>
            <w:shd w:val="clear" w:color="auto" w:fill="auto"/>
            <w:vAlign w:val="center"/>
          </w:tcPr>
          <w:p w14:paraId="66DE02E9" w14:textId="03FBD2ED" w:rsidR="009D2988" w:rsidRPr="00A44399" w:rsidRDefault="00BD0449" w:rsidP="009D2988">
            <w:pPr>
              <w:keepNext/>
              <w:keepLines/>
              <w:jc w:val="left"/>
              <w:rPr>
                <w:rFonts w:ascii="Arial Narrow" w:eastAsiaTheme="majorEastAsia" w:hAnsi="Arial Narrow"/>
                <w:bCs/>
                <w:snapToGrid w:val="0"/>
                <w:color w:val="000000"/>
                <w:sz w:val="20"/>
                <w:highlight w:val="darkGray"/>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5839"/>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5839"/>
                <w:lang w:eastAsia="en-US"/>
                <w14:textFill>
                  <w14:solidFill>
                    <w14:srgbClr w14:val="000000">
                      <w14:alpha w14:val="100000"/>
                    </w14:srgbClr>
                  </w14:solidFill>
                </w14:textFill>
              </w:rPr>
              <w:t>|</w:t>
            </w:r>
            <w:r w:rsidR="00EB2D06" w:rsidRPr="00A44399">
              <w:rPr>
                <w:rFonts w:ascii="Arial Narrow" w:eastAsiaTheme="majorEastAsia" w:hAnsi="Arial Narrow" w:cstheme="majorBidi"/>
                <w:bCs/>
                <w:snapToGrid w:val="0"/>
                <w:sz w:val="20"/>
                <w:lang w:eastAsia="en-US"/>
              </w:rPr>
              <w:t xml:space="preserve"> </w:t>
            </w:r>
            <w:r w:rsidR="00EB2D06" w:rsidRPr="00A44399">
              <w:rPr>
                <w:rFonts w:ascii="Arial Narrow" w:eastAsiaTheme="majorEastAsia" w:hAnsi="Arial Narrow" w:cstheme="majorBidi"/>
                <w:bCs/>
                <w:snapToGrid w:val="0"/>
                <w:sz w:val="20"/>
                <w:vertAlign w:val="superscript"/>
                <w:lang w:eastAsia="en-US"/>
              </w:rPr>
              <w:t>1</w:t>
            </w:r>
          </w:p>
        </w:tc>
        <w:tc>
          <w:tcPr>
            <w:tcW w:w="626" w:type="pct"/>
            <w:shd w:val="clear" w:color="auto" w:fill="auto"/>
            <w:vAlign w:val="center"/>
          </w:tcPr>
          <w:p w14:paraId="6E22A212" w14:textId="01141A22"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5838"/>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583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1</w:t>
            </w:r>
          </w:p>
        </w:tc>
      </w:tr>
      <w:tr w:rsidR="009D2988" w:rsidRPr="005E7233" w14:paraId="1E7A4436" w14:textId="77777777" w:rsidTr="00FA35FA">
        <w:trPr>
          <w:tblHeader/>
        </w:trPr>
        <w:tc>
          <w:tcPr>
            <w:tcW w:w="5000" w:type="pct"/>
            <w:gridSpan w:val="7"/>
            <w:shd w:val="clear" w:color="auto" w:fill="auto"/>
            <w:vAlign w:val="center"/>
          </w:tcPr>
          <w:p w14:paraId="2D75E260"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Estimated financial implications of teprotumumab</w:t>
            </w:r>
          </w:p>
        </w:tc>
      </w:tr>
      <w:tr w:rsidR="009D2988" w:rsidRPr="005E7233" w14:paraId="25C6B4B1" w14:textId="77777777" w:rsidTr="00FA35FA">
        <w:tc>
          <w:tcPr>
            <w:tcW w:w="1249" w:type="pct"/>
            <w:tcBorders>
              <w:bottom w:val="nil"/>
            </w:tcBorders>
            <w:shd w:val="clear" w:color="auto" w:fill="auto"/>
            <w:vAlign w:val="center"/>
          </w:tcPr>
          <w:p w14:paraId="53977C18" w14:textId="77777777" w:rsidR="009D2988" w:rsidRPr="005E7233" w:rsidRDefault="009D2988" w:rsidP="009D2988">
            <w:pPr>
              <w:keepNext/>
              <w:keepLines/>
              <w:jc w:val="left"/>
              <w:rPr>
                <w:rFonts w:ascii="Arial Narrow" w:eastAsiaTheme="majorEastAsia" w:hAnsi="Arial Narrow" w:cstheme="majorBidi"/>
                <w:bCs/>
                <w:snapToGrid w:val="0"/>
                <w:sz w:val="20"/>
                <w:vertAlign w:val="superscript"/>
                <w:lang w:eastAsia="en-US"/>
              </w:rPr>
            </w:pPr>
            <w:r w:rsidRPr="005E7233">
              <w:rPr>
                <w:rFonts w:ascii="Arial Narrow" w:eastAsiaTheme="majorEastAsia" w:hAnsi="Arial Narrow" w:cstheme="majorBidi"/>
                <w:bCs/>
                <w:snapToGrid w:val="0"/>
                <w:sz w:val="20"/>
                <w:lang w:eastAsia="en-US"/>
              </w:rPr>
              <w:t xml:space="preserve">Total cost to PBS/RPBS less copayments </w:t>
            </w:r>
            <w:r w:rsidRPr="005E7233">
              <w:rPr>
                <w:rFonts w:ascii="Arial Narrow" w:eastAsiaTheme="majorEastAsia" w:hAnsi="Arial Narrow" w:cstheme="majorBidi"/>
                <w:bCs/>
                <w:snapToGrid w:val="0"/>
                <w:sz w:val="20"/>
                <w:vertAlign w:val="superscript"/>
                <w:lang w:eastAsia="en-US"/>
              </w:rPr>
              <w:t>a</w:t>
            </w:r>
          </w:p>
        </w:tc>
        <w:tc>
          <w:tcPr>
            <w:tcW w:w="625" w:type="pct"/>
            <w:tcBorders>
              <w:bottom w:val="nil"/>
            </w:tcBorders>
            <w:shd w:val="clear" w:color="auto" w:fill="auto"/>
          </w:tcPr>
          <w:p w14:paraId="75809290" w14:textId="59F0E223"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3</w:t>
            </w:r>
          </w:p>
        </w:tc>
        <w:tc>
          <w:tcPr>
            <w:tcW w:w="625" w:type="pct"/>
            <w:tcBorders>
              <w:bottom w:val="nil"/>
            </w:tcBorders>
            <w:shd w:val="clear" w:color="auto" w:fill="auto"/>
          </w:tcPr>
          <w:p w14:paraId="60838317" w14:textId="3EF1E16D"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4</w:t>
            </w:r>
          </w:p>
        </w:tc>
        <w:tc>
          <w:tcPr>
            <w:tcW w:w="625" w:type="pct"/>
            <w:tcBorders>
              <w:bottom w:val="nil"/>
            </w:tcBorders>
            <w:shd w:val="clear" w:color="auto" w:fill="auto"/>
          </w:tcPr>
          <w:p w14:paraId="3048EF09" w14:textId="3A96C763"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bottom w:val="nil"/>
            </w:tcBorders>
            <w:shd w:val="clear" w:color="auto" w:fill="auto"/>
          </w:tcPr>
          <w:p w14:paraId="7906F266" w14:textId="6C202ACF"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bottom w:val="nil"/>
            </w:tcBorders>
            <w:shd w:val="clear" w:color="auto" w:fill="auto"/>
          </w:tcPr>
          <w:p w14:paraId="1A8E33DC" w14:textId="42F1BF97"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3"/>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3"/>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6" w:type="pct"/>
            <w:tcBorders>
              <w:bottom w:val="nil"/>
            </w:tcBorders>
            <w:shd w:val="clear" w:color="auto" w:fill="auto"/>
          </w:tcPr>
          <w:p w14:paraId="5C683BB0" w14:textId="629BAE48"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2"/>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2"/>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r>
      <w:tr w:rsidR="009D2988" w:rsidRPr="005E7233" w14:paraId="769EC0BB" w14:textId="77777777" w:rsidTr="00FA35FA">
        <w:tc>
          <w:tcPr>
            <w:tcW w:w="5000" w:type="pct"/>
            <w:gridSpan w:val="7"/>
            <w:tcBorders>
              <w:top w:val="single" w:sz="4" w:space="0" w:color="auto"/>
              <w:bottom w:val="single" w:sz="4" w:space="0" w:color="auto"/>
            </w:tcBorders>
            <w:shd w:val="clear" w:color="auto" w:fill="auto"/>
            <w:vAlign w:val="center"/>
          </w:tcPr>
          <w:p w14:paraId="530EB767" w14:textId="77777777" w:rsidR="009D2988" w:rsidRPr="005E7233" w:rsidRDefault="009D2988" w:rsidP="009D2988">
            <w:pPr>
              <w:keepNext/>
              <w:keepLines/>
              <w:jc w:val="left"/>
              <w:rPr>
                <w:rFonts w:ascii="Arial Narrow" w:eastAsiaTheme="majorEastAsia" w:hAnsi="Arial Narrow" w:cstheme="majorBidi"/>
                <w:b/>
                <w:snapToGrid w:val="0"/>
                <w:sz w:val="20"/>
                <w:lang w:eastAsia="en-US"/>
              </w:rPr>
            </w:pPr>
            <w:r w:rsidRPr="005E7233">
              <w:rPr>
                <w:rFonts w:ascii="Arial Narrow" w:eastAsiaTheme="majorEastAsia" w:hAnsi="Arial Narrow" w:cstheme="majorBidi"/>
                <w:b/>
                <w:snapToGrid w:val="0"/>
                <w:sz w:val="20"/>
                <w:lang w:eastAsia="en-US"/>
              </w:rPr>
              <w:t>Estimated financial implications for IVMP and MMF</w:t>
            </w:r>
          </w:p>
        </w:tc>
      </w:tr>
      <w:tr w:rsidR="009D2988" w:rsidRPr="005E7233" w14:paraId="3BC0C1CB" w14:textId="77777777" w:rsidTr="00FA35FA">
        <w:tc>
          <w:tcPr>
            <w:tcW w:w="1249" w:type="pct"/>
            <w:tcBorders>
              <w:top w:val="single" w:sz="4" w:space="0" w:color="auto"/>
              <w:bottom w:val="single" w:sz="4" w:space="0" w:color="auto"/>
            </w:tcBorders>
            <w:shd w:val="clear" w:color="auto" w:fill="auto"/>
            <w:vAlign w:val="center"/>
          </w:tcPr>
          <w:p w14:paraId="4354CFBA" w14:textId="77777777"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IVMP: Cost to the PBS/RPBS less copayments</w:t>
            </w:r>
          </w:p>
        </w:tc>
        <w:tc>
          <w:tcPr>
            <w:tcW w:w="625" w:type="pct"/>
            <w:tcBorders>
              <w:top w:val="single" w:sz="4" w:space="0" w:color="auto"/>
              <w:bottom w:val="single" w:sz="4" w:space="0" w:color="auto"/>
            </w:tcBorders>
            <w:shd w:val="clear" w:color="auto" w:fill="auto"/>
          </w:tcPr>
          <w:p w14:paraId="27B1EDE9" w14:textId="05DA8378"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1"/>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1"/>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7000C73A" w14:textId="514079C3"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68E7F620" w14:textId="1AF7A9E4"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25DA25C8" w14:textId="7F3C45FE"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3CE842AC" w14:textId="5C8D7716"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6" w:type="pct"/>
            <w:tcBorders>
              <w:top w:val="single" w:sz="4" w:space="0" w:color="auto"/>
              <w:bottom w:val="single" w:sz="4" w:space="0" w:color="auto"/>
            </w:tcBorders>
            <w:shd w:val="clear" w:color="auto" w:fill="auto"/>
          </w:tcPr>
          <w:p w14:paraId="3552923B" w14:textId="3A9473E6"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r>
      <w:tr w:rsidR="009D2988" w:rsidRPr="005E7233" w14:paraId="7D2BB3DB" w14:textId="77777777" w:rsidTr="00FA35FA">
        <w:tc>
          <w:tcPr>
            <w:tcW w:w="1249" w:type="pct"/>
            <w:tcBorders>
              <w:top w:val="single" w:sz="4" w:space="0" w:color="auto"/>
              <w:bottom w:val="single" w:sz="4" w:space="0" w:color="auto"/>
            </w:tcBorders>
            <w:shd w:val="clear" w:color="auto" w:fill="auto"/>
            <w:vAlign w:val="center"/>
          </w:tcPr>
          <w:p w14:paraId="6CD752D9" w14:textId="77777777"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MMF: Cost to the PBS/RPBS less copayments</w:t>
            </w:r>
          </w:p>
        </w:tc>
        <w:tc>
          <w:tcPr>
            <w:tcW w:w="625" w:type="pct"/>
            <w:tcBorders>
              <w:top w:val="single" w:sz="4" w:space="0" w:color="auto"/>
              <w:bottom w:val="single" w:sz="4" w:space="0" w:color="auto"/>
            </w:tcBorders>
            <w:shd w:val="clear" w:color="auto" w:fill="auto"/>
          </w:tcPr>
          <w:p w14:paraId="1B924153" w14:textId="74F2E045"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54E0D59B" w14:textId="2FB13E30"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506F8DF3" w14:textId="5E0019CF"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4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4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62A579AB" w14:textId="07FA486C"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01397F86" w14:textId="7B1BF282"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6" w:type="pct"/>
            <w:tcBorders>
              <w:top w:val="single" w:sz="4" w:space="0" w:color="auto"/>
              <w:bottom w:val="single" w:sz="4" w:space="0" w:color="auto"/>
            </w:tcBorders>
            <w:shd w:val="clear" w:color="auto" w:fill="auto"/>
          </w:tcPr>
          <w:p w14:paraId="15DDE876" w14:textId="2196376B"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r>
      <w:tr w:rsidR="009D2988" w:rsidRPr="005E7233" w14:paraId="6F6E7605" w14:textId="77777777" w:rsidTr="00FA35FA">
        <w:tc>
          <w:tcPr>
            <w:tcW w:w="1249" w:type="pct"/>
            <w:tcBorders>
              <w:top w:val="single" w:sz="4" w:space="0" w:color="auto"/>
              <w:bottom w:val="nil"/>
            </w:tcBorders>
            <w:shd w:val="clear" w:color="auto" w:fill="auto"/>
            <w:vAlign w:val="center"/>
          </w:tcPr>
          <w:p w14:paraId="109FDEB9" w14:textId="77777777" w:rsidR="009D2988" w:rsidRPr="005E7233" w:rsidRDefault="009D2988" w:rsidP="009D2988">
            <w:pPr>
              <w:keepNext/>
              <w:keepLines/>
              <w:jc w:val="left"/>
              <w:rPr>
                <w:rFonts w:ascii="Arial Narrow" w:eastAsiaTheme="majorEastAsia" w:hAnsi="Arial Narrow" w:cstheme="majorBidi"/>
                <w:bCs/>
                <w:snapToGrid w:val="0"/>
                <w:sz w:val="20"/>
                <w:vertAlign w:val="superscript"/>
                <w:lang w:eastAsia="en-US"/>
              </w:rPr>
            </w:pPr>
            <w:r w:rsidRPr="005E7233">
              <w:rPr>
                <w:rFonts w:ascii="Arial Narrow" w:eastAsiaTheme="majorEastAsia" w:hAnsi="Arial Narrow" w:cstheme="majorBidi"/>
                <w:bCs/>
                <w:snapToGrid w:val="0"/>
                <w:sz w:val="20"/>
                <w:lang w:eastAsia="en-US"/>
              </w:rPr>
              <w:t xml:space="preserve">Cost to PBS/RPBS less copayments </w:t>
            </w:r>
            <w:r w:rsidRPr="005E7233">
              <w:rPr>
                <w:rFonts w:ascii="Arial Narrow" w:eastAsiaTheme="majorEastAsia" w:hAnsi="Arial Narrow" w:cstheme="majorBidi"/>
                <w:bCs/>
                <w:snapToGrid w:val="0"/>
                <w:sz w:val="20"/>
                <w:vertAlign w:val="superscript"/>
                <w:lang w:eastAsia="en-US"/>
              </w:rPr>
              <w:t>b</w:t>
            </w:r>
          </w:p>
        </w:tc>
        <w:tc>
          <w:tcPr>
            <w:tcW w:w="625" w:type="pct"/>
            <w:tcBorders>
              <w:top w:val="single" w:sz="4" w:space="0" w:color="auto"/>
              <w:bottom w:val="nil"/>
            </w:tcBorders>
            <w:shd w:val="clear" w:color="auto" w:fill="auto"/>
          </w:tcPr>
          <w:p w14:paraId="60300857" w14:textId="45FA3C34"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nil"/>
            </w:tcBorders>
            <w:shd w:val="clear" w:color="auto" w:fill="auto"/>
          </w:tcPr>
          <w:p w14:paraId="2DBCE718" w14:textId="6E3F3EC0"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nil"/>
            </w:tcBorders>
            <w:shd w:val="clear" w:color="auto" w:fill="auto"/>
          </w:tcPr>
          <w:p w14:paraId="42FA565D" w14:textId="31ED507B"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nil"/>
            </w:tcBorders>
            <w:shd w:val="clear" w:color="auto" w:fill="auto"/>
          </w:tcPr>
          <w:p w14:paraId="18D0150A" w14:textId="2B8F37EC"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3"/>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3"/>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nil"/>
            </w:tcBorders>
            <w:shd w:val="clear" w:color="auto" w:fill="auto"/>
          </w:tcPr>
          <w:p w14:paraId="01C3DFA7" w14:textId="7B07C9CD"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2"/>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2"/>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6" w:type="pct"/>
            <w:tcBorders>
              <w:top w:val="single" w:sz="4" w:space="0" w:color="auto"/>
              <w:bottom w:val="nil"/>
            </w:tcBorders>
            <w:shd w:val="clear" w:color="auto" w:fill="auto"/>
          </w:tcPr>
          <w:p w14:paraId="5267B3ED" w14:textId="2C771545"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1"/>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1"/>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r>
      <w:tr w:rsidR="009D2988" w:rsidRPr="005E7233" w14:paraId="4916CBCC" w14:textId="77777777" w:rsidTr="00FA35FA">
        <w:tc>
          <w:tcPr>
            <w:tcW w:w="1249" w:type="pct"/>
            <w:tcBorders>
              <w:top w:val="nil"/>
              <w:bottom w:val="single" w:sz="4" w:space="0" w:color="auto"/>
            </w:tcBorders>
            <w:shd w:val="clear" w:color="auto" w:fill="auto"/>
            <w:vAlign w:val="center"/>
          </w:tcPr>
          <w:p w14:paraId="7BB2965F" w14:textId="7777777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 xml:space="preserve">Revised </w:t>
            </w:r>
            <w:r w:rsidRPr="005E7233">
              <w:rPr>
                <w:rFonts w:ascii="Arial Narrow" w:eastAsiaTheme="majorEastAsia" w:hAnsi="Arial Narrow" w:cstheme="majorBidi"/>
                <w:bCs/>
                <w:snapToGrid w:val="0"/>
                <w:sz w:val="20"/>
                <w:vertAlign w:val="superscript"/>
                <w:lang w:eastAsia="en-US"/>
              </w:rPr>
              <w:t>c</w:t>
            </w:r>
            <w:r w:rsidRPr="005E7233">
              <w:rPr>
                <w:rFonts w:ascii="Arial Narrow" w:eastAsiaTheme="majorEastAsia" w:hAnsi="Arial Narrow" w:cstheme="majorBidi"/>
                <w:bCs/>
                <w:snapToGrid w:val="0"/>
                <w:sz w:val="20"/>
                <w:lang w:eastAsia="en-US"/>
              </w:rPr>
              <w:t xml:space="preserve"> </w:t>
            </w:r>
          </w:p>
        </w:tc>
        <w:tc>
          <w:tcPr>
            <w:tcW w:w="625" w:type="pct"/>
            <w:tcBorders>
              <w:top w:val="nil"/>
              <w:bottom w:val="single" w:sz="4" w:space="0" w:color="auto"/>
            </w:tcBorders>
            <w:shd w:val="clear" w:color="auto" w:fill="auto"/>
          </w:tcPr>
          <w:p w14:paraId="0D3FC4C2" w14:textId="3C88F7D0"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nil"/>
              <w:bottom w:val="single" w:sz="4" w:space="0" w:color="auto"/>
            </w:tcBorders>
            <w:shd w:val="clear" w:color="auto" w:fill="auto"/>
          </w:tcPr>
          <w:p w14:paraId="626BFEE5" w14:textId="7AEF801D"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nil"/>
              <w:bottom w:val="single" w:sz="4" w:space="0" w:color="auto"/>
            </w:tcBorders>
            <w:shd w:val="clear" w:color="auto" w:fill="auto"/>
          </w:tcPr>
          <w:p w14:paraId="641E8EC6" w14:textId="6E5722A1"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nil"/>
              <w:bottom w:val="single" w:sz="4" w:space="0" w:color="auto"/>
            </w:tcBorders>
            <w:shd w:val="clear" w:color="auto" w:fill="auto"/>
          </w:tcPr>
          <w:p w14:paraId="03583E3D" w14:textId="15751BA0"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nil"/>
              <w:bottom w:val="single" w:sz="4" w:space="0" w:color="auto"/>
            </w:tcBorders>
            <w:shd w:val="clear" w:color="auto" w:fill="auto"/>
          </w:tcPr>
          <w:p w14:paraId="6B586ABF" w14:textId="250C304C"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6" w:type="pct"/>
            <w:tcBorders>
              <w:top w:val="nil"/>
              <w:bottom w:val="single" w:sz="4" w:space="0" w:color="auto"/>
            </w:tcBorders>
            <w:shd w:val="clear" w:color="auto" w:fill="auto"/>
          </w:tcPr>
          <w:p w14:paraId="3A041141" w14:textId="07D12B58"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r>
      <w:tr w:rsidR="009D2988" w:rsidRPr="005E7233" w14:paraId="153EF93D" w14:textId="77777777" w:rsidTr="00FA35FA">
        <w:tc>
          <w:tcPr>
            <w:tcW w:w="5000" w:type="pct"/>
            <w:gridSpan w:val="7"/>
            <w:tcBorders>
              <w:top w:val="single" w:sz="4" w:space="0" w:color="auto"/>
              <w:bottom w:val="single" w:sz="4" w:space="0" w:color="auto"/>
            </w:tcBorders>
            <w:shd w:val="clear" w:color="auto" w:fill="auto"/>
            <w:vAlign w:val="center"/>
          </w:tcPr>
          <w:p w14:paraId="0A951B24" w14:textId="77777777" w:rsidR="009D2988" w:rsidRPr="005E7233" w:rsidRDefault="009D2988" w:rsidP="009D2988">
            <w:pPr>
              <w:keepNext/>
              <w:keepLines/>
              <w:jc w:val="left"/>
              <w:rPr>
                <w:rFonts w:ascii="Arial Narrow" w:eastAsiaTheme="majorEastAsia" w:hAnsi="Arial Narrow" w:cstheme="majorBidi"/>
                <w:b/>
                <w:snapToGrid w:val="0"/>
                <w:sz w:val="20"/>
                <w:lang w:eastAsia="en-US"/>
              </w:rPr>
            </w:pPr>
            <w:r w:rsidRPr="005E7233">
              <w:rPr>
                <w:rFonts w:ascii="Arial Narrow" w:eastAsiaTheme="majorEastAsia" w:hAnsi="Arial Narrow" w:cstheme="majorBidi"/>
                <w:b/>
                <w:snapToGrid w:val="0"/>
                <w:sz w:val="20"/>
                <w:lang w:eastAsia="en-US"/>
              </w:rPr>
              <w:t xml:space="preserve">Net financial implications </w:t>
            </w:r>
          </w:p>
        </w:tc>
      </w:tr>
      <w:tr w:rsidR="009D2988" w:rsidRPr="005E7233" w14:paraId="778EC71B" w14:textId="77777777" w:rsidTr="00FA35FA">
        <w:tc>
          <w:tcPr>
            <w:tcW w:w="1249" w:type="pct"/>
            <w:tcBorders>
              <w:top w:val="single" w:sz="4" w:space="0" w:color="auto"/>
              <w:bottom w:val="nil"/>
            </w:tcBorders>
            <w:shd w:val="clear" w:color="auto" w:fill="auto"/>
            <w:vAlign w:val="center"/>
          </w:tcPr>
          <w:p w14:paraId="2BEC65BD" w14:textId="7777777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Net cost to PBS/RPBS</w:t>
            </w:r>
          </w:p>
        </w:tc>
        <w:tc>
          <w:tcPr>
            <w:tcW w:w="625" w:type="pct"/>
            <w:tcBorders>
              <w:top w:val="single" w:sz="4" w:space="0" w:color="auto"/>
              <w:bottom w:val="nil"/>
            </w:tcBorders>
            <w:shd w:val="clear" w:color="auto" w:fill="auto"/>
          </w:tcPr>
          <w:p w14:paraId="2707CF90" w14:textId="64DA0FD6"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3</w:t>
            </w:r>
          </w:p>
        </w:tc>
        <w:tc>
          <w:tcPr>
            <w:tcW w:w="625" w:type="pct"/>
            <w:tcBorders>
              <w:top w:val="single" w:sz="4" w:space="0" w:color="auto"/>
              <w:bottom w:val="nil"/>
            </w:tcBorders>
            <w:shd w:val="clear" w:color="auto" w:fill="auto"/>
          </w:tcPr>
          <w:p w14:paraId="71B2A139" w14:textId="1192F90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4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4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4</w:t>
            </w:r>
          </w:p>
        </w:tc>
        <w:tc>
          <w:tcPr>
            <w:tcW w:w="625" w:type="pct"/>
            <w:tcBorders>
              <w:top w:val="single" w:sz="4" w:space="0" w:color="auto"/>
              <w:bottom w:val="nil"/>
            </w:tcBorders>
            <w:shd w:val="clear" w:color="auto" w:fill="auto"/>
          </w:tcPr>
          <w:p w14:paraId="6CE006B5" w14:textId="7F20509D"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single" w:sz="4" w:space="0" w:color="auto"/>
              <w:bottom w:val="nil"/>
            </w:tcBorders>
            <w:shd w:val="clear" w:color="auto" w:fill="auto"/>
          </w:tcPr>
          <w:p w14:paraId="696E4975" w14:textId="1D8D1EDF"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single" w:sz="4" w:space="0" w:color="auto"/>
              <w:bottom w:val="nil"/>
            </w:tcBorders>
            <w:shd w:val="clear" w:color="auto" w:fill="auto"/>
          </w:tcPr>
          <w:p w14:paraId="47050983" w14:textId="7FABD101"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6" w:type="pct"/>
            <w:tcBorders>
              <w:top w:val="single" w:sz="4" w:space="0" w:color="auto"/>
              <w:bottom w:val="nil"/>
            </w:tcBorders>
            <w:shd w:val="clear" w:color="auto" w:fill="auto"/>
          </w:tcPr>
          <w:p w14:paraId="274AB1AB" w14:textId="364BDF2E"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r>
      <w:tr w:rsidR="009D2988" w:rsidRPr="005E7233" w14:paraId="3CF540BB" w14:textId="77777777" w:rsidTr="00FA35FA">
        <w:tc>
          <w:tcPr>
            <w:tcW w:w="1249" w:type="pct"/>
            <w:tcBorders>
              <w:top w:val="nil"/>
            </w:tcBorders>
            <w:shd w:val="clear" w:color="auto" w:fill="auto"/>
            <w:vAlign w:val="center"/>
          </w:tcPr>
          <w:p w14:paraId="3B795CC8" w14:textId="7777777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Revised</w:t>
            </w:r>
          </w:p>
        </w:tc>
        <w:tc>
          <w:tcPr>
            <w:tcW w:w="625" w:type="pct"/>
            <w:tcBorders>
              <w:top w:val="nil"/>
            </w:tcBorders>
            <w:shd w:val="clear" w:color="auto" w:fill="auto"/>
            <w:vAlign w:val="center"/>
          </w:tcPr>
          <w:p w14:paraId="39E935CE" w14:textId="348DAA4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3</w:t>
            </w:r>
          </w:p>
        </w:tc>
        <w:tc>
          <w:tcPr>
            <w:tcW w:w="625" w:type="pct"/>
            <w:tcBorders>
              <w:top w:val="nil"/>
            </w:tcBorders>
            <w:shd w:val="clear" w:color="auto" w:fill="auto"/>
            <w:vAlign w:val="center"/>
          </w:tcPr>
          <w:p w14:paraId="42C1EECF" w14:textId="5F44AD68"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4</w:t>
            </w:r>
          </w:p>
        </w:tc>
        <w:tc>
          <w:tcPr>
            <w:tcW w:w="625" w:type="pct"/>
            <w:tcBorders>
              <w:top w:val="nil"/>
            </w:tcBorders>
            <w:shd w:val="clear" w:color="auto" w:fill="auto"/>
            <w:vAlign w:val="center"/>
          </w:tcPr>
          <w:p w14:paraId="24F36646" w14:textId="78E5FF5C"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3"/>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3"/>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nil"/>
            </w:tcBorders>
            <w:shd w:val="clear" w:color="auto" w:fill="auto"/>
            <w:vAlign w:val="center"/>
          </w:tcPr>
          <w:p w14:paraId="28A75490" w14:textId="05A933D0"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2"/>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2"/>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nil"/>
            </w:tcBorders>
            <w:shd w:val="clear" w:color="auto" w:fill="auto"/>
            <w:vAlign w:val="center"/>
          </w:tcPr>
          <w:p w14:paraId="3663D694" w14:textId="05EFCD0B"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1"/>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1"/>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6" w:type="pct"/>
            <w:tcBorders>
              <w:top w:val="nil"/>
            </w:tcBorders>
            <w:shd w:val="clear" w:color="auto" w:fill="auto"/>
            <w:vAlign w:val="center"/>
          </w:tcPr>
          <w:p w14:paraId="2F2BC36F" w14:textId="3D4D2AAD"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r>
      <w:tr w:rsidR="009D2988" w:rsidRPr="005E7233" w14:paraId="58D4AF92" w14:textId="77777777" w:rsidTr="00FA35FA">
        <w:tc>
          <w:tcPr>
            <w:tcW w:w="1249" w:type="pct"/>
            <w:tcBorders>
              <w:top w:val="single" w:sz="4" w:space="0" w:color="auto"/>
              <w:bottom w:val="single" w:sz="4" w:space="0" w:color="auto"/>
            </w:tcBorders>
            <w:shd w:val="clear" w:color="auto" w:fill="auto"/>
            <w:vAlign w:val="center"/>
          </w:tcPr>
          <w:p w14:paraId="27C123BF" w14:textId="77777777" w:rsidR="009D2988" w:rsidRPr="005E7233" w:rsidRDefault="009D2988" w:rsidP="009D2988">
            <w:pPr>
              <w:keepNext/>
              <w:keepLines/>
              <w:jc w:val="left"/>
              <w:rPr>
                <w:rFonts w:ascii="Arial Narrow" w:eastAsiaTheme="majorEastAsia" w:hAnsi="Arial Narrow" w:cstheme="majorBidi"/>
                <w:bCs/>
                <w:snapToGrid w:val="0"/>
                <w:sz w:val="20"/>
                <w:vertAlign w:val="superscript"/>
                <w:lang w:eastAsia="en-US"/>
              </w:rPr>
            </w:pPr>
            <w:r w:rsidRPr="005E7233">
              <w:rPr>
                <w:rFonts w:ascii="Arial Narrow" w:eastAsiaTheme="majorEastAsia" w:hAnsi="Arial Narrow" w:cstheme="majorBidi"/>
                <w:bCs/>
                <w:snapToGrid w:val="0"/>
                <w:sz w:val="20"/>
                <w:lang w:eastAsia="en-US"/>
              </w:rPr>
              <w:t xml:space="preserve">Net cost to MBS </w:t>
            </w:r>
            <w:r w:rsidRPr="005E7233">
              <w:rPr>
                <w:rFonts w:ascii="Arial Narrow" w:eastAsiaTheme="majorEastAsia" w:hAnsi="Arial Narrow" w:cstheme="majorBidi"/>
                <w:bCs/>
                <w:snapToGrid w:val="0"/>
                <w:sz w:val="20"/>
                <w:vertAlign w:val="superscript"/>
                <w:lang w:eastAsia="en-US"/>
              </w:rPr>
              <w:t>d</w:t>
            </w:r>
          </w:p>
        </w:tc>
        <w:tc>
          <w:tcPr>
            <w:tcW w:w="625" w:type="pct"/>
            <w:tcBorders>
              <w:top w:val="single" w:sz="4" w:space="0" w:color="auto"/>
              <w:bottom w:val="single" w:sz="4" w:space="0" w:color="auto"/>
            </w:tcBorders>
            <w:shd w:val="clear" w:color="auto" w:fill="auto"/>
          </w:tcPr>
          <w:p w14:paraId="378519C0" w14:textId="7A8E97B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single" w:sz="4" w:space="0" w:color="auto"/>
            </w:tcBorders>
            <w:shd w:val="clear" w:color="auto" w:fill="auto"/>
          </w:tcPr>
          <w:p w14:paraId="0839998B" w14:textId="389C21E1"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single" w:sz="4" w:space="0" w:color="auto"/>
            </w:tcBorders>
            <w:shd w:val="clear" w:color="auto" w:fill="auto"/>
          </w:tcPr>
          <w:p w14:paraId="24C42537" w14:textId="19D39954"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single" w:sz="4" w:space="0" w:color="auto"/>
            </w:tcBorders>
            <w:shd w:val="clear" w:color="auto" w:fill="auto"/>
          </w:tcPr>
          <w:p w14:paraId="13D47FE8" w14:textId="3186D589"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single" w:sz="4" w:space="0" w:color="auto"/>
            </w:tcBorders>
            <w:shd w:val="clear" w:color="auto" w:fill="auto"/>
          </w:tcPr>
          <w:p w14:paraId="5A3BA159" w14:textId="4CD4DDCE"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6" w:type="pct"/>
            <w:tcBorders>
              <w:top w:val="single" w:sz="4" w:space="0" w:color="auto"/>
              <w:bottom w:val="single" w:sz="4" w:space="0" w:color="auto"/>
            </w:tcBorders>
            <w:shd w:val="clear" w:color="auto" w:fill="auto"/>
          </w:tcPr>
          <w:p w14:paraId="3CA9CAC5" w14:textId="333B79FF"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r>
      <w:tr w:rsidR="009D2988" w:rsidRPr="005E7233" w14:paraId="34EEE67F" w14:textId="77777777" w:rsidTr="00FA35FA">
        <w:tc>
          <w:tcPr>
            <w:tcW w:w="1249" w:type="pct"/>
            <w:tcBorders>
              <w:top w:val="single" w:sz="4" w:space="0" w:color="auto"/>
              <w:bottom w:val="single" w:sz="4" w:space="0" w:color="auto"/>
            </w:tcBorders>
            <w:shd w:val="clear" w:color="auto" w:fill="auto"/>
            <w:vAlign w:val="center"/>
          </w:tcPr>
          <w:p w14:paraId="7260633B" w14:textId="77777777" w:rsidR="009D2988" w:rsidRPr="005E7233" w:rsidRDefault="009D2988" w:rsidP="009D2988">
            <w:pPr>
              <w:keepNext/>
              <w:keepLines/>
              <w:jc w:val="left"/>
              <w:rPr>
                <w:rFonts w:ascii="Arial Narrow" w:eastAsiaTheme="majorEastAsia" w:hAnsi="Arial Narrow" w:cstheme="majorBidi"/>
                <w:b/>
                <w:snapToGrid w:val="0"/>
                <w:sz w:val="20"/>
                <w:lang w:eastAsia="en-US"/>
              </w:rPr>
            </w:pPr>
            <w:r w:rsidRPr="005E7233">
              <w:rPr>
                <w:rFonts w:ascii="Arial Narrow" w:eastAsiaTheme="majorEastAsia" w:hAnsi="Arial Narrow" w:cstheme="majorBidi"/>
                <w:b/>
                <w:snapToGrid w:val="0"/>
                <w:sz w:val="20"/>
                <w:lang w:eastAsia="en-US"/>
              </w:rPr>
              <w:t>Net cost to PBS/RPBS/MBS</w:t>
            </w:r>
          </w:p>
        </w:tc>
        <w:tc>
          <w:tcPr>
            <w:tcW w:w="625" w:type="pct"/>
            <w:tcBorders>
              <w:top w:val="single" w:sz="4" w:space="0" w:color="auto"/>
              <w:bottom w:val="single" w:sz="4" w:space="0" w:color="auto"/>
            </w:tcBorders>
            <w:shd w:val="clear" w:color="auto" w:fill="auto"/>
            <w:vAlign w:val="center"/>
          </w:tcPr>
          <w:p w14:paraId="76CBBD8D" w14:textId="1F6E7C21"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40"/>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4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3</w:t>
            </w:r>
          </w:p>
        </w:tc>
        <w:tc>
          <w:tcPr>
            <w:tcW w:w="625" w:type="pct"/>
            <w:tcBorders>
              <w:top w:val="single" w:sz="4" w:space="0" w:color="auto"/>
              <w:bottom w:val="single" w:sz="4" w:space="0" w:color="auto"/>
            </w:tcBorders>
            <w:shd w:val="clear" w:color="auto" w:fill="auto"/>
            <w:vAlign w:val="center"/>
          </w:tcPr>
          <w:p w14:paraId="0133B274" w14:textId="571DF739"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9"/>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4</w:t>
            </w:r>
          </w:p>
        </w:tc>
        <w:tc>
          <w:tcPr>
            <w:tcW w:w="625" w:type="pct"/>
            <w:tcBorders>
              <w:top w:val="single" w:sz="4" w:space="0" w:color="auto"/>
              <w:bottom w:val="single" w:sz="4" w:space="0" w:color="auto"/>
            </w:tcBorders>
            <w:shd w:val="clear" w:color="auto" w:fill="auto"/>
            <w:vAlign w:val="center"/>
          </w:tcPr>
          <w:p w14:paraId="3751B2BB" w14:textId="51C9A907"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8"/>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single" w:sz="4" w:space="0" w:color="auto"/>
              <w:bottom w:val="single" w:sz="4" w:space="0" w:color="auto"/>
            </w:tcBorders>
            <w:shd w:val="clear" w:color="auto" w:fill="auto"/>
            <w:vAlign w:val="center"/>
          </w:tcPr>
          <w:p w14:paraId="54427851" w14:textId="1F8EBC46"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7"/>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single" w:sz="4" w:space="0" w:color="auto"/>
              <w:bottom w:val="single" w:sz="4" w:space="0" w:color="auto"/>
            </w:tcBorders>
            <w:shd w:val="clear" w:color="auto" w:fill="auto"/>
            <w:vAlign w:val="center"/>
          </w:tcPr>
          <w:p w14:paraId="150E8C34" w14:textId="0E58AF30"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6"/>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6" w:type="pct"/>
            <w:tcBorders>
              <w:top w:val="single" w:sz="4" w:space="0" w:color="auto"/>
              <w:bottom w:val="single" w:sz="4" w:space="0" w:color="auto"/>
            </w:tcBorders>
            <w:shd w:val="clear" w:color="auto" w:fill="auto"/>
            <w:vAlign w:val="center"/>
          </w:tcPr>
          <w:p w14:paraId="6A255305" w14:textId="1C01CE49"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5"/>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r>
    </w:tbl>
    <w:p w14:paraId="4C0D5D65" w14:textId="287095CF" w:rsidR="009D2988" w:rsidRPr="005E7233" w:rsidRDefault="009D2988" w:rsidP="009D2988">
      <w:pPr>
        <w:jc w:val="left"/>
        <w:rPr>
          <w:rFonts w:ascii="Arial Narrow" w:eastAsia="Calibri" w:hAnsi="Arial Narrow"/>
          <w:sz w:val="18"/>
          <w:szCs w:val="18"/>
        </w:rPr>
      </w:pPr>
      <w:r w:rsidRPr="005E7233">
        <w:rPr>
          <w:rFonts w:ascii="Arial Narrow" w:eastAsia="Calibri" w:hAnsi="Arial Narrow"/>
          <w:sz w:val="18"/>
          <w:szCs w:val="18"/>
        </w:rPr>
        <w:t xml:space="preserve">Source: </w:t>
      </w:r>
      <w:r w:rsidR="00FF1A09" w:rsidRPr="005E7233">
        <w:rPr>
          <w:rFonts w:ascii="Arial Narrow" w:hAnsi="Arial Narrow"/>
          <w:snapToGrid w:val="0"/>
          <w:sz w:val="18"/>
          <w:szCs w:val="22"/>
        </w:rPr>
        <w:t>Tabulated during the evaluation, from the “Attachment 19 – Tepezza TED Financial Model” workbook provided in the submission</w:t>
      </w:r>
      <w:r w:rsidRPr="005E7233">
        <w:rPr>
          <w:rFonts w:ascii="Arial Narrow" w:eastAsia="Calibri" w:hAnsi="Arial Narrow"/>
          <w:sz w:val="18"/>
          <w:szCs w:val="18"/>
        </w:rPr>
        <w:t>.</w:t>
      </w:r>
    </w:p>
    <w:p w14:paraId="37C4BB91" w14:textId="007AE194" w:rsidR="009D2988" w:rsidRPr="005E7233" w:rsidRDefault="009D2988" w:rsidP="009D2988">
      <w:pPr>
        <w:keepLines/>
        <w:spacing w:after="120"/>
        <w:contextualSpacing/>
        <w:rPr>
          <w:rFonts w:ascii="Arial Narrow" w:hAnsi="Arial Narrow"/>
          <w:snapToGrid w:val="0"/>
          <w:sz w:val="18"/>
          <w:szCs w:val="22"/>
          <w:lang w:eastAsia="en-US"/>
        </w:rPr>
      </w:pPr>
      <w:r w:rsidRPr="005E7233">
        <w:rPr>
          <w:rFonts w:ascii="Arial Narrow" w:hAnsi="Arial Narrow"/>
          <w:snapToGrid w:val="0"/>
          <w:sz w:val="18"/>
          <w:szCs w:val="22"/>
          <w:lang w:eastAsia="en-US"/>
        </w:rPr>
        <w:t>IVMP = intravenous methylprednisolone; MBS = Medicare benefits schedule; MMF = mycophenolate m</w:t>
      </w:r>
      <w:r w:rsidR="001F2741" w:rsidRPr="005E7233">
        <w:rPr>
          <w:rFonts w:ascii="Arial Narrow" w:hAnsi="Arial Narrow"/>
          <w:snapToGrid w:val="0"/>
          <w:sz w:val="18"/>
          <w:szCs w:val="22"/>
          <w:lang w:eastAsia="en-US"/>
        </w:rPr>
        <w:t>o</w:t>
      </w:r>
      <w:r w:rsidR="004B12EA" w:rsidRPr="005E7233">
        <w:rPr>
          <w:rFonts w:ascii="Arial Narrow" w:hAnsi="Arial Narrow"/>
          <w:snapToGrid w:val="0"/>
          <w:sz w:val="18"/>
          <w:szCs w:val="22"/>
          <w:lang w:eastAsia="en-US"/>
        </w:rPr>
        <w:t>fetil</w:t>
      </w:r>
      <w:r w:rsidRPr="005E7233">
        <w:rPr>
          <w:rFonts w:ascii="Arial Narrow" w:hAnsi="Arial Narrow"/>
          <w:snapToGrid w:val="0"/>
          <w:sz w:val="18"/>
          <w:szCs w:val="22"/>
          <w:lang w:eastAsia="en-US"/>
        </w:rPr>
        <w:t>; PBS = Pharmaceutical benefits scheme; RPBS = Repatriation pharmaceutical benefits scheme.</w:t>
      </w:r>
    </w:p>
    <w:p w14:paraId="115C7548" w14:textId="79231C55" w:rsidR="009D2988" w:rsidRPr="005E7233" w:rsidRDefault="009D2988" w:rsidP="009D2988">
      <w:pPr>
        <w:keepLines/>
        <w:spacing w:after="120"/>
        <w:contextualSpacing/>
        <w:rPr>
          <w:rFonts w:ascii="Arial Narrow" w:hAnsi="Arial Narrow"/>
          <w:snapToGrid w:val="0"/>
          <w:sz w:val="18"/>
          <w:szCs w:val="18"/>
          <w:vertAlign w:val="superscript"/>
          <w:lang w:eastAsia="en-US"/>
        </w:rPr>
      </w:pPr>
      <w:r w:rsidRPr="005E7233">
        <w:rPr>
          <w:rFonts w:ascii="Arial Narrow" w:hAnsi="Arial Narrow"/>
          <w:snapToGrid w:val="0"/>
          <w:sz w:val="18"/>
          <w:szCs w:val="18"/>
          <w:vertAlign w:val="superscript"/>
          <w:lang w:eastAsia="en-US"/>
        </w:rPr>
        <w:t xml:space="preserve">a </w:t>
      </w:r>
      <w:r w:rsidRPr="005E7233">
        <w:rPr>
          <w:rFonts w:ascii="Arial Narrow" w:hAnsi="Arial Narrow"/>
          <w:snapToGrid w:val="0"/>
          <w:sz w:val="18"/>
          <w:szCs w:val="18"/>
          <w:lang w:eastAsia="en-US"/>
        </w:rPr>
        <w:t>Based on weighted dispensed prices of $</w:t>
      </w:r>
      <w:r w:rsidR="00BD0449" w:rsidRPr="00D90272">
        <w:rPr>
          <w:rFonts w:ascii="Arial Narrow" w:hAnsi="Arial Narrow"/>
          <w:snapToGrid w:val="0"/>
          <w:color w:val="000000"/>
          <w:spacing w:val="40"/>
          <w:sz w:val="18"/>
          <w:szCs w:val="18"/>
          <w:shd w:val="solid" w:color="000000" w:fill="000000"/>
          <w:fitText w:val="280" w:id="-694435834"/>
          <w:lang w:eastAsia="en-US"/>
          <w14:textFill>
            <w14:solidFill>
              <w14:srgbClr w14:val="000000">
                <w14:alpha w14:val="100000"/>
              </w14:srgbClr>
            </w14:solidFill>
          </w14:textFill>
        </w:rPr>
        <w:t xml:space="preserve">|  </w:t>
      </w:r>
      <w:r w:rsidR="00BD0449" w:rsidRPr="00D90272">
        <w:rPr>
          <w:rFonts w:ascii="Arial Narrow" w:hAnsi="Arial Narrow"/>
          <w:snapToGrid w:val="0"/>
          <w:color w:val="000000"/>
          <w:spacing w:val="2"/>
          <w:sz w:val="18"/>
          <w:szCs w:val="18"/>
          <w:shd w:val="solid" w:color="000000" w:fill="000000"/>
          <w:fitText w:val="280" w:id="-694435834"/>
          <w:lang w:eastAsia="en-US"/>
          <w14:textFill>
            <w14:solidFill>
              <w14:srgbClr w14:val="000000">
                <w14:alpha w14:val="100000"/>
              </w14:srgbClr>
            </w14:solidFill>
          </w14:textFill>
        </w:rPr>
        <w:t>|</w:t>
      </w:r>
      <w:r w:rsidRPr="005E7233">
        <w:rPr>
          <w:rFonts w:ascii="Arial Narrow" w:hAnsi="Arial Narrow"/>
          <w:snapToGrid w:val="0"/>
          <w:sz w:val="18"/>
          <w:szCs w:val="18"/>
          <w:lang w:eastAsia="en-US"/>
        </w:rPr>
        <w:t xml:space="preserve"> and $</w:t>
      </w:r>
      <w:r w:rsidR="00BD0449" w:rsidRPr="00D90272">
        <w:rPr>
          <w:rFonts w:ascii="Arial Narrow" w:hAnsi="Arial Narrow"/>
          <w:snapToGrid w:val="0"/>
          <w:color w:val="000000"/>
          <w:spacing w:val="40"/>
          <w:sz w:val="18"/>
          <w:szCs w:val="18"/>
          <w:shd w:val="solid" w:color="000000" w:fill="000000"/>
          <w:fitText w:val="280" w:id="-694435833"/>
          <w:lang w:eastAsia="en-US"/>
          <w14:textFill>
            <w14:solidFill>
              <w14:srgbClr w14:val="000000">
                <w14:alpha w14:val="100000"/>
              </w14:srgbClr>
            </w14:solidFill>
          </w14:textFill>
        </w:rPr>
        <w:t xml:space="preserve">|  </w:t>
      </w:r>
      <w:r w:rsidR="00BD0449" w:rsidRPr="00D90272">
        <w:rPr>
          <w:rFonts w:ascii="Arial Narrow" w:hAnsi="Arial Narrow"/>
          <w:snapToGrid w:val="0"/>
          <w:color w:val="000000"/>
          <w:spacing w:val="2"/>
          <w:sz w:val="18"/>
          <w:szCs w:val="18"/>
          <w:shd w:val="solid" w:color="000000" w:fill="000000"/>
          <w:fitText w:val="280" w:id="-694435833"/>
          <w:lang w:eastAsia="en-US"/>
          <w14:textFill>
            <w14:solidFill>
              <w14:srgbClr w14:val="000000">
                <w14:alpha w14:val="100000"/>
              </w14:srgbClr>
            </w14:solidFill>
          </w14:textFill>
        </w:rPr>
        <w:t>|</w:t>
      </w:r>
      <w:r w:rsidRPr="005E7233">
        <w:rPr>
          <w:rFonts w:ascii="Arial Narrow" w:hAnsi="Arial Narrow"/>
          <w:snapToGrid w:val="0"/>
          <w:sz w:val="18"/>
          <w:szCs w:val="18"/>
          <w:lang w:eastAsia="en-US"/>
        </w:rPr>
        <w:t xml:space="preserve"> per initial and continuing dose, respectively.</w:t>
      </w:r>
    </w:p>
    <w:p w14:paraId="230C0933" w14:textId="77777777" w:rsidR="009D2988" w:rsidRPr="005E7233" w:rsidRDefault="009D2988" w:rsidP="009D2988">
      <w:pPr>
        <w:keepLines/>
        <w:spacing w:after="120"/>
        <w:contextualSpacing/>
        <w:rPr>
          <w:rFonts w:ascii="Arial Narrow" w:hAnsi="Arial Narrow"/>
          <w:snapToGrid w:val="0"/>
          <w:sz w:val="18"/>
          <w:szCs w:val="22"/>
          <w:lang w:eastAsia="en-US"/>
        </w:rPr>
      </w:pPr>
      <w:r w:rsidRPr="005E7233">
        <w:rPr>
          <w:rFonts w:ascii="Arial Narrow" w:hAnsi="Arial Narrow"/>
          <w:snapToGrid w:val="0"/>
          <w:sz w:val="18"/>
          <w:szCs w:val="22"/>
          <w:vertAlign w:val="superscript"/>
          <w:lang w:eastAsia="en-US"/>
        </w:rPr>
        <w:t xml:space="preserve">b </w:t>
      </w:r>
      <w:r w:rsidRPr="005E7233">
        <w:rPr>
          <w:rFonts w:ascii="Arial Narrow" w:hAnsi="Arial Narrow"/>
          <w:snapToGrid w:val="0"/>
          <w:sz w:val="18"/>
          <w:szCs w:val="22"/>
          <w:lang w:eastAsia="en-US"/>
        </w:rPr>
        <w:t xml:space="preserve">Assumes vial sharing for IVMP, DPMQs of $45.96 and $202.145 for IVMP and MMF, respectively. </w:t>
      </w:r>
    </w:p>
    <w:p w14:paraId="1FC9AC4A" w14:textId="77777777" w:rsidR="009D2988" w:rsidRPr="005E7233" w:rsidRDefault="009D2988" w:rsidP="009D2988">
      <w:pPr>
        <w:keepLines/>
        <w:spacing w:after="120"/>
        <w:contextualSpacing/>
        <w:rPr>
          <w:rFonts w:ascii="Arial Narrow" w:hAnsi="Arial Narrow"/>
          <w:snapToGrid w:val="0"/>
          <w:sz w:val="18"/>
          <w:szCs w:val="22"/>
          <w:lang w:eastAsia="en-US"/>
        </w:rPr>
      </w:pPr>
      <w:r w:rsidRPr="005E7233">
        <w:rPr>
          <w:rFonts w:ascii="Arial Narrow" w:hAnsi="Arial Narrow"/>
          <w:snapToGrid w:val="0"/>
          <w:sz w:val="18"/>
          <w:szCs w:val="22"/>
          <w:vertAlign w:val="superscript"/>
          <w:lang w:eastAsia="en-US"/>
        </w:rPr>
        <w:t xml:space="preserve">c </w:t>
      </w:r>
      <w:r w:rsidRPr="005E7233">
        <w:rPr>
          <w:rFonts w:ascii="Arial Narrow" w:hAnsi="Arial Narrow"/>
          <w:snapToGrid w:val="0"/>
          <w:sz w:val="18"/>
          <w:szCs w:val="22"/>
          <w:lang w:eastAsia="en-US"/>
        </w:rPr>
        <w:t>Assumes no vial sharing for IVMP</w:t>
      </w:r>
    </w:p>
    <w:p w14:paraId="16E366A8" w14:textId="77777777" w:rsidR="009D2988" w:rsidRDefault="009D2988" w:rsidP="009D2988">
      <w:pPr>
        <w:keepLines/>
        <w:spacing w:after="120"/>
        <w:contextualSpacing/>
        <w:rPr>
          <w:rFonts w:ascii="Arial Narrow" w:hAnsi="Arial Narrow"/>
          <w:snapToGrid w:val="0"/>
          <w:sz w:val="18"/>
          <w:szCs w:val="22"/>
          <w:lang w:eastAsia="en-US"/>
        </w:rPr>
      </w:pPr>
      <w:r w:rsidRPr="005E7233">
        <w:rPr>
          <w:rFonts w:ascii="Arial Narrow" w:hAnsi="Arial Narrow"/>
          <w:snapToGrid w:val="0"/>
          <w:sz w:val="18"/>
          <w:szCs w:val="22"/>
          <w:vertAlign w:val="superscript"/>
          <w:lang w:eastAsia="en-US"/>
        </w:rPr>
        <w:t xml:space="preserve">d </w:t>
      </w:r>
      <w:r w:rsidRPr="005E7233">
        <w:rPr>
          <w:rFonts w:ascii="Arial Narrow" w:hAnsi="Arial Narrow"/>
          <w:snapToGrid w:val="0"/>
          <w:sz w:val="18"/>
          <w:szCs w:val="22"/>
          <w:lang w:eastAsia="en-US"/>
        </w:rPr>
        <w:t xml:space="preserve">Estimated using MBS item 105, $49.75 (80% benefit). </w:t>
      </w:r>
    </w:p>
    <w:p w14:paraId="2840C939" w14:textId="77777777" w:rsidR="0090562D" w:rsidRPr="00A83E0F" w:rsidRDefault="0090562D" w:rsidP="0090562D">
      <w:pPr>
        <w:rPr>
          <w:rFonts w:ascii="Arial Narrow" w:hAnsi="Arial Narrow"/>
          <w:iCs/>
          <w:sz w:val="18"/>
          <w:szCs w:val="18"/>
        </w:rPr>
      </w:pPr>
      <w:r w:rsidRPr="00A83E0F">
        <w:rPr>
          <w:rFonts w:ascii="Arial Narrow" w:hAnsi="Arial Narrow"/>
          <w:iCs/>
          <w:sz w:val="18"/>
          <w:szCs w:val="18"/>
        </w:rPr>
        <w:t xml:space="preserve">The redacted values correspond to the following ranges: </w:t>
      </w:r>
    </w:p>
    <w:p w14:paraId="587455FD" w14:textId="26A0E9CA" w:rsidR="0090562D" w:rsidRPr="00A83E0F" w:rsidRDefault="0090562D" w:rsidP="0090562D">
      <w:pPr>
        <w:rPr>
          <w:rFonts w:ascii="Arial Narrow" w:hAnsi="Arial Narrow"/>
          <w:iCs/>
          <w:sz w:val="18"/>
          <w:szCs w:val="18"/>
        </w:rPr>
      </w:pPr>
      <w:r w:rsidRPr="00A83E0F">
        <w:rPr>
          <w:rFonts w:ascii="Arial Narrow" w:hAnsi="Arial Narrow"/>
          <w:iCs/>
          <w:sz w:val="18"/>
          <w:szCs w:val="18"/>
          <w:vertAlign w:val="superscript"/>
        </w:rPr>
        <w:t>1</w:t>
      </w:r>
      <w:r w:rsidRPr="00A83E0F">
        <w:rPr>
          <w:rFonts w:ascii="Arial Narrow" w:hAnsi="Arial Narrow"/>
          <w:iCs/>
          <w:sz w:val="18"/>
          <w:szCs w:val="18"/>
        </w:rPr>
        <w:t xml:space="preserve"> </w:t>
      </w:r>
      <w:r w:rsidR="00D26B6B" w:rsidRPr="00A83E0F">
        <w:rPr>
          <w:rFonts w:ascii="Arial Narrow" w:hAnsi="Arial Narrow"/>
          <w:iCs/>
          <w:sz w:val="18"/>
          <w:szCs w:val="18"/>
        </w:rPr>
        <w:t>500 to &lt; 5,000</w:t>
      </w:r>
    </w:p>
    <w:p w14:paraId="0213B34A" w14:textId="6F00C3D2" w:rsidR="0090562D" w:rsidRPr="00A83E0F" w:rsidRDefault="0090562D" w:rsidP="0090562D">
      <w:pPr>
        <w:rPr>
          <w:rFonts w:ascii="Arial Narrow" w:hAnsi="Arial Narrow"/>
          <w:iCs/>
          <w:sz w:val="18"/>
          <w:szCs w:val="18"/>
        </w:rPr>
      </w:pPr>
      <w:r w:rsidRPr="00A83E0F">
        <w:rPr>
          <w:rFonts w:ascii="Arial Narrow" w:hAnsi="Arial Narrow"/>
          <w:iCs/>
          <w:sz w:val="18"/>
          <w:szCs w:val="18"/>
          <w:vertAlign w:val="superscript"/>
        </w:rPr>
        <w:t>2</w:t>
      </w:r>
      <w:r w:rsidRPr="00A83E0F">
        <w:rPr>
          <w:rFonts w:ascii="Arial Narrow" w:hAnsi="Arial Narrow"/>
          <w:iCs/>
          <w:sz w:val="18"/>
          <w:szCs w:val="18"/>
        </w:rPr>
        <w:t xml:space="preserve"> </w:t>
      </w:r>
      <w:r w:rsidR="006A0D46" w:rsidRPr="00A83E0F">
        <w:rPr>
          <w:rFonts w:ascii="Arial Narrow" w:hAnsi="Arial Narrow"/>
          <w:iCs/>
          <w:sz w:val="18"/>
          <w:szCs w:val="18"/>
        </w:rPr>
        <w:t>&lt; 500</w:t>
      </w:r>
    </w:p>
    <w:p w14:paraId="48D1D255" w14:textId="1CFE9580" w:rsidR="0090562D" w:rsidRPr="00A83E0F" w:rsidRDefault="0090562D" w:rsidP="0090562D">
      <w:pPr>
        <w:rPr>
          <w:rFonts w:ascii="Arial Narrow" w:hAnsi="Arial Narrow"/>
          <w:iCs/>
          <w:sz w:val="18"/>
          <w:szCs w:val="18"/>
        </w:rPr>
      </w:pPr>
      <w:r w:rsidRPr="00A83E0F">
        <w:rPr>
          <w:rFonts w:ascii="Arial Narrow" w:hAnsi="Arial Narrow"/>
          <w:iCs/>
          <w:sz w:val="18"/>
          <w:szCs w:val="18"/>
          <w:vertAlign w:val="superscript"/>
        </w:rPr>
        <w:t>3</w:t>
      </w:r>
      <w:r w:rsidRPr="00A83E0F">
        <w:rPr>
          <w:rFonts w:ascii="Arial Narrow" w:hAnsi="Arial Narrow"/>
          <w:iCs/>
          <w:sz w:val="18"/>
          <w:szCs w:val="18"/>
        </w:rPr>
        <w:t xml:space="preserve"> </w:t>
      </w:r>
      <w:r w:rsidR="006D0D65" w:rsidRPr="00A83E0F">
        <w:rPr>
          <w:rFonts w:ascii="Arial Narrow" w:hAnsi="Arial Narrow"/>
          <w:iCs/>
          <w:sz w:val="18"/>
          <w:szCs w:val="18"/>
        </w:rPr>
        <w:t>$60 million to &lt; $70 million</w:t>
      </w:r>
    </w:p>
    <w:p w14:paraId="347EE66A" w14:textId="63C78432" w:rsidR="0090562D" w:rsidRPr="00A83E0F" w:rsidRDefault="0090562D" w:rsidP="0090562D">
      <w:pPr>
        <w:rPr>
          <w:rFonts w:ascii="Arial Narrow" w:hAnsi="Arial Narrow"/>
          <w:iCs/>
          <w:sz w:val="18"/>
          <w:szCs w:val="18"/>
        </w:rPr>
      </w:pPr>
      <w:r w:rsidRPr="00A83E0F">
        <w:rPr>
          <w:rFonts w:ascii="Arial Narrow" w:hAnsi="Arial Narrow"/>
          <w:iCs/>
          <w:sz w:val="18"/>
          <w:szCs w:val="18"/>
          <w:vertAlign w:val="superscript"/>
        </w:rPr>
        <w:t>4</w:t>
      </w:r>
      <w:r w:rsidRPr="00A83E0F">
        <w:rPr>
          <w:rFonts w:ascii="Arial Narrow" w:hAnsi="Arial Narrow"/>
          <w:iCs/>
          <w:sz w:val="18"/>
          <w:szCs w:val="18"/>
        </w:rPr>
        <w:t xml:space="preserve"> </w:t>
      </w:r>
      <w:r w:rsidR="00947AA4" w:rsidRPr="00A83E0F">
        <w:rPr>
          <w:rFonts w:ascii="Arial Narrow" w:hAnsi="Arial Narrow"/>
          <w:iCs/>
          <w:sz w:val="18"/>
          <w:szCs w:val="18"/>
        </w:rPr>
        <w:t>$40 million to &lt; $50 million</w:t>
      </w:r>
    </w:p>
    <w:p w14:paraId="035A51B2" w14:textId="363A393A" w:rsidR="0090562D" w:rsidRPr="00A83E0F" w:rsidRDefault="0090562D" w:rsidP="0090562D">
      <w:pPr>
        <w:rPr>
          <w:rFonts w:ascii="Arial Narrow" w:hAnsi="Arial Narrow"/>
          <w:iCs/>
          <w:sz w:val="18"/>
          <w:szCs w:val="18"/>
        </w:rPr>
      </w:pPr>
      <w:r w:rsidRPr="00A83E0F">
        <w:rPr>
          <w:rFonts w:ascii="Arial Narrow" w:hAnsi="Arial Narrow"/>
          <w:iCs/>
          <w:sz w:val="18"/>
          <w:szCs w:val="18"/>
          <w:vertAlign w:val="superscript"/>
        </w:rPr>
        <w:t>5</w:t>
      </w:r>
      <w:r w:rsidRPr="00A83E0F">
        <w:rPr>
          <w:rFonts w:ascii="Arial Narrow" w:hAnsi="Arial Narrow"/>
          <w:iCs/>
          <w:sz w:val="18"/>
          <w:szCs w:val="18"/>
        </w:rPr>
        <w:t xml:space="preserve"> </w:t>
      </w:r>
      <w:r w:rsidR="00A44399" w:rsidRPr="00A83E0F">
        <w:rPr>
          <w:rFonts w:ascii="Arial Narrow" w:hAnsi="Arial Narrow"/>
          <w:iCs/>
          <w:sz w:val="18"/>
          <w:szCs w:val="18"/>
        </w:rPr>
        <w:t>$50 million to &lt; $60 million</w:t>
      </w:r>
    </w:p>
    <w:p w14:paraId="3AFCBD55" w14:textId="63399975" w:rsidR="0090562D" w:rsidRPr="00A83E0F" w:rsidRDefault="0090562D" w:rsidP="0090562D">
      <w:pPr>
        <w:rPr>
          <w:rFonts w:ascii="Arial Narrow" w:hAnsi="Arial Narrow"/>
          <w:iCs/>
          <w:sz w:val="18"/>
          <w:szCs w:val="18"/>
        </w:rPr>
      </w:pPr>
      <w:r w:rsidRPr="00A83E0F">
        <w:rPr>
          <w:rFonts w:ascii="Arial Narrow" w:hAnsi="Arial Narrow"/>
          <w:iCs/>
          <w:sz w:val="18"/>
          <w:szCs w:val="18"/>
          <w:vertAlign w:val="superscript"/>
        </w:rPr>
        <w:t>6</w:t>
      </w:r>
      <w:r w:rsidRPr="00A83E0F">
        <w:rPr>
          <w:rFonts w:ascii="Arial Narrow" w:hAnsi="Arial Narrow"/>
          <w:iCs/>
          <w:sz w:val="18"/>
          <w:szCs w:val="18"/>
        </w:rPr>
        <w:t xml:space="preserve"> </w:t>
      </w:r>
      <w:r w:rsidR="008C6CDC" w:rsidRPr="00A83E0F">
        <w:rPr>
          <w:rFonts w:ascii="Arial Narrow" w:hAnsi="Arial Narrow"/>
          <w:iCs/>
          <w:sz w:val="18"/>
          <w:szCs w:val="18"/>
        </w:rPr>
        <w:t>$0 to &lt; $10 million</w:t>
      </w:r>
    </w:p>
    <w:p w14:paraId="430DA95F" w14:textId="26C5F794" w:rsidR="0090562D" w:rsidRPr="00A83E0F" w:rsidRDefault="0090562D" w:rsidP="0090562D">
      <w:pPr>
        <w:spacing w:after="120"/>
        <w:rPr>
          <w:rFonts w:ascii="Arial Narrow" w:hAnsi="Arial Narrow"/>
          <w:iCs/>
          <w:sz w:val="18"/>
          <w:szCs w:val="18"/>
        </w:rPr>
      </w:pPr>
      <w:r w:rsidRPr="00A83E0F">
        <w:rPr>
          <w:rFonts w:ascii="Arial Narrow" w:hAnsi="Arial Narrow"/>
          <w:iCs/>
          <w:sz w:val="18"/>
          <w:szCs w:val="18"/>
          <w:vertAlign w:val="superscript"/>
        </w:rPr>
        <w:t>7</w:t>
      </w:r>
      <w:r w:rsidRPr="00A83E0F">
        <w:rPr>
          <w:rFonts w:ascii="Arial Narrow" w:hAnsi="Arial Narrow"/>
          <w:iCs/>
          <w:sz w:val="18"/>
          <w:szCs w:val="18"/>
        </w:rPr>
        <w:t xml:space="preserve"> </w:t>
      </w:r>
      <w:r w:rsidR="007F378C" w:rsidRPr="00A83E0F">
        <w:rPr>
          <w:rFonts w:ascii="Arial Narrow" w:hAnsi="Arial Narrow"/>
          <w:iCs/>
          <w:sz w:val="18"/>
          <w:szCs w:val="18"/>
        </w:rPr>
        <w:t>net cost saving</w:t>
      </w:r>
    </w:p>
    <w:p w14:paraId="4331FE61" w14:textId="68B5254C" w:rsidR="00CD7602" w:rsidRDefault="001C66CD" w:rsidP="00CD7602">
      <w:pPr>
        <w:pStyle w:val="3-BodyText"/>
        <w:rPr>
          <w:iCs/>
        </w:rPr>
      </w:pPr>
      <w:r>
        <w:rPr>
          <w:iCs/>
        </w:rPr>
        <w:t xml:space="preserve">The </w:t>
      </w:r>
      <w:r w:rsidR="00CD7602" w:rsidRPr="005E7233">
        <w:rPr>
          <w:iCs/>
        </w:rPr>
        <w:t>DUSC consider</w:t>
      </w:r>
      <w:r w:rsidR="002E78C3" w:rsidRPr="005E7233">
        <w:rPr>
          <w:iCs/>
        </w:rPr>
        <w:t>ed</w:t>
      </w:r>
      <w:r w:rsidR="00CD7602" w:rsidRPr="005E7233">
        <w:rPr>
          <w:iCs/>
        </w:rPr>
        <w:t xml:space="preserve"> the estimates presented in the submission to be overestimated. The main issues </w:t>
      </w:r>
      <w:r w:rsidR="00ED740A" w:rsidRPr="005E7233">
        <w:rPr>
          <w:iCs/>
        </w:rPr>
        <w:t>identified by DUSC were that</w:t>
      </w:r>
      <w:r w:rsidR="00CD7602" w:rsidRPr="005E7233">
        <w:rPr>
          <w:iCs/>
        </w:rPr>
        <w:t>:</w:t>
      </w:r>
    </w:p>
    <w:p w14:paraId="14536F97" w14:textId="21F65A29" w:rsidR="00294659" w:rsidRPr="00294659" w:rsidRDefault="00EB7CB1" w:rsidP="00A44399">
      <w:pPr>
        <w:pStyle w:val="3-BodyText"/>
        <w:numPr>
          <w:ilvl w:val="1"/>
          <w:numId w:val="13"/>
        </w:numPr>
        <w:ind w:left="1134"/>
        <w:rPr>
          <w:iCs/>
        </w:rPr>
      </w:pPr>
      <w:r>
        <w:rPr>
          <w:iCs/>
        </w:rPr>
        <w:t>T</w:t>
      </w:r>
      <w:r w:rsidR="00294659" w:rsidRPr="00294659">
        <w:rPr>
          <w:iCs/>
        </w:rPr>
        <w:t>here was considerable uncertainty in the incidence rates and that this ha</w:t>
      </w:r>
      <w:r w:rsidR="00DC3039">
        <w:rPr>
          <w:iCs/>
        </w:rPr>
        <w:t>d</w:t>
      </w:r>
      <w:r w:rsidR="00294659" w:rsidRPr="00294659">
        <w:rPr>
          <w:iCs/>
        </w:rPr>
        <w:t xml:space="preserve"> a significant impact on the overall utilisation estimates.</w:t>
      </w:r>
    </w:p>
    <w:p w14:paraId="5FECA89A" w14:textId="05141D7D" w:rsidR="00294659" w:rsidRPr="00294659" w:rsidRDefault="00EB7CB1" w:rsidP="00A44399">
      <w:pPr>
        <w:pStyle w:val="3-BodyText"/>
        <w:numPr>
          <w:ilvl w:val="1"/>
          <w:numId w:val="13"/>
        </w:numPr>
        <w:ind w:left="1134"/>
        <w:rPr>
          <w:iCs/>
        </w:rPr>
      </w:pPr>
      <w:r>
        <w:rPr>
          <w:iCs/>
        </w:rPr>
        <w:t>T</w:t>
      </w:r>
      <w:r w:rsidR="00294659" w:rsidRPr="00294659">
        <w:rPr>
          <w:iCs/>
        </w:rPr>
        <w:t>he treatment uptake rate</w:t>
      </w:r>
      <w:r w:rsidR="00833B8C">
        <w:rPr>
          <w:iCs/>
        </w:rPr>
        <w:t>s</w:t>
      </w:r>
      <w:r w:rsidR="00294659" w:rsidRPr="00294659">
        <w:rPr>
          <w:iCs/>
        </w:rPr>
        <w:t xml:space="preserve"> </w:t>
      </w:r>
      <w:r w:rsidR="00DC3039">
        <w:rPr>
          <w:iCs/>
        </w:rPr>
        <w:t xml:space="preserve">were </w:t>
      </w:r>
      <w:r w:rsidR="00294659" w:rsidRPr="00294659">
        <w:rPr>
          <w:iCs/>
        </w:rPr>
        <w:t>likely overestimated in the first two years of listing</w:t>
      </w:r>
      <w:r w:rsidR="005125FE" w:rsidRPr="66382A3A">
        <w:rPr>
          <w:i/>
          <w:iCs/>
        </w:rPr>
        <w:t xml:space="preserve">, </w:t>
      </w:r>
      <w:r w:rsidR="005125FE" w:rsidRPr="005125FE">
        <w:t>leading to an overestimate of the financial impact of listing teprotumumab</w:t>
      </w:r>
      <w:r w:rsidR="00E7473E">
        <w:t xml:space="preserve"> </w:t>
      </w:r>
      <w:r w:rsidR="005125FE" w:rsidRPr="005125FE">
        <w:t>overall.</w:t>
      </w:r>
      <w:r w:rsidR="0023546C">
        <w:t xml:space="preserve"> The </w:t>
      </w:r>
      <w:r w:rsidR="0023546C" w:rsidRPr="0023546C">
        <w:t>DUSC suggest</w:t>
      </w:r>
      <w:r w:rsidR="005F3F07">
        <w:t>ed</w:t>
      </w:r>
      <w:r w:rsidR="0023546C" w:rsidRPr="0023546C">
        <w:t xml:space="preserve"> </w:t>
      </w:r>
      <w:r w:rsidR="007D3D00">
        <w:t xml:space="preserve">an </w:t>
      </w:r>
      <w:r w:rsidR="0023546C" w:rsidRPr="0023546C">
        <w:t>uptake rate by year of: 2026: 60%, 2027: 80%; 2028: 85.0%; 2029: 90.0%, 2030: 95.0%; 2031: 95.0% (capped at 95%).</w:t>
      </w:r>
    </w:p>
    <w:p w14:paraId="150D175B" w14:textId="34DFA8C4" w:rsidR="00294659" w:rsidRPr="00294659" w:rsidRDefault="00EB7CB1" w:rsidP="00A44399">
      <w:pPr>
        <w:pStyle w:val="3-BodyText"/>
        <w:numPr>
          <w:ilvl w:val="1"/>
          <w:numId w:val="13"/>
        </w:numPr>
        <w:ind w:left="1134"/>
        <w:rPr>
          <w:iCs/>
        </w:rPr>
      </w:pPr>
      <w:r>
        <w:rPr>
          <w:iCs/>
        </w:rPr>
        <w:t>T</w:t>
      </w:r>
      <w:r w:rsidR="00294659" w:rsidRPr="00294659">
        <w:rPr>
          <w:iCs/>
        </w:rPr>
        <w:t>he exclusion of retreatment from the financial models, which is not excluded by the current restriction, led to an underestimate in the cost.</w:t>
      </w:r>
    </w:p>
    <w:p w14:paraId="1271A742" w14:textId="77777777" w:rsidR="00C208C6" w:rsidRPr="00C208C6" w:rsidRDefault="00C208C6" w:rsidP="00C208C6">
      <w:pPr>
        <w:pStyle w:val="3-BodyText"/>
      </w:pPr>
      <w:bookmarkStart w:id="115" w:name="_Hlk195272335"/>
      <w:bookmarkStart w:id="116" w:name="_Toc22897648"/>
      <w:bookmarkStart w:id="117" w:name="_Toc187759722"/>
      <w:r w:rsidRPr="00C208C6">
        <w:lastRenderedPageBreak/>
        <w:t>The DUSC advised that minor changes to the methods used to derive the utilisation and financial estimates and structure of the estimates model should be considered:</w:t>
      </w:r>
    </w:p>
    <w:p w14:paraId="2D2A4F0B" w14:textId="36EE86A5" w:rsidR="00C208C6" w:rsidRPr="00C208C6" w:rsidRDefault="00C208C6" w:rsidP="00A44399">
      <w:pPr>
        <w:pStyle w:val="ListParagraph"/>
        <w:numPr>
          <w:ilvl w:val="0"/>
          <w:numId w:val="12"/>
        </w:numPr>
        <w:spacing w:before="120"/>
        <w:ind w:left="1134" w:hanging="357"/>
        <w:jc w:val="both"/>
      </w:pPr>
      <w:r w:rsidRPr="00C208C6">
        <w:rPr>
          <w:lang w:val="en-US"/>
        </w:rPr>
        <w:t xml:space="preserve">Epidemiology of the disease is not well established, sensitivity analysis using </w:t>
      </w:r>
      <w:r w:rsidR="00EB7CB1">
        <w:rPr>
          <w:lang w:val="en-US"/>
        </w:rPr>
        <w:t xml:space="preserve">a </w:t>
      </w:r>
      <w:r w:rsidRPr="00C208C6">
        <w:rPr>
          <w:lang w:val="en-US"/>
        </w:rPr>
        <w:t>wider range of incident values may be appropriate.</w:t>
      </w:r>
    </w:p>
    <w:p w14:paraId="4B271816" w14:textId="77777777" w:rsidR="00C208C6" w:rsidRPr="00C208C6" w:rsidRDefault="00C208C6" w:rsidP="00A44399">
      <w:pPr>
        <w:pStyle w:val="ListParagraph"/>
        <w:numPr>
          <w:ilvl w:val="0"/>
          <w:numId w:val="12"/>
        </w:numPr>
        <w:spacing w:before="120"/>
        <w:ind w:left="1134" w:hanging="357"/>
        <w:jc w:val="both"/>
      </w:pPr>
      <w:r w:rsidRPr="00C208C6">
        <w:t>Minor changes to the treated population, including possible retreatment after non-response, relapse or reactivation where impact on uptake can be estimated with some certainty.</w:t>
      </w:r>
    </w:p>
    <w:p w14:paraId="35D3DB96" w14:textId="77777777" w:rsidR="00C208C6" w:rsidRPr="00C208C6" w:rsidRDefault="00C208C6" w:rsidP="00A44399">
      <w:pPr>
        <w:pStyle w:val="ListParagraph"/>
        <w:numPr>
          <w:ilvl w:val="0"/>
          <w:numId w:val="12"/>
        </w:numPr>
        <w:spacing w:before="120"/>
        <w:ind w:left="1134" w:hanging="357"/>
        <w:jc w:val="both"/>
      </w:pPr>
      <w:r w:rsidRPr="00C208C6">
        <w:t xml:space="preserve">Changes to some data inputs and assumptions are required including uptake, incidence, and compliance rates but would be supported by additional sensitivity analyses with a range greater than +/- 10% to explore the extent of uncertainty. </w:t>
      </w:r>
    </w:p>
    <w:bookmarkEnd w:id="115"/>
    <w:p w14:paraId="7673DF5C" w14:textId="04763607" w:rsidR="00E40D81" w:rsidRPr="005E7233" w:rsidRDefault="00E40D81" w:rsidP="002D49BE">
      <w:pPr>
        <w:pStyle w:val="4-SubsectionHeading"/>
      </w:pPr>
      <w:r w:rsidRPr="005E7233">
        <w:t>Quality Use of Medicines</w:t>
      </w:r>
      <w:bookmarkEnd w:id="116"/>
      <w:bookmarkEnd w:id="117"/>
    </w:p>
    <w:p w14:paraId="564CBA91" w14:textId="18633E2B" w:rsidR="00E40D81" w:rsidRPr="005E7233" w:rsidRDefault="00E40D81" w:rsidP="003B2AE9">
      <w:pPr>
        <w:pStyle w:val="3-BodyText"/>
      </w:pPr>
      <w:r w:rsidRPr="005E7233">
        <w:t xml:space="preserve">The </w:t>
      </w:r>
      <w:r w:rsidR="006B76BF">
        <w:t>submission</w:t>
      </w:r>
      <w:r w:rsidR="006B76BF" w:rsidRPr="005E7233">
        <w:t xml:space="preserve"> </w:t>
      </w:r>
      <w:r w:rsidRPr="005E7233">
        <w:t xml:space="preserve">noted that routine pharmacovigilance measures are in place to ensure that safe and quality use of teprotumumab in Australia. The submission stated that the sponsor will work collaboratively with healthcare professionals involved in the care for patients with TED to develop materials such as brochures, educational programs and accredited education services which will be distributed and share via multiple platforms. The materials would be targeted to healthcare professionals such as ophthalmologists, endocrinologists, nurses, rheumatologists and oculoplastic surgeons. </w:t>
      </w:r>
    </w:p>
    <w:p w14:paraId="589E271D" w14:textId="77777777" w:rsidR="00E40D81" w:rsidRPr="005E7233" w:rsidRDefault="00E40D81" w:rsidP="00303DD3">
      <w:pPr>
        <w:numPr>
          <w:ilvl w:val="1"/>
          <w:numId w:val="6"/>
        </w:numPr>
        <w:spacing w:before="60" w:after="60"/>
        <w:rPr>
          <w:rFonts w:asciiTheme="minorHAnsi" w:eastAsiaTheme="minorHAnsi" w:hAnsiTheme="minorHAnsi" w:cstheme="minorBidi"/>
          <w:szCs w:val="22"/>
        </w:rPr>
      </w:pPr>
      <w:r w:rsidRPr="005E7233">
        <w:rPr>
          <w:rFonts w:asciiTheme="minorHAnsi" w:eastAsiaTheme="minorHAnsi" w:hAnsiTheme="minorHAnsi" w:cstheme="minorBidi"/>
          <w:szCs w:val="22"/>
        </w:rPr>
        <w:t>The submission also noted that a post-marketing trial, with 99 patients enrolled, is currently being undertaken in the USA and 5 European countries to assess the safety of teprotumumab with regards to hearing impairment and to assess the tolerability of different treatment durations of teprotumumab (4, 8 and 16 infusions).</w:t>
      </w:r>
    </w:p>
    <w:p w14:paraId="0293F92A" w14:textId="4D724C75" w:rsidR="00266027" w:rsidRDefault="00F92980" w:rsidP="00F92980">
      <w:pPr>
        <w:pStyle w:val="3-BodyText"/>
      </w:pPr>
      <w:r>
        <w:t xml:space="preserve">The </w:t>
      </w:r>
      <w:r w:rsidRPr="00F92980">
        <w:t>DUSC noted that patient</w:t>
      </w:r>
      <w:r>
        <w:t>s</w:t>
      </w:r>
      <w:r w:rsidRPr="00F92980">
        <w:t xml:space="preserve"> will have to first visit a referral centre for initial assessment before being treated locally. </w:t>
      </w:r>
      <w:r w:rsidR="004F5E4D">
        <w:t xml:space="preserve">The </w:t>
      </w:r>
      <w:r w:rsidRPr="00F92980">
        <w:t xml:space="preserve">DUSC considered that this may </w:t>
      </w:r>
      <w:r w:rsidR="00BF4BAA">
        <w:t>cause</w:t>
      </w:r>
      <w:r w:rsidRPr="00F92980">
        <w:t xml:space="preserve"> access issues for rural and remote communities. </w:t>
      </w:r>
      <w:r w:rsidR="00BF4BAA">
        <w:t xml:space="preserve">The </w:t>
      </w:r>
      <w:r w:rsidRPr="00F92980">
        <w:t>DUSC also noted that access to infusion services may be more limited in rural and remote Aboriginal communities.</w:t>
      </w:r>
    </w:p>
    <w:p w14:paraId="490EC172" w14:textId="4DD965B1" w:rsidR="00CD7602" w:rsidRPr="005E7233" w:rsidRDefault="00DD5428" w:rsidP="00CD7602">
      <w:pPr>
        <w:pStyle w:val="3-BodyText"/>
      </w:pPr>
      <w:bookmarkStart w:id="118" w:name="_Ref195357518"/>
      <w:r>
        <w:t xml:space="preserve">The </w:t>
      </w:r>
      <w:r w:rsidR="00CD7602" w:rsidRPr="005E7233">
        <w:t xml:space="preserve">DUSC noted that while hearing loss was not a major issue in the clinical trials, the </w:t>
      </w:r>
      <w:r w:rsidR="0020206B" w:rsidRPr="005E7233">
        <w:t xml:space="preserve">draft </w:t>
      </w:r>
      <w:r w:rsidR="00CD7602" w:rsidRPr="005E7233">
        <w:t>product information included a warning for hearing loss and that appropriate assessments need to be undertaken prior to commencing therapy.</w:t>
      </w:r>
      <w:r w:rsidR="00174D57">
        <w:t xml:space="preserve"> The</w:t>
      </w:r>
      <w:r w:rsidR="00CD7602" w:rsidRPr="005E7233">
        <w:t xml:space="preserve"> DUSC considered that due to the unknown mechanism of action of the hearing loss and higher rates in real world studies, that as part of the restriction it would be appropriate to include that audiology review and surveillance should be undertaken before and during treatment with teprotumumab.</w:t>
      </w:r>
      <w:r w:rsidR="00887E4B" w:rsidRPr="005E7233">
        <w:t xml:space="preserve"> </w:t>
      </w:r>
      <w:r w:rsidR="000357A9">
        <w:t xml:space="preserve">The pre-PBAC Response acknowledged that hearing impairment </w:t>
      </w:r>
      <w:r w:rsidR="006C521D">
        <w:t>wa</w:t>
      </w:r>
      <w:r w:rsidR="000357A9">
        <w:t>s an important risk associated with teprotumumab and agreed with the proposed amendment to the restriction.</w:t>
      </w:r>
      <w:bookmarkEnd w:id="118"/>
    </w:p>
    <w:p w14:paraId="464F6697" w14:textId="77777777" w:rsidR="00E40D81" w:rsidRPr="005E7233" w:rsidRDefault="00E40D81" w:rsidP="002D49BE">
      <w:pPr>
        <w:pStyle w:val="4-SubsectionHeading"/>
      </w:pPr>
      <w:bookmarkStart w:id="119" w:name="_Toc22897649"/>
      <w:bookmarkStart w:id="120" w:name="_Toc187759723"/>
      <w:r w:rsidRPr="005E7233">
        <w:t>Financial Management – Risk Sharing Arrangements</w:t>
      </w:r>
      <w:bookmarkEnd w:id="119"/>
      <w:bookmarkEnd w:id="120"/>
    </w:p>
    <w:p w14:paraId="6F1F8DA3" w14:textId="409624CD" w:rsidR="00E40D81" w:rsidRPr="005E7233" w:rsidRDefault="00E40D81" w:rsidP="00F13B78">
      <w:pPr>
        <w:pStyle w:val="3-BodyText"/>
        <w:rPr>
          <w:b/>
          <w:bCs/>
        </w:rPr>
      </w:pPr>
      <w:r w:rsidRPr="005E7233">
        <w:t xml:space="preserve">The </w:t>
      </w:r>
      <w:r w:rsidR="00896F07">
        <w:t>submission</w:t>
      </w:r>
      <w:r w:rsidR="00896F07" w:rsidRPr="005E7233">
        <w:t xml:space="preserve"> </w:t>
      </w:r>
      <w:r w:rsidRPr="005E7233">
        <w:t xml:space="preserve">stated that </w:t>
      </w:r>
      <w:r w:rsidR="00896F07">
        <w:t xml:space="preserve">the </w:t>
      </w:r>
      <w:r w:rsidR="00F865F7">
        <w:t>sponsor</w:t>
      </w:r>
      <w:r w:rsidR="00896F07" w:rsidRPr="005E7233">
        <w:t xml:space="preserve"> </w:t>
      </w:r>
      <w:r w:rsidRPr="005E7233">
        <w:t xml:space="preserve">would be willing to enter into a risk sharing arrangement (RSA) following a positive recommendation from the PBAC. </w:t>
      </w:r>
    </w:p>
    <w:p w14:paraId="6384C67D" w14:textId="77777777" w:rsidR="009925B1" w:rsidRPr="005E7233" w:rsidRDefault="009925B1" w:rsidP="009925B1">
      <w:pPr>
        <w:spacing w:after="120"/>
        <w:ind w:firstLine="709"/>
        <w:rPr>
          <w:rFonts w:asciiTheme="minorHAnsi" w:hAnsiTheme="minorHAnsi" w:cs="Times New Roman"/>
          <w:i/>
          <w:lang w:eastAsia="en-US"/>
        </w:rPr>
      </w:pPr>
      <w:bookmarkStart w:id="121" w:name="_Toc187759725"/>
      <w:bookmarkEnd w:id="111"/>
      <w:r w:rsidRPr="005E7233">
        <w:rPr>
          <w:rFonts w:asciiTheme="minorHAnsi" w:hAnsiTheme="minorHAnsi" w:cs="Times New Roman"/>
          <w:i/>
          <w:lang w:eastAsia="en-US"/>
        </w:rPr>
        <w:lastRenderedPageBreak/>
        <w:t>For more detail on PBAC’s view, see section 7 PBAC outcome.</w:t>
      </w:r>
    </w:p>
    <w:p w14:paraId="5C8B90D5" w14:textId="22553E3F" w:rsidR="00A20061" w:rsidRPr="005E7233" w:rsidRDefault="00A20061" w:rsidP="00A20061">
      <w:pPr>
        <w:keepNext/>
        <w:numPr>
          <w:ilvl w:val="0"/>
          <w:numId w:val="1"/>
        </w:numPr>
        <w:spacing w:before="240" w:after="120"/>
        <w:jc w:val="left"/>
        <w:outlineLvl w:val="0"/>
        <w:rPr>
          <w:rFonts w:asciiTheme="minorHAnsi" w:hAnsiTheme="minorHAnsi"/>
          <w:b/>
          <w:snapToGrid w:val="0"/>
          <w:sz w:val="32"/>
          <w:szCs w:val="32"/>
        </w:rPr>
      </w:pPr>
      <w:bookmarkStart w:id="122" w:name="_Hlk76381249"/>
      <w:bookmarkStart w:id="123" w:name="_Hlk76377955"/>
      <w:r w:rsidRPr="005E7233">
        <w:rPr>
          <w:rFonts w:asciiTheme="minorHAnsi" w:hAnsiTheme="minorHAnsi"/>
          <w:b/>
          <w:snapToGrid w:val="0"/>
          <w:sz w:val="32"/>
          <w:szCs w:val="32"/>
        </w:rPr>
        <w:t>PBAC Outcome</w:t>
      </w:r>
      <w:r w:rsidR="007C187D">
        <w:rPr>
          <w:rFonts w:asciiTheme="minorHAnsi" w:hAnsiTheme="minorHAnsi"/>
          <w:b/>
          <w:snapToGrid w:val="0"/>
          <w:sz w:val="32"/>
          <w:szCs w:val="32"/>
        </w:rPr>
        <w:t xml:space="preserve"> </w:t>
      </w:r>
    </w:p>
    <w:p w14:paraId="72776813" w14:textId="595ECAD1" w:rsidR="004310D5" w:rsidRPr="00531883" w:rsidRDefault="00E77BD8" w:rsidP="00F13B78">
      <w:pPr>
        <w:pStyle w:val="3-BodyText"/>
        <w:rPr>
          <w:snapToGrid w:val="0"/>
          <w:lang w:eastAsia="en-US"/>
        </w:rPr>
      </w:pPr>
      <w:bookmarkStart w:id="124" w:name="_Hlk111543188"/>
      <w:r w:rsidRPr="005E7233">
        <w:rPr>
          <w:snapToGrid w:val="0"/>
          <w:lang w:eastAsia="en-US"/>
        </w:rPr>
        <w:t xml:space="preserve">The </w:t>
      </w:r>
      <w:r w:rsidRPr="00531883">
        <w:rPr>
          <w:snapToGrid w:val="0"/>
          <w:lang w:eastAsia="en-US"/>
        </w:rPr>
        <w:t xml:space="preserve">PBAC did not recommend teprotumumab for the treatment of </w:t>
      </w:r>
      <w:r w:rsidR="004310D5" w:rsidRPr="00531883">
        <w:t xml:space="preserve">active, moderate-to-severe (MS) thyroid eye disease (TED). The PBAC </w:t>
      </w:r>
      <w:r w:rsidR="00702A5C">
        <w:t>considered there was a high clinical</w:t>
      </w:r>
      <w:r w:rsidR="00F62AFC">
        <w:t xml:space="preserve"> need</w:t>
      </w:r>
      <w:r w:rsidR="00702A5C">
        <w:t xml:space="preserve"> </w:t>
      </w:r>
      <w:r w:rsidR="00920105">
        <w:t>in</w:t>
      </w:r>
      <w:r w:rsidR="003B244E">
        <w:t xml:space="preserve"> the</w:t>
      </w:r>
      <w:r w:rsidR="00920105">
        <w:t xml:space="preserve"> requested patient population, and </w:t>
      </w:r>
      <w:r w:rsidR="004310D5" w:rsidRPr="00531883">
        <w:t>the evidence presented demonstrated that teprotumumab was more effective in reducing proptosis and diplopia compared to the current standard of care</w:t>
      </w:r>
      <w:r w:rsidR="00A60B1C">
        <w:t xml:space="preserve"> (SoC)</w:t>
      </w:r>
      <w:r w:rsidR="004310D5" w:rsidRPr="00531883">
        <w:t xml:space="preserve">, which may lead to a reduced utilisation of eye surgery. However, </w:t>
      </w:r>
      <w:bookmarkStart w:id="125" w:name="_Hlk193797105"/>
      <w:r w:rsidR="004310D5" w:rsidRPr="00531883">
        <w:t xml:space="preserve">the PBAC considered that </w:t>
      </w:r>
      <w:r w:rsidR="000C233C" w:rsidRPr="00531883">
        <w:t>due to the limited data available</w:t>
      </w:r>
      <w:r w:rsidR="00041CF0">
        <w:t>,</w:t>
      </w:r>
      <w:r w:rsidR="000C233C" w:rsidRPr="00531883">
        <w:t xml:space="preserve"> </w:t>
      </w:r>
      <w:r w:rsidR="004310D5" w:rsidRPr="00531883">
        <w:t>the complexity of the economic model led to a high degree of uncertainty. The PBAC considered that revision to model inputs and a price reduction would be required to address residual uncertainty and achieve a cost-effective listing</w:t>
      </w:r>
      <w:bookmarkEnd w:id="125"/>
      <w:r w:rsidR="004310D5" w:rsidRPr="00531883">
        <w:t xml:space="preserve">, together with a risk sharing arrangement. </w:t>
      </w:r>
    </w:p>
    <w:p w14:paraId="35409395" w14:textId="6D7D4393" w:rsidR="00D64862" w:rsidRPr="00531883" w:rsidRDefault="00D64862" w:rsidP="00F13B78">
      <w:pPr>
        <w:pStyle w:val="3-BodyText"/>
        <w:rPr>
          <w:snapToGrid w:val="0"/>
          <w:lang w:eastAsia="en-US"/>
        </w:rPr>
      </w:pPr>
      <w:r w:rsidRPr="00531883">
        <w:t>The primary reason for this outcome was</w:t>
      </w:r>
      <w:r w:rsidR="00E14E09">
        <w:t xml:space="preserve"> due to</w:t>
      </w:r>
      <w:r w:rsidRPr="00531883">
        <w:t xml:space="preserve"> the economic evaluation</w:t>
      </w:r>
      <w:r w:rsidR="00E14E09">
        <w:t xml:space="preserve"> presented</w:t>
      </w:r>
      <w:r w:rsidRPr="00531883">
        <w:t>.</w:t>
      </w:r>
    </w:p>
    <w:p w14:paraId="643609E9" w14:textId="18424583" w:rsidR="00AB37BA" w:rsidRDefault="007F7E16" w:rsidP="00F13B78">
      <w:pPr>
        <w:pStyle w:val="3-BodyText"/>
        <w:rPr>
          <w:snapToGrid w:val="0"/>
          <w:lang w:eastAsia="en-US"/>
        </w:rPr>
      </w:pPr>
      <w:r w:rsidRPr="005E7233">
        <w:rPr>
          <w:snapToGrid w:val="0"/>
          <w:lang w:eastAsia="en-US"/>
        </w:rPr>
        <w:t xml:space="preserve">The PBAC </w:t>
      </w:r>
      <w:r w:rsidR="007257C2">
        <w:rPr>
          <w:snapToGrid w:val="0"/>
          <w:lang w:eastAsia="en-US"/>
        </w:rPr>
        <w:t>recognised</w:t>
      </w:r>
      <w:r w:rsidR="007257C2" w:rsidRPr="005E7233">
        <w:rPr>
          <w:snapToGrid w:val="0"/>
          <w:lang w:eastAsia="en-US"/>
        </w:rPr>
        <w:t xml:space="preserve"> </w:t>
      </w:r>
      <w:r w:rsidR="009E35EE">
        <w:rPr>
          <w:snapToGrid w:val="0"/>
          <w:lang w:eastAsia="en-US"/>
        </w:rPr>
        <w:t>the</w:t>
      </w:r>
      <w:r w:rsidR="00965597" w:rsidRPr="005E7233">
        <w:rPr>
          <w:snapToGrid w:val="0"/>
          <w:lang w:eastAsia="en-US"/>
        </w:rPr>
        <w:t xml:space="preserve"> high clinical need for </w:t>
      </w:r>
      <w:r w:rsidR="00AE24BF" w:rsidRPr="005E7233">
        <w:rPr>
          <w:snapToGrid w:val="0"/>
          <w:lang w:eastAsia="en-US"/>
        </w:rPr>
        <w:t>effective treatment</w:t>
      </w:r>
      <w:r w:rsidR="007257C2">
        <w:rPr>
          <w:snapToGrid w:val="0"/>
          <w:lang w:eastAsia="en-US"/>
        </w:rPr>
        <w:t>s</w:t>
      </w:r>
      <w:r w:rsidR="00AE24BF" w:rsidRPr="005E7233">
        <w:rPr>
          <w:snapToGrid w:val="0"/>
          <w:lang w:eastAsia="en-US"/>
        </w:rPr>
        <w:t xml:space="preserve"> for active MS TED</w:t>
      </w:r>
      <w:r w:rsidR="00EB1FA4" w:rsidRPr="005E7233">
        <w:rPr>
          <w:snapToGrid w:val="0"/>
          <w:lang w:eastAsia="en-US"/>
        </w:rPr>
        <w:t xml:space="preserve">. </w:t>
      </w:r>
      <w:r w:rsidR="00826C09" w:rsidRPr="005E7233">
        <w:rPr>
          <w:snapToGrid w:val="0"/>
          <w:lang w:eastAsia="en-US"/>
        </w:rPr>
        <w:t xml:space="preserve">The PBAC noted that TED </w:t>
      </w:r>
      <w:r w:rsidR="0073200D">
        <w:rPr>
          <w:snapToGrid w:val="0"/>
          <w:lang w:eastAsia="en-US"/>
        </w:rPr>
        <w:t>follows a</w:t>
      </w:r>
      <w:r w:rsidR="00826C09" w:rsidRPr="005E7233">
        <w:rPr>
          <w:snapToGrid w:val="0"/>
          <w:lang w:eastAsia="en-US"/>
        </w:rPr>
        <w:t xml:space="preserve"> biphasic</w:t>
      </w:r>
      <w:r w:rsidR="0073200D">
        <w:rPr>
          <w:snapToGrid w:val="0"/>
          <w:lang w:eastAsia="en-US"/>
        </w:rPr>
        <w:t xml:space="preserve"> disease course</w:t>
      </w:r>
      <w:r w:rsidR="00826C09" w:rsidRPr="005E7233">
        <w:rPr>
          <w:snapToGrid w:val="0"/>
          <w:lang w:eastAsia="en-US"/>
        </w:rPr>
        <w:t xml:space="preserve">, with </w:t>
      </w:r>
      <w:r w:rsidR="00721A69">
        <w:rPr>
          <w:snapToGrid w:val="0"/>
          <w:lang w:eastAsia="en-US"/>
        </w:rPr>
        <w:t>an initial</w:t>
      </w:r>
      <w:r w:rsidR="00721A69" w:rsidRPr="005E7233">
        <w:rPr>
          <w:snapToGrid w:val="0"/>
          <w:lang w:eastAsia="en-US"/>
        </w:rPr>
        <w:t xml:space="preserve"> </w:t>
      </w:r>
      <w:r w:rsidR="00826C09" w:rsidRPr="005E7233">
        <w:rPr>
          <w:snapToGrid w:val="0"/>
          <w:lang w:eastAsia="en-US"/>
        </w:rPr>
        <w:t xml:space="preserve">active phase lasting 1 to 3 years </w:t>
      </w:r>
      <w:r w:rsidR="007C1EEA">
        <w:rPr>
          <w:snapToGrid w:val="0"/>
          <w:lang w:eastAsia="en-US"/>
        </w:rPr>
        <w:t xml:space="preserve">characterised </w:t>
      </w:r>
      <w:r w:rsidR="00721A69">
        <w:rPr>
          <w:snapToGrid w:val="0"/>
          <w:lang w:eastAsia="en-US"/>
        </w:rPr>
        <w:t>by</w:t>
      </w:r>
      <w:r w:rsidR="00826C09" w:rsidRPr="005E7233">
        <w:rPr>
          <w:snapToGrid w:val="0"/>
          <w:lang w:eastAsia="en-US"/>
        </w:rPr>
        <w:t xml:space="preserve"> progressive inflammation and tissue remodelling. </w:t>
      </w:r>
      <w:r w:rsidR="00F02540">
        <w:rPr>
          <w:snapToGrid w:val="0"/>
          <w:lang w:eastAsia="en-US"/>
        </w:rPr>
        <w:t>An</w:t>
      </w:r>
      <w:r w:rsidR="0043607C" w:rsidRPr="0043607C">
        <w:rPr>
          <w:snapToGrid w:val="0"/>
          <w:lang w:eastAsia="en-US"/>
        </w:rPr>
        <w:t xml:space="preserve"> inactive phase follows, where inflammation subsides but residual effects like proptosis and diplopia may persist due to permanent tissue change</w:t>
      </w:r>
      <w:r w:rsidR="004B384C">
        <w:rPr>
          <w:snapToGrid w:val="0"/>
          <w:lang w:eastAsia="en-US"/>
        </w:rPr>
        <w:t xml:space="preserve">. </w:t>
      </w:r>
      <w:r w:rsidR="00826C09" w:rsidRPr="005E7233">
        <w:rPr>
          <w:snapToGrid w:val="0"/>
          <w:lang w:eastAsia="en-US"/>
        </w:rPr>
        <w:t>The PBAC note</w:t>
      </w:r>
      <w:r w:rsidR="008656AD">
        <w:rPr>
          <w:snapToGrid w:val="0"/>
          <w:lang w:eastAsia="en-US"/>
        </w:rPr>
        <w:t>d</w:t>
      </w:r>
      <w:r w:rsidR="00826C09" w:rsidRPr="005E7233">
        <w:rPr>
          <w:snapToGrid w:val="0"/>
          <w:lang w:eastAsia="en-US"/>
        </w:rPr>
        <w:t xml:space="preserve"> that early intervention in the active phase is important to </w:t>
      </w:r>
      <w:r w:rsidR="008656AD" w:rsidRPr="008656AD">
        <w:rPr>
          <w:snapToGrid w:val="0"/>
          <w:lang w:eastAsia="en-US"/>
        </w:rPr>
        <w:t xml:space="preserve">mitigate the severity of these symptoms and </w:t>
      </w:r>
      <w:r w:rsidR="00B50650">
        <w:rPr>
          <w:snapToGrid w:val="0"/>
          <w:lang w:eastAsia="en-US"/>
        </w:rPr>
        <w:t>optimise both functional and structural outcomes</w:t>
      </w:r>
      <w:r w:rsidR="00826C09" w:rsidRPr="005E7233">
        <w:rPr>
          <w:snapToGrid w:val="0"/>
          <w:lang w:eastAsia="en-US"/>
        </w:rPr>
        <w:t xml:space="preserve">. </w:t>
      </w:r>
    </w:p>
    <w:p w14:paraId="2F159A2B" w14:textId="1E4A5016" w:rsidR="007257C2" w:rsidRPr="008632AA" w:rsidRDefault="007257C2" w:rsidP="00F13B78">
      <w:pPr>
        <w:pStyle w:val="3-BodyText"/>
        <w:rPr>
          <w:snapToGrid w:val="0"/>
          <w:lang w:eastAsia="en-US"/>
        </w:rPr>
      </w:pPr>
      <w:r w:rsidRPr="00AB37BA">
        <w:rPr>
          <w:snapToGrid w:val="0"/>
          <w:lang w:eastAsia="en-US"/>
        </w:rPr>
        <w:t>The PBAC noted</w:t>
      </w:r>
      <w:r w:rsidR="00AB37BA">
        <w:rPr>
          <w:snapToGrid w:val="0"/>
          <w:lang w:eastAsia="en-US"/>
        </w:rPr>
        <w:t xml:space="preserve"> the sponsor hearing</w:t>
      </w:r>
      <w:r w:rsidR="00446ADB">
        <w:rPr>
          <w:snapToGrid w:val="0"/>
          <w:lang w:eastAsia="en-US"/>
        </w:rPr>
        <w:t xml:space="preserve"> and the</w:t>
      </w:r>
      <w:r w:rsidR="00A74B55">
        <w:rPr>
          <w:snapToGrid w:val="0"/>
          <w:lang w:eastAsia="en-US"/>
        </w:rPr>
        <w:t xml:space="preserve"> </w:t>
      </w:r>
      <w:r w:rsidR="001E5333">
        <w:rPr>
          <w:snapToGrid w:val="0"/>
          <w:lang w:eastAsia="en-US"/>
        </w:rPr>
        <w:t>Consumer</w:t>
      </w:r>
      <w:r w:rsidR="00446ADB">
        <w:rPr>
          <w:snapToGrid w:val="0"/>
          <w:lang w:eastAsia="en-US"/>
        </w:rPr>
        <w:t xml:space="preserve"> </w:t>
      </w:r>
      <w:r w:rsidR="004A386D">
        <w:rPr>
          <w:snapToGrid w:val="0"/>
          <w:lang w:eastAsia="en-US"/>
        </w:rPr>
        <w:t xml:space="preserve">comments from </w:t>
      </w:r>
      <w:r w:rsidR="00C64523">
        <w:rPr>
          <w:snapToGrid w:val="0"/>
          <w:lang w:eastAsia="en-US"/>
        </w:rPr>
        <w:t xml:space="preserve">organisations, health care professionals and individuals </w:t>
      </w:r>
      <w:r w:rsidRPr="00AB37BA">
        <w:rPr>
          <w:snapToGrid w:val="0"/>
          <w:lang w:eastAsia="en-US"/>
        </w:rPr>
        <w:t xml:space="preserve">emphasising the high clinical need for effective treatment options for patients with </w:t>
      </w:r>
      <w:r w:rsidR="00474223">
        <w:rPr>
          <w:snapToGrid w:val="0"/>
          <w:lang w:eastAsia="en-US"/>
        </w:rPr>
        <w:t xml:space="preserve">active </w:t>
      </w:r>
      <w:r w:rsidRPr="00AB37BA">
        <w:rPr>
          <w:snapToGrid w:val="0"/>
          <w:lang w:eastAsia="en-US"/>
        </w:rPr>
        <w:t>MS TED</w:t>
      </w:r>
      <w:r w:rsidR="00694D12">
        <w:rPr>
          <w:snapToGrid w:val="0"/>
          <w:lang w:eastAsia="en-US"/>
        </w:rPr>
        <w:t xml:space="preserve">. </w:t>
      </w:r>
      <w:r w:rsidR="0094098E">
        <w:rPr>
          <w:snapToGrid w:val="0"/>
          <w:lang w:eastAsia="en-US"/>
        </w:rPr>
        <w:t xml:space="preserve">The PBAC noted </w:t>
      </w:r>
      <w:r w:rsidR="00FB7138">
        <w:rPr>
          <w:snapToGrid w:val="0"/>
          <w:lang w:eastAsia="en-US"/>
        </w:rPr>
        <w:t xml:space="preserve">that </w:t>
      </w:r>
      <w:r w:rsidR="0094098E">
        <w:rPr>
          <w:snapToGrid w:val="0"/>
          <w:lang w:eastAsia="en-US"/>
        </w:rPr>
        <w:t xml:space="preserve">comments </w:t>
      </w:r>
      <w:r w:rsidR="007060FA">
        <w:rPr>
          <w:snapToGrid w:val="0"/>
          <w:lang w:eastAsia="en-US"/>
        </w:rPr>
        <w:t>highlight</w:t>
      </w:r>
      <w:r w:rsidR="00353708">
        <w:rPr>
          <w:snapToGrid w:val="0"/>
          <w:lang w:eastAsia="en-US"/>
        </w:rPr>
        <w:t>ed</w:t>
      </w:r>
      <w:r w:rsidR="0094098E">
        <w:rPr>
          <w:snapToGrid w:val="0"/>
          <w:lang w:eastAsia="en-US"/>
        </w:rPr>
        <w:t xml:space="preserve"> that current therapies, such as </w:t>
      </w:r>
      <w:r w:rsidR="00C903A4">
        <w:rPr>
          <w:snapToGrid w:val="0"/>
          <w:lang w:eastAsia="en-US"/>
        </w:rPr>
        <w:t xml:space="preserve">intravenous </w:t>
      </w:r>
      <w:r w:rsidR="0094098E">
        <w:rPr>
          <w:snapToGrid w:val="0"/>
          <w:lang w:eastAsia="en-US"/>
        </w:rPr>
        <w:t xml:space="preserve">corticosteroids, </w:t>
      </w:r>
      <w:r w:rsidR="00EA414F">
        <w:rPr>
          <w:snapToGrid w:val="0"/>
          <w:lang w:eastAsia="en-US"/>
        </w:rPr>
        <w:t>had</w:t>
      </w:r>
      <w:r w:rsidR="00DA49CD">
        <w:rPr>
          <w:snapToGrid w:val="0"/>
          <w:lang w:eastAsia="en-US"/>
        </w:rPr>
        <w:t xml:space="preserve"> minimal impact on the severity of disease</w:t>
      </w:r>
      <w:r w:rsidR="00EE3E80">
        <w:rPr>
          <w:snapToGrid w:val="0"/>
          <w:lang w:eastAsia="en-US"/>
        </w:rPr>
        <w:t>,</w:t>
      </w:r>
      <w:r w:rsidR="009C11F8">
        <w:rPr>
          <w:snapToGrid w:val="0"/>
          <w:lang w:eastAsia="en-US"/>
        </w:rPr>
        <w:t xml:space="preserve"> as these therapies </w:t>
      </w:r>
      <w:r w:rsidR="005130D3">
        <w:rPr>
          <w:snapToGrid w:val="0"/>
          <w:lang w:eastAsia="en-US"/>
        </w:rPr>
        <w:t xml:space="preserve">primarily manage symptoms or reduce inflammation non-specifically and do not target the </w:t>
      </w:r>
      <w:r w:rsidR="00BA1C0E">
        <w:rPr>
          <w:snapToGrid w:val="0"/>
          <w:lang w:eastAsia="en-US"/>
        </w:rPr>
        <w:t>underlying disease.</w:t>
      </w:r>
      <w:r w:rsidR="00BD7FAC">
        <w:rPr>
          <w:snapToGrid w:val="0"/>
          <w:lang w:eastAsia="en-US"/>
        </w:rPr>
        <w:t xml:space="preserve"> The PBAC </w:t>
      </w:r>
      <w:r w:rsidR="00B85075">
        <w:rPr>
          <w:snapToGrid w:val="0"/>
          <w:lang w:eastAsia="en-US"/>
        </w:rPr>
        <w:t xml:space="preserve">also </w:t>
      </w:r>
      <w:r w:rsidR="00BD7FAC">
        <w:rPr>
          <w:snapToGrid w:val="0"/>
          <w:lang w:eastAsia="en-US"/>
        </w:rPr>
        <w:t xml:space="preserve">noted </w:t>
      </w:r>
      <w:r w:rsidR="008632AA" w:rsidRPr="005E7233">
        <w:rPr>
          <w:snapToGrid w:val="0"/>
        </w:rPr>
        <w:t>comments emphasised the high burden of disease and suffering associated with TED</w:t>
      </w:r>
      <w:r w:rsidR="008632AA">
        <w:rPr>
          <w:snapToGrid w:val="0"/>
          <w:lang w:eastAsia="en-US"/>
        </w:rPr>
        <w:t>. The c</w:t>
      </w:r>
      <w:r w:rsidR="00867F57" w:rsidRPr="008632AA">
        <w:rPr>
          <w:snapToGrid w:val="0"/>
          <w:lang w:eastAsia="en-US"/>
        </w:rPr>
        <w:t xml:space="preserve">omments described how </w:t>
      </w:r>
      <w:r w:rsidR="008632AA">
        <w:rPr>
          <w:snapToGrid w:val="0"/>
          <w:lang w:eastAsia="en-US"/>
        </w:rPr>
        <w:t>disfiguring and vision impairing symptoms</w:t>
      </w:r>
      <w:r w:rsidR="008632AA" w:rsidRPr="008632AA">
        <w:rPr>
          <w:snapToGrid w:val="0"/>
          <w:lang w:eastAsia="en-US"/>
        </w:rPr>
        <w:t xml:space="preserve"> often </w:t>
      </w:r>
      <w:r w:rsidR="00867F57" w:rsidRPr="008632AA">
        <w:rPr>
          <w:snapToGrid w:val="0"/>
          <w:lang w:eastAsia="en-US"/>
        </w:rPr>
        <w:t xml:space="preserve">led to social </w:t>
      </w:r>
      <w:r w:rsidR="00F02911" w:rsidRPr="008632AA">
        <w:rPr>
          <w:snapToGrid w:val="0"/>
          <w:lang w:eastAsia="en-US"/>
        </w:rPr>
        <w:t xml:space="preserve">withdrawal, depression, and </w:t>
      </w:r>
      <w:r w:rsidR="008632AA">
        <w:rPr>
          <w:snapToGrid w:val="0"/>
          <w:lang w:eastAsia="en-US"/>
        </w:rPr>
        <w:t xml:space="preserve">a significantly </w:t>
      </w:r>
      <w:r w:rsidR="00F02911" w:rsidRPr="008632AA">
        <w:rPr>
          <w:snapToGrid w:val="0"/>
          <w:lang w:eastAsia="en-US"/>
        </w:rPr>
        <w:t xml:space="preserve">reduced ability to perform </w:t>
      </w:r>
      <w:r w:rsidR="00E2676D">
        <w:rPr>
          <w:snapToGrid w:val="0"/>
          <w:lang w:eastAsia="en-US"/>
        </w:rPr>
        <w:t>essential everyday</w:t>
      </w:r>
      <w:r w:rsidR="00F02911" w:rsidRPr="008632AA">
        <w:rPr>
          <w:snapToGrid w:val="0"/>
          <w:lang w:eastAsia="en-US"/>
        </w:rPr>
        <w:t xml:space="preserve"> </w:t>
      </w:r>
      <w:r w:rsidR="008632AA" w:rsidRPr="008632AA">
        <w:rPr>
          <w:snapToGrid w:val="0"/>
          <w:lang w:eastAsia="en-US"/>
        </w:rPr>
        <w:t>activities</w:t>
      </w:r>
      <w:r w:rsidR="00F02911" w:rsidRPr="008632AA">
        <w:rPr>
          <w:snapToGrid w:val="0"/>
          <w:lang w:eastAsia="en-US"/>
        </w:rPr>
        <w:t>.</w:t>
      </w:r>
      <w:r w:rsidR="00665258" w:rsidRPr="008632AA">
        <w:rPr>
          <w:snapToGrid w:val="0"/>
          <w:lang w:eastAsia="en-US"/>
        </w:rPr>
        <w:t xml:space="preserve"> </w:t>
      </w:r>
    </w:p>
    <w:p w14:paraId="5C68E5DC" w14:textId="4F786D99" w:rsidR="00667F96" w:rsidRDefault="008B497A" w:rsidP="00F13B78">
      <w:pPr>
        <w:pStyle w:val="3-BodyText"/>
        <w:rPr>
          <w:snapToGrid w:val="0"/>
          <w:lang w:eastAsia="en-US"/>
        </w:rPr>
      </w:pPr>
      <w:bookmarkStart w:id="126" w:name="_Ref195446466"/>
      <w:r>
        <w:rPr>
          <w:snapToGrid w:val="0"/>
          <w:lang w:eastAsia="en-US"/>
        </w:rPr>
        <w:t>T</w:t>
      </w:r>
      <w:r w:rsidR="0049098C">
        <w:rPr>
          <w:snapToGrid w:val="0"/>
          <w:lang w:eastAsia="en-US"/>
        </w:rPr>
        <w:t>he PBAC</w:t>
      </w:r>
      <w:r>
        <w:rPr>
          <w:snapToGrid w:val="0"/>
          <w:lang w:eastAsia="en-US"/>
        </w:rPr>
        <w:t xml:space="preserve"> noted the following points regarding the restriction for teprotumumab</w:t>
      </w:r>
      <w:r w:rsidR="00667F96">
        <w:rPr>
          <w:snapToGrid w:val="0"/>
          <w:lang w:eastAsia="en-US"/>
        </w:rPr>
        <w:t>:</w:t>
      </w:r>
      <w:bookmarkEnd w:id="126"/>
    </w:p>
    <w:p w14:paraId="7F320377" w14:textId="3C9E3555" w:rsidR="005263CF" w:rsidRDefault="00787564" w:rsidP="00F13B78">
      <w:pPr>
        <w:pStyle w:val="ListParagraph"/>
        <w:widowControl w:val="0"/>
        <w:numPr>
          <w:ilvl w:val="0"/>
          <w:numId w:val="14"/>
        </w:numPr>
        <w:ind w:left="1134"/>
        <w:jc w:val="both"/>
        <w:rPr>
          <w:lang w:eastAsia="en-US"/>
        </w:rPr>
      </w:pPr>
      <w:r>
        <w:rPr>
          <w:iCs/>
        </w:rPr>
        <w:t xml:space="preserve">The proposed </w:t>
      </w:r>
      <w:r w:rsidR="00CA5AD7" w:rsidRPr="005E7233">
        <w:rPr>
          <w:iCs/>
        </w:rPr>
        <w:t xml:space="preserve">clinical activity score </w:t>
      </w:r>
      <w:r w:rsidR="00CA5AD7">
        <w:rPr>
          <w:iCs/>
        </w:rPr>
        <w:t>(</w:t>
      </w:r>
      <w:r w:rsidR="00CA5AD7" w:rsidRPr="005E7233">
        <w:rPr>
          <w:iCs/>
        </w:rPr>
        <w:t>CAS</w:t>
      </w:r>
      <w:r w:rsidR="00CA5AD7">
        <w:rPr>
          <w:iCs/>
        </w:rPr>
        <w:t>)</w:t>
      </w:r>
      <w:r w:rsidR="00CA5AD7" w:rsidRPr="005E7233">
        <w:rPr>
          <w:iCs/>
        </w:rPr>
        <w:t xml:space="preserve"> </w:t>
      </w:r>
      <w:r>
        <w:rPr>
          <w:iCs/>
        </w:rPr>
        <w:t xml:space="preserve">threshold </w:t>
      </w:r>
      <w:r w:rsidR="00CA5AD7" w:rsidRPr="005E7233">
        <w:rPr>
          <w:iCs/>
        </w:rPr>
        <w:t xml:space="preserve">of </w:t>
      </w:r>
      <w:r w:rsidR="00CA5AD7" w:rsidRPr="005E7233">
        <w:rPr>
          <w:rFonts w:cstheme="minorHAnsi"/>
          <w:iCs/>
        </w:rPr>
        <w:t>≥</w:t>
      </w:r>
      <w:r w:rsidR="00CA5AD7" w:rsidRPr="005E7233">
        <w:rPr>
          <w:iCs/>
        </w:rPr>
        <w:t xml:space="preserve"> 3 </w:t>
      </w:r>
      <w:r>
        <w:rPr>
          <w:iCs/>
        </w:rPr>
        <w:t xml:space="preserve">was </w:t>
      </w:r>
      <w:r w:rsidR="00F32EC3">
        <w:rPr>
          <w:iCs/>
        </w:rPr>
        <w:t xml:space="preserve">likely </w:t>
      </w:r>
      <w:r>
        <w:rPr>
          <w:iCs/>
        </w:rPr>
        <w:t xml:space="preserve">reasonable </w:t>
      </w:r>
      <w:r w:rsidR="00EE735F">
        <w:rPr>
          <w:lang w:eastAsia="en-US"/>
        </w:rPr>
        <w:t>(</w:t>
      </w:r>
      <w:r w:rsidR="00CD7A74">
        <w:rPr>
          <w:lang w:eastAsia="en-US"/>
        </w:rPr>
        <w:t xml:space="preserve">paragraph </w:t>
      </w:r>
      <w:r w:rsidR="00EE735F">
        <w:rPr>
          <w:lang w:eastAsia="en-US"/>
        </w:rPr>
        <w:fldChar w:fldCharType="begin"/>
      </w:r>
      <w:r w:rsidR="00EE735F">
        <w:rPr>
          <w:lang w:eastAsia="en-US"/>
        </w:rPr>
        <w:instrText xml:space="preserve"> REF _Ref195350749 \r \h </w:instrText>
      </w:r>
      <w:r w:rsidR="00EE735F">
        <w:rPr>
          <w:lang w:eastAsia="en-US"/>
        </w:rPr>
      </w:r>
      <w:r w:rsidR="00EE735F">
        <w:rPr>
          <w:lang w:eastAsia="en-US"/>
        </w:rPr>
        <w:fldChar w:fldCharType="separate"/>
      </w:r>
      <w:r w:rsidR="0012101B">
        <w:rPr>
          <w:lang w:eastAsia="en-US"/>
        </w:rPr>
        <w:t>3.3</w:t>
      </w:r>
      <w:r w:rsidR="00EE735F">
        <w:rPr>
          <w:lang w:eastAsia="en-US"/>
        </w:rPr>
        <w:fldChar w:fldCharType="end"/>
      </w:r>
      <w:r w:rsidR="00EE735F">
        <w:rPr>
          <w:lang w:eastAsia="en-US"/>
        </w:rPr>
        <w:t>)</w:t>
      </w:r>
      <w:r w:rsidR="00D77257">
        <w:rPr>
          <w:lang w:eastAsia="en-US"/>
        </w:rPr>
        <w:t xml:space="preserve">, given that </w:t>
      </w:r>
      <w:r w:rsidR="00421E1E">
        <w:rPr>
          <w:iCs/>
        </w:rPr>
        <w:t>this threshold usually indicates active TED</w:t>
      </w:r>
      <w:r w:rsidR="00CA51B0" w:rsidRPr="005E7233">
        <w:rPr>
          <w:rStyle w:val="FootnoteReference"/>
        </w:rPr>
        <w:footnoteReference w:id="53"/>
      </w:r>
      <w:r w:rsidR="00421E1E">
        <w:rPr>
          <w:iCs/>
        </w:rPr>
        <w:t xml:space="preserve"> and </w:t>
      </w:r>
      <w:r w:rsidR="009B1EC0" w:rsidRPr="005E7233">
        <w:rPr>
          <w:iCs/>
        </w:rPr>
        <w:t>the</w:t>
      </w:r>
      <w:r w:rsidR="009B1EC0">
        <w:rPr>
          <w:iCs/>
        </w:rPr>
        <w:t xml:space="preserve"> inclusion of</w:t>
      </w:r>
      <w:r w:rsidR="00176E4D">
        <w:rPr>
          <w:iCs/>
        </w:rPr>
        <w:t xml:space="preserve"> a separate </w:t>
      </w:r>
      <w:r w:rsidR="00176E4D" w:rsidRPr="005E7233">
        <w:rPr>
          <w:iCs/>
        </w:rPr>
        <w:t>clinical criterion</w:t>
      </w:r>
      <w:r w:rsidR="009B1EC0" w:rsidRPr="005E7233">
        <w:rPr>
          <w:iCs/>
        </w:rPr>
        <w:t xml:space="preserve"> </w:t>
      </w:r>
      <w:r w:rsidR="00832207">
        <w:rPr>
          <w:iCs/>
        </w:rPr>
        <w:t>restrictin</w:t>
      </w:r>
      <w:r w:rsidR="003120F7">
        <w:rPr>
          <w:iCs/>
        </w:rPr>
        <w:t>g</w:t>
      </w:r>
      <w:r w:rsidR="00832207">
        <w:rPr>
          <w:iCs/>
        </w:rPr>
        <w:t xml:space="preserve"> treatment t</w:t>
      </w:r>
      <w:r w:rsidR="00585B72">
        <w:rPr>
          <w:iCs/>
        </w:rPr>
        <w:t>o patients with</w:t>
      </w:r>
      <w:r w:rsidR="00832207">
        <w:rPr>
          <w:iCs/>
        </w:rPr>
        <w:t xml:space="preserve"> moderate to severe TED </w:t>
      </w:r>
      <w:r w:rsidR="009B1EC0" w:rsidRPr="005E7233">
        <w:rPr>
          <w:iCs/>
        </w:rPr>
        <w:t xml:space="preserve">(as reported in the 2021 </w:t>
      </w:r>
      <w:r w:rsidR="009B1EC0" w:rsidRPr="005E7233">
        <w:t xml:space="preserve">European Group on Graves' </w:t>
      </w:r>
      <w:r w:rsidR="009B1EC0" w:rsidRPr="005E7233">
        <w:lastRenderedPageBreak/>
        <w:t>Orbitopathy [</w:t>
      </w:r>
      <w:r w:rsidR="009B1EC0" w:rsidRPr="005E7233">
        <w:rPr>
          <w:iCs/>
        </w:rPr>
        <w:t>EUGOGO] guidelines</w:t>
      </w:r>
      <w:r w:rsidR="00585B72">
        <w:rPr>
          <w:rStyle w:val="FootnoteReference"/>
          <w:iCs/>
        </w:rPr>
        <w:footnoteReference w:id="54"/>
      </w:r>
      <w:r w:rsidR="009B1EC0" w:rsidRPr="005E7233">
        <w:rPr>
          <w:iCs/>
        </w:rPr>
        <w:t>)</w:t>
      </w:r>
      <w:r w:rsidR="0097133A">
        <w:rPr>
          <w:iCs/>
        </w:rPr>
        <w:t>.</w:t>
      </w:r>
    </w:p>
    <w:p w14:paraId="4D775442" w14:textId="2CBDA5CC" w:rsidR="00874C2F" w:rsidRDefault="006D6E72" w:rsidP="00F13B78">
      <w:pPr>
        <w:pStyle w:val="ListParagraph"/>
        <w:widowControl w:val="0"/>
        <w:numPr>
          <w:ilvl w:val="0"/>
          <w:numId w:val="14"/>
        </w:numPr>
        <w:ind w:left="1134"/>
        <w:jc w:val="both"/>
        <w:rPr>
          <w:lang w:eastAsia="en-US"/>
        </w:rPr>
      </w:pPr>
      <w:r>
        <w:rPr>
          <w:lang w:eastAsia="en-US"/>
        </w:rPr>
        <w:t>Individuals</w:t>
      </w:r>
      <w:r w:rsidR="002A7FD9">
        <w:rPr>
          <w:lang w:eastAsia="en-US"/>
        </w:rPr>
        <w:t xml:space="preserve"> </w:t>
      </w:r>
      <w:r>
        <w:rPr>
          <w:lang w:eastAsia="en-US"/>
        </w:rPr>
        <w:t xml:space="preserve">with MS TED but </w:t>
      </w:r>
      <w:r w:rsidR="002A7FD9">
        <w:rPr>
          <w:lang w:eastAsia="en-US"/>
        </w:rPr>
        <w:t>with</w:t>
      </w:r>
      <w:r w:rsidR="00E275B3">
        <w:rPr>
          <w:lang w:eastAsia="en-US"/>
        </w:rPr>
        <w:t xml:space="preserve">out a </w:t>
      </w:r>
      <w:r>
        <w:rPr>
          <w:lang w:eastAsia="en-US"/>
        </w:rPr>
        <w:t xml:space="preserve">diagnosis of </w:t>
      </w:r>
      <w:r w:rsidR="00E275B3">
        <w:rPr>
          <w:lang w:eastAsia="en-US"/>
        </w:rPr>
        <w:t>Graves’ disease (GD) would like</w:t>
      </w:r>
      <w:r>
        <w:rPr>
          <w:lang w:eastAsia="en-US"/>
        </w:rPr>
        <w:t>ly</w:t>
      </w:r>
      <w:r w:rsidR="00E275B3">
        <w:rPr>
          <w:lang w:eastAsia="en-US"/>
        </w:rPr>
        <w:t xml:space="preserve"> </w:t>
      </w:r>
      <w:r>
        <w:rPr>
          <w:lang w:eastAsia="en-US"/>
        </w:rPr>
        <w:t xml:space="preserve">still </w:t>
      </w:r>
      <w:r w:rsidR="00E275B3">
        <w:rPr>
          <w:lang w:eastAsia="en-US"/>
        </w:rPr>
        <w:t>benefit from</w:t>
      </w:r>
      <w:r w:rsidR="00DD3AE0">
        <w:rPr>
          <w:lang w:eastAsia="en-US"/>
        </w:rPr>
        <w:t xml:space="preserve"> treatment with</w:t>
      </w:r>
      <w:r w:rsidR="00E275B3">
        <w:rPr>
          <w:lang w:eastAsia="en-US"/>
        </w:rPr>
        <w:t xml:space="preserve"> </w:t>
      </w:r>
      <w:r w:rsidR="00EA43BB">
        <w:rPr>
          <w:lang w:eastAsia="en-US"/>
        </w:rPr>
        <w:t xml:space="preserve">teprotumumab </w:t>
      </w:r>
      <w:r w:rsidR="00E275B3">
        <w:rPr>
          <w:lang w:eastAsia="en-US"/>
        </w:rPr>
        <w:t>and therefore</w:t>
      </w:r>
      <w:r w:rsidR="00DD3AE0">
        <w:rPr>
          <w:lang w:eastAsia="en-US"/>
        </w:rPr>
        <w:t xml:space="preserve"> the</w:t>
      </w:r>
      <w:r w:rsidR="00E275B3">
        <w:rPr>
          <w:lang w:eastAsia="en-US"/>
        </w:rPr>
        <w:t xml:space="preserve"> </w:t>
      </w:r>
      <w:r w:rsidR="00670438">
        <w:rPr>
          <w:lang w:eastAsia="en-US"/>
        </w:rPr>
        <w:t xml:space="preserve">exclusion of a requirement for a </w:t>
      </w:r>
      <w:r w:rsidR="00575247">
        <w:rPr>
          <w:lang w:eastAsia="en-US"/>
        </w:rPr>
        <w:t>diagnosis</w:t>
      </w:r>
      <w:r w:rsidR="00670438">
        <w:rPr>
          <w:lang w:eastAsia="en-US"/>
        </w:rPr>
        <w:t xml:space="preserve"> </w:t>
      </w:r>
      <w:r w:rsidR="00B3791D">
        <w:rPr>
          <w:lang w:eastAsia="en-US"/>
        </w:rPr>
        <w:t>wa</w:t>
      </w:r>
      <w:r w:rsidR="00EA43BB">
        <w:rPr>
          <w:lang w:eastAsia="en-US"/>
        </w:rPr>
        <w:t xml:space="preserve">s </w:t>
      </w:r>
      <w:r w:rsidR="00575247">
        <w:rPr>
          <w:lang w:eastAsia="en-US"/>
        </w:rPr>
        <w:t>likely appropriate</w:t>
      </w:r>
      <w:r w:rsidR="007C187D">
        <w:rPr>
          <w:lang w:eastAsia="en-US"/>
        </w:rPr>
        <w:t xml:space="preserve"> (paragraph </w:t>
      </w:r>
      <w:r w:rsidR="007C187D">
        <w:rPr>
          <w:lang w:eastAsia="en-US"/>
        </w:rPr>
        <w:fldChar w:fldCharType="begin"/>
      </w:r>
      <w:r w:rsidR="007C187D">
        <w:rPr>
          <w:lang w:eastAsia="en-US"/>
        </w:rPr>
        <w:instrText xml:space="preserve"> REF _Ref195352785 \r \h </w:instrText>
      </w:r>
      <w:r w:rsidR="007C187D">
        <w:rPr>
          <w:lang w:eastAsia="en-US"/>
        </w:rPr>
      </w:r>
      <w:r w:rsidR="007C187D">
        <w:rPr>
          <w:lang w:eastAsia="en-US"/>
        </w:rPr>
        <w:fldChar w:fldCharType="separate"/>
      </w:r>
      <w:r w:rsidR="0012101B">
        <w:rPr>
          <w:lang w:eastAsia="en-US"/>
        </w:rPr>
        <w:t>3.4</w:t>
      </w:r>
      <w:r w:rsidR="007C187D">
        <w:rPr>
          <w:lang w:eastAsia="en-US"/>
        </w:rPr>
        <w:fldChar w:fldCharType="end"/>
      </w:r>
      <w:r w:rsidR="007C187D">
        <w:rPr>
          <w:lang w:eastAsia="en-US"/>
        </w:rPr>
        <w:t>)</w:t>
      </w:r>
      <w:r w:rsidR="00575247">
        <w:rPr>
          <w:lang w:eastAsia="en-US"/>
        </w:rPr>
        <w:t>.</w:t>
      </w:r>
    </w:p>
    <w:p w14:paraId="07E09306" w14:textId="6F9D384C" w:rsidR="00860085" w:rsidRPr="006A196F" w:rsidRDefault="00991FB6" w:rsidP="00F13B78">
      <w:pPr>
        <w:pStyle w:val="ListParagraph"/>
        <w:widowControl w:val="0"/>
        <w:numPr>
          <w:ilvl w:val="0"/>
          <w:numId w:val="14"/>
        </w:numPr>
        <w:ind w:left="1134"/>
        <w:jc w:val="both"/>
        <w:rPr>
          <w:lang w:eastAsia="en-US"/>
        </w:rPr>
      </w:pPr>
      <w:r>
        <w:t>T</w:t>
      </w:r>
      <w:r w:rsidR="00AA667C">
        <w:t>he PBAC considered that t</w:t>
      </w:r>
      <w:r>
        <w:t xml:space="preserve">reatment experienced patients </w:t>
      </w:r>
      <w:r w:rsidR="00AA667C">
        <w:t>who meet the</w:t>
      </w:r>
      <w:r w:rsidR="00B37D26" w:rsidRPr="00F55277">
        <w:t xml:space="preserve"> </w:t>
      </w:r>
      <w:r w:rsidR="009B6179">
        <w:t>activ</w:t>
      </w:r>
      <w:r w:rsidR="0043152B">
        <w:t xml:space="preserve">ity </w:t>
      </w:r>
      <w:r w:rsidR="00375F0A">
        <w:t>(</w:t>
      </w:r>
      <w:r w:rsidR="00244572">
        <w:t xml:space="preserve">CAS of </w:t>
      </w:r>
      <w:r w:rsidR="00244572" w:rsidRPr="006A196F">
        <w:rPr>
          <w:rFonts w:cstheme="minorHAnsi"/>
          <w:iCs/>
        </w:rPr>
        <w:t>≥</w:t>
      </w:r>
      <w:r w:rsidR="00244572" w:rsidRPr="006A196F">
        <w:rPr>
          <w:iCs/>
        </w:rPr>
        <w:t xml:space="preserve"> 3</w:t>
      </w:r>
      <w:r w:rsidR="00375F0A" w:rsidRPr="006A196F">
        <w:rPr>
          <w:iCs/>
        </w:rPr>
        <w:t xml:space="preserve">) and </w:t>
      </w:r>
      <w:r w:rsidR="0043152B">
        <w:rPr>
          <w:iCs/>
        </w:rPr>
        <w:t>severity criteria</w:t>
      </w:r>
      <w:r w:rsidR="00244572" w:rsidRPr="006A196F">
        <w:rPr>
          <w:iCs/>
        </w:rPr>
        <w:t xml:space="preserve"> </w:t>
      </w:r>
      <w:r w:rsidR="00AA667C">
        <w:rPr>
          <w:iCs/>
        </w:rPr>
        <w:t>(</w:t>
      </w:r>
      <w:r w:rsidR="00244572" w:rsidRPr="005E7233">
        <w:t>EUGOGO guidelines</w:t>
      </w:r>
      <w:r w:rsidR="00AA667C">
        <w:t>)</w:t>
      </w:r>
      <w:r w:rsidR="0043152B">
        <w:t xml:space="preserve"> in the proposed </w:t>
      </w:r>
      <w:r w:rsidR="00012D0D">
        <w:t xml:space="preserve">restriction </w:t>
      </w:r>
      <w:r w:rsidR="003525A3">
        <w:rPr>
          <w:lang w:eastAsia="en-US"/>
        </w:rPr>
        <w:t xml:space="preserve">would likely </w:t>
      </w:r>
      <w:r w:rsidR="00012D0D">
        <w:rPr>
          <w:lang w:eastAsia="en-US"/>
        </w:rPr>
        <w:t xml:space="preserve">still </w:t>
      </w:r>
      <w:r w:rsidR="003525A3">
        <w:rPr>
          <w:lang w:eastAsia="en-US"/>
        </w:rPr>
        <w:t xml:space="preserve">benefit from treatment with teprotumumab and therefore </w:t>
      </w:r>
      <w:r w:rsidR="00012D0D">
        <w:rPr>
          <w:lang w:eastAsia="en-US"/>
        </w:rPr>
        <w:t xml:space="preserve">considered </w:t>
      </w:r>
      <w:r w:rsidR="003525A3">
        <w:rPr>
          <w:lang w:eastAsia="en-US"/>
        </w:rPr>
        <w:t>a line-agnostic listing was likely appropriate</w:t>
      </w:r>
      <w:r w:rsidR="006B5FA7">
        <w:rPr>
          <w:lang w:eastAsia="en-US"/>
        </w:rPr>
        <w:t>.</w:t>
      </w:r>
    </w:p>
    <w:p w14:paraId="69022422" w14:textId="0D3E9456" w:rsidR="00037F33" w:rsidRPr="00AC0E91" w:rsidRDefault="00037F33" w:rsidP="00F13B78">
      <w:pPr>
        <w:pStyle w:val="ListParagraph"/>
        <w:widowControl w:val="0"/>
        <w:ind w:left="1134"/>
        <w:jc w:val="both"/>
        <w:rPr>
          <w:lang w:eastAsia="en-US"/>
        </w:rPr>
      </w:pPr>
      <w:r w:rsidRPr="723BA5AE">
        <w:rPr>
          <w:lang w:eastAsia="en-US"/>
        </w:rPr>
        <w:t xml:space="preserve">The PBAC agreed with the ESC that </w:t>
      </w:r>
      <w:r>
        <w:t xml:space="preserve">retreatment with teprotumumab </w:t>
      </w:r>
      <w:r w:rsidR="007A0D84">
        <w:t xml:space="preserve">would </w:t>
      </w:r>
      <w:r>
        <w:t xml:space="preserve">be appropriate for subsequent episodes of active MS TED, </w:t>
      </w:r>
      <w:r w:rsidR="007E1448">
        <w:t>ex</w:t>
      </w:r>
      <w:r w:rsidR="5467646D">
        <w:t>c</w:t>
      </w:r>
      <w:r w:rsidR="007E1448">
        <w:t>e</w:t>
      </w:r>
      <w:r w:rsidR="4194E18C">
        <w:t>p</w:t>
      </w:r>
      <w:r w:rsidR="007E1448">
        <w:t>t in cases where there was a poor response to prior treatment.</w:t>
      </w:r>
    </w:p>
    <w:p w14:paraId="7A4C8924" w14:textId="1EF4978C" w:rsidR="00AC0E91" w:rsidRDefault="00AC0E91" w:rsidP="00F13B78">
      <w:pPr>
        <w:pStyle w:val="ListParagraph"/>
        <w:widowControl w:val="0"/>
        <w:numPr>
          <w:ilvl w:val="0"/>
          <w:numId w:val="14"/>
        </w:numPr>
        <w:ind w:left="1134"/>
        <w:jc w:val="both"/>
        <w:rPr>
          <w:lang w:eastAsia="en-US"/>
        </w:rPr>
      </w:pPr>
      <w:r>
        <w:rPr>
          <w:iCs/>
        </w:rPr>
        <w:t>The PBAC considered that it would be appropriate to include a stopping rule based on adverse events</w:t>
      </w:r>
      <w:r w:rsidR="0020220E">
        <w:rPr>
          <w:iCs/>
        </w:rPr>
        <w:t>, efficacy and pregnancy</w:t>
      </w:r>
      <w:r>
        <w:rPr>
          <w:iCs/>
        </w:rPr>
        <w:t>.</w:t>
      </w:r>
    </w:p>
    <w:p w14:paraId="7A4C1070" w14:textId="2954762D" w:rsidR="007E0FC2" w:rsidRDefault="000B1766" w:rsidP="00F13B78">
      <w:pPr>
        <w:pStyle w:val="ListParagraph"/>
        <w:widowControl w:val="0"/>
        <w:numPr>
          <w:ilvl w:val="0"/>
          <w:numId w:val="14"/>
        </w:numPr>
        <w:ind w:left="1134"/>
        <w:jc w:val="both"/>
        <w:rPr>
          <w:lang w:eastAsia="en-US"/>
        </w:rPr>
      </w:pPr>
      <w:r w:rsidRPr="00D539BB">
        <w:rPr>
          <w:lang w:eastAsia="en-US"/>
        </w:rPr>
        <w:t>The PBAC agreed with</w:t>
      </w:r>
      <w:r>
        <w:rPr>
          <w:lang w:eastAsia="en-US"/>
        </w:rPr>
        <w:t xml:space="preserve"> the</w:t>
      </w:r>
      <w:r w:rsidRPr="00D539BB">
        <w:rPr>
          <w:lang w:eastAsia="en-US"/>
        </w:rPr>
        <w:t xml:space="preserve"> DUSC that as part of the restriction it would be appropriate to include </w:t>
      </w:r>
      <w:r w:rsidR="004210F0">
        <w:rPr>
          <w:lang w:eastAsia="en-US"/>
        </w:rPr>
        <w:t>a requirement for</w:t>
      </w:r>
      <w:r w:rsidRPr="00D539BB">
        <w:rPr>
          <w:lang w:eastAsia="en-US"/>
        </w:rPr>
        <w:t xml:space="preserve"> audiology review and surveillance before and during treatment</w:t>
      </w:r>
      <w:r w:rsidR="00337305">
        <w:rPr>
          <w:lang w:eastAsia="en-US"/>
        </w:rPr>
        <w:t xml:space="preserve"> </w:t>
      </w:r>
      <w:r w:rsidR="00337305" w:rsidRPr="00D539BB">
        <w:rPr>
          <w:lang w:eastAsia="en-US"/>
        </w:rPr>
        <w:t xml:space="preserve">(paragraph </w:t>
      </w:r>
      <w:r w:rsidR="00337305">
        <w:rPr>
          <w:lang w:eastAsia="en-US"/>
        </w:rPr>
        <w:fldChar w:fldCharType="begin"/>
      </w:r>
      <w:r w:rsidR="00337305">
        <w:rPr>
          <w:lang w:eastAsia="en-US"/>
        </w:rPr>
        <w:instrText xml:space="preserve"> REF _Ref195357518 \r \h </w:instrText>
      </w:r>
      <w:r w:rsidR="00337305">
        <w:rPr>
          <w:lang w:eastAsia="en-US"/>
        </w:rPr>
      </w:r>
      <w:r w:rsidR="00337305">
        <w:rPr>
          <w:lang w:eastAsia="en-US"/>
        </w:rPr>
        <w:fldChar w:fldCharType="separate"/>
      </w:r>
      <w:r w:rsidR="0012101B">
        <w:rPr>
          <w:lang w:eastAsia="en-US"/>
        </w:rPr>
        <w:t>6.101</w:t>
      </w:r>
      <w:r w:rsidR="00337305">
        <w:rPr>
          <w:lang w:eastAsia="en-US"/>
        </w:rPr>
        <w:fldChar w:fldCharType="end"/>
      </w:r>
      <w:r w:rsidR="00337305" w:rsidRPr="00D539BB">
        <w:rPr>
          <w:lang w:eastAsia="en-US"/>
        </w:rPr>
        <w:t>)</w:t>
      </w:r>
      <w:r w:rsidRPr="00D539BB">
        <w:rPr>
          <w:lang w:eastAsia="en-US"/>
        </w:rPr>
        <w:t>.</w:t>
      </w:r>
    </w:p>
    <w:p w14:paraId="3D99377F" w14:textId="2FAECFC6" w:rsidR="007E0FC2" w:rsidRPr="007E0FC2" w:rsidRDefault="007E0FC2" w:rsidP="00F13B78">
      <w:pPr>
        <w:pStyle w:val="ListParagraph"/>
        <w:widowControl w:val="0"/>
        <w:numPr>
          <w:ilvl w:val="0"/>
          <w:numId w:val="14"/>
        </w:numPr>
        <w:ind w:left="1134"/>
        <w:jc w:val="both"/>
        <w:rPr>
          <w:lang w:eastAsia="en-US"/>
        </w:rPr>
      </w:pPr>
      <w:r w:rsidRPr="007E0FC2">
        <w:rPr>
          <w:iCs/>
        </w:rPr>
        <w:t>The PBAC considered that treatment should be restricted to adults 18 years of age or older due to the mechanism of action and effects on growth and development.</w:t>
      </w:r>
    </w:p>
    <w:p w14:paraId="631C8D01" w14:textId="631B4A8F" w:rsidR="007E0FC2" w:rsidRPr="00BD6005" w:rsidRDefault="007E0EBE" w:rsidP="00F13B78">
      <w:pPr>
        <w:pStyle w:val="ListParagraph"/>
        <w:widowControl w:val="0"/>
        <w:numPr>
          <w:ilvl w:val="0"/>
          <w:numId w:val="14"/>
        </w:numPr>
        <w:ind w:left="1134"/>
        <w:jc w:val="both"/>
        <w:rPr>
          <w:lang w:eastAsia="en-US"/>
        </w:rPr>
      </w:pPr>
      <w:r w:rsidRPr="00DF2C7D">
        <w:rPr>
          <w:iCs/>
        </w:rPr>
        <w:t xml:space="preserve">The </w:t>
      </w:r>
      <w:r>
        <w:rPr>
          <w:iCs/>
        </w:rPr>
        <w:t>PBAC considered that</w:t>
      </w:r>
      <w:r w:rsidRPr="00DF2C7D">
        <w:rPr>
          <w:iCs/>
        </w:rPr>
        <w:t xml:space="preserve"> an Authority Required (telephone/online) immediate assessment (no human operator) </w:t>
      </w:r>
      <w:r>
        <w:rPr>
          <w:iCs/>
        </w:rPr>
        <w:t>would be</w:t>
      </w:r>
      <w:r w:rsidRPr="00DF2C7D">
        <w:rPr>
          <w:iCs/>
        </w:rPr>
        <w:t xml:space="preserve"> suitable for the initial restriction.</w:t>
      </w:r>
    </w:p>
    <w:p w14:paraId="0F340FD3" w14:textId="2D8034D7" w:rsidR="00BD6005" w:rsidRPr="007E0FC2" w:rsidRDefault="00BD6005" w:rsidP="00F13B78">
      <w:pPr>
        <w:pStyle w:val="ListParagraph"/>
        <w:widowControl w:val="0"/>
        <w:numPr>
          <w:ilvl w:val="0"/>
          <w:numId w:val="14"/>
        </w:numPr>
        <w:ind w:left="1134"/>
        <w:jc w:val="both"/>
        <w:rPr>
          <w:lang w:eastAsia="en-US"/>
        </w:rPr>
      </w:pPr>
      <w:r>
        <w:t>The PBAC</w:t>
      </w:r>
      <w:r w:rsidRPr="000B5518">
        <w:t xml:space="preserve"> considered that continuing scripts should be prescribed by </w:t>
      </w:r>
      <w:r>
        <w:t xml:space="preserve">a </w:t>
      </w:r>
      <w:r w:rsidRPr="000B5518">
        <w:t>medical practitioner in consultation with a specialist physician experienced in the management of thyroid eye disease to improve access and logistics for patients, particularly in rural and remote patients.</w:t>
      </w:r>
    </w:p>
    <w:p w14:paraId="2F8471D4" w14:textId="51743AA4" w:rsidR="009B27D6" w:rsidRDefault="00482ECA" w:rsidP="009B27D6">
      <w:pPr>
        <w:pStyle w:val="3-BodyText"/>
      </w:pPr>
      <w:r w:rsidRPr="00482ECA">
        <w:rPr>
          <w:rFonts w:eastAsia="Times New Roman" w:cs="Arial"/>
          <w:snapToGrid w:val="0"/>
          <w:szCs w:val="24"/>
          <w:lang w:eastAsia="en-US"/>
        </w:rPr>
        <w:t xml:space="preserve">The submission nominated SoC </w:t>
      </w:r>
      <w:r w:rsidR="009B53CB">
        <w:rPr>
          <w:rFonts w:eastAsia="Times New Roman" w:cs="Arial"/>
          <w:snapToGrid w:val="0"/>
          <w:szCs w:val="24"/>
          <w:lang w:eastAsia="en-US"/>
        </w:rPr>
        <w:t xml:space="preserve">as the comparator </w:t>
      </w:r>
      <w:r w:rsidRPr="00482ECA">
        <w:rPr>
          <w:rFonts w:eastAsia="Times New Roman" w:cs="Arial"/>
          <w:snapToGrid w:val="0"/>
          <w:szCs w:val="24"/>
          <w:lang w:eastAsia="en-US"/>
        </w:rPr>
        <w:t xml:space="preserve">consisting of intravenous methylprednisolone </w:t>
      </w:r>
      <w:r>
        <w:rPr>
          <w:rFonts w:eastAsia="Times New Roman" w:cs="Arial"/>
          <w:snapToGrid w:val="0"/>
          <w:szCs w:val="24"/>
          <w:lang w:eastAsia="en-US"/>
        </w:rPr>
        <w:t>(</w:t>
      </w:r>
      <w:r w:rsidRPr="00482ECA">
        <w:rPr>
          <w:rFonts w:eastAsia="Times New Roman" w:cs="Arial"/>
          <w:snapToGrid w:val="0"/>
          <w:szCs w:val="24"/>
          <w:lang w:eastAsia="en-US"/>
        </w:rPr>
        <w:t>IVMP</w:t>
      </w:r>
      <w:r>
        <w:rPr>
          <w:rFonts w:eastAsia="Times New Roman" w:cs="Arial"/>
          <w:snapToGrid w:val="0"/>
          <w:szCs w:val="24"/>
          <w:lang w:eastAsia="en-US"/>
        </w:rPr>
        <w:t>)</w:t>
      </w:r>
      <w:r w:rsidRPr="00482ECA">
        <w:rPr>
          <w:rFonts w:eastAsia="Times New Roman" w:cs="Arial"/>
          <w:snapToGrid w:val="0"/>
          <w:szCs w:val="24"/>
          <w:lang w:eastAsia="en-US"/>
        </w:rPr>
        <w:t xml:space="preserve"> with or without</w:t>
      </w:r>
      <w:r w:rsidRPr="00482ECA">
        <w:t xml:space="preserve"> </w:t>
      </w:r>
      <w:r w:rsidRPr="005E7233">
        <w:t xml:space="preserve">mycophenolate mofetil (MMF) in the first-line (1L) setting and tocilizumab in the second-line (2L) setting. </w:t>
      </w:r>
      <w:r w:rsidR="006175CF">
        <w:t>The PBAC considered that this was appropriate</w:t>
      </w:r>
      <w:r w:rsidR="00E22930">
        <w:t xml:space="preserve">, </w:t>
      </w:r>
      <w:r w:rsidR="00E22930" w:rsidRPr="005E7233">
        <w:t>however</w:t>
      </w:r>
      <w:r w:rsidR="00257752">
        <w:t xml:space="preserve"> noted that t</w:t>
      </w:r>
      <w:r w:rsidR="00257752" w:rsidRPr="005E7233">
        <w:t>ocilizumab does not currently have registration by the TGA or PBS for this indication</w:t>
      </w:r>
      <w:r w:rsidR="00257752">
        <w:t xml:space="preserve"> and </w:t>
      </w:r>
      <w:r w:rsidR="00E22930" w:rsidRPr="005E7233">
        <w:t xml:space="preserve">considered that rituximab </w:t>
      </w:r>
      <w:r w:rsidR="00EB0BFE">
        <w:t>was</w:t>
      </w:r>
      <w:r w:rsidR="00E22930" w:rsidRPr="005E7233">
        <w:t xml:space="preserve"> also a relevant comparator in the 2L setting</w:t>
      </w:r>
      <w:r w:rsidR="00E22930">
        <w:t>.</w:t>
      </w:r>
    </w:p>
    <w:p w14:paraId="17B73726" w14:textId="6E6CDBDB" w:rsidR="009B27D6" w:rsidRDefault="00FA4588" w:rsidP="009B27D6">
      <w:pPr>
        <w:pStyle w:val="3-BodyText"/>
      </w:pPr>
      <w:r w:rsidRPr="00FA4588">
        <w:t xml:space="preserve">The </w:t>
      </w:r>
      <w:r>
        <w:t xml:space="preserve">PBAC noted that the </w:t>
      </w:r>
      <w:r w:rsidRPr="00FA4588">
        <w:t xml:space="preserve">submission was based on two head-to-head trials comparing teprotumumab to placebo, in addition to background medication for TED. TEDRV01 (n=88) enrolled patients with Graves’ disease associated with active TED. OPTIC (n=83) enrolled patients with Graves’ disease associated with active MS TED. Additionally, </w:t>
      </w:r>
      <w:r w:rsidRPr="00FA4588">
        <w:lastRenderedPageBreak/>
        <w:t xml:space="preserve">the OPTIC-X trial (n=51) enrolled patients who completed the 24-week double-masked treatment period of the OPTIC trial who were either proptosis non-responders at week 24 or had relapsed during the OPTIC follow-up period. </w:t>
      </w:r>
    </w:p>
    <w:p w14:paraId="2BDDA6E9" w14:textId="37E0DAC7" w:rsidR="009B27D6" w:rsidRPr="009B27D6" w:rsidRDefault="00B82612" w:rsidP="009B27D6">
      <w:pPr>
        <w:pStyle w:val="3-BodyText"/>
      </w:pPr>
      <w:r w:rsidRPr="009B27D6">
        <w:rPr>
          <w:snapToGrid w:val="0"/>
          <w:lang w:eastAsia="en-US"/>
        </w:rPr>
        <w:t xml:space="preserve">The PBAC noted that </w:t>
      </w:r>
      <w:r w:rsidR="006C5977" w:rsidRPr="009B27D6">
        <w:rPr>
          <w:snapToGrid w:val="0"/>
          <w:lang w:eastAsia="en-US"/>
        </w:rPr>
        <w:t>the</w:t>
      </w:r>
      <w:r w:rsidRPr="009B27D6">
        <w:rPr>
          <w:snapToGrid w:val="0"/>
          <w:lang w:eastAsia="en-US"/>
        </w:rPr>
        <w:t xml:space="preserve"> </w:t>
      </w:r>
      <w:r w:rsidR="00B57C40" w:rsidRPr="009B27D6">
        <w:rPr>
          <w:snapToGrid w:val="0"/>
          <w:lang w:eastAsia="en-US"/>
        </w:rPr>
        <w:t>TED01RV and OPTIC</w:t>
      </w:r>
      <w:r w:rsidR="00E775C4" w:rsidRPr="009B27D6">
        <w:rPr>
          <w:snapToGrid w:val="0"/>
          <w:lang w:eastAsia="en-US"/>
        </w:rPr>
        <w:t xml:space="preserve"> trials</w:t>
      </w:r>
      <w:r w:rsidR="006C5977" w:rsidRPr="009B27D6">
        <w:rPr>
          <w:snapToGrid w:val="0"/>
          <w:lang w:eastAsia="en-US"/>
        </w:rPr>
        <w:t xml:space="preserve"> reported </w:t>
      </w:r>
      <w:r w:rsidR="00182927" w:rsidRPr="009B27D6">
        <w:rPr>
          <w:snapToGrid w:val="0"/>
          <w:lang w:eastAsia="en-US"/>
        </w:rPr>
        <w:t xml:space="preserve">significant </w:t>
      </w:r>
      <w:r w:rsidR="00BD76A7" w:rsidRPr="009B27D6">
        <w:rPr>
          <w:snapToGrid w:val="0"/>
          <w:lang w:eastAsia="en-US"/>
        </w:rPr>
        <w:t xml:space="preserve">reductions in </w:t>
      </w:r>
      <w:r w:rsidR="006D1BF0">
        <w:rPr>
          <w:snapToGrid w:val="0"/>
          <w:lang w:eastAsia="en-US"/>
        </w:rPr>
        <w:t xml:space="preserve">both </w:t>
      </w:r>
      <w:r w:rsidR="006C5977" w:rsidRPr="009B27D6">
        <w:rPr>
          <w:snapToGrid w:val="0"/>
          <w:lang w:eastAsia="en-US"/>
        </w:rPr>
        <w:t>proptosis</w:t>
      </w:r>
      <w:r w:rsidR="00BD76A7" w:rsidRPr="009B27D6">
        <w:rPr>
          <w:snapToGrid w:val="0"/>
          <w:lang w:eastAsia="en-US"/>
        </w:rPr>
        <w:t xml:space="preserve"> and </w:t>
      </w:r>
      <w:r w:rsidR="006C5977" w:rsidRPr="009B27D6">
        <w:rPr>
          <w:snapToGrid w:val="0"/>
          <w:lang w:eastAsia="en-US"/>
        </w:rPr>
        <w:t>diplopia</w:t>
      </w:r>
      <w:r w:rsidR="002D35A2" w:rsidRPr="009B27D6">
        <w:rPr>
          <w:snapToGrid w:val="0"/>
          <w:lang w:eastAsia="en-US"/>
        </w:rPr>
        <w:t xml:space="preserve"> and </w:t>
      </w:r>
      <w:r w:rsidR="00D02FA5">
        <w:rPr>
          <w:snapToGrid w:val="0"/>
          <w:lang w:eastAsia="en-US"/>
        </w:rPr>
        <w:t xml:space="preserve">significantly </w:t>
      </w:r>
      <w:r w:rsidR="00BD76A7" w:rsidRPr="009B27D6">
        <w:rPr>
          <w:snapToGrid w:val="0"/>
          <w:lang w:eastAsia="en-US"/>
        </w:rPr>
        <w:t xml:space="preserve">improved </w:t>
      </w:r>
      <w:r w:rsidR="002D35A2" w:rsidRPr="009B27D6">
        <w:rPr>
          <w:snapToGrid w:val="0"/>
          <w:lang w:eastAsia="en-US"/>
        </w:rPr>
        <w:t>quality of life scores (</w:t>
      </w:r>
      <w:r w:rsidR="00CB65CB" w:rsidRPr="009B27D6">
        <w:rPr>
          <w:rFonts w:cstheme="minorHAnsi"/>
          <w:szCs w:val="18"/>
        </w:rPr>
        <w:t>Graves’ ophthalmopathy quality of life</w:t>
      </w:r>
      <w:r w:rsidR="00CB65CB" w:rsidRPr="009B27D6">
        <w:rPr>
          <w:snapToGrid w:val="0"/>
          <w:lang w:eastAsia="en-US"/>
        </w:rPr>
        <w:t xml:space="preserve"> [</w:t>
      </w:r>
      <w:r w:rsidR="002D35A2" w:rsidRPr="009B27D6">
        <w:rPr>
          <w:snapToGrid w:val="0"/>
          <w:lang w:eastAsia="en-US"/>
        </w:rPr>
        <w:t>GO-QOL</w:t>
      </w:r>
      <w:r w:rsidR="00CB65CB" w:rsidRPr="009B27D6">
        <w:rPr>
          <w:snapToGrid w:val="0"/>
          <w:lang w:eastAsia="en-US"/>
        </w:rPr>
        <w:t>]</w:t>
      </w:r>
      <w:r w:rsidR="002D35A2" w:rsidRPr="009B27D6">
        <w:rPr>
          <w:snapToGrid w:val="0"/>
          <w:lang w:eastAsia="en-US"/>
        </w:rPr>
        <w:t>)</w:t>
      </w:r>
      <w:r w:rsidR="006C5977" w:rsidRPr="009B27D6">
        <w:rPr>
          <w:snapToGrid w:val="0"/>
          <w:lang w:eastAsia="en-US"/>
        </w:rPr>
        <w:t xml:space="preserve"> for patients treat</w:t>
      </w:r>
      <w:r w:rsidR="00CC2F0D">
        <w:rPr>
          <w:snapToGrid w:val="0"/>
          <w:lang w:eastAsia="en-US"/>
        </w:rPr>
        <w:t>ed</w:t>
      </w:r>
      <w:r w:rsidR="006C5977" w:rsidRPr="009B27D6">
        <w:rPr>
          <w:snapToGrid w:val="0"/>
          <w:lang w:eastAsia="en-US"/>
        </w:rPr>
        <w:t xml:space="preserve"> with </w:t>
      </w:r>
      <w:r w:rsidR="0012651B" w:rsidRPr="009B27D6">
        <w:rPr>
          <w:snapToGrid w:val="0"/>
          <w:lang w:eastAsia="en-US"/>
        </w:rPr>
        <w:t>teprotumumab</w:t>
      </w:r>
      <w:r w:rsidR="006C5977" w:rsidRPr="009B27D6">
        <w:rPr>
          <w:snapToGrid w:val="0"/>
          <w:lang w:eastAsia="en-US"/>
        </w:rPr>
        <w:t xml:space="preserve"> </w:t>
      </w:r>
      <w:r w:rsidR="00B25ED2">
        <w:rPr>
          <w:snapToGrid w:val="0"/>
          <w:lang w:eastAsia="en-US"/>
        </w:rPr>
        <w:t>over</w:t>
      </w:r>
      <w:r w:rsidR="006C5977" w:rsidRPr="009B27D6">
        <w:rPr>
          <w:snapToGrid w:val="0"/>
          <w:lang w:eastAsia="en-US"/>
        </w:rPr>
        <w:t xml:space="preserve"> </w:t>
      </w:r>
      <w:r w:rsidR="0012651B" w:rsidRPr="009B27D6">
        <w:rPr>
          <w:snapToGrid w:val="0"/>
          <w:lang w:eastAsia="en-US"/>
        </w:rPr>
        <w:t>placebo</w:t>
      </w:r>
      <w:r w:rsidRPr="009B27D6">
        <w:rPr>
          <w:snapToGrid w:val="0"/>
          <w:lang w:eastAsia="en-US"/>
        </w:rPr>
        <w:t xml:space="preserve">. </w:t>
      </w:r>
      <w:r w:rsidR="009B27D6">
        <w:t>Based on the pooled analysis of these studies</w:t>
      </w:r>
      <w:r w:rsidR="009B27D6" w:rsidRPr="005E7233">
        <w:rPr>
          <w:rStyle w:val="FootnoteReference"/>
        </w:rPr>
        <w:footnoteReference w:id="55"/>
      </w:r>
      <w:r w:rsidR="009B27D6">
        <w:t>, a</w:t>
      </w:r>
      <w:r w:rsidR="009B27D6" w:rsidRPr="005E7233">
        <w:t xml:space="preserve">t Week 24, </w:t>
      </w:r>
      <w:r w:rsidR="009B27D6">
        <w:t>t</w:t>
      </w:r>
      <w:r w:rsidR="009B27D6" w:rsidRPr="005E7233">
        <w:t xml:space="preserve">he mean change in proptosis from baseline at Week 24 was -3.14 mm in the teprotumumab group versus -0.37 mm in the placebo group (difference -2.77 mm, 95% CI: -3.23, </w:t>
      </w:r>
      <w:r w:rsidR="00AB6CEA">
        <w:noBreakHyphen/>
      </w:r>
      <w:r w:rsidR="009B27D6" w:rsidRPr="005E7233">
        <w:t>2.31).</w:t>
      </w:r>
      <w:r w:rsidR="009B27D6">
        <w:t xml:space="preserve"> </w:t>
      </w:r>
      <w:r w:rsidR="009B27D6" w:rsidRPr="009B27D6">
        <w:rPr>
          <w:rFonts w:cstheme="minorHAnsi"/>
        </w:rPr>
        <w:t xml:space="preserve">At Week 24, 70% of patients in the teprotumumab group versus 31% in the placebo group showed diplopia improvement by one grade or more (treatment difference 39%, 95% CI: 23%, 55%). </w:t>
      </w:r>
      <w:r w:rsidR="004D557A" w:rsidRPr="009B27D6">
        <w:rPr>
          <w:rFonts w:cstheme="minorHAnsi"/>
        </w:rPr>
        <w:t>The PBAC also noted that the OPTIC-X extension study demonstrated that patients who received placebo in the OPTIC trial and then received teprotumumab achieved a similar response to treatment to the initial teprotumumab group and achieved sustain</w:t>
      </w:r>
      <w:r w:rsidR="00E464EA">
        <w:rPr>
          <w:rFonts w:cstheme="minorHAnsi"/>
        </w:rPr>
        <w:t>ed</w:t>
      </w:r>
      <w:r w:rsidR="004D557A" w:rsidRPr="009B27D6">
        <w:rPr>
          <w:rFonts w:cstheme="minorHAnsi"/>
        </w:rPr>
        <w:t xml:space="preserve"> response</w:t>
      </w:r>
      <w:r w:rsidR="001A4D99">
        <w:rPr>
          <w:rFonts w:cstheme="minorHAnsi"/>
        </w:rPr>
        <w:t>s</w:t>
      </w:r>
      <w:r w:rsidR="004D557A" w:rsidRPr="009B27D6">
        <w:rPr>
          <w:rFonts w:cstheme="minorHAnsi"/>
        </w:rPr>
        <w:t xml:space="preserve"> up to Week 48.</w:t>
      </w:r>
    </w:p>
    <w:p w14:paraId="322C9899" w14:textId="4A14B2B2" w:rsidR="00D56A11" w:rsidRDefault="004D1CBE" w:rsidP="00D56A11">
      <w:pPr>
        <w:pStyle w:val="3-BodyText"/>
        <w:rPr>
          <w:rFonts w:cstheme="minorHAnsi"/>
        </w:rPr>
      </w:pPr>
      <w:r w:rsidRPr="005E7233">
        <w:rPr>
          <w:snapToGrid w:val="0"/>
          <w:lang w:eastAsia="en-US"/>
        </w:rPr>
        <w:t xml:space="preserve">The PBAC </w:t>
      </w:r>
      <w:r w:rsidR="00E25004" w:rsidRPr="005E7233">
        <w:rPr>
          <w:snapToGrid w:val="0"/>
          <w:lang w:eastAsia="en-US"/>
        </w:rPr>
        <w:t>noted th</w:t>
      </w:r>
      <w:r w:rsidRPr="005E7233">
        <w:rPr>
          <w:snapToGrid w:val="0"/>
          <w:lang w:eastAsia="en-US"/>
        </w:rPr>
        <w:t>at</w:t>
      </w:r>
      <w:r w:rsidR="00F561EA">
        <w:rPr>
          <w:snapToGrid w:val="0"/>
          <w:lang w:eastAsia="en-US"/>
        </w:rPr>
        <w:t xml:space="preserve"> the</w:t>
      </w:r>
      <w:r w:rsidRPr="005E7233">
        <w:rPr>
          <w:snapToGrid w:val="0"/>
          <w:lang w:eastAsia="en-US"/>
        </w:rPr>
        <w:t xml:space="preserve"> </w:t>
      </w:r>
      <w:r w:rsidR="00426AC2" w:rsidRPr="005E7233">
        <w:rPr>
          <w:snapToGrid w:val="0"/>
          <w:lang w:eastAsia="en-US"/>
        </w:rPr>
        <w:t>submission presented an</w:t>
      </w:r>
      <w:r w:rsidRPr="005E7233">
        <w:rPr>
          <w:snapToGrid w:val="0"/>
          <w:lang w:eastAsia="en-US"/>
        </w:rPr>
        <w:t xml:space="preserve"> unanchored matching adjusted indirect comparison (MAIC) of teprotumumab versus IVMP in the 1L setting. </w:t>
      </w:r>
      <w:r w:rsidR="00D56A11" w:rsidRPr="005E7233">
        <w:t>T</w:t>
      </w:r>
      <w:r w:rsidR="00D6695A">
        <w:t>he PBAC noted t</w:t>
      </w:r>
      <w:r w:rsidR="00D56A11" w:rsidRPr="005E7233">
        <w:t>he results</w:t>
      </w:r>
      <w:r w:rsidR="00D6695A">
        <w:t xml:space="preserve"> from the MAIC</w:t>
      </w:r>
      <w:r w:rsidR="00D56A11" w:rsidRPr="005E7233">
        <w:t xml:space="preserve"> indicated that teprotumumab was associated with a statistically significantly greater change from baseline in proptosis (mean difference [MD], -2.31 mm, 95% CI: -3.45, -1.17 mm)</w:t>
      </w:r>
      <w:r w:rsidR="00D6695A">
        <w:t xml:space="preserve"> and a </w:t>
      </w:r>
      <w:r w:rsidR="00D56A11" w:rsidRPr="005E7233">
        <w:rPr>
          <w:rFonts w:cstheme="minorHAnsi"/>
        </w:rPr>
        <w:t>greater odds of diplopia response</w:t>
      </w:r>
      <w:r w:rsidR="00D6695A">
        <w:rPr>
          <w:rFonts w:cstheme="minorHAnsi"/>
        </w:rPr>
        <w:t xml:space="preserve"> </w:t>
      </w:r>
      <w:r w:rsidR="00D6695A" w:rsidRPr="005E7233">
        <w:rPr>
          <w:rFonts w:cstheme="minorHAnsi"/>
        </w:rPr>
        <w:t>(</w:t>
      </w:r>
      <w:r w:rsidR="00D6695A">
        <w:rPr>
          <w:rFonts w:cstheme="minorHAnsi"/>
        </w:rPr>
        <w:t>odds ratio [OR]</w:t>
      </w:r>
      <w:r w:rsidR="00001FCB">
        <w:rPr>
          <w:rFonts w:cstheme="minorHAnsi"/>
        </w:rPr>
        <w:t xml:space="preserve">, </w:t>
      </w:r>
      <w:r w:rsidR="00001FCB" w:rsidRPr="005E7233">
        <w:rPr>
          <w:rFonts w:cstheme="minorHAnsi"/>
        </w:rPr>
        <w:t>2.32</w:t>
      </w:r>
      <w:r w:rsidR="00001FCB">
        <w:rPr>
          <w:rFonts w:cstheme="minorHAnsi"/>
        </w:rPr>
        <w:t>,</w:t>
      </w:r>
      <w:r w:rsidR="00001FCB" w:rsidRPr="005E7233">
        <w:rPr>
          <w:rFonts w:cstheme="minorHAnsi"/>
        </w:rPr>
        <w:t xml:space="preserve"> </w:t>
      </w:r>
      <w:r w:rsidR="00D6695A" w:rsidRPr="005E7233">
        <w:rPr>
          <w:rFonts w:cstheme="minorHAnsi"/>
        </w:rPr>
        <w:t>95% CI: 1.07, 5.03)</w:t>
      </w:r>
      <w:r w:rsidR="00D56A11" w:rsidRPr="005E7233">
        <w:rPr>
          <w:rFonts w:cstheme="minorHAnsi"/>
        </w:rPr>
        <w:t xml:space="preserve"> compared to IVMP</w:t>
      </w:r>
      <w:r w:rsidR="00001FCB">
        <w:rPr>
          <w:rFonts w:cstheme="minorHAnsi"/>
        </w:rPr>
        <w:t xml:space="preserve">. However, the PBAC noted that </w:t>
      </w:r>
      <w:r w:rsidR="00947AE8">
        <w:rPr>
          <w:rFonts w:cstheme="minorHAnsi"/>
        </w:rPr>
        <w:t xml:space="preserve">these results were </w:t>
      </w:r>
      <w:r w:rsidR="00EC236A">
        <w:rPr>
          <w:rFonts w:cstheme="minorHAnsi"/>
        </w:rPr>
        <w:t xml:space="preserve">highly </w:t>
      </w:r>
      <w:r w:rsidR="00947AE8">
        <w:rPr>
          <w:rFonts w:cstheme="minorHAnsi"/>
        </w:rPr>
        <w:t>uncertain due to numerous transitivity issues</w:t>
      </w:r>
      <w:r w:rsidR="00735C75">
        <w:rPr>
          <w:rFonts w:cstheme="minorHAnsi"/>
        </w:rPr>
        <w:t xml:space="preserve"> </w:t>
      </w:r>
      <w:r w:rsidR="008B5EBB">
        <w:rPr>
          <w:rFonts w:cstheme="minorHAnsi"/>
        </w:rPr>
        <w:t xml:space="preserve">(paragraphs </w:t>
      </w:r>
      <w:r w:rsidR="008B5EBB">
        <w:rPr>
          <w:rFonts w:cstheme="minorHAnsi"/>
        </w:rPr>
        <w:fldChar w:fldCharType="begin"/>
      </w:r>
      <w:r w:rsidR="008B5EBB">
        <w:rPr>
          <w:rFonts w:cstheme="minorHAnsi"/>
        </w:rPr>
        <w:instrText xml:space="preserve"> REF _Ref195419365 \r \h </w:instrText>
      </w:r>
      <w:r w:rsidR="008B5EBB">
        <w:rPr>
          <w:rFonts w:cstheme="minorHAnsi"/>
        </w:rPr>
      </w:r>
      <w:r w:rsidR="008B5EBB">
        <w:rPr>
          <w:rFonts w:cstheme="minorHAnsi"/>
        </w:rPr>
        <w:fldChar w:fldCharType="separate"/>
      </w:r>
      <w:r w:rsidR="0012101B">
        <w:rPr>
          <w:rFonts w:cstheme="minorHAnsi"/>
        </w:rPr>
        <w:t>6.28</w:t>
      </w:r>
      <w:r w:rsidR="008B5EBB">
        <w:rPr>
          <w:rFonts w:cstheme="minorHAnsi"/>
        </w:rPr>
        <w:fldChar w:fldCharType="end"/>
      </w:r>
      <w:r w:rsidR="008B5EBB">
        <w:rPr>
          <w:rFonts w:cstheme="minorHAnsi"/>
        </w:rPr>
        <w:t xml:space="preserve">) </w:t>
      </w:r>
      <w:r w:rsidR="00735C75">
        <w:rPr>
          <w:rFonts w:cstheme="minorHAnsi"/>
        </w:rPr>
        <w:t xml:space="preserve">and </w:t>
      </w:r>
      <w:r w:rsidR="009401A1">
        <w:rPr>
          <w:rFonts w:cstheme="minorHAnsi"/>
        </w:rPr>
        <w:t>noted advice from</w:t>
      </w:r>
      <w:r w:rsidR="00735C75">
        <w:rPr>
          <w:rFonts w:cstheme="minorHAnsi"/>
        </w:rPr>
        <w:t xml:space="preserve"> the ESC that the </w:t>
      </w:r>
      <w:r w:rsidR="00735C75" w:rsidRPr="005E7233">
        <w:t xml:space="preserve">MAIC </w:t>
      </w:r>
      <w:r w:rsidR="0071221E">
        <w:t xml:space="preserve">was unreliable and </w:t>
      </w:r>
      <w:r w:rsidR="00735C75" w:rsidRPr="005E7233">
        <w:t xml:space="preserve">did not adequately account for the complexity of treatment </w:t>
      </w:r>
      <w:r w:rsidR="009D0679">
        <w:t>for</w:t>
      </w:r>
      <w:r w:rsidR="00735C75" w:rsidRPr="005E7233">
        <w:t xml:space="preserve"> </w:t>
      </w:r>
      <w:r w:rsidR="00735C75">
        <w:t>TED</w:t>
      </w:r>
      <w:r w:rsidR="009401A1">
        <w:t xml:space="preserve"> </w:t>
      </w:r>
      <w:r w:rsidR="00686C1F">
        <w:rPr>
          <w:rFonts w:cstheme="minorHAnsi"/>
        </w:rPr>
        <w:t>(paragraph</w:t>
      </w:r>
      <w:r w:rsidR="0081780B">
        <w:rPr>
          <w:rFonts w:cstheme="minorHAnsi"/>
        </w:rPr>
        <w:t xml:space="preserve"> </w:t>
      </w:r>
      <w:r w:rsidR="006F28C0">
        <w:rPr>
          <w:rFonts w:cstheme="minorHAnsi"/>
        </w:rPr>
        <w:fldChar w:fldCharType="begin"/>
      </w:r>
      <w:r w:rsidR="006F28C0">
        <w:rPr>
          <w:rFonts w:cstheme="minorHAnsi"/>
        </w:rPr>
        <w:instrText xml:space="preserve"> REF _Ref195420294 \r \h </w:instrText>
      </w:r>
      <w:r w:rsidR="006F28C0">
        <w:rPr>
          <w:rFonts w:cstheme="minorHAnsi"/>
        </w:rPr>
      </w:r>
      <w:r w:rsidR="006F28C0">
        <w:rPr>
          <w:rFonts w:cstheme="minorHAnsi"/>
        </w:rPr>
        <w:fldChar w:fldCharType="separate"/>
      </w:r>
      <w:r w:rsidR="0012101B">
        <w:rPr>
          <w:rFonts w:cstheme="minorHAnsi"/>
        </w:rPr>
        <w:t>6.53</w:t>
      </w:r>
      <w:r w:rsidR="006F28C0">
        <w:rPr>
          <w:rFonts w:cstheme="minorHAnsi"/>
        </w:rPr>
        <w:fldChar w:fldCharType="end"/>
      </w:r>
      <w:r w:rsidR="00735C75">
        <w:rPr>
          <w:rFonts w:cstheme="minorHAnsi"/>
        </w:rPr>
        <w:t>)</w:t>
      </w:r>
      <w:r w:rsidR="00947AE8">
        <w:rPr>
          <w:rFonts w:cstheme="minorHAnsi"/>
        </w:rPr>
        <w:t>.</w:t>
      </w:r>
    </w:p>
    <w:p w14:paraId="239935FD" w14:textId="14F2C315" w:rsidR="004320C4" w:rsidRPr="004320C4" w:rsidRDefault="002F4372" w:rsidP="00D326BE">
      <w:pPr>
        <w:pStyle w:val="3-BodyText"/>
        <w:rPr>
          <w:rFonts w:cstheme="minorHAnsi"/>
        </w:rPr>
      </w:pPr>
      <w:r>
        <w:rPr>
          <w:snapToGrid w:val="0"/>
          <w:lang w:eastAsia="en-US"/>
        </w:rPr>
        <w:t xml:space="preserve">The PBAC noted that the submission </w:t>
      </w:r>
      <w:r w:rsidRPr="005E7233">
        <w:rPr>
          <w:rFonts w:cstheme="minorHAnsi"/>
        </w:rPr>
        <w:t xml:space="preserve">presented a Bucher ITC between teprotumumab and tocilizumab for the </w:t>
      </w:r>
      <w:r>
        <w:rPr>
          <w:rFonts w:cstheme="minorHAnsi"/>
        </w:rPr>
        <w:t>2L</w:t>
      </w:r>
      <w:r w:rsidRPr="005E7233">
        <w:rPr>
          <w:rFonts w:cstheme="minorHAnsi"/>
        </w:rPr>
        <w:t xml:space="preserve"> treatment of TED using placebo as a common comparator.</w:t>
      </w:r>
      <w:r w:rsidR="004A328F">
        <w:rPr>
          <w:rFonts w:cstheme="minorHAnsi"/>
        </w:rPr>
        <w:t xml:space="preserve"> The PBAC noted that </w:t>
      </w:r>
      <w:r w:rsidR="00A66C97">
        <w:rPr>
          <w:rFonts w:cstheme="minorHAnsi"/>
        </w:rPr>
        <w:t xml:space="preserve">based on the ITC, </w:t>
      </w:r>
      <w:r w:rsidR="005168C3" w:rsidRPr="005E7233">
        <w:t xml:space="preserve">the </w:t>
      </w:r>
      <w:r w:rsidR="006D319A">
        <w:t>relative risk (</w:t>
      </w:r>
      <w:r w:rsidR="005168C3">
        <w:t>RR</w:t>
      </w:r>
      <w:r w:rsidR="006D319A">
        <w:t>)</w:t>
      </w:r>
      <w:r w:rsidR="005168C3" w:rsidRPr="005E7233">
        <w:t xml:space="preserve"> of proptosis response was 2.6 (95% CI: 1.25, 5.41) in favour of teprotumumab, and patients treated with tocilizumab </w:t>
      </w:r>
      <w:r w:rsidR="006C0ED2">
        <w:t>were</w:t>
      </w:r>
      <w:r w:rsidR="005168C3" w:rsidRPr="005E7233">
        <w:t xml:space="preserve"> twice as likely to be non-responders compared with patients treated with teprotumumab (0.47, 95% CI: 0.34, 0.66) in terms of diplopia.</w:t>
      </w:r>
      <w:r w:rsidR="005168C3">
        <w:t xml:space="preserve"> </w:t>
      </w:r>
      <w:r w:rsidR="00DA3983">
        <w:t>However, the</w:t>
      </w:r>
      <w:r w:rsidR="00C45399">
        <w:t xml:space="preserve"> PBAC noted</w:t>
      </w:r>
      <w:r w:rsidR="00DA3983">
        <w:t xml:space="preserve"> that the Bucher ITC was </w:t>
      </w:r>
      <w:r w:rsidR="00531293">
        <w:t xml:space="preserve">uncertain due to differences in the </w:t>
      </w:r>
      <w:r w:rsidR="00BD4ECC">
        <w:t>studies</w:t>
      </w:r>
      <w:r w:rsidR="00531293">
        <w:t xml:space="preserve"> included leading to substantial bias and noted advice from the ESC that the results were unreliable</w:t>
      </w:r>
      <w:r w:rsidR="004D0841">
        <w:t xml:space="preserve"> (paragr</w:t>
      </w:r>
      <w:r w:rsidR="004320C4">
        <w:t xml:space="preserve">aph </w:t>
      </w:r>
      <w:r w:rsidR="004320C4">
        <w:fldChar w:fldCharType="begin"/>
      </w:r>
      <w:r w:rsidR="004320C4">
        <w:instrText xml:space="preserve"> REF _Ref195423717 \r \h </w:instrText>
      </w:r>
      <w:r w:rsidR="004320C4">
        <w:fldChar w:fldCharType="separate"/>
      </w:r>
      <w:r w:rsidR="0012101B">
        <w:t>6.56</w:t>
      </w:r>
      <w:r w:rsidR="004320C4">
        <w:fldChar w:fldCharType="end"/>
      </w:r>
      <w:r w:rsidR="004320C4">
        <w:t>)</w:t>
      </w:r>
      <w:r w:rsidR="00F22B9B">
        <w:t>.</w:t>
      </w:r>
    </w:p>
    <w:p w14:paraId="11EB7C63" w14:textId="53E662CE" w:rsidR="002F4372" w:rsidRPr="00D326BE" w:rsidRDefault="004320C4" w:rsidP="00D326BE">
      <w:pPr>
        <w:pStyle w:val="3-BodyText"/>
        <w:rPr>
          <w:rFonts w:cstheme="minorHAnsi"/>
        </w:rPr>
      </w:pPr>
      <w:bookmarkStart w:id="127" w:name="_Ref195437307"/>
      <w:r>
        <w:t xml:space="preserve">Overall, the PBAC </w:t>
      </w:r>
      <w:r w:rsidR="009D74E2">
        <w:t xml:space="preserve">considered that while there was </w:t>
      </w:r>
      <w:r w:rsidR="003D0284">
        <w:t xml:space="preserve">significant </w:t>
      </w:r>
      <w:r w:rsidR="009D74E2">
        <w:t xml:space="preserve">uncertainty </w:t>
      </w:r>
      <w:r w:rsidR="00770586">
        <w:t xml:space="preserve">related to the ITCs </w:t>
      </w:r>
      <w:r w:rsidR="00C14D2D">
        <w:t>presented</w:t>
      </w:r>
      <w:r w:rsidR="00770586">
        <w:t xml:space="preserve">, </w:t>
      </w:r>
      <w:r w:rsidR="00272103">
        <w:t>the totality of the available evidence suggests that the claim of superior efficacy of teprotumumab versus IVMP in the 1L setting and versus tocilizumab in the 2L setting was likely reasonable</w:t>
      </w:r>
      <w:r w:rsidR="009400BE">
        <w:t xml:space="preserve">. This conclusion is supported by </w:t>
      </w:r>
      <w:r w:rsidR="009400BE">
        <w:lastRenderedPageBreak/>
        <w:t xml:space="preserve">consistent trends </w:t>
      </w:r>
      <w:r w:rsidR="001C34CE">
        <w:t>across multiple</w:t>
      </w:r>
      <w:r w:rsidR="00EE1156">
        <w:t xml:space="preserve"> clinically relevant</w:t>
      </w:r>
      <w:r w:rsidR="001C34CE">
        <w:t xml:space="preserve"> endpoints</w:t>
      </w:r>
      <w:r w:rsidR="003274E2">
        <w:t xml:space="preserve">, </w:t>
      </w:r>
      <w:r w:rsidR="00867991">
        <w:t>including</w:t>
      </w:r>
      <w:r w:rsidR="003274E2">
        <w:t xml:space="preserve"> </w:t>
      </w:r>
      <w:r w:rsidR="003158EA">
        <w:t>proptosis and diplopia response,</w:t>
      </w:r>
      <w:r w:rsidR="003274E2">
        <w:t xml:space="preserve"> </w:t>
      </w:r>
      <w:r w:rsidR="00411541">
        <w:t xml:space="preserve">and across multiple analyses, </w:t>
      </w:r>
      <w:r w:rsidR="003274E2">
        <w:t xml:space="preserve">where teprotumumab demonstrated </w:t>
      </w:r>
      <w:r w:rsidR="00BB39DE">
        <w:t>a statistically increased likelihood of response</w:t>
      </w:r>
      <w:r w:rsidR="003274E2">
        <w:t xml:space="preserve"> compared with </w:t>
      </w:r>
      <w:r w:rsidR="00561E3A">
        <w:t>SoC</w:t>
      </w:r>
      <w:r w:rsidR="003274E2">
        <w:t xml:space="preserve"> therapies</w:t>
      </w:r>
      <w:r w:rsidR="00411541">
        <w:t>.</w:t>
      </w:r>
      <w:r w:rsidR="005B3C15">
        <w:t xml:space="preserve"> However, the PBAC </w:t>
      </w:r>
      <w:r w:rsidR="00DB6438">
        <w:t xml:space="preserve">considered </w:t>
      </w:r>
      <w:r w:rsidR="007A2DC9">
        <w:t>that</w:t>
      </w:r>
      <w:r w:rsidR="00A35D11">
        <w:t xml:space="preserve"> the</w:t>
      </w:r>
      <w:r w:rsidR="00A063F7">
        <w:t xml:space="preserve"> </w:t>
      </w:r>
      <w:r w:rsidR="00FA557F">
        <w:t>magnitude</w:t>
      </w:r>
      <w:r w:rsidR="00A063F7">
        <w:t xml:space="preserve"> of treatment effect of teprotumumab versus </w:t>
      </w:r>
      <w:r w:rsidR="00561E3A">
        <w:t>SoC</w:t>
      </w:r>
      <w:r w:rsidR="00A063F7">
        <w:t xml:space="preserve"> is uncertain due to the substantial</w:t>
      </w:r>
      <w:r w:rsidR="007A2DC9">
        <w:t xml:space="preserve"> transitivity violations across the comparisons</w:t>
      </w:r>
      <w:r w:rsidR="00A063F7">
        <w:t>.</w:t>
      </w:r>
      <w:bookmarkEnd w:id="127"/>
    </w:p>
    <w:bookmarkEnd w:id="124"/>
    <w:p w14:paraId="6BB50127" w14:textId="6079D203" w:rsidR="00576AAA" w:rsidRDefault="00244A56" w:rsidP="00385AE7">
      <w:pPr>
        <w:pStyle w:val="3-BodyText"/>
        <w:rPr>
          <w:rFonts w:eastAsia="Times New Roman" w:cs="Arial"/>
          <w:snapToGrid w:val="0"/>
          <w:szCs w:val="24"/>
          <w:lang w:eastAsia="en-US"/>
        </w:rPr>
      </w:pPr>
      <w:r w:rsidRPr="005E7233">
        <w:rPr>
          <w:rFonts w:eastAsia="Times New Roman" w:cs="Arial"/>
          <w:snapToGrid w:val="0"/>
          <w:szCs w:val="24"/>
          <w:lang w:eastAsia="en-US"/>
        </w:rPr>
        <w:t xml:space="preserve">The PBAC noted that </w:t>
      </w:r>
      <w:r w:rsidR="00DD5F84" w:rsidRPr="005E7233">
        <w:rPr>
          <w:rFonts w:eastAsia="Times New Roman" w:cs="Arial"/>
          <w:snapToGrid w:val="0"/>
          <w:szCs w:val="24"/>
          <w:lang w:eastAsia="en-US"/>
        </w:rPr>
        <w:t xml:space="preserve">the submission did not present a formal comparison of safety for </w:t>
      </w:r>
      <w:r w:rsidRPr="005E7233">
        <w:rPr>
          <w:rFonts w:eastAsia="Times New Roman" w:cs="Arial"/>
          <w:snapToGrid w:val="0"/>
          <w:szCs w:val="24"/>
          <w:lang w:eastAsia="en-US"/>
        </w:rPr>
        <w:t xml:space="preserve">teprotumumab </w:t>
      </w:r>
      <w:r w:rsidR="00DD5F84" w:rsidRPr="005E7233">
        <w:rPr>
          <w:rFonts w:eastAsia="Times New Roman" w:cs="Arial"/>
          <w:snapToGrid w:val="0"/>
          <w:szCs w:val="24"/>
          <w:lang w:eastAsia="en-US"/>
        </w:rPr>
        <w:t>versus</w:t>
      </w:r>
      <w:r w:rsidR="00DD6AC1" w:rsidRPr="005E7233">
        <w:rPr>
          <w:rFonts w:eastAsia="Times New Roman" w:cs="Arial"/>
          <w:snapToGrid w:val="0"/>
          <w:szCs w:val="24"/>
          <w:lang w:eastAsia="en-US"/>
        </w:rPr>
        <w:t xml:space="preserve"> IVMP or tocilizumab. The PBAC further noted that while there were significant safety concerns </w:t>
      </w:r>
      <w:r w:rsidR="00B7674E" w:rsidRPr="005E7233">
        <w:rPr>
          <w:rFonts w:eastAsia="Times New Roman" w:cs="Arial"/>
          <w:snapToGrid w:val="0"/>
          <w:szCs w:val="24"/>
          <w:lang w:eastAsia="en-US"/>
        </w:rPr>
        <w:t xml:space="preserve">associated with teprotumumab, including permanent hearing impairment, as well as other common adverse events, that </w:t>
      </w:r>
      <w:r w:rsidR="00124AD3" w:rsidRPr="005E7233">
        <w:rPr>
          <w:rFonts w:eastAsia="Times New Roman" w:cs="Arial"/>
          <w:snapToGrid w:val="0"/>
          <w:szCs w:val="24"/>
          <w:lang w:eastAsia="en-US"/>
        </w:rPr>
        <w:t>IVMP</w:t>
      </w:r>
      <w:r w:rsidR="001D12AB">
        <w:rPr>
          <w:rFonts w:eastAsia="Times New Roman" w:cs="Arial"/>
          <w:snapToGrid w:val="0"/>
          <w:szCs w:val="24"/>
          <w:lang w:eastAsia="en-US"/>
        </w:rPr>
        <w:t xml:space="preserve"> with or without MMF</w:t>
      </w:r>
      <w:r w:rsidR="00124AD3" w:rsidRPr="005E7233">
        <w:rPr>
          <w:rFonts w:eastAsia="Times New Roman" w:cs="Arial"/>
          <w:snapToGrid w:val="0"/>
          <w:szCs w:val="24"/>
          <w:lang w:eastAsia="en-US"/>
        </w:rPr>
        <w:t xml:space="preserve"> and tocilizumab </w:t>
      </w:r>
      <w:r w:rsidR="00AD57BD">
        <w:rPr>
          <w:rFonts w:eastAsia="Times New Roman" w:cs="Arial"/>
          <w:snapToGrid w:val="0"/>
          <w:szCs w:val="24"/>
          <w:lang w:eastAsia="en-US"/>
        </w:rPr>
        <w:t>were</w:t>
      </w:r>
      <w:r w:rsidR="00124AD3" w:rsidRPr="005E7233">
        <w:rPr>
          <w:rFonts w:eastAsia="Times New Roman" w:cs="Arial"/>
          <w:snapToGrid w:val="0"/>
          <w:szCs w:val="24"/>
          <w:lang w:eastAsia="en-US"/>
        </w:rPr>
        <w:t xml:space="preserve"> also </w:t>
      </w:r>
      <w:r w:rsidR="001D12AB">
        <w:rPr>
          <w:rFonts w:eastAsia="Times New Roman" w:cs="Arial"/>
          <w:snapToGrid w:val="0"/>
          <w:szCs w:val="24"/>
          <w:lang w:eastAsia="en-US"/>
        </w:rPr>
        <w:t>associated with</w:t>
      </w:r>
      <w:r w:rsidR="00124AD3" w:rsidRPr="005E7233">
        <w:rPr>
          <w:rFonts w:eastAsia="Times New Roman" w:cs="Arial"/>
          <w:snapToGrid w:val="0"/>
          <w:szCs w:val="24"/>
          <w:lang w:eastAsia="en-US"/>
        </w:rPr>
        <w:t xml:space="preserve"> </w:t>
      </w:r>
      <w:r w:rsidR="001D12AB">
        <w:rPr>
          <w:rFonts w:eastAsia="Times New Roman" w:cs="Arial"/>
          <w:snapToGrid w:val="0"/>
          <w:szCs w:val="24"/>
          <w:lang w:eastAsia="en-US"/>
        </w:rPr>
        <w:t xml:space="preserve">significant </w:t>
      </w:r>
      <w:r w:rsidR="00124AD3" w:rsidRPr="005E7233">
        <w:rPr>
          <w:rFonts w:eastAsia="Times New Roman" w:cs="Arial"/>
          <w:snapToGrid w:val="0"/>
          <w:szCs w:val="24"/>
          <w:lang w:eastAsia="en-US"/>
        </w:rPr>
        <w:t xml:space="preserve">safety risks. </w:t>
      </w:r>
      <w:r w:rsidR="001D12AB">
        <w:rPr>
          <w:rFonts w:eastAsia="Times New Roman" w:cs="Arial"/>
          <w:snapToGrid w:val="0"/>
          <w:szCs w:val="24"/>
          <w:lang w:eastAsia="en-US"/>
        </w:rPr>
        <w:t>Overall</w:t>
      </w:r>
      <w:r w:rsidR="00385AE7">
        <w:rPr>
          <w:rFonts w:eastAsia="Times New Roman" w:cs="Arial"/>
          <w:snapToGrid w:val="0"/>
          <w:szCs w:val="24"/>
          <w:lang w:eastAsia="en-US"/>
        </w:rPr>
        <w:t>, t</w:t>
      </w:r>
      <w:r w:rsidR="00576AAA" w:rsidRPr="00385AE7">
        <w:rPr>
          <w:rFonts w:eastAsia="Times New Roman" w:cs="Arial"/>
          <w:snapToGrid w:val="0"/>
          <w:szCs w:val="24"/>
          <w:lang w:eastAsia="en-US"/>
        </w:rPr>
        <w:t>he PBAC considered that the claim of non-inferior</w:t>
      </w:r>
      <w:r w:rsidR="00C479CD">
        <w:rPr>
          <w:rFonts w:eastAsia="Times New Roman" w:cs="Arial"/>
          <w:snapToGrid w:val="0"/>
          <w:szCs w:val="24"/>
          <w:lang w:eastAsia="en-US"/>
        </w:rPr>
        <w:t xml:space="preserve"> </w:t>
      </w:r>
      <w:r w:rsidR="00576AAA" w:rsidRPr="00385AE7">
        <w:rPr>
          <w:rFonts w:eastAsia="Times New Roman" w:cs="Arial"/>
          <w:snapToGrid w:val="0"/>
          <w:szCs w:val="24"/>
          <w:lang w:eastAsia="en-US"/>
        </w:rPr>
        <w:t xml:space="preserve">comparative safety </w:t>
      </w:r>
      <w:r w:rsidR="00FA7FC5" w:rsidRPr="00385AE7">
        <w:rPr>
          <w:rFonts w:eastAsia="Times New Roman" w:cs="Arial"/>
          <w:snapToGrid w:val="0"/>
          <w:szCs w:val="24"/>
          <w:lang w:eastAsia="en-US"/>
        </w:rPr>
        <w:t xml:space="preserve">of teprotumumab </w:t>
      </w:r>
      <w:r w:rsidR="00241B78">
        <w:rPr>
          <w:rFonts w:eastAsia="Times New Roman" w:cs="Arial"/>
          <w:snapToGrid w:val="0"/>
          <w:szCs w:val="24"/>
          <w:lang w:eastAsia="en-US"/>
        </w:rPr>
        <w:t>versus</w:t>
      </w:r>
      <w:r w:rsidR="00FA7FC5" w:rsidRPr="00385AE7">
        <w:rPr>
          <w:rFonts w:eastAsia="Times New Roman" w:cs="Arial"/>
          <w:snapToGrid w:val="0"/>
          <w:szCs w:val="24"/>
          <w:lang w:eastAsia="en-US"/>
        </w:rPr>
        <w:t xml:space="preserve"> </w:t>
      </w:r>
      <w:r w:rsidR="006412A1">
        <w:rPr>
          <w:rFonts w:eastAsia="Times New Roman" w:cs="Arial"/>
          <w:snapToGrid w:val="0"/>
          <w:szCs w:val="24"/>
          <w:lang w:eastAsia="en-US"/>
        </w:rPr>
        <w:t xml:space="preserve">the current </w:t>
      </w:r>
      <w:r w:rsidR="009B53A0">
        <w:rPr>
          <w:rFonts w:eastAsia="Times New Roman" w:cs="Arial"/>
          <w:snapToGrid w:val="0"/>
          <w:szCs w:val="24"/>
          <w:lang w:eastAsia="en-US"/>
        </w:rPr>
        <w:t>SoC</w:t>
      </w:r>
      <w:r w:rsidR="006412A1">
        <w:rPr>
          <w:rFonts w:eastAsia="Times New Roman" w:cs="Arial"/>
          <w:snapToGrid w:val="0"/>
          <w:szCs w:val="24"/>
          <w:lang w:eastAsia="en-US"/>
        </w:rPr>
        <w:t xml:space="preserve"> therapies</w:t>
      </w:r>
      <w:r w:rsidR="00FA7FC5" w:rsidRPr="00385AE7">
        <w:rPr>
          <w:rFonts w:eastAsia="Times New Roman" w:cs="Arial"/>
          <w:snapToGrid w:val="0"/>
          <w:szCs w:val="24"/>
          <w:lang w:eastAsia="en-US"/>
        </w:rPr>
        <w:t xml:space="preserve"> to be uncertain, but likely </w:t>
      </w:r>
      <w:r w:rsidR="00576AAA" w:rsidRPr="00385AE7">
        <w:rPr>
          <w:rFonts w:eastAsia="Times New Roman" w:cs="Arial"/>
          <w:snapToGrid w:val="0"/>
          <w:szCs w:val="24"/>
          <w:lang w:eastAsia="en-US"/>
        </w:rPr>
        <w:t>reasonable.</w:t>
      </w:r>
      <w:r w:rsidR="005C34CE">
        <w:rPr>
          <w:rFonts w:eastAsia="Times New Roman" w:cs="Arial"/>
          <w:snapToGrid w:val="0"/>
          <w:szCs w:val="24"/>
          <w:lang w:eastAsia="en-US"/>
        </w:rPr>
        <w:t xml:space="preserve"> </w:t>
      </w:r>
    </w:p>
    <w:p w14:paraId="0773A5C8" w14:textId="4835D6CA" w:rsidR="004454E0" w:rsidRDefault="00B301CD" w:rsidP="008D697A">
      <w:pPr>
        <w:pStyle w:val="3-BodyText"/>
      </w:pPr>
      <w:r w:rsidRPr="00751341">
        <w:rPr>
          <w:rFonts w:eastAsia="Times New Roman" w:cs="Arial"/>
          <w:snapToGrid w:val="0"/>
          <w:szCs w:val="24"/>
          <w:lang w:eastAsia="en-US"/>
        </w:rPr>
        <w:t xml:space="preserve">The PBAC noted that the submission </w:t>
      </w:r>
      <w:r>
        <w:t>presented a cost-utility analysis for the economic evaluation</w:t>
      </w:r>
      <w:r w:rsidR="00CE7DD5">
        <w:t xml:space="preserve">. The PBAC noted that </w:t>
      </w:r>
      <w:r w:rsidR="004479B0">
        <w:t>the comparison of t</w:t>
      </w:r>
      <w:r w:rsidR="004479B0" w:rsidRPr="004479B0">
        <w:t>eprotumumab v</w:t>
      </w:r>
      <w:r w:rsidR="004479B0">
        <w:t>ersu</w:t>
      </w:r>
      <w:r w:rsidR="004479B0" w:rsidRPr="004479B0">
        <w:t>s IVMP in the 1L setting</w:t>
      </w:r>
      <w:r w:rsidR="00EA44E3">
        <w:t xml:space="preserve"> was</w:t>
      </w:r>
      <w:r w:rsidR="00387490">
        <w:t xml:space="preserve"> </w:t>
      </w:r>
      <w:r w:rsidR="00387490" w:rsidRPr="005E7233">
        <w:t xml:space="preserve">based on the unanchored MAIC that compared pooled </w:t>
      </w:r>
      <w:r w:rsidR="00F776EA">
        <w:t xml:space="preserve">and adjusted </w:t>
      </w:r>
      <w:r w:rsidR="00387490" w:rsidRPr="005E7233">
        <w:t xml:space="preserve">data from </w:t>
      </w:r>
      <w:r w:rsidR="00002045">
        <w:t xml:space="preserve">the key </w:t>
      </w:r>
      <w:r w:rsidR="00C20E46">
        <w:t>teprotumumab</w:t>
      </w:r>
      <w:r w:rsidR="00002045">
        <w:t xml:space="preserve"> </w:t>
      </w:r>
      <w:r w:rsidR="00B7442C">
        <w:t>(</w:t>
      </w:r>
      <w:r w:rsidR="00B7442C" w:rsidRPr="009B27D6">
        <w:rPr>
          <w:snapToGrid w:val="0"/>
          <w:lang w:eastAsia="en-US"/>
        </w:rPr>
        <w:t>TED01RV and OPTIC</w:t>
      </w:r>
      <w:r w:rsidR="00B7442C">
        <w:rPr>
          <w:snapToGrid w:val="0"/>
          <w:lang w:eastAsia="en-US"/>
        </w:rPr>
        <w:t>)</w:t>
      </w:r>
      <w:r w:rsidR="00C20E46">
        <w:t xml:space="preserve"> and</w:t>
      </w:r>
      <w:r w:rsidR="00F776EA">
        <w:t xml:space="preserve"> </w:t>
      </w:r>
      <w:r w:rsidR="00387490" w:rsidRPr="005E7233">
        <w:t>IVMP</w:t>
      </w:r>
      <w:r w:rsidR="00C20E46">
        <w:t xml:space="preserve"> </w:t>
      </w:r>
      <w:r w:rsidR="006D2FD9">
        <w:t>studies</w:t>
      </w:r>
      <w:r w:rsidR="00387490">
        <w:t>.</w:t>
      </w:r>
      <w:r w:rsidR="005025E0">
        <w:t xml:space="preserve"> </w:t>
      </w:r>
      <w:r w:rsidR="0037624C">
        <w:t>The PBAC noted that the base case</w:t>
      </w:r>
      <w:r w:rsidR="00D3619B">
        <w:t xml:space="preserve"> incremental cost-effectiveness ratio</w:t>
      </w:r>
      <w:r w:rsidR="0037624C">
        <w:t xml:space="preserve"> </w:t>
      </w:r>
      <w:r w:rsidR="00D3619B">
        <w:t>(</w:t>
      </w:r>
      <w:r w:rsidR="0037624C">
        <w:t>ICER</w:t>
      </w:r>
      <w:r w:rsidR="00D3619B">
        <w:t>)</w:t>
      </w:r>
      <w:r w:rsidR="0037624C">
        <w:t xml:space="preserve"> for th</w:t>
      </w:r>
      <w:r w:rsidR="00AD0EF7">
        <w:t>e economic model was associated with a high level of uncertainty (</w:t>
      </w:r>
      <w:r w:rsidR="00B03F28" w:rsidRPr="00B03F28">
        <w:t>$55,000 to &lt; $75,000</w:t>
      </w:r>
      <w:r w:rsidR="00AD0EF7">
        <w:t xml:space="preserve">/quality adjusted life year [QALY] gained). </w:t>
      </w:r>
      <w:r>
        <w:t xml:space="preserve">The PBAC </w:t>
      </w:r>
      <w:r w:rsidR="00501AD1">
        <w:t xml:space="preserve">agreed with the ESC that </w:t>
      </w:r>
      <w:r w:rsidR="00096E80" w:rsidRPr="005E7233">
        <w:t>the health states</w:t>
      </w:r>
      <w:r w:rsidR="00096E80">
        <w:t xml:space="preserve"> included in the economic model</w:t>
      </w:r>
      <w:r w:rsidR="00096E80" w:rsidRPr="005E7233">
        <w:t xml:space="preserve"> likely reflected clinically meaningful differences for MS TED patients</w:t>
      </w:r>
      <w:r w:rsidR="00096E80">
        <w:t xml:space="preserve">, however </w:t>
      </w:r>
      <w:r w:rsidR="000B6DFB">
        <w:t xml:space="preserve">its </w:t>
      </w:r>
      <w:r w:rsidR="0019014D">
        <w:t>complexity</w:t>
      </w:r>
      <w:r w:rsidR="000B6DFB">
        <w:t xml:space="preserve"> </w:t>
      </w:r>
      <w:r w:rsidR="004E72F5" w:rsidRPr="00531883">
        <w:t xml:space="preserve">led to a high degree of uncertainty due to </w:t>
      </w:r>
      <w:r w:rsidR="00867FCF" w:rsidRPr="005E7233">
        <w:t>insufficient data to reliably inform a model with numerous transition probabilities</w:t>
      </w:r>
      <w:r w:rsidR="001C1F63">
        <w:t xml:space="preserve"> with projected </w:t>
      </w:r>
      <w:r w:rsidR="00C126BC">
        <w:t>long-term</w:t>
      </w:r>
      <w:r w:rsidR="00DB2D87">
        <w:t xml:space="preserve"> </w:t>
      </w:r>
      <w:r w:rsidR="001C1F63">
        <w:t>outcomes</w:t>
      </w:r>
      <w:r w:rsidR="000D6D2E">
        <w:t xml:space="preserve"> over a lifetime time horizon</w:t>
      </w:r>
      <w:r w:rsidR="00867FCF" w:rsidRPr="005E7233">
        <w:t>.</w:t>
      </w:r>
      <w:r w:rsidR="00A32009">
        <w:t xml:space="preserve"> </w:t>
      </w:r>
    </w:p>
    <w:p w14:paraId="0FA3620C" w14:textId="4C4E3EA8" w:rsidR="0052778A" w:rsidRPr="00F41C12" w:rsidRDefault="00AD2598" w:rsidP="00E12BA8">
      <w:pPr>
        <w:pStyle w:val="3-BodyText"/>
      </w:pPr>
      <w:bookmarkStart w:id="128" w:name="_Ref195446902"/>
      <w:r>
        <w:rPr>
          <w:rFonts w:eastAsia="Times New Roman" w:cs="Arial"/>
          <w:snapToGrid w:val="0"/>
          <w:szCs w:val="24"/>
          <w:lang w:eastAsia="en-US"/>
        </w:rPr>
        <w:t>The PBAC noted that the economic model</w:t>
      </w:r>
      <w:r w:rsidR="00240068">
        <w:rPr>
          <w:rFonts w:eastAsia="Times New Roman" w:cs="Arial"/>
          <w:snapToGrid w:val="0"/>
          <w:szCs w:val="24"/>
          <w:lang w:eastAsia="en-US"/>
        </w:rPr>
        <w:t xml:space="preserve"> also</w:t>
      </w:r>
      <w:r>
        <w:rPr>
          <w:rFonts w:eastAsia="Times New Roman" w:cs="Arial"/>
          <w:snapToGrid w:val="0"/>
          <w:szCs w:val="24"/>
          <w:lang w:eastAsia="en-US"/>
        </w:rPr>
        <w:t xml:space="preserve"> included several optimistic </w:t>
      </w:r>
      <w:r w:rsidR="00117076">
        <w:rPr>
          <w:rFonts w:eastAsia="Times New Roman" w:cs="Arial"/>
          <w:snapToGrid w:val="0"/>
          <w:szCs w:val="24"/>
          <w:lang w:eastAsia="en-US"/>
        </w:rPr>
        <w:t xml:space="preserve">and inappropriate </w:t>
      </w:r>
      <w:r>
        <w:rPr>
          <w:rFonts w:eastAsia="Times New Roman" w:cs="Arial"/>
          <w:snapToGrid w:val="0"/>
          <w:szCs w:val="24"/>
          <w:lang w:eastAsia="en-US"/>
        </w:rPr>
        <w:t xml:space="preserve">parametric assumptions, which favoured </w:t>
      </w:r>
      <w:r w:rsidR="008E0D5B">
        <w:rPr>
          <w:rFonts w:eastAsia="Times New Roman" w:cs="Arial"/>
          <w:snapToGrid w:val="0"/>
          <w:szCs w:val="24"/>
          <w:lang w:eastAsia="en-US"/>
        </w:rPr>
        <w:t xml:space="preserve">teprotumumab. </w:t>
      </w:r>
      <w:r w:rsidR="0052778A">
        <w:rPr>
          <w:rFonts w:eastAsia="Times New Roman" w:cs="Arial"/>
          <w:snapToGrid w:val="0"/>
          <w:szCs w:val="24"/>
          <w:lang w:eastAsia="en-US"/>
        </w:rPr>
        <w:t xml:space="preserve">The PBAC </w:t>
      </w:r>
      <w:r w:rsidR="005F295F">
        <w:rPr>
          <w:rFonts w:eastAsia="Times New Roman" w:cs="Arial"/>
          <w:snapToGrid w:val="0"/>
          <w:szCs w:val="24"/>
          <w:lang w:eastAsia="en-US"/>
        </w:rPr>
        <w:t xml:space="preserve">noted that </w:t>
      </w:r>
      <w:r w:rsidR="0001276B">
        <w:rPr>
          <w:rFonts w:eastAsia="Times New Roman" w:cs="Arial"/>
          <w:snapToGrid w:val="0"/>
          <w:szCs w:val="24"/>
          <w:lang w:eastAsia="en-US"/>
        </w:rPr>
        <w:t xml:space="preserve">the economic model had likely double-counted the impact of </w:t>
      </w:r>
      <w:r w:rsidR="00756AE1">
        <w:rPr>
          <w:rFonts w:eastAsia="Times New Roman" w:cs="Arial"/>
          <w:snapToGrid w:val="0"/>
          <w:szCs w:val="24"/>
          <w:lang w:eastAsia="en-US"/>
        </w:rPr>
        <w:t xml:space="preserve">teprotumumab discontinuation </w:t>
      </w:r>
      <w:r w:rsidR="007E1DE4">
        <w:rPr>
          <w:rFonts w:eastAsia="Times New Roman" w:cs="Arial"/>
          <w:snapToGrid w:val="0"/>
          <w:szCs w:val="24"/>
          <w:lang w:eastAsia="en-US"/>
        </w:rPr>
        <w:t>(paragraph</w:t>
      </w:r>
      <w:r w:rsidR="0001276B">
        <w:rPr>
          <w:rFonts w:eastAsia="Times New Roman" w:cs="Arial"/>
          <w:snapToGrid w:val="0"/>
          <w:szCs w:val="24"/>
          <w:lang w:eastAsia="en-US"/>
        </w:rPr>
        <w:t xml:space="preserve"> </w:t>
      </w:r>
      <w:r w:rsidR="0001276B">
        <w:rPr>
          <w:rFonts w:eastAsia="Times New Roman" w:cs="Arial"/>
          <w:snapToGrid w:val="0"/>
          <w:szCs w:val="24"/>
          <w:lang w:eastAsia="en-US"/>
        </w:rPr>
        <w:fldChar w:fldCharType="begin"/>
      </w:r>
      <w:r w:rsidR="0001276B">
        <w:rPr>
          <w:rFonts w:eastAsia="Times New Roman" w:cs="Arial"/>
          <w:snapToGrid w:val="0"/>
          <w:szCs w:val="24"/>
          <w:lang w:eastAsia="en-US"/>
        </w:rPr>
        <w:instrText xml:space="preserve"> REF _Ref188354733 \r \h </w:instrText>
      </w:r>
      <w:r w:rsidR="0001276B">
        <w:rPr>
          <w:rFonts w:eastAsia="Times New Roman" w:cs="Arial"/>
          <w:snapToGrid w:val="0"/>
          <w:szCs w:val="24"/>
          <w:lang w:eastAsia="en-US"/>
        </w:rPr>
      </w:r>
      <w:r w:rsidR="0001276B">
        <w:rPr>
          <w:rFonts w:eastAsia="Times New Roman" w:cs="Arial"/>
          <w:snapToGrid w:val="0"/>
          <w:szCs w:val="24"/>
          <w:lang w:eastAsia="en-US"/>
        </w:rPr>
        <w:fldChar w:fldCharType="separate"/>
      </w:r>
      <w:r w:rsidR="0012101B">
        <w:rPr>
          <w:rFonts w:eastAsia="Times New Roman" w:cs="Arial"/>
          <w:snapToGrid w:val="0"/>
          <w:szCs w:val="24"/>
          <w:lang w:eastAsia="en-US"/>
        </w:rPr>
        <w:t>6.81</w:t>
      </w:r>
      <w:r w:rsidR="0001276B">
        <w:rPr>
          <w:rFonts w:eastAsia="Times New Roman" w:cs="Arial"/>
          <w:snapToGrid w:val="0"/>
          <w:szCs w:val="24"/>
          <w:lang w:eastAsia="en-US"/>
        </w:rPr>
        <w:fldChar w:fldCharType="end"/>
      </w:r>
      <w:r w:rsidR="0001276B">
        <w:rPr>
          <w:rFonts w:eastAsia="Times New Roman" w:cs="Arial"/>
          <w:snapToGrid w:val="0"/>
          <w:szCs w:val="24"/>
          <w:lang w:eastAsia="en-US"/>
        </w:rPr>
        <w:t>)</w:t>
      </w:r>
      <w:r w:rsidR="007E1DE4">
        <w:rPr>
          <w:rFonts w:eastAsia="Times New Roman" w:cs="Arial"/>
          <w:snapToGrid w:val="0"/>
          <w:szCs w:val="24"/>
          <w:lang w:eastAsia="en-US"/>
        </w:rPr>
        <w:t xml:space="preserve"> </w:t>
      </w:r>
      <w:r w:rsidR="005F295F">
        <w:rPr>
          <w:rFonts w:eastAsia="Times New Roman" w:cs="Arial"/>
          <w:snapToGrid w:val="0"/>
          <w:szCs w:val="24"/>
          <w:lang w:eastAsia="en-US"/>
        </w:rPr>
        <w:t xml:space="preserve">and </w:t>
      </w:r>
      <w:r w:rsidR="007503AB">
        <w:rPr>
          <w:rFonts w:eastAsia="Times New Roman" w:cs="Arial"/>
          <w:snapToGrid w:val="0"/>
          <w:szCs w:val="24"/>
          <w:lang w:eastAsia="en-US"/>
        </w:rPr>
        <w:t xml:space="preserve">the </w:t>
      </w:r>
      <w:r w:rsidR="005F295F">
        <w:rPr>
          <w:rFonts w:eastAsia="Times New Roman" w:cs="Arial"/>
          <w:snapToGrid w:val="0"/>
          <w:szCs w:val="24"/>
          <w:lang w:eastAsia="en-US"/>
        </w:rPr>
        <w:t xml:space="preserve">IVMP treatment effect </w:t>
      </w:r>
      <w:r w:rsidR="00F676B0">
        <w:rPr>
          <w:rFonts w:eastAsia="Times New Roman" w:cs="Arial"/>
          <w:snapToGrid w:val="0"/>
          <w:szCs w:val="24"/>
          <w:lang w:eastAsia="en-US"/>
        </w:rPr>
        <w:t xml:space="preserve">for diplopia </w:t>
      </w:r>
      <w:r w:rsidR="00697ECC">
        <w:t>had been</w:t>
      </w:r>
      <w:r w:rsidR="0087636B">
        <w:t xml:space="preserve"> applied </w:t>
      </w:r>
      <w:r w:rsidR="00BE1477">
        <w:t xml:space="preserve">to </w:t>
      </w:r>
      <w:r w:rsidR="0087636B">
        <w:t>cycle 1 only (i.e. to week 6), which was not consistent with the data from the MAIC which reported the odds of improved response to 12</w:t>
      </w:r>
      <w:r w:rsidR="00226B63">
        <w:t> </w:t>
      </w:r>
      <w:r w:rsidR="0087636B">
        <w:t>weeks</w:t>
      </w:r>
      <w:r w:rsidR="0090070F">
        <w:t xml:space="preserve"> (</w:t>
      </w:r>
      <w:r w:rsidR="00697ECC">
        <w:t xml:space="preserve">paragraph </w:t>
      </w:r>
      <w:r w:rsidR="00697ECC">
        <w:fldChar w:fldCharType="begin"/>
      </w:r>
      <w:r w:rsidR="00697ECC">
        <w:instrText xml:space="preserve"> REF _Ref195436204 \r \h </w:instrText>
      </w:r>
      <w:r w:rsidR="00697ECC">
        <w:fldChar w:fldCharType="separate"/>
      </w:r>
      <w:r w:rsidR="0012101B">
        <w:t>6.71</w:t>
      </w:r>
      <w:r w:rsidR="00697ECC">
        <w:fldChar w:fldCharType="end"/>
      </w:r>
      <w:r w:rsidR="00697ECC">
        <w:t>)</w:t>
      </w:r>
      <w:r w:rsidR="0087636B">
        <w:t>.</w:t>
      </w:r>
      <w:r w:rsidR="00E12BA8">
        <w:t xml:space="preserve"> </w:t>
      </w:r>
      <w:r w:rsidR="008E60DC" w:rsidRPr="00E12BA8">
        <w:rPr>
          <w:rFonts w:eastAsia="Times New Roman" w:cs="Arial"/>
          <w:snapToGrid w:val="0"/>
          <w:szCs w:val="24"/>
          <w:lang w:eastAsia="en-US"/>
        </w:rPr>
        <w:t xml:space="preserve">The PBAC agreed with the evaluation </w:t>
      </w:r>
      <w:r w:rsidR="00E12BA8">
        <w:rPr>
          <w:rFonts w:eastAsia="Times New Roman" w:cs="Arial"/>
          <w:snapToGrid w:val="0"/>
          <w:szCs w:val="24"/>
          <w:lang w:eastAsia="en-US"/>
        </w:rPr>
        <w:t>that these assumptions were</w:t>
      </w:r>
      <w:r w:rsidR="008E60DC" w:rsidRPr="00E12BA8">
        <w:rPr>
          <w:rFonts w:eastAsia="Times New Roman" w:cs="Arial"/>
          <w:snapToGrid w:val="0"/>
          <w:szCs w:val="24"/>
          <w:lang w:eastAsia="en-US"/>
        </w:rPr>
        <w:t xml:space="preserve"> not appropriate and noted that correction </w:t>
      </w:r>
      <w:r w:rsidR="002A28D9">
        <w:rPr>
          <w:rFonts w:eastAsia="Times New Roman" w:cs="Arial"/>
          <w:snapToGrid w:val="0"/>
          <w:szCs w:val="24"/>
          <w:lang w:eastAsia="en-US"/>
        </w:rPr>
        <w:t xml:space="preserve">to these </w:t>
      </w:r>
      <w:r w:rsidR="008E60DC" w:rsidRPr="00E12BA8">
        <w:rPr>
          <w:rFonts w:eastAsia="Times New Roman" w:cs="Arial"/>
          <w:snapToGrid w:val="0"/>
          <w:szCs w:val="24"/>
          <w:lang w:eastAsia="en-US"/>
        </w:rPr>
        <w:t xml:space="preserve">led to a </w:t>
      </w:r>
      <w:r w:rsidR="00BD0449" w:rsidRPr="00D90272">
        <w:rPr>
          <w:rFonts w:eastAsia="Times New Roman" w:cs="Arial"/>
          <w:snapToGrid w:val="0"/>
          <w:color w:val="000000"/>
          <w:w w:val="62"/>
          <w:szCs w:val="24"/>
          <w:shd w:val="solid" w:color="000000" w:fill="000000"/>
          <w:fitText w:val="480" w:id="-694435832"/>
          <w:lang w:eastAsia="en-US"/>
          <w14:textFill>
            <w14:solidFill>
              <w14:srgbClr w14:val="000000">
                <w14:alpha w14:val="100000"/>
              </w14:srgbClr>
            </w14:solidFill>
          </w14:textFill>
        </w:rPr>
        <w:t>|||  ||</w:t>
      </w:r>
      <w:r w:rsidR="00BD0449" w:rsidRPr="00D90272">
        <w:rPr>
          <w:rFonts w:eastAsia="Times New Roman" w:cs="Arial"/>
          <w:snapToGrid w:val="0"/>
          <w:color w:val="000000"/>
          <w:spacing w:val="2"/>
          <w:w w:val="62"/>
          <w:szCs w:val="24"/>
          <w:shd w:val="solid" w:color="000000" w:fill="000000"/>
          <w:fitText w:val="480" w:id="-694435832"/>
          <w:lang w:eastAsia="en-US"/>
          <w14:textFill>
            <w14:solidFill>
              <w14:srgbClr w14:val="000000">
                <w14:alpha w14:val="100000"/>
              </w14:srgbClr>
            </w14:solidFill>
          </w14:textFill>
        </w:rPr>
        <w:t>|</w:t>
      </w:r>
      <w:r w:rsidR="00E12BA8">
        <w:rPr>
          <w:rFonts w:eastAsia="Times New Roman" w:cs="Arial"/>
          <w:snapToGrid w:val="0"/>
          <w:szCs w:val="24"/>
          <w:lang w:eastAsia="en-US"/>
        </w:rPr>
        <w:t>%</w:t>
      </w:r>
      <w:r w:rsidR="008E60DC" w:rsidRPr="00E12BA8">
        <w:rPr>
          <w:rFonts w:eastAsia="Times New Roman" w:cs="Arial"/>
          <w:snapToGrid w:val="0"/>
          <w:szCs w:val="24"/>
          <w:lang w:eastAsia="en-US"/>
        </w:rPr>
        <w:t xml:space="preserve"> increase in the ICER (multivariate analysis </w:t>
      </w:r>
      <w:r w:rsidR="004B6E2D">
        <w:rPr>
          <w:rFonts w:eastAsia="Times New Roman" w:cs="Arial"/>
          <w:snapToGrid w:val="0"/>
          <w:szCs w:val="24"/>
          <w:lang w:eastAsia="en-US"/>
        </w:rPr>
        <w:t>#</w:t>
      </w:r>
      <w:r w:rsidR="008E60DC" w:rsidRPr="00E12BA8">
        <w:rPr>
          <w:rFonts w:eastAsia="Times New Roman" w:cs="Arial"/>
          <w:snapToGrid w:val="0"/>
          <w:szCs w:val="24"/>
          <w:lang w:eastAsia="en-US"/>
        </w:rPr>
        <w:t xml:space="preserve">1 + </w:t>
      </w:r>
      <w:r w:rsidR="004B6E2D">
        <w:rPr>
          <w:rFonts w:eastAsia="Times New Roman" w:cs="Arial"/>
          <w:snapToGrid w:val="0"/>
          <w:szCs w:val="24"/>
          <w:lang w:eastAsia="en-US"/>
        </w:rPr>
        <w:t>#</w:t>
      </w:r>
      <w:r w:rsidR="00E12BA8">
        <w:rPr>
          <w:rFonts w:eastAsia="Times New Roman" w:cs="Arial"/>
          <w:snapToGrid w:val="0"/>
          <w:szCs w:val="24"/>
          <w:lang w:eastAsia="en-US"/>
        </w:rPr>
        <w:t>2</w:t>
      </w:r>
      <w:r w:rsidR="008E60DC" w:rsidRPr="00E12BA8">
        <w:rPr>
          <w:rFonts w:eastAsia="Times New Roman" w:cs="Arial"/>
          <w:snapToGrid w:val="0"/>
          <w:szCs w:val="24"/>
          <w:lang w:eastAsia="en-US"/>
        </w:rPr>
        <w:t xml:space="preserve">, </w:t>
      </w:r>
      <w:r w:rsidR="004B6E2D" w:rsidRPr="005E7233">
        <w:t xml:space="preserve">Table </w:t>
      </w:r>
      <w:r w:rsidR="004B6E2D">
        <w:rPr>
          <w:noProof/>
        </w:rPr>
        <w:t>19</w:t>
      </w:r>
      <w:r w:rsidR="008E60DC" w:rsidRPr="00E12BA8">
        <w:rPr>
          <w:rFonts w:eastAsia="Times New Roman" w:cs="Arial"/>
          <w:snapToGrid w:val="0"/>
          <w:szCs w:val="24"/>
          <w:lang w:eastAsia="en-US"/>
        </w:rPr>
        <w:t>).</w:t>
      </w:r>
      <w:bookmarkEnd w:id="128"/>
      <w:r w:rsidR="008E60DC" w:rsidRPr="00E12BA8">
        <w:rPr>
          <w:rFonts w:eastAsia="Times New Roman" w:cs="Arial"/>
          <w:snapToGrid w:val="0"/>
          <w:szCs w:val="24"/>
          <w:lang w:eastAsia="en-US"/>
        </w:rPr>
        <w:t xml:space="preserve"> </w:t>
      </w:r>
    </w:p>
    <w:p w14:paraId="2A97CCB9" w14:textId="0B00453B" w:rsidR="00FC6B10" w:rsidRPr="005E7233" w:rsidRDefault="00773BB5" w:rsidP="0032155B">
      <w:pPr>
        <w:pStyle w:val="3-BodyText"/>
      </w:pPr>
      <w:bookmarkStart w:id="129" w:name="_Ref195704055"/>
      <w:r>
        <w:t xml:space="preserve">The PBAC </w:t>
      </w:r>
      <w:r w:rsidR="00BF5AF0">
        <w:t xml:space="preserve">also </w:t>
      </w:r>
      <w:r>
        <w:t xml:space="preserve">noted that </w:t>
      </w:r>
      <w:r w:rsidR="004B3453">
        <w:t>t</w:t>
      </w:r>
      <w:r w:rsidR="00FC6B10" w:rsidRPr="005E7233">
        <w:t>he submission adopted a lifetime time horizon</w:t>
      </w:r>
      <w:r w:rsidR="00B30C92">
        <w:t xml:space="preserve">, which </w:t>
      </w:r>
      <w:r w:rsidR="00FC6B10" w:rsidRPr="005E7233">
        <w:t>was substantially longer than the duration of evidence available for teprotumumab (up to 72 weeks</w:t>
      </w:r>
      <w:r w:rsidR="00967D94">
        <w:t>)</w:t>
      </w:r>
      <w:r w:rsidR="00FC6B10" w:rsidRPr="005E7233">
        <w:t xml:space="preserve">. </w:t>
      </w:r>
      <w:r w:rsidR="00424718">
        <w:t xml:space="preserve">The PBAC </w:t>
      </w:r>
      <w:r w:rsidR="00153590">
        <w:t>noted that the</w:t>
      </w:r>
      <w:r w:rsidR="00F12D53">
        <w:t xml:space="preserve"> </w:t>
      </w:r>
      <w:r w:rsidR="003D2BFA">
        <w:t>magnitude</w:t>
      </w:r>
      <w:r w:rsidR="00F12D53">
        <w:t xml:space="preserve"> of</w:t>
      </w:r>
      <w:r w:rsidR="00430844">
        <w:t xml:space="preserve"> the teprotumumab</w:t>
      </w:r>
      <w:r w:rsidR="00F12D53">
        <w:t xml:space="preserve"> treatment effect versus SoC </w:t>
      </w:r>
      <w:r w:rsidR="00153590">
        <w:t>was uncertain</w:t>
      </w:r>
      <w:r w:rsidR="00430844">
        <w:t xml:space="preserve"> (paragraph </w:t>
      </w:r>
      <w:r w:rsidR="00430844">
        <w:fldChar w:fldCharType="begin"/>
      </w:r>
      <w:r w:rsidR="00430844">
        <w:instrText xml:space="preserve"> REF _Ref195437307 \r \h </w:instrText>
      </w:r>
      <w:r w:rsidR="00430844">
        <w:fldChar w:fldCharType="separate"/>
      </w:r>
      <w:r w:rsidR="0012101B">
        <w:t>7.11</w:t>
      </w:r>
      <w:r w:rsidR="00430844">
        <w:fldChar w:fldCharType="end"/>
      </w:r>
      <w:r w:rsidR="00430844">
        <w:t xml:space="preserve">) </w:t>
      </w:r>
      <w:r w:rsidR="00153590">
        <w:t xml:space="preserve">and the extent to which teprotumumab reduced the need for surgical intervention </w:t>
      </w:r>
      <w:r w:rsidR="002A45B6">
        <w:t>and</w:t>
      </w:r>
      <w:r w:rsidR="00F9158E">
        <w:t xml:space="preserve"> the</w:t>
      </w:r>
      <w:r w:rsidR="006C55D8">
        <w:t xml:space="preserve"> comparative</w:t>
      </w:r>
      <w:r w:rsidR="00153590">
        <w:t xml:space="preserve"> long-term functional and anatomical outcomes</w:t>
      </w:r>
      <w:r w:rsidR="006C55D8">
        <w:t xml:space="preserve"> versus SoC</w:t>
      </w:r>
      <w:r w:rsidR="00153590">
        <w:t xml:space="preserve"> </w:t>
      </w:r>
      <w:r w:rsidR="002A45B6">
        <w:t>remain</w:t>
      </w:r>
      <w:r w:rsidR="007E4F7A">
        <w:t>ed</w:t>
      </w:r>
      <w:r w:rsidR="002A45B6">
        <w:t xml:space="preserve"> unclear</w:t>
      </w:r>
      <w:r w:rsidR="00153590">
        <w:t xml:space="preserve">. </w:t>
      </w:r>
      <w:r w:rsidR="00BB12E5">
        <w:t>For these reasons, the</w:t>
      </w:r>
      <w:r w:rsidR="005D77AB">
        <w:t xml:space="preserve"> PBAC </w:t>
      </w:r>
      <w:r w:rsidR="00BB12E5">
        <w:t>considered</w:t>
      </w:r>
      <w:r w:rsidR="005D77AB">
        <w:t xml:space="preserve"> that a 20</w:t>
      </w:r>
      <w:r w:rsidR="00FD65D2">
        <w:t>-</w:t>
      </w:r>
      <w:r w:rsidR="005D77AB">
        <w:t xml:space="preserve">year time horizon would be </w:t>
      </w:r>
      <w:r w:rsidR="00BB12E5">
        <w:t xml:space="preserve">more </w:t>
      </w:r>
      <w:r w:rsidR="005D77AB">
        <w:t>appropriate</w:t>
      </w:r>
      <w:r w:rsidR="0082042E">
        <w:t>.</w:t>
      </w:r>
      <w:bookmarkEnd w:id="129"/>
    </w:p>
    <w:p w14:paraId="17795D36" w14:textId="07BF19D0" w:rsidR="00337B43" w:rsidRDefault="006B67B3" w:rsidP="00AD2598">
      <w:pPr>
        <w:pStyle w:val="3-BodyText"/>
      </w:pPr>
      <w:bookmarkStart w:id="130" w:name="_Ref195447317"/>
      <w:r>
        <w:lastRenderedPageBreak/>
        <w:t>The PBAC noted</w:t>
      </w:r>
      <w:r w:rsidR="00327FF4">
        <w:t xml:space="preserve"> that</w:t>
      </w:r>
      <w:r w:rsidR="00361F20">
        <w:t xml:space="preserve"> </w:t>
      </w:r>
      <w:r>
        <w:t>t</w:t>
      </w:r>
      <w:r w:rsidR="001C623C">
        <w:t xml:space="preserve">here was also a high degree of uncertainty related to the health state utility values </w:t>
      </w:r>
      <w:r w:rsidR="00361F20">
        <w:t>applied</w:t>
      </w:r>
      <w:r w:rsidR="001C623C">
        <w:t xml:space="preserve"> </w:t>
      </w:r>
      <w:r w:rsidR="00361F20">
        <w:t>to</w:t>
      </w:r>
      <w:r w:rsidR="001C623C">
        <w:t xml:space="preserve"> the economic model (paragraphs </w:t>
      </w:r>
      <w:r w:rsidR="003C01AC">
        <w:fldChar w:fldCharType="begin"/>
      </w:r>
      <w:r w:rsidR="003C01AC">
        <w:instrText xml:space="preserve"> REF _Ref195439138 \r \h </w:instrText>
      </w:r>
      <w:r w:rsidR="003C01AC">
        <w:fldChar w:fldCharType="separate"/>
      </w:r>
      <w:r w:rsidR="0012101B">
        <w:t>6.77</w:t>
      </w:r>
      <w:r w:rsidR="003C01AC">
        <w:fldChar w:fldCharType="end"/>
      </w:r>
      <w:r w:rsidR="001B7268">
        <w:rPr>
          <w:rFonts w:cstheme="minorHAnsi"/>
        </w:rPr>
        <w:t>−</w:t>
      </w:r>
      <w:r w:rsidR="003C01AC">
        <w:fldChar w:fldCharType="begin"/>
      </w:r>
      <w:r w:rsidR="003C01AC">
        <w:instrText xml:space="preserve"> REF _Ref195439141 \r \h </w:instrText>
      </w:r>
      <w:r w:rsidR="003C01AC">
        <w:fldChar w:fldCharType="separate"/>
      </w:r>
      <w:r w:rsidR="0012101B">
        <w:t>6.78</w:t>
      </w:r>
      <w:r w:rsidR="003C01AC">
        <w:fldChar w:fldCharType="end"/>
      </w:r>
      <w:r w:rsidR="001B7268">
        <w:t xml:space="preserve">). </w:t>
      </w:r>
      <w:r w:rsidR="000027C0">
        <w:t xml:space="preserve">The PBAC agreed </w:t>
      </w:r>
      <w:r w:rsidR="00A514E5">
        <w:t xml:space="preserve">with the </w:t>
      </w:r>
      <w:r w:rsidR="00623F5E">
        <w:t xml:space="preserve">ESC that the </w:t>
      </w:r>
      <w:r w:rsidR="00A514E5" w:rsidRPr="005E7233">
        <w:t xml:space="preserve">values were very low, ranging </w:t>
      </w:r>
      <w:r w:rsidR="00C03F3E">
        <w:t>between</w:t>
      </w:r>
      <w:r w:rsidR="00A514E5" w:rsidRPr="005E7233">
        <w:t xml:space="preserve"> 0.30–0.60 for the most to least severe health states</w:t>
      </w:r>
      <w:r w:rsidR="00623F5E">
        <w:t>,</w:t>
      </w:r>
      <w:r w:rsidR="00F473AC">
        <w:t xml:space="preserve"> and </w:t>
      </w:r>
      <w:r w:rsidR="007E108F">
        <w:t xml:space="preserve">did not accurately reflect the </w:t>
      </w:r>
      <w:r w:rsidR="00CB1B2F">
        <w:t>quality of life of individuals with MS TED</w:t>
      </w:r>
      <w:r w:rsidR="007E108F">
        <w:t xml:space="preserve"> </w:t>
      </w:r>
      <w:r w:rsidR="00B102FB">
        <w:t>during the active and inactive phases of disease, nor lon</w:t>
      </w:r>
      <w:r w:rsidR="000D6E27">
        <w:t>g-</w:t>
      </w:r>
      <w:r w:rsidR="00B102FB">
        <w:t>term</w:t>
      </w:r>
      <w:r w:rsidR="0039775D">
        <w:t>,</w:t>
      </w:r>
      <w:r w:rsidR="00B102FB">
        <w:t xml:space="preserve"> during and </w:t>
      </w:r>
      <w:r w:rsidR="00374B99">
        <w:t>after</w:t>
      </w:r>
      <w:r w:rsidR="0039775D">
        <w:t xml:space="preserve"> </w:t>
      </w:r>
      <w:r w:rsidR="00B102FB">
        <w:t xml:space="preserve">surgery </w:t>
      </w:r>
      <w:r w:rsidR="0039775D">
        <w:t xml:space="preserve">and </w:t>
      </w:r>
      <w:r w:rsidR="007E108F">
        <w:t>over a lifetime</w:t>
      </w:r>
      <w:r w:rsidR="00F473AC">
        <w:t>.</w:t>
      </w:r>
      <w:r w:rsidR="00B30E92">
        <w:t xml:space="preserve"> </w:t>
      </w:r>
      <w:r w:rsidR="00B102FB">
        <w:t>The PBAC</w:t>
      </w:r>
      <w:r w:rsidR="00C615BC">
        <w:t xml:space="preserve"> considered </w:t>
      </w:r>
      <w:r w:rsidR="00EE008B">
        <w:t xml:space="preserve">that </w:t>
      </w:r>
      <w:r w:rsidR="00C615BC">
        <w:t>alternative utility-weights</w:t>
      </w:r>
      <w:r w:rsidR="00B3568D">
        <w:t xml:space="preserve"> </w:t>
      </w:r>
      <w:r w:rsidR="00DD009B">
        <w:t>would be</w:t>
      </w:r>
      <w:r w:rsidR="00B3568D">
        <w:t xml:space="preserve"> required</w:t>
      </w:r>
      <w:r w:rsidR="00DD009B">
        <w:t xml:space="preserve"> </w:t>
      </w:r>
      <w:r w:rsidR="00374B99">
        <w:t>to</w:t>
      </w:r>
      <w:r w:rsidR="00DD009B">
        <w:t xml:space="preserve"> ensure the overall validity of the economic model, particularly over a lifetime time horizon.</w:t>
      </w:r>
      <w:bookmarkEnd w:id="130"/>
      <w:r w:rsidR="00F94EBB">
        <w:t xml:space="preserve"> </w:t>
      </w:r>
    </w:p>
    <w:p w14:paraId="0BD2156A" w14:textId="5830DE5F" w:rsidR="00F41C12" w:rsidRDefault="00CD3BD6" w:rsidP="00F66644">
      <w:pPr>
        <w:pStyle w:val="3-BodyText"/>
      </w:pPr>
      <w:bookmarkStart w:id="131" w:name="_Ref195448044"/>
      <w:r>
        <w:t xml:space="preserve">Notwithstanding the remaining uncertainties with the economic model, but noting the high unmet clinical need </w:t>
      </w:r>
      <w:r w:rsidR="00EF0141">
        <w:t xml:space="preserve">for </w:t>
      </w:r>
      <w:r w:rsidR="00BD0E5F">
        <w:t>individuals</w:t>
      </w:r>
      <w:r w:rsidR="00EF0141">
        <w:t xml:space="preserve"> with MS TED, the PBAC foreshadowed that use of a respecifi</w:t>
      </w:r>
      <w:r w:rsidR="00BD0E5F">
        <w:t>ed</w:t>
      </w:r>
      <w:r w:rsidR="00EF0141">
        <w:t xml:space="preserve"> model would be appropriate in </w:t>
      </w:r>
      <w:r w:rsidR="00C933CA">
        <w:t xml:space="preserve">a </w:t>
      </w:r>
      <w:r w:rsidR="00EF0141">
        <w:t xml:space="preserve">resubmission </w:t>
      </w:r>
      <w:r w:rsidR="00921201">
        <w:t>with</w:t>
      </w:r>
      <w:r w:rsidR="00EF0141">
        <w:t xml:space="preserve"> (</w:t>
      </w:r>
      <w:r w:rsidR="00BD0E5F">
        <w:t>i</w:t>
      </w:r>
      <w:r w:rsidR="00EF0141">
        <w:t xml:space="preserve">) </w:t>
      </w:r>
      <w:r w:rsidR="00BC25E4">
        <w:t xml:space="preserve">the removal of double counting of </w:t>
      </w:r>
      <w:r w:rsidR="00175803">
        <w:t xml:space="preserve">teprotumumab discontinuation </w:t>
      </w:r>
      <w:r w:rsidR="001D5E6D">
        <w:t xml:space="preserve">(paragraph </w:t>
      </w:r>
      <w:r w:rsidR="001D5E6D">
        <w:fldChar w:fldCharType="begin"/>
      </w:r>
      <w:r w:rsidR="001D5E6D">
        <w:instrText xml:space="preserve"> REF _Ref195446902 \r \h </w:instrText>
      </w:r>
      <w:r w:rsidR="001D5E6D">
        <w:fldChar w:fldCharType="separate"/>
      </w:r>
      <w:r w:rsidR="0012101B">
        <w:t>7.14</w:t>
      </w:r>
      <w:r w:rsidR="001D5E6D">
        <w:fldChar w:fldCharType="end"/>
      </w:r>
      <w:r w:rsidR="001D5E6D">
        <w:t>)</w:t>
      </w:r>
      <w:r w:rsidR="00C933CA">
        <w:t xml:space="preserve">; (ii) </w:t>
      </w:r>
      <w:r w:rsidR="00182B06">
        <w:t>the IVMP treatment effect applied up to Week 12 in the model</w:t>
      </w:r>
      <w:r w:rsidR="001D5E6D">
        <w:t xml:space="preserve"> (paragraph </w:t>
      </w:r>
      <w:r w:rsidR="001D5E6D">
        <w:fldChar w:fldCharType="begin"/>
      </w:r>
      <w:r w:rsidR="001D5E6D">
        <w:instrText xml:space="preserve"> REF _Ref195446902 \r \h </w:instrText>
      </w:r>
      <w:r w:rsidR="001D5E6D">
        <w:fldChar w:fldCharType="separate"/>
      </w:r>
      <w:r w:rsidR="0012101B">
        <w:t>7.14</w:t>
      </w:r>
      <w:r w:rsidR="001D5E6D">
        <w:fldChar w:fldCharType="end"/>
      </w:r>
      <w:r w:rsidR="001D5E6D">
        <w:t>);</w:t>
      </w:r>
      <w:r w:rsidR="00455927">
        <w:t xml:space="preserve"> (iii) a 20-year time horizon</w:t>
      </w:r>
      <w:r w:rsidR="00597A3B">
        <w:t xml:space="preserve"> (paragraph </w:t>
      </w:r>
      <w:r w:rsidR="00597A3B">
        <w:fldChar w:fldCharType="begin"/>
      </w:r>
      <w:r w:rsidR="00597A3B">
        <w:instrText xml:space="preserve"> REF _Ref195704055 \r \h </w:instrText>
      </w:r>
      <w:r w:rsidR="00597A3B">
        <w:fldChar w:fldCharType="separate"/>
      </w:r>
      <w:r w:rsidR="0012101B">
        <w:t>7.15</w:t>
      </w:r>
      <w:r w:rsidR="00597A3B">
        <w:fldChar w:fldCharType="end"/>
      </w:r>
      <w:r w:rsidR="00597A3B">
        <w:t>)</w:t>
      </w:r>
      <w:r w:rsidR="00455927">
        <w:t>;</w:t>
      </w:r>
      <w:r w:rsidR="001D5E6D">
        <w:t xml:space="preserve"> (i</w:t>
      </w:r>
      <w:r w:rsidR="00455927">
        <w:t>v</w:t>
      </w:r>
      <w:r w:rsidR="001D5E6D">
        <w:t xml:space="preserve">) </w:t>
      </w:r>
      <w:r w:rsidR="002B25CF">
        <w:t>alternate utility-weights</w:t>
      </w:r>
      <w:r w:rsidR="00F66644">
        <w:t xml:space="preserve"> applied to the model (paragraph </w:t>
      </w:r>
      <w:r w:rsidR="00F66644">
        <w:fldChar w:fldCharType="begin"/>
      </w:r>
      <w:r w:rsidR="00F66644">
        <w:instrText xml:space="preserve"> REF _Ref195447317 \r \h </w:instrText>
      </w:r>
      <w:r w:rsidR="00F66644">
        <w:fldChar w:fldCharType="separate"/>
      </w:r>
      <w:r w:rsidR="0012101B">
        <w:t>7.16</w:t>
      </w:r>
      <w:r w:rsidR="00F66644">
        <w:fldChar w:fldCharType="end"/>
      </w:r>
      <w:r w:rsidR="00F66644">
        <w:t xml:space="preserve">); and (v) </w:t>
      </w:r>
      <w:r w:rsidR="00BE6A07">
        <w:t xml:space="preserve">a price reduction </w:t>
      </w:r>
      <w:r w:rsidR="00921201">
        <w:t>reflective of an</w:t>
      </w:r>
      <w:r w:rsidR="00F66644">
        <w:t xml:space="preserve"> </w:t>
      </w:r>
      <w:r w:rsidR="009C45CD">
        <w:t xml:space="preserve">ICER </w:t>
      </w:r>
      <w:r w:rsidR="00921201">
        <w:t>of</w:t>
      </w:r>
      <w:r w:rsidR="00F66644">
        <w:t xml:space="preserve"> </w:t>
      </w:r>
      <w:r w:rsidR="009C45CD">
        <w:t>&lt;$75,000 per QALY gained</w:t>
      </w:r>
      <w:r w:rsidR="00337B43">
        <w:t>.</w:t>
      </w:r>
      <w:bookmarkEnd w:id="131"/>
      <w:r w:rsidR="00E6729E">
        <w:t xml:space="preserve"> </w:t>
      </w:r>
    </w:p>
    <w:p w14:paraId="51399A91" w14:textId="2FB88B38" w:rsidR="002308DC" w:rsidRDefault="00A13497" w:rsidP="007176C6">
      <w:pPr>
        <w:pStyle w:val="3-BodyText"/>
      </w:pPr>
      <w:bookmarkStart w:id="132" w:name="_Ref203122560"/>
      <w:bookmarkStart w:id="133" w:name="_Ref195449712"/>
      <w:r w:rsidRPr="00A13497">
        <w:t xml:space="preserve">The PBAC noted the DUSC advice that the modelled utilisation was likely overestimated, primarily due to the assumption that that treatment uptake would be high in the first two years of listing (Year 1: 85%; Year 2: 87.5%). The PBAC also noted the exclusion of retreatment, however considered the impact was likely relatively small over the 6 year forward estimates. </w:t>
      </w:r>
      <w:r w:rsidR="00A8207E">
        <w:t>Overall, the PBAC considered that</w:t>
      </w:r>
      <w:r w:rsidR="00E8721F">
        <w:t xml:space="preserve"> the</w:t>
      </w:r>
      <w:r w:rsidR="00F279FE">
        <w:t xml:space="preserve"> </w:t>
      </w:r>
      <w:r w:rsidR="008F2E1C">
        <w:t>utilisation</w:t>
      </w:r>
      <w:r w:rsidR="00937478">
        <w:t xml:space="preserve"> </w:t>
      </w:r>
      <w:r w:rsidR="00524ACC">
        <w:t>estimates</w:t>
      </w:r>
      <w:r w:rsidR="00937478">
        <w:t xml:space="preserve"> </w:t>
      </w:r>
      <w:r w:rsidR="00524ACC">
        <w:t>would be</w:t>
      </w:r>
      <w:r w:rsidR="008F2E1C">
        <w:t xml:space="preserve"> reasonable</w:t>
      </w:r>
      <w:r w:rsidR="00524ACC">
        <w:t xml:space="preserve"> if the </w:t>
      </w:r>
      <w:r w:rsidR="006540C2">
        <w:t>uptake was reduced</w:t>
      </w:r>
      <w:r w:rsidR="008F2E1C">
        <w:t>.</w:t>
      </w:r>
      <w:r w:rsidR="00831B95">
        <w:t xml:space="preserve"> The PBAC considered </w:t>
      </w:r>
      <w:r w:rsidR="00D0550F">
        <w:t xml:space="preserve">that the </w:t>
      </w:r>
      <w:r w:rsidR="00D65BEF">
        <w:t>DUSC suggested</w:t>
      </w:r>
      <w:r w:rsidR="008A520A">
        <w:t xml:space="preserve"> treatment</w:t>
      </w:r>
      <w:r w:rsidR="00D65BEF">
        <w:t xml:space="preserve"> </w:t>
      </w:r>
      <w:r w:rsidR="00D0550F">
        <w:t xml:space="preserve">uptake would be </w:t>
      </w:r>
      <w:r w:rsidR="00D65BEF">
        <w:t>appropriate (</w:t>
      </w:r>
      <w:r w:rsidR="00455BB6">
        <w:rPr>
          <w:lang w:val="en-US"/>
        </w:rPr>
        <w:t>Y1</w:t>
      </w:r>
      <w:r w:rsidR="00D0550F" w:rsidRPr="00D0550F">
        <w:rPr>
          <w:lang w:val="en-US"/>
        </w:rPr>
        <w:t xml:space="preserve">: 60%, </w:t>
      </w:r>
      <w:r w:rsidR="00455BB6">
        <w:rPr>
          <w:lang w:val="en-US"/>
        </w:rPr>
        <w:t>Y2</w:t>
      </w:r>
      <w:r w:rsidR="00D0550F" w:rsidRPr="00D0550F">
        <w:rPr>
          <w:lang w:val="en-US"/>
        </w:rPr>
        <w:t xml:space="preserve">: 80%; </w:t>
      </w:r>
      <w:r w:rsidR="00455BB6">
        <w:rPr>
          <w:lang w:val="en-US"/>
        </w:rPr>
        <w:t>Y3</w:t>
      </w:r>
      <w:r w:rsidR="00D0550F" w:rsidRPr="00D0550F">
        <w:rPr>
          <w:lang w:val="en-US"/>
        </w:rPr>
        <w:t xml:space="preserve">: 85.0%; </w:t>
      </w:r>
      <w:r w:rsidR="00455BB6">
        <w:rPr>
          <w:lang w:val="en-US"/>
        </w:rPr>
        <w:t>Y4</w:t>
      </w:r>
      <w:r w:rsidR="00D0550F" w:rsidRPr="00D0550F">
        <w:rPr>
          <w:lang w:val="en-US"/>
        </w:rPr>
        <w:t xml:space="preserve">: 90.0%, </w:t>
      </w:r>
      <w:r w:rsidR="00455BB6">
        <w:rPr>
          <w:lang w:val="en-US"/>
        </w:rPr>
        <w:t>Y5</w:t>
      </w:r>
      <w:r w:rsidR="00D0550F" w:rsidRPr="00D0550F">
        <w:rPr>
          <w:lang w:val="en-US"/>
        </w:rPr>
        <w:t xml:space="preserve">: 95.0%; </w:t>
      </w:r>
      <w:r w:rsidR="00455BB6">
        <w:rPr>
          <w:lang w:val="en-US"/>
        </w:rPr>
        <w:t>Y6</w:t>
      </w:r>
      <w:r w:rsidR="00D0550F" w:rsidRPr="00D0550F">
        <w:rPr>
          <w:lang w:val="en-US"/>
        </w:rPr>
        <w:t>: 95.0%) (DUSC ADV, March 2025).</w:t>
      </w:r>
      <w:r w:rsidR="008F2E1C">
        <w:t xml:space="preserve"> </w:t>
      </w:r>
      <w:r w:rsidR="00AF050E">
        <w:t>The PBAC noted</w:t>
      </w:r>
      <w:r w:rsidR="00937478">
        <w:t xml:space="preserve"> that </w:t>
      </w:r>
      <w:r w:rsidR="007E6DFF">
        <w:t xml:space="preserve">the </w:t>
      </w:r>
      <w:r w:rsidR="00BE1D6A">
        <w:t>financial estimates should be updated to include relevant MBS</w:t>
      </w:r>
      <w:r w:rsidR="008F77D5">
        <w:t xml:space="preserve"> costs associated with</w:t>
      </w:r>
      <w:r w:rsidR="002E4FFA">
        <w:t xml:space="preserve"> administration,</w:t>
      </w:r>
      <w:r w:rsidR="008F77D5">
        <w:t xml:space="preserve"> </w:t>
      </w:r>
      <w:r w:rsidR="00EE5214">
        <w:t>regular hearing tests</w:t>
      </w:r>
      <w:r w:rsidR="002E4FFA">
        <w:t>,</w:t>
      </w:r>
      <w:r w:rsidR="00EE5214">
        <w:t xml:space="preserve"> and</w:t>
      </w:r>
      <w:r w:rsidR="002E4FFA">
        <w:t xml:space="preserve"> the</w:t>
      </w:r>
      <w:r w:rsidR="00EE5214">
        <w:t xml:space="preserve"> potential </w:t>
      </w:r>
      <w:r w:rsidR="002E4FFA">
        <w:t xml:space="preserve">for a </w:t>
      </w:r>
      <w:r w:rsidR="00EE5214">
        <w:t xml:space="preserve">reduction </w:t>
      </w:r>
      <w:r w:rsidR="00E071BC">
        <w:t>in</w:t>
      </w:r>
      <w:r w:rsidR="002E4FFA">
        <w:t xml:space="preserve"> the use of</w:t>
      </w:r>
      <w:r w:rsidR="00EE5214">
        <w:t xml:space="preserve"> </w:t>
      </w:r>
      <w:r w:rsidR="005E308D">
        <w:t>orbital radiotherapy.</w:t>
      </w:r>
      <w:bookmarkEnd w:id="132"/>
      <w:r w:rsidR="005E308D">
        <w:t xml:space="preserve"> </w:t>
      </w:r>
      <w:bookmarkEnd w:id="133"/>
    </w:p>
    <w:p w14:paraId="40FB310E" w14:textId="269FFA1F" w:rsidR="00ED70C3" w:rsidRDefault="00ED70C3" w:rsidP="00EA1685">
      <w:pPr>
        <w:pStyle w:val="COMexecsumnumberedpara"/>
        <w:numPr>
          <w:ilvl w:val="1"/>
          <w:numId w:val="1"/>
        </w:numPr>
      </w:pPr>
      <w:bookmarkStart w:id="134" w:name="_Ref195450590"/>
      <w:r>
        <w:t>The PBAC considered that a Risk Sharing Arrangement</w:t>
      </w:r>
      <w:r w:rsidR="009732C2">
        <w:t xml:space="preserve"> (RSA)</w:t>
      </w:r>
      <w:r w:rsidR="004F4A09">
        <w:t>, with a rebate of 100% for use above the expenditure caps would be required to mitigate risk of u</w:t>
      </w:r>
      <w:r w:rsidR="00BA597A">
        <w:t xml:space="preserve">se </w:t>
      </w:r>
      <w:r w:rsidR="00B61D8B">
        <w:t>in chroni</w:t>
      </w:r>
      <w:r w:rsidR="00660EC7">
        <w:t>c (inactive) and less severe disease</w:t>
      </w:r>
      <w:r w:rsidR="00BA597A">
        <w:t>.</w:t>
      </w:r>
      <w:bookmarkEnd w:id="134"/>
    </w:p>
    <w:p w14:paraId="7BF0D4FA" w14:textId="19E9FF7D" w:rsidR="00EA1685" w:rsidRPr="0059433B" w:rsidRDefault="00EA1685" w:rsidP="00EA1685">
      <w:pPr>
        <w:pStyle w:val="COMexecsumnumberedpara"/>
        <w:numPr>
          <w:ilvl w:val="1"/>
          <w:numId w:val="1"/>
        </w:numPr>
      </w:pPr>
      <w:r w:rsidRPr="0059433B">
        <w:t xml:space="preserve">The PBAC considered the outstanding issues could be resolved in a simple resubmission for </w:t>
      </w:r>
      <w:r w:rsidR="004C7DA5">
        <w:t>teprotumumab</w:t>
      </w:r>
      <w:r w:rsidRPr="0059433B">
        <w:t xml:space="preserve">. The PBAC also considered </w:t>
      </w:r>
      <w:r w:rsidR="004C7DA5">
        <w:t>teprotumumab</w:t>
      </w:r>
      <w:r w:rsidR="004C7DA5" w:rsidRPr="0059433B">
        <w:t xml:space="preserve"> </w:t>
      </w:r>
      <w:r w:rsidRPr="0059433B">
        <w:t xml:space="preserve">addresses a high </w:t>
      </w:r>
      <w:r w:rsidR="00150622">
        <w:t xml:space="preserve">and </w:t>
      </w:r>
      <w:r w:rsidRPr="0059433B">
        <w:t xml:space="preserve">unmet clinical need and was expected to provide a </w:t>
      </w:r>
      <w:r w:rsidR="00C41755">
        <w:t>significant</w:t>
      </w:r>
      <w:r w:rsidRPr="0059433B">
        <w:t xml:space="preserve"> and clinically relevant improvement in efficacy over </w:t>
      </w:r>
      <w:r w:rsidR="004C7DA5">
        <w:t>SoC</w:t>
      </w:r>
      <w:r w:rsidRPr="0059433B">
        <w:t>. Therefore, the PBAC considered an early resolution pathway would be acceptable. If the sponsor accepts this pathway, the following changes may address these outstanding issues without requiring further re-evaluation</w:t>
      </w:r>
      <w:r w:rsidR="0097707E">
        <w:t>:</w:t>
      </w:r>
    </w:p>
    <w:p w14:paraId="69AA7DD8" w14:textId="7161ED5C" w:rsidR="00EA1685" w:rsidRDefault="00F3357E" w:rsidP="00303DD3">
      <w:pPr>
        <w:pStyle w:val="ListParagraph"/>
        <w:widowControl w:val="0"/>
        <w:numPr>
          <w:ilvl w:val="0"/>
          <w:numId w:val="15"/>
        </w:numPr>
        <w:spacing w:after="160"/>
        <w:ind w:left="1134" w:hanging="425"/>
        <w:jc w:val="both"/>
      </w:pPr>
      <w:r>
        <w:t xml:space="preserve">A revised restriction that incorporates the changes </w:t>
      </w:r>
      <w:r w:rsidR="00EA1685">
        <w:t xml:space="preserve">outlined in paragraph </w:t>
      </w:r>
      <w:r w:rsidR="00EA1685">
        <w:fldChar w:fldCharType="begin"/>
      </w:r>
      <w:r w:rsidR="00EA1685">
        <w:instrText xml:space="preserve"> REF _Ref195446466 \r \h </w:instrText>
      </w:r>
      <w:r w:rsidR="00EA1685">
        <w:fldChar w:fldCharType="separate"/>
      </w:r>
      <w:r w:rsidR="0012101B">
        <w:t>7.5</w:t>
      </w:r>
      <w:r w:rsidR="00EA1685">
        <w:fldChar w:fldCharType="end"/>
      </w:r>
      <w:r>
        <w:t>;</w:t>
      </w:r>
    </w:p>
    <w:p w14:paraId="41EF6F34" w14:textId="104D4000" w:rsidR="00EA1685" w:rsidRDefault="0088373C" w:rsidP="00303DD3">
      <w:pPr>
        <w:pStyle w:val="ListParagraph"/>
        <w:widowControl w:val="0"/>
        <w:numPr>
          <w:ilvl w:val="0"/>
          <w:numId w:val="15"/>
        </w:numPr>
        <w:spacing w:after="160"/>
        <w:ind w:left="1134" w:hanging="425"/>
        <w:jc w:val="both"/>
      </w:pPr>
      <w:r>
        <w:t xml:space="preserve">Revision </w:t>
      </w:r>
      <w:r w:rsidR="0097229D">
        <w:t>to</w:t>
      </w:r>
      <w:r>
        <w:t xml:space="preserve"> </w:t>
      </w:r>
      <w:r w:rsidR="00FF6040">
        <w:t>inputs in the</w:t>
      </w:r>
      <w:r w:rsidR="003B2A12">
        <w:t xml:space="preserve"> economic model</w:t>
      </w:r>
      <w:r w:rsidR="009A3E39">
        <w:t xml:space="preserve"> </w:t>
      </w:r>
      <w:r w:rsidR="00F3357E">
        <w:t xml:space="preserve">as </w:t>
      </w:r>
      <w:r w:rsidR="00133196">
        <w:t>outlined</w:t>
      </w:r>
      <w:r w:rsidR="00FF6040">
        <w:t xml:space="preserve"> in </w:t>
      </w:r>
      <w:r w:rsidR="00C813CE">
        <w:t>paragraph</w:t>
      </w:r>
      <w:r w:rsidR="008E615C">
        <w:t xml:space="preserve"> </w:t>
      </w:r>
      <w:r w:rsidR="00F054C6">
        <w:fldChar w:fldCharType="begin"/>
      </w:r>
      <w:r w:rsidR="00F054C6">
        <w:instrText xml:space="preserve"> REF _Ref195448044 \r \h </w:instrText>
      </w:r>
      <w:r w:rsidR="00F054C6">
        <w:fldChar w:fldCharType="separate"/>
      </w:r>
      <w:r w:rsidR="0012101B">
        <w:t>7.17</w:t>
      </w:r>
      <w:r w:rsidR="00F054C6">
        <w:fldChar w:fldCharType="end"/>
      </w:r>
      <w:r w:rsidR="00F054C6">
        <w:t>.</w:t>
      </w:r>
    </w:p>
    <w:p w14:paraId="7784F9F7" w14:textId="6574C9A8" w:rsidR="0097707E" w:rsidRDefault="00D06F21" w:rsidP="00303DD3">
      <w:pPr>
        <w:pStyle w:val="ListParagraph"/>
        <w:widowControl w:val="0"/>
        <w:numPr>
          <w:ilvl w:val="0"/>
          <w:numId w:val="15"/>
        </w:numPr>
        <w:spacing w:after="160"/>
        <w:ind w:left="1134" w:hanging="425"/>
        <w:jc w:val="both"/>
      </w:pPr>
      <w:r>
        <w:t xml:space="preserve">Revision </w:t>
      </w:r>
      <w:r w:rsidR="008E5553">
        <w:t xml:space="preserve">of the financial estimates </w:t>
      </w:r>
      <w:r w:rsidR="00D44E35">
        <w:t xml:space="preserve">as </w:t>
      </w:r>
      <w:r w:rsidR="001E3D8A">
        <w:t xml:space="preserve">outlined in paragraph </w:t>
      </w:r>
      <w:r w:rsidR="00FA67D4">
        <w:fldChar w:fldCharType="begin"/>
      </w:r>
      <w:r w:rsidR="00FA67D4">
        <w:instrText xml:space="preserve"> REF _Ref195449712 \r \h </w:instrText>
      </w:r>
      <w:r w:rsidR="00FA67D4">
        <w:fldChar w:fldCharType="separate"/>
      </w:r>
      <w:r w:rsidR="0012101B">
        <w:t>7.18</w:t>
      </w:r>
      <w:r w:rsidR="00FA67D4">
        <w:fldChar w:fldCharType="end"/>
      </w:r>
      <w:r w:rsidR="00FA67D4">
        <w:t xml:space="preserve"> </w:t>
      </w:r>
      <w:r w:rsidR="001E3D8A" w:rsidRPr="0059433B">
        <w:t xml:space="preserve">and recalculation </w:t>
      </w:r>
      <w:r w:rsidR="001E3D8A" w:rsidRPr="0059433B">
        <w:lastRenderedPageBreak/>
        <w:t xml:space="preserve">of the financial implications using the revised </w:t>
      </w:r>
      <w:r w:rsidR="001E3D8A">
        <w:t>teprotumumab</w:t>
      </w:r>
      <w:r w:rsidR="001E3D8A" w:rsidRPr="0059433B">
        <w:t xml:space="preserve"> price</w:t>
      </w:r>
      <w:r w:rsidR="002766BB">
        <w:t>; and</w:t>
      </w:r>
    </w:p>
    <w:p w14:paraId="7367A342" w14:textId="760D2F44" w:rsidR="00136898" w:rsidRDefault="002766BB" w:rsidP="00303DD3">
      <w:pPr>
        <w:pStyle w:val="ListParagraph"/>
        <w:widowControl w:val="0"/>
        <w:numPr>
          <w:ilvl w:val="0"/>
          <w:numId w:val="15"/>
        </w:numPr>
        <w:spacing w:after="160"/>
        <w:ind w:left="1134" w:hanging="425"/>
        <w:jc w:val="both"/>
      </w:pPr>
      <w:r>
        <w:t xml:space="preserve">An RSA as outlined in paragraph </w:t>
      </w:r>
      <w:r w:rsidR="00C20BDE">
        <w:fldChar w:fldCharType="begin"/>
      </w:r>
      <w:r w:rsidR="00C20BDE">
        <w:instrText xml:space="preserve"> REF _Ref195450590 \r \h </w:instrText>
      </w:r>
      <w:r w:rsidR="00C20BDE">
        <w:fldChar w:fldCharType="separate"/>
      </w:r>
      <w:r w:rsidR="0012101B">
        <w:t>7.19</w:t>
      </w:r>
      <w:r w:rsidR="00C20BDE">
        <w:fldChar w:fldCharType="end"/>
      </w:r>
      <w:r>
        <w:t>.</w:t>
      </w:r>
    </w:p>
    <w:p w14:paraId="48971295" w14:textId="4656FD0B" w:rsidR="00CD3595" w:rsidRPr="0059433B" w:rsidRDefault="00CD3595" w:rsidP="00CD3595">
      <w:pPr>
        <w:pStyle w:val="3-BodyText"/>
      </w:pPr>
      <w:r w:rsidRPr="0059433B">
        <w:t>The 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7ED1A0B1" w14:textId="38092C77" w:rsidR="0039524B" w:rsidRPr="0039524B" w:rsidRDefault="0039524B" w:rsidP="0039524B">
      <w:pPr>
        <w:pStyle w:val="3-BodyText"/>
        <w:rPr>
          <w:snapToGrid w:val="0"/>
        </w:rPr>
      </w:pPr>
      <w:r w:rsidRPr="0059433B">
        <w:rPr>
          <w:snapToGrid w:val="0"/>
        </w:rPr>
        <w:t>The PBAC noted that this submission is eligible for an Independent Review.</w:t>
      </w:r>
    </w:p>
    <w:p w14:paraId="79C19DB1" w14:textId="77777777" w:rsidR="00A20061" w:rsidRPr="005E7233" w:rsidRDefault="00A20061" w:rsidP="007C08FC">
      <w:pPr>
        <w:spacing w:before="240"/>
        <w:rPr>
          <w:rFonts w:asciiTheme="minorHAnsi" w:hAnsiTheme="minorHAnsi"/>
          <w:b/>
          <w:bCs/>
          <w:snapToGrid w:val="0"/>
          <w:lang w:eastAsia="en-US"/>
        </w:rPr>
      </w:pPr>
      <w:r w:rsidRPr="005E7233">
        <w:rPr>
          <w:rFonts w:asciiTheme="minorHAnsi" w:hAnsiTheme="minorHAnsi"/>
          <w:b/>
          <w:bCs/>
          <w:snapToGrid w:val="0"/>
          <w:lang w:eastAsia="en-US"/>
        </w:rPr>
        <w:t>Outcome:</w:t>
      </w:r>
    </w:p>
    <w:p w14:paraId="13CB8850" w14:textId="78439B6A" w:rsidR="00A20061" w:rsidRPr="005E7233" w:rsidRDefault="00A20061" w:rsidP="007C08FC">
      <w:pPr>
        <w:spacing w:after="120"/>
        <w:rPr>
          <w:rFonts w:asciiTheme="minorHAnsi" w:hAnsiTheme="minorHAnsi"/>
          <w:bCs/>
          <w:snapToGrid w:val="0"/>
          <w:lang w:eastAsia="en-US"/>
        </w:rPr>
      </w:pPr>
      <w:r w:rsidRPr="005E7233">
        <w:rPr>
          <w:rFonts w:asciiTheme="minorHAnsi" w:hAnsiTheme="minorHAnsi"/>
          <w:bCs/>
          <w:snapToGrid w:val="0"/>
          <w:lang w:eastAsia="en-US"/>
        </w:rPr>
        <w:t>Not recommended</w:t>
      </w:r>
    </w:p>
    <w:bookmarkEnd w:id="121"/>
    <w:bookmarkEnd w:id="122"/>
    <w:bookmarkEnd w:id="123"/>
    <w:p w14:paraId="5F426D51" w14:textId="77777777" w:rsidR="002A55E4" w:rsidRPr="002A55E4" w:rsidRDefault="002A55E4" w:rsidP="002A55E4">
      <w:pPr>
        <w:pStyle w:val="2-SectionHeading"/>
      </w:pPr>
      <w:r w:rsidRPr="002A55E4">
        <w:t>Context for Decision</w:t>
      </w:r>
    </w:p>
    <w:p w14:paraId="1268A75A" w14:textId="77777777" w:rsidR="002A55E4" w:rsidRPr="001F3F2F" w:rsidRDefault="002A55E4" w:rsidP="002A55E4">
      <w:pPr>
        <w:spacing w:after="120"/>
        <w:ind w:left="720"/>
        <w:rPr>
          <w:rFonts w:asciiTheme="minorHAnsi" w:hAnsiTheme="minorHAnsi" w:cstheme="minorHAnsi"/>
          <w:bCs/>
          <w:lang w:val="en-GB"/>
        </w:rPr>
      </w:pPr>
      <w:r w:rsidRPr="001F3F2F">
        <w:rPr>
          <w:rFonts w:asciiTheme="minorHAnsi" w:hAnsiTheme="minorHAnsi" w:cs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3E8E2E3" w14:textId="36F893E4" w:rsidR="002A55E4" w:rsidRPr="002A55E4" w:rsidRDefault="002A55E4" w:rsidP="002A55E4">
      <w:pPr>
        <w:pStyle w:val="2-SectionHeading"/>
      </w:pPr>
      <w:r w:rsidRPr="002A55E4">
        <w:t>Sponsor’s Comment</w:t>
      </w:r>
    </w:p>
    <w:p w14:paraId="02392608" w14:textId="0D5D22AC" w:rsidR="00A20061" w:rsidRDefault="008E269A" w:rsidP="008B7472">
      <w:pPr>
        <w:spacing w:after="120"/>
        <w:ind w:left="720"/>
        <w:rPr>
          <w:rFonts w:asciiTheme="minorHAnsi" w:hAnsiTheme="minorHAnsi" w:cstheme="minorHAnsi"/>
          <w:bCs/>
        </w:rPr>
      </w:pPr>
      <w:r w:rsidRPr="001F3F2F">
        <w:rPr>
          <w:rFonts w:asciiTheme="minorHAnsi" w:hAnsiTheme="minorHAnsi" w:cstheme="minorHAnsi"/>
          <w:bCs/>
        </w:rPr>
        <w:t>Amgen</w:t>
      </w:r>
      <w:r w:rsidR="00EB7B1B" w:rsidRPr="001F3F2F">
        <w:rPr>
          <w:rFonts w:asciiTheme="minorHAnsi" w:hAnsiTheme="minorHAnsi" w:cstheme="minorHAnsi"/>
          <w:bCs/>
        </w:rPr>
        <w:t xml:space="preserve"> is committed to work with the PBAC and Department of Health to facilitate timely access to teprotumumab</w:t>
      </w:r>
      <w:r w:rsidRPr="001F3F2F">
        <w:rPr>
          <w:rFonts w:asciiTheme="minorHAnsi" w:hAnsiTheme="minorHAnsi" w:cstheme="minorHAnsi"/>
          <w:bCs/>
        </w:rPr>
        <w:t xml:space="preserve"> through the early resolution pathway</w:t>
      </w:r>
      <w:r w:rsidR="00EB7B1B" w:rsidRPr="001F3F2F">
        <w:rPr>
          <w:rFonts w:asciiTheme="minorHAnsi" w:hAnsiTheme="minorHAnsi" w:cstheme="minorHAnsi"/>
          <w:bCs/>
        </w:rPr>
        <w:t>.</w:t>
      </w:r>
      <w:r w:rsidR="00D810A1" w:rsidRPr="001F3F2F">
        <w:rPr>
          <w:rFonts w:asciiTheme="minorHAnsi" w:hAnsiTheme="minorHAnsi" w:cstheme="minorHAnsi"/>
          <w:bCs/>
        </w:rPr>
        <w:t xml:space="preserve"> Amgen would</w:t>
      </w:r>
      <w:r w:rsidRPr="001F3F2F">
        <w:rPr>
          <w:rFonts w:asciiTheme="minorHAnsi" w:hAnsiTheme="minorHAnsi" w:cstheme="minorHAnsi"/>
          <w:bCs/>
        </w:rPr>
        <w:t xml:space="preserve"> </w:t>
      </w:r>
      <w:r w:rsidR="00D810A1" w:rsidRPr="001F3F2F">
        <w:rPr>
          <w:rFonts w:asciiTheme="minorHAnsi" w:hAnsiTheme="minorHAnsi" w:cstheme="minorHAnsi"/>
          <w:bCs/>
        </w:rPr>
        <w:t>like to thank all of the healthcare professionals, professional societies, patient organisations and consumers for their support of the submission.</w:t>
      </w:r>
    </w:p>
    <w:p w14:paraId="367C617A" w14:textId="5CB44E26" w:rsidR="00F958F4" w:rsidRDefault="00F958F4">
      <w:pPr>
        <w:jc w:val="left"/>
        <w:rPr>
          <w:rFonts w:asciiTheme="minorHAnsi" w:hAnsiTheme="minorHAnsi" w:cstheme="minorHAnsi"/>
          <w:bCs/>
        </w:rPr>
      </w:pPr>
      <w:r>
        <w:rPr>
          <w:rFonts w:asciiTheme="minorHAnsi" w:hAnsiTheme="minorHAnsi" w:cstheme="minorHAnsi"/>
          <w:bCs/>
        </w:rPr>
        <w:br w:type="page"/>
      </w:r>
    </w:p>
    <w:p w14:paraId="0C31433E" w14:textId="792431B5" w:rsidR="00825672" w:rsidRPr="0085556E" w:rsidRDefault="00825672" w:rsidP="00701FDE">
      <w:pPr>
        <w:keepNext/>
        <w:spacing w:before="120" w:after="120"/>
        <w:ind w:left="720" w:hanging="720"/>
        <w:jc w:val="left"/>
        <w:outlineLvl w:val="0"/>
        <w:rPr>
          <w:rFonts w:asciiTheme="minorHAnsi" w:eastAsia="Calibri" w:hAnsiTheme="minorHAnsi"/>
          <w:b/>
          <w:snapToGrid w:val="0"/>
          <w:color w:val="FF0000"/>
          <w:sz w:val="28"/>
          <w:szCs w:val="28"/>
        </w:rPr>
      </w:pPr>
      <w:r w:rsidRPr="0085556E">
        <w:rPr>
          <w:rFonts w:asciiTheme="minorHAnsi" w:eastAsia="Calibri" w:hAnsiTheme="minorHAnsi"/>
          <w:b/>
          <w:snapToGrid w:val="0"/>
          <w:color w:val="FF0000"/>
          <w:sz w:val="28"/>
          <w:szCs w:val="28"/>
        </w:rPr>
        <w:lastRenderedPageBreak/>
        <w:t xml:space="preserve">Addendum to the </w:t>
      </w:r>
      <w:r>
        <w:rPr>
          <w:rFonts w:asciiTheme="minorHAnsi" w:eastAsia="Calibri" w:hAnsiTheme="minorHAnsi"/>
          <w:b/>
          <w:snapToGrid w:val="0"/>
          <w:color w:val="FF0000"/>
          <w:sz w:val="28"/>
          <w:szCs w:val="28"/>
        </w:rPr>
        <w:t>March 2025</w:t>
      </w:r>
      <w:r w:rsidRPr="0085556E">
        <w:rPr>
          <w:rFonts w:asciiTheme="minorHAnsi" w:eastAsia="Calibri" w:hAnsiTheme="minorHAnsi"/>
          <w:b/>
          <w:snapToGrid w:val="0"/>
          <w:color w:val="FF0000"/>
          <w:sz w:val="28"/>
          <w:szCs w:val="28"/>
        </w:rPr>
        <w:t xml:space="preserve"> P</w:t>
      </w:r>
      <w:r w:rsidR="00060757">
        <w:rPr>
          <w:rFonts w:asciiTheme="minorHAnsi" w:eastAsia="Calibri" w:hAnsiTheme="minorHAnsi"/>
          <w:b/>
          <w:snapToGrid w:val="0"/>
          <w:color w:val="FF0000"/>
          <w:sz w:val="28"/>
          <w:szCs w:val="28"/>
        </w:rPr>
        <w:t>ublic Summary Document</w:t>
      </w:r>
      <w:r w:rsidRPr="0085556E">
        <w:rPr>
          <w:rFonts w:asciiTheme="minorHAnsi" w:eastAsia="Calibri" w:hAnsiTheme="minorHAnsi"/>
          <w:b/>
          <w:snapToGrid w:val="0"/>
          <w:color w:val="FF0000"/>
          <w:sz w:val="28"/>
          <w:szCs w:val="28"/>
        </w:rPr>
        <w:t>:</w:t>
      </w:r>
    </w:p>
    <w:p w14:paraId="01626D0E" w14:textId="77777777" w:rsidR="00825672" w:rsidRPr="005E7233" w:rsidRDefault="00825672" w:rsidP="00825672">
      <w:pPr>
        <w:pStyle w:val="1-MainHeading"/>
        <w:spacing w:before="240"/>
      </w:pPr>
      <w:r>
        <w:t>7</w:t>
      </w:r>
      <w:r w:rsidRPr="005E7233">
        <w:t>.</w:t>
      </w:r>
      <w:r>
        <w:t>04</w:t>
      </w:r>
      <w:r w:rsidRPr="005E7233">
        <w:tab/>
        <w:t>TEPROTUMUMAB,</w:t>
      </w:r>
      <w:r w:rsidRPr="005E7233">
        <w:br/>
        <w:t>Powder for I.V. infusion 500 mg,</w:t>
      </w:r>
      <w:r w:rsidRPr="005E7233">
        <w:br/>
        <w:t>Tepezza</w:t>
      </w:r>
      <w:r w:rsidRPr="005E7233">
        <w:rPr>
          <w:vertAlign w:val="superscript"/>
        </w:rPr>
        <w:t>®</w:t>
      </w:r>
      <w:r w:rsidRPr="005E7233">
        <w:t>,</w:t>
      </w:r>
      <w:r w:rsidRPr="005E7233">
        <w:br/>
        <w:t xml:space="preserve">AMGEN AUSTRALIA PTY LTD. </w:t>
      </w:r>
    </w:p>
    <w:p w14:paraId="37FE5D2C" w14:textId="77777777" w:rsidR="00825672" w:rsidRPr="005E7233" w:rsidRDefault="00825672" w:rsidP="00825672">
      <w:pPr>
        <w:pStyle w:val="2-SectionHeading"/>
        <w:numPr>
          <w:ilvl w:val="0"/>
          <w:numId w:val="1"/>
        </w:numPr>
      </w:pPr>
      <w:r>
        <w:t>Background</w:t>
      </w:r>
    </w:p>
    <w:p w14:paraId="34492579" w14:textId="77777777" w:rsidR="00825672" w:rsidRDefault="00825672" w:rsidP="00701FDE">
      <w:pPr>
        <w:pStyle w:val="3-BodyText"/>
        <w:numPr>
          <w:ilvl w:val="1"/>
          <w:numId w:val="1"/>
        </w:numPr>
        <w:rPr>
          <w:snapToGrid w:val="0"/>
          <w:lang w:eastAsia="en-US"/>
        </w:rPr>
      </w:pPr>
      <w:r w:rsidRPr="005E7233">
        <w:rPr>
          <w:snapToGrid w:val="0"/>
          <w:lang w:eastAsia="en-US"/>
        </w:rPr>
        <w:t xml:space="preserve">The </w:t>
      </w:r>
      <w:r>
        <w:rPr>
          <w:snapToGrid w:val="0"/>
          <w:lang w:eastAsia="en-US"/>
        </w:rPr>
        <w:t xml:space="preserve">early resolution resubmission requested a </w:t>
      </w:r>
      <w:r w:rsidRPr="005E7233">
        <w:t>Section 100</w:t>
      </w:r>
      <w:r>
        <w:t xml:space="preserve"> (Highly Specialised Drugs Program),</w:t>
      </w:r>
      <w:r w:rsidRPr="005E7233">
        <w:t xml:space="preserve"> Authority Required</w:t>
      </w:r>
      <w:r>
        <w:t xml:space="preserve"> listing for teprotumumab for the </w:t>
      </w:r>
      <w:r w:rsidRPr="00531883">
        <w:rPr>
          <w:snapToGrid w:val="0"/>
          <w:lang w:eastAsia="en-US"/>
        </w:rPr>
        <w:t xml:space="preserve">treatment of </w:t>
      </w:r>
      <w:r w:rsidRPr="00531883">
        <w:t>active, moderate-to-severe (MS) thyroid eye disease (TED).</w:t>
      </w:r>
    </w:p>
    <w:p w14:paraId="752F52A5" w14:textId="77777777" w:rsidR="00825672" w:rsidRDefault="00825672" w:rsidP="00701FDE">
      <w:pPr>
        <w:pStyle w:val="3-BodyText"/>
        <w:numPr>
          <w:ilvl w:val="1"/>
          <w:numId w:val="1"/>
        </w:numPr>
      </w:pPr>
      <w:r>
        <w:rPr>
          <w:snapToGrid w:val="0"/>
          <w:lang w:eastAsia="en-US"/>
        </w:rPr>
        <w:t>Teprotumumab was considered by the PBAC and not recommended for PBS listing at the March 2025 meeting</w:t>
      </w:r>
      <w:r w:rsidRPr="00531883">
        <w:t xml:space="preserve">. </w:t>
      </w:r>
      <w:r>
        <w:t>At the meeting, the PBAC accepted that</w:t>
      </w:r>
      <w:r w:rsidRPr="0003378F">
        <w:t xml:space="preserve"> there was a high clinical need in the requested patient population, and the evidence presented demonstrated that teprotumumab was more effective in reducing proptosis and diplopia compared to the current standard of care (SoC), which may lead to a reduced utilisation of eye surgery. However, the PBAC considered that due to the limited data available, the complexity of the economic model led to a high degree of uncertainty. The PBAC considered that revision to model inputs and a price reduction would be required to address residual uncertainty and achieve a cost-effective listing, together with a risk sharing arrangement</w:t>
      </w:r>
      <w:r>
        <w:t xml:space="preserve"> (RSA)</w:t>
      </w:r>
      <w:r w:rsidRPr="0003378F">
        <w:t xml:space="preserve">. </w:t>
      </w:r>
    </w:p>
    <w:p w14:paraId="33826CEB" w14:textId="77777777" w:rsidR="00825672" w:rsidRDefault="00825672" w:rsidP="00701FDE">
      <w:pPr>
        <w:pStyle w:val="3-BodyText"/>
        <w:numPr>
          <w:ilvl w:val="1"/>
          <w:numId w:val="1"/>
        </w:numPr>
      </w:pPr>
      <w:r>
        <w:t>The PBAC considered that the outstanding issues could be addressed using the early resolution pathway if the matters were addressed as outlined in Table 23. A summary of the resubmission’s approach to these matters is also provided in Table 23.</w:t>
      </w:r>
    </w:p>
    <w:p w14:paraId="6553035B" w14:textId="4B075448" w:rsidR="00825672" w:rsidRPr="005301DF" w:rsidRDefault="00825672" w:rsidP="00DC677F">
      <w:pPr>
        <w:pStyle w:val="Caption"/>
        <w:rPr>
          <w:rFonts w:eastAsia="Calibri"/>
          <w:szCs w:val="20"/>
        </w:rPr>
      </w:pPr>
      <w:bookmarkStart w:id="135" w:name="_Ref121237209"/>
      <w:bookmarkStart w:id="136" w:name="_Ref199053340"/>
      <w:r w:rsidRPr="00D664B3">
        <w:rPr>
          <w:szCs w:val="20"/>
        </w:rPr>
        <w:lastRenderedPageBreak/>
        <w:t xml:space="preserve">Table </w:t>
      </w:r>
      <w:r w:rsidRPr="00D664B3">
        <w:rPr>
          <w:szCs w:val="20"/>
        </w:rPr>
        <w:fldChar w:fldCharType="begin"/>
      </w:r>
      <w:r w:rsidRPr="00D664B3">
        <w:rPr>
          <w:szCs w:val="20"/>
        </w:rPr>
        <w:instrText xml:space="preserve"> SEQ Table \* ARABIC </w:instrText>
      </w:r>
      <w:r w:rsidRPr="00D664B3">
        <w:rPr>
          <w:szCs w:val="20"/>
        </w:rPr>
        <w:fldChar w:fldCharType="separate"/>
      </w:r>
      <w:r w:rsidR="0012101B">
        <w:rPr>
          <w:noProof/>
          <w:szCs w:val="20"/>
        </w:rPr>
        <w:t>23</w:t>
      </w:r>
      <w:r w:rsidRPr="00D664B3">
        <w:rPr>
          <w:szCs w:val="20"/>
        </w:rPr>
        <w:fldChar w:fldCharType="end"/>
      </w:r>
      <w:bookmarkEnd w:id="135"/>
      <w:bookmarkEnd w:id="136"/>
      <w:r w:rsidRPr="00D664B3">
        <w:rPr>
          <w:szCs w:val="20"/>
        </w:rPr>
        <w:t>:</w:t>
      </w:r>
      <w:bookmarkStart w:id="137" w:name="_Hlk196834120"/>
      <w:r w:rsidRPr="005301DF">
        <w:rPr>
          <w:szCs w:val="20"/>
        </w:rPr>
        <w:t xml:space="preserve"> </w:t>
      </w:r>
      <w:r w:rsidRPr="005301DF">
        <w:rPr>
          <w:rFonts w:eastAsia="Calibri"/>
          <w:szCs w:val="20"/>
        </w:rPr>
        <w:t>Summary of changes made in the resubmission</w:t>
      </w:r>
    </w:p>
    <w:tbl>
      <w:tblPr>
        <w:tblStyle w:val="Tabellengitternetz9pt1"/>
        <w:tblW w:w="9175" w:type="dxa"/>
        <w:tblInd w:w="-5" w:type="dxa"/>
        <w:tblLayout w:type="fixed"/>
        <w:tblLook w:val="04A0" w:firstRow="1" w:lastRow="0" w:firstColumn="1" w:lastColumn="0" w:noHBand="0" w:noVBand="1"/>
      </w:tblPr>
      <w:tblGrid>
        <w:gridCol w:w="2977"/>
        <w:gridCol w:w="4820"/>
        <w:gridCol w:w="1368"/>
        <w:gridCol w:w="10"/>
      </w:tblGrid>
      <w:tr w:rsidR="00825672" w:rsidRPr="005301DF" w14:paraId="05D91D51" w14:textId="77777777" w:rsidTr="00374CB4">
        <w:trPr>
          <w:gridAfter w:val="1"/>
          <w:wAfter w:w="10" w:type="dxa"/>
          <w:tblHeader/>
        </w:trPr>
        <w:tc>
          <w:tcPr>
            <w:tcW w:w="2977" w:type="dxa"/>
            <w:tcBorders>
              <w:top w:val="single" w:sz="4" w:space="0" w:color="auto"/>
              <w:left w:val="single" w:sz="4" w:space="0" w:color="auto"/>
              <w:bottom w:val="single" w:sz="4" w:space="0" w:color="auto"/>
              <w:right w:val="single" w:sz="4" w:space="0" w:color="auto"/>
            </w:tcBorders>
            <w:vAlign w:val="center"/>
            <w:hideMark/>
          </w:tcPr>
          <w:p w14:paraId="3CB497B8" w14:textId="77777777" w:rsidR="00825672" w:rsidRPr="005301DF" w:rsidRDefault="00825672" w:rsidP="00DC677F">
            <w:pPr>
              <w:keepNext/>
              <w:keepLines/>
              <w:jc w:val="center"/>
              <w:rPr>
                <w:rFonts w:ascii="Arial Narrow" w:hAnsi="Arial Narrow" w:cs="Times New Roman"/>
                <w:b/>
                <w:bCs/>
                <w:sz w:val="20"/>
                <w:szCs w:val="20"/>
              </w:rPr>
            </w:pPr>
            <w:r w:rsidRPr="005301DF">
              <w:rPr>
                <w:rFonts w:ascii="Arial Narrow" w:eastAsia="Aptos" w:hAnsi="Arial Narrow" w:cs="Times New Roman"/>
                <w:b/>
                <w:bCs/>
                <w:sz w:val="20"/>
                <w:szCs w:val="20"/>
              </w:rPr>
              <w:t>PBAC minutes recommended change</w:t>
            </w:r>
          </w:p>
          <w:p w14:paraId="772D49A1" w14:textId="77777777" w:rsidR="00825672" w:rsidRPr="005301DF" w:rsidRDefault="00825672" w:rsidP="00DC677F">
            <w:pPr>
              <w:keepNext/>
              <w:keepLines/>
              <w:jc w:val="center"/>
              <w:rPr>
                <w:rFonts w:ascii="Arial Narrow" w:eastAsia="Aptos" w:hAnsi="Arial Narrow" w:cs="Times New Roman"/>
                <w:b/>
                <w:bCs/>
                <w:sz w:val="20"/>
                <w:szCs w:val="20"/>
              </w:rPr>
            </w:pPr>
            <w:r w:rsidRPr="005301DF">
              <w:rPr>
                <w:rFonts w:ascii="Arial Narrow" w:eastAsia="Aptos" w:hAnsi="Arial Narrow" w:cs="Times New Roman"/>
                <w:b/>
                <w:bCs/>
                <w:sz w:val="20"/>
                <w:szCs w:val="20"/>
              </w:rPr>
              <w:t>March 2025</w:t>
            </w:r>
          </w:p>
        </w:tc>
        <w:tc>
          <w:tcPr>
            <w:tcW w:w="4820" w:type="dxa"/>
            <w:tcBorders>
              <w:top w:val="single" w:sz="4" w:space="0" w:color="auto"/>
              <w:left w:val="single" w:sz="4" w:space="0" w:color="auto"/>
              <w:bottom w:val="single" w:sz="4" w:space="0" w:color="auto"/>
              <w:right w:val="single" w:sz="4" w:space="0" w:color="auto"/>
            </w:tcBorders>
            <w:hideMark/>
          </w:tcPr>
          <w:p w14:paraId="1F6E92E3" w14:textId="77777777" w:rsidR="00825672" w:rsidRPr="005301DF" w:rsidRDefault="00825672" w:rsidP="00DC677F">
            <w:pPr>
              <w:keepNext/>
              <w:keepLines/>
              <w:jc w:val="center"/>
              <w:rPr>
                <w:rFonts w:ascii="Arial Narrow" w:eastAsia="Aptos" w:hAnsi="Arial Narrow" w:cs="Times New Roman"/>
                <w:b/>
                <w:bCs/>
                <w:sz w:val="20"/>
                <w:szCs w:val="20"/>
              </w:rPr>
            </w:pPr>
            <w:r w:rsidRPr="005301DF">
              <w:rPr>
                <w:rFonts w:ascii="Arial Narrow" w:eastAsia="Aptos" w:hAnsi="Arial Narrow" w:cs="Times New Roman"/>
                <w:b/>
                <w:bCs/>
                <w:sz w:val="20"/>
                <w:szCs w:val="20"/>
              </w:rPr>
              <w:t>Early resolution resubmission change</w:t>
            </w:r>
          </w:p>
          <w:p w14:paraId="7005C96E" w14:textId="77777777" w:rsidR="00825672" w:rsidRPr="005301DF" w:rsidRDefault="00825672" w:rsidP="00DC677F">
            <w:pPr>
              <w:keepNext/>
              <w:keepLines/>
              <w:jc w:val="center"/>
              <w:rPr>
                <w:rFonts w:ascii="Arial Narrow" w:eastAsia="Aptos" w:hAnsi="Arial Narrow" w:cs="Times New Roman"/>
                <w:b/>
                <w:bCs/>
                <w:sz w:val="20"/>
                <w:szCs w:val="20"/>
              </w:rPr>
            </w:pPr>
            <w:r w:rsidRPr="005301DF">
              <w:rPr>
                <w:rFonts w:ascii="Arial Narrow" w:eastAsia="Aptos" w:hAnsi="Arial Narrow" w:cs="Times New Roman"/>
                <w:b/>
                <w:bCs/>
                <w:sz w:val="20"/>
                <w:szCs w:val="20"/>
              </w:rPr>
              <w:t>May 2025</w:t>
            </w:r>
          </w:p>
        </w:tc>
        <w:tc>
          <w:tcPr>
            <w:tcW w:w="1368" w:type="dxa"/>
            <w:tcBorders>
              <w:top w:val="single" w:sz="4" w:space="0" w:color="auto"/>
              <w:left w:val="single" w:sz="4" w:space="0" w:color="auto"/>
              <w:bottom w:val="single" w:sz="4" w:space="0" w:color="auto"/>
              <w:right w:val="single" w:sz="4" w:space="0" w:color="auto"/>
            </w:tcBorders>
            <w:hideMark/>
          </w:tcPr>
          <w:p w14:paraId="290D7F4B" w14:textId="77777777" w:rsidR="00825672" w:rsidRPr="005301DF" w:rsidRDefault="00825672" w:rsidP="00DC677F">
            <w:pPr>
              <w:keepNext/>
              <w:keepLines/>
              <w:jc w:val="left"/>
              <w:rPr>
                <w:rFonts w:ascii="Arial Narrow" w:eastAsia="Aptos" w:hAnsi="Arial Narrow" w:cs="Times New Roman"/>
                <w:b/>
                <w:bCs/>
                <w:sz w:val="20"/>
                <w:szCs w:val="20"/>
              </w:rPr>
            </w:pPr>
            <w:r w:rsidRPr="005301DF">
              <w:rPr>
                <w:rFonts w:ascii="Arial Narrow" w:eastAsia="Aptos" w:hAnsi="Arial Narrow" w:cs="Times New Roman"/>
                <w:b/>
                <w:bCs/>
                <w:sz w:val="20"/>
                <w:szCs w:val="20"/>
              </w:rPr>
              <w:t>Addressed?</w:t>
            </w:r>
          </w:p>
        </w:tc>
      </w:tr>
      <w:tr w:rsidR="00825672" w:rsidRPr="005301DF" w14:paraId="28109022" w14:textId="77777777" w:rsidTr="00374CB4">
        <w:tc>
          <w:tcPr>
            <w:tcW w:w="9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66152" w14:textId="77777777" w:rsidR="00825672" w:rsidRPr="005301DF" w:rsidRDefault="00825672" w:rsidP="00DC677F">
            <w:pPr>
              <w:keepNext/>
              <w:keepLines/>
              <w:jc w:val="left"/>
              <w:rPr>
                <w:rFonts w:ascii="Arial Narrow" w:eastAsia="Aptos" w:hAnsi="Arial Narrow" w:cs="Times New Roman"/>
                <w:b/>
                <w:bCs/>
                <w:sz w:val="20"/>
                <w:szCs w:val="20"/>
                <w:highlight w:val="yellow"/>
              </w:rPr>
            </w:pPr>
            <w:r w:rsidRPr="005301DF">
              <w:rPr>
                <w:rFonts w:ascii="Arial Narrow" w:eastAsia="Aptos" w:hAnsi="Arial Narrow" w:cs="Times New Roman"/>
                <w:b/>
                <w:bCs/>
                <w:sz w:val="20"/>
                <w:szCs w:val="20"/>
              </w:rPr>
              <w:t>Requested listing</w:t>
            </w:r>
          </w:p>
        </w:tc>
      </w:tr>
      <w:tr w:rsidR="00825672" w:rsidRPr="005301DF" w14:paraId="317CDFE5" w14:textId="77777777" w:rsidTr="00374CB4">
        <w:trPr>
          <w:gridAfter w:val="1"/>
          <w:wAfter w:w="10" w:type="dxa"/>
        </w:trPr>
        <w:tc>
          <w:tcPr>
            <w:tcW w:w="2977" w:type="dxa"/>
            <w:tcBorders>
              <w:top w:val="single" w:sz="4" w:space="0" w:color="auto"/>
              <w:left w:val="single" w:sz="4" w:space="0" w:color="auto"/>
              <w:bottom w:val="single" w:sz="4" w:space="0" w:color="auto"/>
              <w:right w:val="single" w:sz="4" w:space="0" w:color="auto"/>
            </w:tcBorders>
          </w:tcPr>
          <w:p w14:paraId="1E76403F" w14:textId="77777777" w:rsidR="00825672"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 xml:space="preserve">The proposed CAS threshold of ≥ 3 was likely reasonable. </w:t>
            </w:r>
          </w:p>
          <w:p w14:paraId="398B66D6" w14:textId="77777777" w:rsidR="00825672" w:rsidRDefault="00825672" w:rsidP="00DC677F">
            <w:pPr>
              <w:keepNext/>
              <w:keepLines/>
              <w:contextualSpacing/>
              <w:jc w:val="left"/>
              <w:rPr>
                <w:rFonts w:ascii="Arial Narrow" w:hAnsi="Arial Narrow" w:cs="Times New Roman"/>
                <w:sz w:val="20"/>
                <w:szCs w:val="20"/>
              </w:rPr>
            </w:pPr>
          </w:p>
          <w:p w14:paraId="33F4F131" w14:textId="77777777" w:rsidR="00825672" w:rsidRPr="00DE5221"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The exclusion of a GD diagnosis was likely appropriate.</w:t>
            </w:r>
          </w:p>
          <w:p w14:paraId="56D5A949" w14:textId="77777777" w:rsidR="00825672" w:rsidRPr="00DE5221" w:rsidRDefault="00825672" w:rsidP="00DC677F">
            <w:pPr>
              <w:keepNext/>
              <w:keepLines/>
              <w:jc w:val="left"/>
              <w:rPr>
                <w:rFonts w:ascii="Arial Narrow" w:eastAsia="Aptos" w:hAnsi="Arial Narrow" w:cs="Times New Roman"/>
                <w:sz w:val="20"/>
                <w:szCs w:val="20"/>
              </w:rPr>
            </w:pPr>
          </w:p>
          <w:p w14:paraId="5DCC301B" w14:textId="77777777" w:rsidR="00825672" w:rsidRPr="00DE5221"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A line-agnostic listing was likely appropriate.</w:t>
            </w:r>
          </w:p>
          <w:p w14:paraId="7D5E6CCC" w14:textId="77777777" w:rsidR="00825672" w:rsidRPr="00DE5221" w:rsidRDefault="00825672" w:rsidP="00DC677F">
            <w:pPr>
              <w:keepNext/>
              <w:keepLines/>
              <w:contextualSpacing/>
              <w:jc w:val="left"/>
              <w:rPr>
                <w:rFonts w:ascii="Arial Narrow" w:hAnsi="Arial Narrow" w:cs="Times New Roman"/>
                <w:sz w:val="20"/>
                <w:szCs w:val="20"/>
              </w:rPr>
            </w:pPr>
          </w:p>
          <w:p w14:paraId="2A80CB04" w14:textId="77777777" w:rsidR="00825672" w:rsidRPr="00DE5221"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Retreatment with teprotumumab would be appropriate for subsequent episodes of active MS TED, except in cases where there was a poor response to prior treatment.</w:t>
            </w:r>
          </w:p>
          <w:p w14:paraId="29F92A80" w14:textId="77777777" w:rsidR="00825672" w:rsidRDefault="00825672" w:rsidP="00DC677F">
            <w:pPr>
              <w:keepNext/>
              <w:keepLines/>
              <w:contextualSpacing/>
              <w:jc w:val="left"/>
              <w:rPr>
                <w:rFonts w:ascii="Arial Narrow" w:hAnsi="Arial Narrow" w:cs="Times New Roman"/>
                <w:sz w:val="20"/>
                <w:szCs w:val="20"/>
              </w:rPr>
            </w:pPr>
          </w:p>
          <w:p w14:paraId="56E0465E" w14:textId="77777777" w:rsidR="00825672" w:rsidRPr="00DE5221" w:rsidRDefault="00825672" w:rsidP="00DC677F">
            <w:pPr>
              <w:keepNext/>
              <w:keepLines/>
              <w:contextualSpacing/>
              <w:jc w:val="left"/>
              <w:rPr>
                <w:rFonts w:ascii="Arial Narrow" w:hAnsi="Arial Narrow" w:cs="Times New Roman"/>
                <w:sz w:val="20"/>
                <w:szCs w:val="20"/>
              </w:rPr>
            </w:pPr>
          </w:p>
          <w:p w14:paraId="74F86421" w14:textId="77777777" w:rsidR="00825672" w:rsidRPr="00DE5221"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It would be appropriate to include a stopping rule based on adverse events, efficacy and pregnancy.</w:t>
            </w:r>
          </w:p>
          <w:p w14:paraId="782639F9" w14:textId="77777777" w:rsidR="00825672" w:rsidRPr="00DE5221" w:rsidRDefault="00825672" w:rsidP="00DC677F">
            <w:pPr>
              <w:keepNext/>
              <w:keepLines/>
              <w:jc w:val="left"/>
              <w:rPr>
                <w:rFonts w:ascii="Arial Narrow" w:eastAsia="Aptos" w:hAnsi="Arial Narrow" w:cs="Times New Roman"/>
                <w:sz w:val="20"/>
                <w:szCs w:val="20"/>
              </w:rPr>
            </w:pPr>
          </w:p>
          <w:p w14:paraId="6D8B0C8D" w14:textId="77777777" w:rsidR="00825672" w:rsidRPr="00DE5221"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It would be appropriate to include a requirement for audiology review with surveillance before and during treatment.</w:t>
            </w:r>
          </w:p>
          <w:p w14:paraId="0A6D6A3F" w14:textId="77777777" w:rsidR="00825672" w:rsidRDefault="00825672" w:rsidP="00DC677F">
            <w:pPr>
              <w:keepNext/>
              <w:keepLines/>
              <w:jc w:val="left"/>
              <w:rPr>
                <w:rFonts w:ascii="Arial Narrow" w:eastAsia="Aptos" w:hAnsi="Arial Narrow" w:cs="Times New Roman"/>
                <w:sz w:val="20"/>
                <w:szCs w:val="20"/>
              </w:rPr>
            </w:pPr>
          </w:p>
          <w:p w14:paraId="2291B174" w14:textId="77777777" w:rsidR="00825672" w:rsidRDefault="00825672" w:rsidP="00DC677F">
            <w:pPr>
              <w:keepNext/>
              <w:keepLines/>
              <w:jc w:val="left"/>
              <w:rPr>
                <w:rFonts w:ascii="Arial Narrow" w:eastAsia="Aptos" w:hAnsi="Arial Narrow" w:cs="Times New Roman"/>
                <w:sz w:val="20"/>
                <w:szCs w:val="20"/>
              </w:rPr>
            </w:pPr>
          </w:p>
          <w:p w14:paraId="4A517C51" w14:textId="77777777" w:rsidR="00825672" w:rsidRPr="00DE5221" w:rsidRDefault="00825672" w:rsidP="00DC677F">
            <w:pPr>
              <w:keepNext/>
              <w:keepLines/>
              <w:jc w:val="left"/>
              <w:rPr>
                <w:rFonts w:ascii="Arial Narrow" w:eastAsia="Aptos" w:hAnsi="Arial Narrow" w:cs="Times New Roman"/>
                <w:sz w:val="20"/>
                <w:szCs w:val="20"/>
              </w:rPr>
            </w:pPr>
          </w:p>
          <w:p w14:paraId="331B0CB6" w14:textId="77777777" w:rsidR="00825672" w:rsidRPr="00DE5221"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Treatment should be restricted to adults 18 years of age or older due to the mechanism of action and effects on growth and development.</w:t>
            </w:r>
          </w:p>
          <w:p w14:paraId="2FC3816D" w14:textId="77777777" w:rsidR="00825672" w:rsidRPr="00DE5221" w:rsidRDefault="00825672" w:rsidP="00DC677F">
            <w:pPr>
              <w:keepNext/>
              <w:keepLines/>
              <w:contextualSpacing/>
              <w:jc w:val="left"/>
              <w:rPr>
                <w:rFonts w:ascii="Arial Narrow" w:hAnsi="Arial Narrow" w:cs="Times New Roman"/>
                <w:sz w:val="20"/>
                <w:szCs w:val="20"/>
              </w:rPr>
            </w:pPr>
          </w:p>
          <w:p w14:paraId="7A490E3B" w14:textId="77777777" w:rsidR="00825672" w:rsidRPr="00DE5221"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An Authority Required (telephone/online) immediate assessment (no human operator) would be suitable for the initial restriction.</w:t>
            </w:r>
          </w:p>
          <w:p w14:paraId="5FB3F341" w14:textId="77777777" w:rsidR="00825672" w:rsidRPr="00DE5221" w:rsidRDefault="00825672" w:rsidP="00DC677F">
            <w:pPr>
              <w:keepNext/>
              <w:keepLines/>
              <w:jc w:val="left"/>
              <w:rPr>
                <w:rFonts w:ascii="Arial Narrow" w:eastAsia="Aptos" w:hAnsi="Arial Narrow" w:cs="Times New Roman"/>
                <w:sz w:val="20"/>
                <w:szCs w:val="20"/>
              </w:rPr>
            </w:pPr>
          </w:p>
          <w:p w14:paraId="1B998AC6" w14:textId="06F2D676" w:rsidR="00825672" w:rsidRPr="00DE5221" w:rsidRDefault="00825672" w:rsidP="00DC677F">
            <w:pPr>
              <w:keepNext/>
              <w:keepLines/>
              <w:contextualSpacing/>
              <w:jc w:val="left"/>
              <w:rPr>
                <w:rFonts w:ascii="Arial Narrow" w:hAnsi="Arial Narrow" w:cs="Times New Roman"/>
                <w:sz w:val="20"/>
                <w:szCs w:val="20"/>
              </w:rPr>
            </w:pPr>
            <w:r w:rsidRPr="00DE5221">
              <w:rPr>
                <w:rFonts w:ascii="Arial Narrow" w:hAnsi="Arial Narrow" w:cs="Times New Roman"/>
                <w:sz w:val="20"/>
                <w:szCs w:val="20"/>
              </w:rPr>
              <w:t>Continuing scripts should be prescribed by a medical practitioner in consultation with a specialist physician experienced in the management of thyroid eye disease to improve access and logistics for patients, particularly in rural and remote patients.</w:t>
            </w:r>
          </w:p>
        </w:tc>
        <w:tc>
          <w:tcPr>
            <w:tcW w:w="4820" w:type="dxa"/>
            <w:tcBorders>
              <w:top w:val="single" w:sz="4" w:space="0" w:color="auto"/>
              <w:left w:val="single" w:sz="4" w:space="0" w:color="auto"/>
              <w:bottom w:val="single" w:sz="4" w:space="0" w:color="auto"/>
              <w:right w:val="single" w:sz="4" w:space="0" w:color="auto"/>
            </w:tcBorders>
          </w:tcPr>
          <w:p w14:paraId="6C6D9EDA" w14:textId="77777777" w:rsidR="00825672" w:rsidRDefault="00825672" w:rsidP="00DC677F">
            <w:pPr>
              <w:keepNext/>
              <w:keepLines/>
              <w:jc w:val="left"/>
              <w:rPr>
                <w:rFonts w:ascii="Arial Narrow" w:eastAsia="Aptos" w:hAnsi="Arial Narrow" w:cs="Times New Roman"/>
                <w:sz w:val="20"/>
                <w:szCs w:val="20"/>
              </w:rPr>
            </w:pPr>
            <w:r w:rsidRPr="00DE5221">
              <w:rPr>
                <w:rFonts w:ascii="Arial Narrow" w:eastAsia="Aptos" w:hAnsi="Arial Narrow" w:cs="Times New Roman"/>
                <w:sz w:val="20"/>
                <w:szCs w:val="20"/>
              </w:rPr>
              <w:t>The resubmission retained a CAS threshold of ≥ 3.</w:t>
            </w:r>
          </w:p>
          <w:p w14:paraId="4473F1A1" w14:textId="77777777" w:rsidR="00825672" w:rsidRDefault="00825672" w:rsidP="00DC677F">
            <w:pPr>
              <w:keepNext/>
              <w:keepLines/>
              <w:jc w:val="left"/>
              <w:rPr>
                <w:rFonts w:ascii="Arial Narrow" w:eastAsia="Aptos" w:hAnsi="Arial Narrow" w:cs="Times New Roman"/>
                <w:sz w:val="20"/>
                <w:szCs w:val="20"/>
              </w:rPr>
            </w:pPr>
          </w:p>
          <w:p w14:paraId="2F097EA3" w14:textId="77777777" w:rsidR="00825672" w:rsidRDefault="00825672" w:rsidP="00DC677F">
            <w:pPr>
              <w:keepNext/>
              <w:keepLines/>
              <w:jc w:val="left"/>
              <w:rPr>
                <w:rFonts w:ascii="Arial Narrow" w:eastAsia="Aptos" w:hAnsi="Arial Narrow" w:cs="Times New Roman"/>
                <w:sz w:val="20"/>
                <w:szCs w:val="20"/>
              </w:rPr>
            </w:pPr>
          </w:p>
          <w:p w14:paraId="1A4C0231" w14:textId="77777777" w:rsidR="00825672" w:rsidRDefault="00825672" w:rsidP="00DC677F">
            <w:pPr>
              <w:keepNext/>
              <w:keepLines/>
              <w:jc w:val="left"/>
              <w:rPr>
                <w:rFonts w:ascii="Arial Narrow" w:eastAsia="Aptos" w:hAnsi="Arial Narrow" w:cs="Times New Roman"/>
                <w:sz w:val="20"/>
                <w:szCs w:val="20"/>
              </w:rPr>
            </w:pPr>
            <w:r w:rsidRPr="00DE5221">
              <w:rPr>
                <w:rFonts w:ascii="Arial Narrow" w:eastAsia="Aptos" w:hAnsi="Arial Narrow" w:cs="Times New Roman"/>
                <w:sz w:val="20"/>
                <w:szCs w:val="20"/>
              </w:rPr>
              <w:t xml:space="preserve">The resubmission </w:t>
            </w:r>
            <w:r>
              <w:rPr>
                <w:rFonts w:ascii="Arial Narrow" w:eastAsia="Aptos" w:hAnsi="Arial Narrow" w:cs="Times New Roman"/>
                <w:sz w:val="20"/>
                <w:szCs w:val="20"/>
              </w:rPr>
              <w:t>continued to</w:t>
            </w:r>
            <w:r w:rsidRPr="00DE5221">
              <w:rPr>
                <w:rFonts w:ascii="Arial Narrow" w:eastAsia="Aptos" w:hAnsi="Arial Narrow" w:cs="Times New Roman"/>
                <w:sz w:val="20"/>
                <w:szCs w:val="20"/>
              </w:rPr>
              <w:t xml:space="preserve"> exclu</w:t>
            </w:r>
            <w:r>
              <w:rPr>
                <w:rFonts w:ascii="Arial Narrow" w:eastAsia="Aptos" w:hAnsi="Arial Narrow" w:cs="Times New Roman"/>
                <w:sz w:val="20"/>
                <w:szCs w:val="20"/>
              </w:rPr>
              <w:t>de</w:t>
            </w:r>
            <w:r w:rsidRPr="00DE5221">
              <w:rPr>
                <w:rFonts w:ascii="Arial Narrow" w:eastAsia="Aptos" w:hAnsi="Arial Narrow" w:cs="Times New Roman"/>
                <w:sz w:val="20"/>
                <w:szCs w:val="20"/>
              </w:rPr>
              <w:t xml:space="preserve"> a requirement for a GD diagnosis.</w:t>
            </w:r>
          </w:p>
          <w:p w14:paraId="70FCD682" w14:textId="77777777" w:rsidR="00825672" w:rsidRPr="00DE5221" w:rsidRDefault="00825672" w:rsidP="00DC677F">
            <w:pPr>
              <w:keepNext/>
              <w:keepLines/>
              <w:jc w:val="left"/>
              <w:rPr>
                <w:rFonts w:ascii="Arial Narrow" w:eastAsia="Aptos" w:hAnsi="Arial Narrow" w:cs="Times New Roman"/>
                <w:sz w:val="20"/>
                <w:szCs w:val="20"/>
              </w:rPr>
            </w:pPr>
          </w:p>
          <w:p w14:paraId="2EBE28B9" w14:textId="77777777" w:rsidR="00825672" w:rsidRPr="00DE5221" w:rsidRDefault="00825672" w:rsidP="00DC677F">
            <w:pPr>
              <w:keepNext/>
              <w:keepLines/>
              <w:jc w:val="left"/>
              <w:rPr>
                <w:rFonts w:ascii="Arial Narrow" w:eastAsia="Aptos" w:hAnsi="Arial Narrow" w:cs="Times New Roman"/>
                <w:sz w:val="20"/>
                <w:szCs w:val="20"/>
              </w:rPr>
            </w:pPr>
            <w:r w:rsidRPr="00DE5221">
              <w:rPr>
                <w:rFonts w:ascii="Arial Narrow" w:eastAsia="Aptos" w:hAnsi="Arial Narrow" w:cs="Times New Roman"/>
                <w:sz w:val="20"/>
                <w:szCs w:val="20"/>
              </w:rPr>
              <w:t>The resubmission maintained a line-agnostic listing.</w:t>
            </w:r>
          </w:p>
          <w:p w14:paraId="502CFF79" w14:textId="77777777" w:rsidR="00825672" w:rsidRPr="00DE5221" w:rsidRDefault="00825672" w:rsidP="00DC677F">
            <w:pPr>
              <w:keepNext/>
              <w:keepLines/>
              <w:jc w:val="left"/>
              <w:rPr>
                <w:rFonts w:ascii="Arial Narrow" w:eastAsia="Aptos" w:hAnsi="Arial Narrow" w:cs="Times New Roman"/>
                <w:sz w:val="20"/>
                <w:szCs w:val="20"/>
              </w:rPr>
            </w:pPr>
          </w:p>
          <w:p w14:paraId="69519C9F" w14:textId="77777777" w:rsidR="00825672" w:rsidRPr="00DE5221" w:rsidRDefault="00825672" w:rsidP="00DC677F">
            <w:pPr>
              <w:keepNext/>
              <w:keepLines/>
              <w:jc w:val="left"/>
              <w:rPr>
                <w:rFonts w:ascii="Arial Narrow" w:eastAsia="Aptos" w:hAnsi="Arial Narrow" w:cs="Times New Roman"/>
                <w:sz w:val="20"/>
                <w:szCs w:val="20"/>
              </w:rPr>
            </w:pPr>
          </w:p>
          <w:p w14:paraId="7AF26D87" w14:textId="77777777" w:rsidR="00825672" w:rsidRPr="0098448B" w:rsidRDefault="00825672" w:rsidP="00DC677F">
            <w:pPr>
              <w:keepNext/>
              <w:keepLines/>
              <w:jc w:val="left"/>
              <w:rPr>
                <w:rFonts w:ascii="Arial Narrow" w:eastAsia="Aptos" w:hAnsi="Arial Narrow" w:cs="Times New Roman"/>
                <w:sz w:val="20"/>
                <w:szCs w:val="20"/>
              </w:rPr>
            </w:pPr>
            <w:r w:rsidRPr="00DE5221">
              <w:rPr>
                <w:rFonts w:ascii="Arial Narrow" w:eastAsia="Aptos" w:hAnsi="Arial Narrow" w:cs="Times New Roman"/>
                <w:sz w:val="20"/>
                <w:szCs w:val="20"/>
              </w:rPr>
              <w:t>The resubmission proposed the following clinical criterion for the initial treatment phase to limit retreatment to prior respo</w:t>
            </w:r>
            <w:r w:rsidRPr="0098448B">
              <w:rPr>
                <w:rFonts w:ascii="Arial Narrow" w:eastAsia="Aptos" w:hAnsi="Arial Narrow" w:cs="Times New Roman"/>
                <w:sz w:val="20"/>
                <w:szCs w:val="20"/>
              </w:rPr>
              <w:t>nders:</w:t>
            </w:r>
          </w:p>
          <w:p w14:paraId="4160D837" w14:textId="77777777" w:rsidR="00825672" w:rsidRPr="0098448B" w:rsidRDefault="00825672" w:rsidP="00DC677F">
            <w:pPr>
              <w:keepNext/>
              <w:keepLines/>
              <w:jc w:val="left"/>
              <w:rPr>
                <w:rFonts w:ascii="Arial Narrow" w:eastAsia="Aptos" w:hAnsi="Arial Narrow" w:cs="Times New Roman"/>
                <w:sz w:val="20"/>
                <w:szCs w:val="20"/>
              </w:rPr>
            </w:pPr>
          </w:p>
          <w:p w14:paraId="3B539FB4" w14:textId="77777777" w:rsidR="00825672" w:rsidRPr="0098448B" w:rsidRDefault="00825672" w:rsidP="00DC677F">
            <w:pPr>
              <w:keepNext/>
              <w:keepLines/>
              <w:jc w:val="left"/>
              <w:rPr>
                <w:rFonts w:ascii="Arial Narrow" w:eastAsia="Aptos" w:hAnsi="Arial Narrow" w:cs="Times New Roman"/>
                <w:i/>
                <w:iCs/>
                <w:sz w:val="20"/>
                <w:szCs w:val="20"/>
              </w:rPr>
            </w:pPr>
            <w:r w:rsidRPr="0098448B">
              <w:rPr>
                <w:rFonts w:ascii="Arial Narrow" w:eastAsia="Aptos" w:hAnsi="Arial Narrow" w:cs="Times New Roman"/>
                <w:i/>
                <w:iCs/>
                <w:sz w:val="20"/>
                <w:szCs w:val="20"/>
              </w:rPr>
              <w:t>‘Patient must not have previously failed PBS-subsidised therapy with this drug for this condition’</w:t>
            </w:r>
          </w:p>
          <w:p w14:paraId="1222A18C" w14:textId="77777777" w:rsidR="00825672" w:rsidRPr="0098448B" w:rsidRDefault="00825672" w:rsidP="00DC677F">
            <w:pPr>
              <w:keepNext/>
              <w:keepLines/>
              <w:jc w:val="left"/>
              <w:rPr>
                <w:rFonts w:ascii="Arial Narrow" w:eastAsia="Aptos" w:hAnsi="Arial Narrow" w:cs="Times New Roman"/>
                <w:sz w:val="20"/>
                <w:szCs w:val="20"/>
              </w:rPr>
            </w:pPr>
          </w:p>
          <w:p w14:paraId="559C3394" w14:textId="77777777" w:rsidR="00825672" w:rsidRPr="00DE5221" w:rsidRDefault="00825672" w:rsidP="00DC677F">
            <w:pPr>
              <w:keepNext/>
              <w:keepLines/>
              <w:jc w:val="left"/>
              <w:rPr>
                <w:rFonts w:ascii="Arial Narrow" w:eastAsia="Aptos" w:hAnsi="Arial Narrow" w:cs="Times New Roman"/>
                <w:sz w:val="20"/>
                <w:szCs w:val="20"/>
              </w:rPr>
            </w:pPr>
            <w:r w:rsidRPr="0098448B">
              <w:rPr>
                <w:rFonts w:ascii="Arial Narrow" w:eastAsia="Aptos" w:hAnsi="Arial Narrow" w:cs="Times New Roman"/>
                <w:sz w:val="20"/>
                <w:szCs w:val="20"/>
              </w:rPr>
              <w:t xml:space="preserve">The resubmission proposed </w:t>
            </w:r>
            <w:r w:rsidRPr="00DE5221">
              <w:rPr>
                <w:rFonts w:ascii="Arial Narrow" w:eastAsia="Aptos" w:hAnsi="Arial Narrow" w:cs="Times New Roman"/>
                <w:sz w:val="20"/>
                <w:szCs w:val="20"/>
              </w:rPr>
              <w:t>cautions, rather than a stopping rule related to pregnancy and audiology monitoring. A stopping rule for efficacy was not proposed.</w:t>
            </w:r>
          </w:p>
          <w:p w14:paraId="647385B0" w14:textId="77777777" w:rsidR="00825672" w:rsidRPr="00DE5221" w:rsidRDefault="00825672" w:rsidP="00DC677F">
            <w:pPr>
              <w:keepNext/>
              <w:keepLines/>
              <w:contextualSpacing/>
              <w:jc w:val="left"/>
              <w:rPr>
                <w:rFonts w:ascii="Arial Narrow" w:hAnsi="Arial Narrow" w:cs="Times New Roman"/>
                <w:sz w:val="20"/>
                <w:szCs w:val="20"/>
              </w:rPr>
            </w:pPr>
          </w:p>
          <w:p w14:paraId="3EDC915F" w14:textId="77777777" w:rsidR="00825672" w:rsidRPr="00BA4FF2" w:rsidRDefault="00825672" w:rsidP="00DC677F">
            <w:pPr>
              <w:keepNext/>
              <w:keepLines/>
              <w:contextualSpacing/>
              <w:jc w:val="left"/>
              <w:rPr>
                <w:rFonts w:ascii="Arial Narrow" w:hAnsi="Arial Narrow" w:cs="Times New Roman"/>
                <w:sz w:val="20"/>
                <w:szCs w:val="20"/>
              </w:rPr>
            </w:pPr>
            <w:r w:rsidRPr="00BA4FF2">
              <w:rPr>
                <w:rFonts w:ascii="Arial Narrow" w:hAnsi="Arial Narrow" w:cs="Times New Roman"/>
                <w:sz w:val="20"/>
                <w:szCs w:val="20"/>
              </w:rPr>
              <w:t xml:space="preserve">The resubmission proposed the following caution related to audiology monitoring: </w:t>
            </w:r>
          </w:p>
          <w:p w14:paraId="2EC1BA96" w14:textId="77777777" w:rsidR="00825672" w:rsidRPr="00BA4FF2" w:rsidRDefault="00825672" w:rsidP="00DC677F">
            <w:pPr>
              <w:keepNext/>
              <w:keepLines/>
              <w:contextualSpacing/>
              <w:jc w:val="left"/>
              <w:rPr>
                <w:rFonts w:ascii="Arial Narrow" w:hAnsi="Arial Narrow" w:cs="Times New Roman"/>
                <w:sz w:val="20"/>
                <w:szCs w:val="20"/>
              </w:rPr>
            </w:pPr>
          </w:p>
          <w:p w14:paraId="591FD47F" w14:textId="77777777" w:rsidR="00825672" w:rsidRPr="00BA4FF2" w:rsidRDefault="00825672" w:rsidP="00DC677F">
            <w:pPr>
              <w:keepNext/>
              <w:keepLines/>
              <w:contextualSpacing/>
              <w:jc w:val="left"/>
              <w:rPr>
                <w:rFonts w:ascii="Arial Narrow" w:hAnsi="Arial Narrow" w:cs="Times New Roman"/>
                <w:i/>
                <w:iCs/>
                <w:sz w:val="20"/>
                <w:szCs w:val="20"/>
              </w:rPr>
            </w:pPr>
            <w:r w:rsidRPr="00BA4FF2">
              <w:rPr>
                <w:rFonts w:ascii="Arial Narrow" w:hAnsi="Arial Narrow" w:cs="Times New Roman"/>
                <w:i/>
                <w:iCs/>
                <w:sz w:val="20"/>
                <w:szCs w:val="20"/>
              </w:rPr>
              <w:t>Assess patients’ hearing before, and routinely during and after treatment, including use of audiograms where clinically warranted. </w:t>
            </w:r>
          </w:p>
          <w:p w14:paraId="3527FB55" w14:textId="77777777" w:rsidR="00825672" w:rsidRPr="00DE5221" w:rsidRDefault="00825672" w:rsidP="00DC677F">
            <w:pPr>
              <w:keepNext/>
              <w:keepLines/>
              <w:jc w:val="left"/>
              <w:rPr>
                <w:rFonts w:ascii="Arial Narrow" w:eastAsia="Aptos" w:hAnsi="Arial Narrow" w:cs="Times New Roman"/>
                <w:sz w:val="20"/>
                <w:szCs w:val="20"/>
              </w:rPr>
            </w:pPr>
          </w:p>
          <w:p w14:paraId="59E1B4A2" w14:textId="77777777" w:rsidR="00825672" w:rsidRPr="00DE5221" w:rsidRDefault="00825672" w:rsidP="00DC677F">
            <w:pPr>
              <w:keepNext/>
              <w:keepLines/>
              <w:jc w:val="left"/>
              <w:rPr>
                <w:rFonts w:ascii="Arial Narrow" w:eastAsia="Aptos" w:hAnsi="Arial Narrow" w:cs="Times New Roman"/>
                <w:sz w:val="20"/>
                <w:szCs w:val="20"/>
              </w:rPr>
            </w:pPr>
            <w:r w:rsidRPr="00DE5221">
              <w:rPr>
                <w:rFonts w:ascii="Arial Narrow" w:eastAsia="Aptos" w:hAnsi="Arial Narrow" w:cs="Times New Roman"/>
                <w:sz w:val="20"/>
                <w:szCs w:val="20"/>
              </w:rPr>
              <w:t>The resubmission included a population criterion restricting treatment to individuals at least 18 years of age.</w:t>
            </w:r>
          </w:p>
          <w:p w14:paraId="42DB9301" w14:textId="77777777" w:rsidR="00825672" w:rsidRPr="00DE5221" w:rsidRDefault="00825672" w:rsidP="00DC677F">
            <w:pPr>
              <w:keepNext/>
              <w:keepLines/>
              <w:jc w:val="left"/>
              <w:rPr>
                <w:rFonts w:ascii="Arial Narrow" w:eastAsia="Aptos" w:hAnsi="Arial Narrow" w:cs="Times New Roman"/>
                <w:sz w:val="20"/>
                <w:szCs w:val="20"/>
              </w:rPr>
            </w:pPr>
          </w:p>
          <w:p w14:paraId="7CA35345" w14:textId="77777777" w:rsidR="00825672" w:rsidRPr="00DE5221" w:rsidRDefault="00825672" w:rsidP="00DC677F">
            <w:pPr>
              <w:keepNext/>
              <w:keepLines/>
              <w:jc w:val="left"/>
              <w:rPr>
                <w:rFonts w:ascii="Arial Narrow" w:eastAsia="Aptos" w:hAnsi="Arial Narrow" w:cs="Times New Roman"/>
                <w:sz w:val="20"/>
                <w:szCs w:val="20"/>
              </w:rPr>
            </w:pPr>
          </w:p>
          <w:p w14:paraId="20BE69F7" w14:textId="77777777" w:rsidR="00825672" w:rsidRPr="00DE5221" w:rsidRDefault="00825672" w:rsidP="00DC677F">
            <w:pPr>
              <w:keepNext/>
              <w:keepLines/>
              <w:jc w:val="left"/>
              <w:rPr>
                <w:rFonts w:ascii="Arial Narrow" w:eastAsia="Aptos" w:hAnsi="Arial Narrow" w:cs="Times New Roman"/>
                <w:sz w:val="20"/>
                <w:szCs w:val="20"/>
              </w:rPr>
            </w:pPr>
          </w:p>
          <w:p w14:paraId="43F3F1C9" w14:textId="77777777" w:rsidR="00825672" w:rsidRPr="00DE5221" w:rsidRDefault="00825672" w:rsidP="00DC677F">
            <w:pPr>
              <w:keepNext/>
              <w:keepLines/>
              <w:jc w:val="left"/>
              <w:rPr>
                <w:rFonts w:ascii="Arial Narrow" w:eastAsia="Aptos" w:hAnsi="Arial Narrow" w:cs="Times New Roman"/>
                <w:sz w:val="20"/>
                <w:szCs w:val="20"/>
              </w:rPr>
            </w:pPr>
            <w:r w:rsidRPr="00DE5221">
              <w:rPr>
                <w:rFonts w:ascii="Arial Narrow" w:eastAsia="Aptos" w:hAnsi="Arial Narrow" w:cs="Times New Roman"/>
                <w:sz w:val="20"/>
                <w:szCs w:val="20"/>
              </w:rPr>
              <w:t>The resubmission requested an Authority Required (telephone/online) listing for the initial treatment phase.</w:t>
            </w:r>
          </w:p>
          <w:p w14:paraId="008F89AF" w14:textId="77777777" w:rsidR="00825672" w:rsidRPr="00DE5221" w:rsidRDefault="00825672" w:rsidP="00DC677F">
            <w:pPr>
              <w:keepNext/>
              <w:keepLines/>
              <w:jc w:val="left"/>
              <w:rPr>
                <w:rFonts w:ascii="Arial Narrow" w:eastAsia="Aptos" w:hAnsi="Arial Narrow" w:cs="Times New Roman"/>
                <w:sz w:val="20"/>
                <w:szCs w:val="20"/>
              </w:rPr>
            </w:pPr>
          </w:p>
          <w:p w14:paraId="1DA1B400" w14:textId="77777777" w:rsidR="00825672" w:rsidRPr="00DE5221" w:rsidRDefault="00825672" w:rsidP="00DC677F">
            <w:pPr>
              <w:keepNext/>
              <w:keepLines/>
              <w:jc w:val="left"/>
              <w:rPr>
                <w:rFonts w:ascii="Arial Narrow" w:eastAsia="Aptos" w:hAnsi="Arial Narrow" w:cs="Times New Roman"/>
                <w:sz w:val="20"/>
                <w:szCs w:val="20"/>
              </w:rPr>
            </w:pPr>
          </w:p>
          <w:p w14:paraId="5F832B08" w14:textId="77777777" w:rsidR="00825672" w:rsidRPr="00DE5221" w:rsidRDefault="00825672" w:rsidP="00DC677F">
            <w:pPr>
              <w:keepNext/>
              <w:keepLines/>
              <w:jc w:val="left"/>
              <w:rPr>
                <w:rFonts w:ascii="Arial Narrow" w:eastAsia="Aptos" w:hAnsi="Arial Narrow" w:cs="Times New Roman"/>
                <w:sz w:val="20"/>
                <w:szCs w:val="20"/>
              </w:rPr>
            </w:pPr>
          </w:p>
          <w:p w14:paraId="4616BEBD" w14:textId="77777777" w:rsidR="00825672" w:rsidRPr="00DE5221" w:rsidRDefault="00825672" w:rsidP="00DC677F">
            <w:pPr>
              <w:keepNext/>
              <w:keepLines/>
              <w:jc w:val="left"/>
              <w:rPr>
                <w:rFonts w:ascii="Arial Narrow" w:eastAsia="Aptos" w:hAnsi="Arial Narrow" w:cs="Times New Roman"/>
                <w:sz w:val="20"/>
                <w:szCs w:val="20"/>
              </w:rPr>
            </w:pPr>
          </w:p>
          <w:p w14:paraId="71A03F4F" w14:textId="77777777" w:rsidR="00825672" w:rsidRPr="00DE5221" w:rsidRDefault="00825672" w:rsidP="00DC677F">
            <w:pPr>
              <w:keepNext/>
              <w:keepLines/>
              <w:jc w:val="left"/>
              <w:rPr>
                <w:rFonts w:ascii="Arial Narrow" w:eastAsia="Aptos" w:hAnsi="Arial Narrow" w:cs="Times New Roman"/>
                <w:sz w:val="20"/>
                <w:szCs w:val="20"/>
              </w:rPr>
            </w:pPr>
            <w:r w:rsidRPr="00DE5221">
              <w:rPr>
                <w:rFonts w:ascii="Arial Narrow" w:eastAsia="Aptos" w:hAnsi="Arial Narrow" w:cs="Times New Roman"/>
                <w:sz w:val="20"/>
                <w:szCs w:val="20"/>
              </w:rPr>
              <w:t>The resubmission included</w:t>
            </w:r>
            <w:r>
              <w:rPr>
                <w:rFonts w:ascii="Arial Narrow" w:eastAsia="Aptos" w:hAnsi="Arial Narrow" w:cs="Times New Roman"/>
                <w:sz w:val="20"/>
                <w:szCs w:val="20"/>
              </w:rPr>
              <w:t xml:space="preserve"> a</w:t>
            </w:r>
            <w:r w:rsidRPr="00DE5221">
              <w:rPr>
                <w:rFonts w:ascii="Arial Narrow" w:eastAsia="Aptos" w:hAnsi="Arial Narrow" w:cs="Times New Roman"/>
                <w:sz w:val="20"/>
                <w:szCs w:val="20"/>
              </w:rPr>
              <w:t xml:space="preserve"> treatment criterion for the continuing treatment phase which requires prescribing of teprotumumab to be </w:t>
            </w:r>
            <w:r w:rsidRPr="00DE5221">
              <w:rPr>
                <w:rFonts w:ascii="Arial Narrow" w:eastAsia="Aptos" w:hAnsi="Arial Narrow" w:cs="Times New Roman"/>
                <w:color w:val="333333"/>
                <w:sz w:val="20"/>
                <w:szCs w:val="20"/>
              </w:rPr>
              <w:t>by a specialist physician experienced in the management of thyroid eye disease</w:t>
            </w:r>
            <w:r w:rsidRPr="00DE5221">
              <w:rPr>
                <w:rFonts w:ascii="Arial Narrow" w:eastAsia="Aptos" w:hAnsi="Arial Narrow" w:cs="Times New Roman"/>
                <w:sz w:val="20"/>
                <w:szCs w:val="20"/>
              </w:rPr>
              <w:t xml:space="preserve"> or</w:t>
            </w:r>
            <w:r w:rsidRPr="00DE5221">
              <w:rPr>
                <w:rFonts w:ascii="Arial Narrow" w:eastAsia="Aptos" w:hAnsi="Arial Narrow" w:cs="Times New Roman"/>
                <w:color w:val="333333"/>
                <w:sz w:val="20"/>
                <w:szCs w:val="20"/>
              </w:rPr>
              <w:t xml:space="preserve"> by a medical practitioner in consultation with a specialist physician experienced in the management of thyroid eye disease.</w:t>
            </w:r>
          </w:p>
        </w:tc>
        <w:tc>
          <w:tcPr>
            <w:tcW w:w="1368" w:type="dxa"/>
            <w:tcBorders>
              <w:top w:val="single" w:sz="4" w:space="0" w:color="auto"/>
              <w:left w:val="single" w:sz="4" w:space="0" w:color="auto"/>
              <w:bottom w:val="single" w:sz="4" w:space="0" w:color="auto"/>
              <w:right w:val="single" w:sz="4" w:space="0" w:color="auto"/>
            </w:tcBorders>
          </w:tcPr>
          <w:p w14:paraId="2BA9B40F" w14:textId="77777777" w:rsidR="00825672" w:rsidRPr="00363606" w:rsidRDefault="00825672" w:rsidP="00DC677F">
            <w:pPr>
              <w:keepNext/>
              <w:keepLines/>
              <w:jc w:val="left"/>
              <w:rPr>
                <w:rFonts w:ascii="Arial Narrow" w:eastAsia="Aptos" w:hAnsi="Arial Narrow" w:cs="Times New Roman"/>
                <w:sz w:val="20"/>
                <w:szCs w:val="20"/>
              </w:rPr>
            </w:pPr>
            <w:r w:rsidRPr="00363606">
              <w:rPr>
                <w:rFonts w:ascii="Arial Narrow" w:eastAsia="Aptos" w:hAnsi="Arial Narrow" w:cs="Times New Roman"/>
                <w:sz w:val="20"/>
                <w:szCs w:val="20"/>
              </w:rPr>
              <w:t>Yes</w:t>
            </w:r>
          </w:p>
          <w:p w14:paraId="286D6EC1" w14:textId="77777777" w:rsidR="00825672" w:rsidRPr="00363606" w:rsidRDefault="00825672" w:rsidP="00DC677F">
            <w:pPr>
              <w:keepNext/>
              <w:keepLines/>
              <w:jc w:val="left"/>
              <w:rPr>
                <w:rFonts w:ascii="Arial Narrow" w:eastAsia="Aptos" w:hAnsi="Arial Narrow" w:cs="Times New Roman"/>
                <w:sz w:val="20"/>
                <w:szCs w:val="20"/>
              </w:rPr>
            </w:pPr>
          </w:p>
          <w:p w14:paraId="093EAAA6" w14:textId="77777777" w:rsidR="00825672" w:rsidRPr="00363606" w:rsidRDefault="00825672" w:rsidP="00DC677F">
            <w:pPr>
              <w:keepNext/>
              <w:keepLines/>
              <w:jc w:val="left"/>
              <w:rPr>
                <w:rFonts w:ascii="Arial Narrow" w:eastAsia="Aptos" w:hAnsi="Arial Narrow" w:cs="Times New Roman"/>
                <w:sz w:val="20"/>
                <w:szCs w:val="20"/>
              </w:rPr>
            </w:pPr>
          </w:p>
          <w:p w14:paraId="44254F30" w14:textId="77777777" w:rsidR="00825672" w:rsidRPr="00363606" w:rsidRDefault="00825672" w:rsidP="00DC677F">
            <w:pPr>
              <w:keepNext/>
              <w:keepLines/>
              <w:jc w:val="left"/>
              <w:rPr>
                <w:rFonts w:ascii="Arial Narrow" w:eastAsia="Aptos" w:hAnsi="Arial Narrow" w:cs="Times New Roman"/>
                <w:sz w:val="20"/>
                <w:szCs w:val="20"/>
              </w:rPr>
            </w:pPr>
            <w:r w:rsidRPr="00363606">
              <w:rPr>
                <w:rFonts w:ascii="Arial Narrow" w:eastAsia="Aptos" w:hAnsi="Arial Narrow" w:cs="Times New Roman"/>
                <w:sz w:val="20"/>
                <w:szCs w:val="20"/>
              </w:rPr>
              <w:t>Yes</w:t>
            </w:r>
          </w:p>
          <w:p w14:paraId="665BB6B5" w14:textId="77777777" w:rsidR="00825672" w:rsidRPr="00363606" w:rsidRDefault="00825672" w:rsidP="00DC677F">
            <w:pPr>
              <w:keepNext/>
              <w:keepLines/>
              <w:jc w:val="left"/>
              <w:rPr>
                <w:rFonts w:ascii="Arial Narrow" w:eastAsia="Aptos" w:hAnsi="Arial Narrow" w:cs="Times New Roman"/>
                <w:sz w:val="20"/>
                <w:szCs w:val="20"/>
              </w:rPr>
            </w:pPr>
          </w:p>
          <w:p w14:paraId="677D2886" w14:textId="77777777" w:rsidR="00825672" w:rsidRPr="00363606" w:rsidRDefault="00825672" w:rsidP="00DC677F">
            <w:pPr>
              <w:keepNext/>
              <w:keepLines/>
              <w:jc w:val="left"/>
              <w:rPr>
                <w:rFonts w:ascii="Arial Narrow" w:eastAsia="Aptos" w:hAnsi="Arial Narrow" w:cs="Times New Roman"/>
                <w:sz w:val="20"/>
                <w:szCs w:val="20"/>
              </w:rPr>
            </w:pPr>
          </w:p>
          <w:p w14:paraId="478896AA" w14:textId="77777777" w:rsidR="00825672" w:rsidRPr="00363606" w:rsidRDefault="00825672" w:rsidP="00DC677F">
            <w:pPr>
              <w:keepNext/>
              <w:keepLines/>
              <w:jc w:val="left"/>
              <w:rPr>
                <w:rFonts w:ascii="Arial Narrow" w:eastAsia="Aptos" w:hAnsi="Arial Narrow" w:cs="Times New Roman"/>
                <w:sz w:val="20"/>
                <w:szCs w:val="20"/>
              </w:rPr>
            </w:pPr>
            <w:r w:rsidRPr="00363606">
              <w:rPr>
                <w:rFonts w:ascii="Arial Narrow" w:eastAsia="Aptos" w:hAnsi="Arial Narrow" w:cs="Times New Roman"/>
                <w:sz w:val="20"/>
                <w:szCs w:val="20"/>
              </w:rPr>
              <w:t>Yes</w:t>
            </w:r>
          </w:p>
          <w:p w14:paraId="5E08C682" w14:textId="77777777" w:rsidR="00825672" w:rsidRPr="00363606" w:rsidRDefault="00825672" w:rsidP="00DC677F">
            <w:pPr>
              <w:keepNext/>
              <w:keepLines/>
              <w:jc w:val="left"/>
              <w:rPr>
                <w:rFonts w:ascii="Arial Narrow" w:eastAsia="Aptos" w:hAnsi="Arial Narrow" w:cs="Times New Roman"/>
                <w:sz w:val="20"/>
                <w:szCs w:val="20"/>
              </w:rPr>
            </w:pPr>
          </w:p>
          <w:p w14:paraId="11B43F66" w14:textId="77777777" w:rsidR="00825672" w:rsidRPr="00363606" w:rsidRDefault="00825672" w:rsidP="00DC677F">
            <w:pPr>
              <w:keepNext/>
              <w:keepLines/>
              <w:jc w:val="left"/>
              <w:rPr>
                <w:rFonts w:ascii="Arial Narrow" w:eastAsia="Aptos" w:hAnsi="Arial Narrow" w:cs="Times New Roman"/>
                <w:sz w:val="20"/>
                <w:szCs w:val="20"/>
              </w:rPr>
            </w:pPr>
          </w:p>
          <w:p w14:paraId="4AF0DB2F" w14:textId="77777777" w:rsidR="00825672" w:rsidRPr="00363606" w:rsidRDefault="00825672" w:rsidP="00DC677F">
            <w:pPr>
              <w:keepNext/>
              <w:keepLines/>
              <w:jc w:val="left"/>
              <w:rPr>
                <w:rFonts w:ascii="Arial Narrow" w:eastAsia="Aptos" w:hAnsi="Arial Narrow" w:cs="Times New Roman"/>
                <w:sz w:val="20"/>
                <w:szCs w:val="20"/>
              </w:rPr>
            </w:pPr>
            <w:r w:rsidRPr="00363606">
              <w:rPr>
                <w:rFonts w:ascii="Arial Narrow" w:eastAsia="Aptos" w:hAnsi="Arial Narrow" w:cs="Times New Roman"/>
                <w:sz w:val="20"/>
                <w:szCs w:val="20"/>
              </w:rPr>
              <w:t>Partially</w:t>
            </w:r>
          </w:p>
          <w:p w14:paraId="15157D95" w14:textId="77777777" w:rsidR="00825672" w:rsidRPr="00363606" w:rsidRDefault="00825672" w:rsidP="00DC677F">
            <w:pPr>
              <w:keepNext/>
              <w:keepLines/>
              <w:jc w:val="left"/>
              <w:rPr>
                <w:rFonts w:ascii="Arial Narrow" w:eastAsia="Aptos" w:hAnsi="Arial Narrow" w:cs="Times New Roman"/>
                <w:sz w:val="20"/>
                <w:szCs w:val="20"/>
              </w:rPr>
            </w:pPr>
          </w:p>
          <w:p w14:paraId="747F78FE" w14:textId="77777777" w:rsidR="00825672" w:rsidRPr="00363606" w:rsidRDefault="00825672" w:rsidP="00DC677F">
            <w:pPr>
              <w:keepNext/>
              <w:keepLines/>
              <w:jc w:val="left"/>
              <w:rPr>
                <w:rFonts w:ascii="Arial Narrow" w:eastAsia="Aptos" w:hAnsi="Arial Narrow" w:cs="Times New Roman"/>
                <w:sz w:val="20"/>
                <w:szCs w:val="20"/>
              </w:rPr>
            </w:pPr>
          </w:p>
          <w:p w14:paraId="5951AD7F" w14:textId="77777777" w:rsidR="00825672" w:rsidRPr="00363606" w:rsidRDefault="00825672" w:rsidP="00DC677F">
            <w:pPr>
              <w:keepNext/>
              <w:keepLines/>
              <w:jc w:val="left"/>
              <w:rPr>
                <w:rFonts w:ascii="Arial Narrow" w:eastAsia="Aptos" w:hAnsi="Arial Narrow" w:cs="Times New Roman"/>
                <w:sz w:val="20"/>
                <w:szCs w:val="20"/>
              </w:rPr>
            </w:pPr>
          </w:p>
          <w:p w14:paraId="2D79B97B" w14:textId="77777777" w:rsidR="00825672" w:rsidRPr="00363606" w:rsidRDefault="00825672" w:rsidP="00DC677F">
            <w:pPr>
              <w:keepNext/>
              <w:keepLines/>
              <w:jc w:val="left"/>
              <w:rPr>
                <w:rFonts w:ascii="Arial Narrow" w:eastAsia="Aptos" w:hAnsi="Arial Narrow" w:cs="Times New Roman"/>
                <w:sz w:val="20"/>
                <w:szCs w:val="20"/>
              </w:rPr>
            </w:pPr>
          </w:p>
          <w:p w14:paraId="31CD5D14" w14:textId="77777777" w:rsidR="00825672" w:rsidRPr="00363606" w:rsidRDefault="00825672" w:rsidP="00DC677F">
            <w:pPr>
              <w:keepNext/>
              <w:keepLines/>
              <w:jc w:val="left"/>
              <w:rPr>
                <w:rFonts w:ascii="Arial Narrow" w:eastAsia="Aptos" w:hAnsi="Arial Narrow" w:cs="Times New Roman"/>
                <w:sz w:val="20"/>
                <w:szCs w:val="20"/>
              </w:rPr>
            </w:pPr>
          </w:p>
          <w:p w14:paraId="2E78A75A" w14:textId="77777777" w:rsidR="00825672" w:rsidRPr="00363606" w:rsidRDefault="00825672" w:rsidP="00DC677F">
            <w:pPr>
              <w:keepNext/>
              <w:keepLines/>
              <w:jc w:val="left"/>
              <w:rPr>
                <w:rFonts w:ascii="Arial Narrow" w:eastAsia="Aptos" w:hAnsi="Arial Narrow" w:cs="Times New Roman"/>
                <w:sz w:val="20"/>
                <w:szCs w:val="20"/>
              </w:rPr>
            </w:pPr>
          </w:p>
          <w:p w14:paraId="65B8EE6D" w14:textId="77777777" w:rsidR="00825672" w:rsidRPr="00363606" w:rsidRDefault="00825672" w:rsidP="00DC677F">
            <w:pPr>
              <w:keepNext/>
              <w:keepLines/>
              <w:jc w:val="left"/>
              <w:rPr>
                <w:rFonts w:ascii="Arial Narrow" w:eastAsia="Aptos" w:hAnsi="Arial Narrow" w:cs="Times New Roman"/>
                <w:sz w:val="20"/>
                <w:szCs w:val="20"/>
              </w:rPr>
            </w:pPr>
            <w:r w:rsidRPr="00363606">
              <w:rPr>
                <w:rFonts w:ascii="Arial Narrow" w:eastAsia="Aptos" w:hAnsi="Arial Narrow" w:cs="Times New Roman"/>
                <w:sz w:val="20"/>
                <w:szCs w:val="20"/>
              </w:rPr>
              <w:t>Partially</w:t>
            </w:r>
          </w:p>
          <w:p w14:paraId="029FB76C" w14:textId="77777777" w:rsidR="00825672" w:rsidRPr="00363606" w:rsidRDefault="00825672" w:rsidP="00DC677F">
            <w:pPr>
              <w:keepNext/>
              <w:keepLines/>
              <w:jc w:val="left"/>
              <w:rPr>
                <w:rFonts w:ascii="Arial Narrow" w:eastAsia="Aptos" w:hAnsi="Arial Narrow" w:cs="Times New Roman"/>
                <w:sz w:val="20"/>
                <w:szCs w:val="20"/>
              </w:rPr>
            </w:pPr>
          </w:p>
          <w:p w14:paraId="444C6C52" w14:textId="77777777" w:rsidR="00825672" w:rsidRPr="00363606" w:rsidRDefault="00825672" w:rsidP="00DC677F">
            <w:pPr>
              <w:keepNext/>
              <w:keepLines/>
              <w:jc w:val="left"/>
              <w:rPr>
                <w:rFonts w:ascii="Arial Narrow" w:eastAsia="Aptos" w:hAnsi="Arial Narrow" w:cs="Times New Roman"/>
                <w:sz w:val="20"/>
                <w:szCs w:val="20"/>
              </w:rPr>
            </w:pPr>
          </w:p>
          <w:p w14:paraId="42E46793" w14:textId="77777777" w:rsidR="00825672" w:rsidRPr="00363606" w:rsidRDefault="00825672" w:rsidP="00DC677F">
            <w:pPr>
              <w:keepNext/>
              <w:keepLines/>
              <w:jc w:val="left"/>
              <w:rPr>
                <w:rFonts w:ascii="Arial Narrow" w:eastAsia="Aptos" w:hAnsi="Arial Narrow" w:cs="Times New Roman"/>
                <w:sz w:val="20"/>
                <w:szCs w:val="20"/>
              </w:rPr>
            </w:pPr>
          </w:p>
          <w:p w14:paraId="4F663E74" w14:textId="77777777" w:rsidR="00825672" w:rsidRPr="00363606" w:rsidRDefault="00825672" w:rsidP="00DC677F">
            <w:pPr>
              <w:keepNext/>
              <w:keepLines/>
              <w:jc w:val="left"/>
              <w:rPr>
                <w:rFonts w:ascii="Arial Narrow" w:eastAsia="Aptos" w:hAnsi="Arial Narrow" w:cs="Times New Roman"/>
                <w:sz w:val="20"/>
                <w:szCs w:val="20"/>
              </w:rPr>
            </w:pPr>
            <w:r w:rsidRPr="00363606">
              <w:rPr>
                <w:rFonts w:ascii="Arial Narrow" w:eastAsia="Aptos" w:hAnsi="Arial Narrow" w:cs="Times New Roman"/>
                <w:sz w:val="20"/>
                <w:szCs w:val="20"/>
              </w:rPr>
              <w:t>Partially</w:t>
            </w:r>
          </w:p>
          <w:p w14:paraId="2076CFFE" w14:textId="77777777" w:rsidR="00825672" w:rsidRPr="00363606" w:rsidRDefault="00825672" w:rsidP="00DC677F">
            <w:pPr>
              <w:keepNext/>
              <w:keepLines/>
              <w:jc w:val="left"/>
              <w:rPr>
                <w:rFonts w:ascii="Arial Narrow" w:eastAsia="Aptos" w:hAnsi="Arial Narrow" w:cs="Times New Roman"/>
                <w:sz w:val="20"/>
                <w:szCs w:val="20"/>
              </w:rPr>
            </w:pPr>
          </w:p>
          <w:p w14:paraId="091613AD" w14:textId="77777777" w:rsidR="00825672" w:rsidRPr="00363606" w:rsidRDefault="00825672" w:rsidP="00DC677F">
            <w:pPr>
              <w:keepNext/>
              <w:keepLines/>
              <w:jc w:val="left"/>
              <w:rPr>
                <w:rFonts w:ascii="Arial Narrow" w:eastAsia="Aptos" w:hAnsi="Arial Narrow" w:cs="Times New Roman"/>
                <w:sz w:val="20"/>
                <w:szCs w:val="20"/>
              </w:rPr>
            </w:pPr>
          </w:p>
          <w:p w14:paraId="2EFD8381" w14:textId="77777777" w:rsidR="00825672" w:rsidRPr="00363606" w:rsidRDefault="00825672" w:rsidP="00DC677F">
            <w:pPr>
              <w:keepNext/>
              <w:keepLines/>
              <w:jc w:val="left"/>
              <w:rPr>
                <w:rFonts w:ascii="Arial Narrow" w:eastAsia="Aptos" w:hAnsi="Arial Narrow" w:cs="Times New Roman"/>
                <w:sz w:val="20"/>
                <w:szCs w:val="20"/>
              </w:rPr>
            </w:pPr>
          </w:p>
          <w:p w14:paraId="4EAAB36B" w14:textId="77777777" w:rsidR="00825672" w:rsidRPr="00363606" w:rsidRDefault="00825672" w:rsidP="00DC677F">
            <w:pPr>
              <w:keepNext/>
              <w:keepLines/>
              <w:jc w:val="left"/>
              <w:rPr>
                <w:rFonts w:ascii="Arial Narrow" w:eastAsia="Aptos" w:hAnsi="Arial Narrow" w:cs="Times New Roman"/>
                <w:sz w:val="20"/>
                <w:szCs w:val="20"/>
              </w:rPr>
            </w:pPr>
          </w:p>
          <w:p w14:paraId="05B1FB9F" w14:textId="77777777" w:rsidR="00825672" w:rsidRPr="00363606" w:rsidRDefault="00825672" w:rsidP="00DC677F">
            <w:pPr>
              <w:keepNext/>
              <w:keepLines/>
              <w:jc w:val="left"/>
              <w:rPr>
                <w:rFonts w:ascii="Arial Narrow" w:eastAsia="Aptos" w:hAnsi="Arial Narrow" w:cs="Times New Roman"/>
                <w:sz w:val="20"/>
                <w:szCs w:val="20"/>
              </w:rPr>
            </w:pPr>
          </w:p>
          <w:p w14:paraId="180EBDE2" w14:textId="77777777" w:rsidR="00825672" w:rsidRPr="00363606" w:rsidRDefault="00825672" w:rsidP="00DC677F">
            <w:pPr>
              <w:keepNext/>
              <w:keepLines/>
              <w:jc w:val="left"/>
              <w:rPr>
                <w:rFonts w:ascii="Arial Narrow" w:eastAsia="Aptos" w:hAnsi="Arial Narrow" w:cs="Times New Roman"/>
                <w:sz w:val="20"/>
                <w:szCs w:val="20"/>
              </w:rPr>
            </w:pPr>
          </w:p>
          <w:p w14:paraId="089746A5" w14:textId="77777777" w:rsidR="00825672" w:rsidRPr="00363606" w:rsidRDefault="00825672" w:rsidP="00DC677F">
            <w:pPr>
              <w:keepNext/>
              <w:keepLines/>
              <w:jc w:val="left"/>
              <w:rPr>
                <w:rFonts w:ascii="Arial Narrow" w:eastAsia="Aptos" w:hAnsi="Arial Narrow" w:cs="Times New Roman"/>
                <w:sz w:val="20"/>
                <w:szCs w:val="20"/>
              </w:rPr>
            </w:pPr>
            <w:r w:rsidRPr="00363606">
              <w:rPr>
                <w:rFonts w:ascii="Arial Narrow" w:eastAsia="Aptos" w:hAnsi="Arial Narrow" w:cs="Times New Roman"/>
                <w:sz w:val="20"/>
                <w:szCs w:val="20"/>
              </w:rPr>
              <w:t>Yes</w:t>
            </w:r>
          </w:p>
          <w:p w14:paraId="2E7DDC9E" w14:textId="77777777" w:rsidR="00825672" w:rsidRPr="00363606" w:rsidRDefault="00825672" w:rsidP="00DC677F">
            <w:pPr>
              <w:keepNext/>
              <w:keepLines/>
              <w:jc w:val="left"/>
              <w:rPr>
                <w:rFonts w:ascii="Arial Narrow" w:eastAsia="Aptos" w:hAnsi="Arial Narrow" w:cs="Times New Roman"/>
                <w:sz w:val="20"/>
                <w:szCs w:val="20"/>
              </w:rPr>
            </w:pPr>
          </w:p>
          <w:p w14:paraId="2D85677A" w14:textId="77777777" w:rsidR="00825672" w:rsidRPr="00363606" w:rsidRDefault="00825672" w:rsidP="00DC677F">
            <w:pPr>
              <w:keepNext/>
              <w:keepLines/>
              <w:jc w:val="left"/>
              <w:rPr>
                <w:rFonts w:ascii="Arial Narrow" w:eastAsia="Aptos" w:hAnsi="Arial Narrow" w:cs="Times New Roman"/>
                <w:sz w:val="20"/>
                <w:szCs w:val="20"/>
              </w:rPr>
            </w:pPr>
          </w:p>
          <w:p w14:paraId="71DF7122" w14:textId="77777777" w:rsidR="00825672" w:rsidRPr="00363606" w:rsidRDefault="00825672" w:rsidP="00DC677F">
            <w:pPr>
              <w:keepNext/>
              <w:keepLines/>
              <w:jc w:val="left"/>
              <w:rPr>
                <w:rFonts w:ascii="Arial Narrow" w:eastAsia="Aptos" w:hAnsi="Arial Narrow" w:cs="Times New Roman"/>
                <w:sz w:val="20"/>
                <w:szCs w:val="20"/>
              </w:rPr>
            </w:pPr>
          </w:p>
          <w:p w14:paraId="24041FF0" w14:textId="77777777" w:rsidR="00825672" w:rsidRPr="00363606" w:rsidRDefault="00825672" w:rsidP="00DC677F">
            <w:pPr>
              <w:keepNext/>
              <w:keepLines/>
              <w:jc w:val="left"/>
              <w:rPr>
                <w:rFonts w:ascii="Arial Narrow" w:eastAsia="Aptos" w:hAnsi="Arial Narrow" w:cs="Times New Roman"/>
                <w:sz w:val="20"/>
                <w:szCs w:val="20"/>
              </w:rPr>
            </w:pPr>
          </w:p>
          <w:p w14:paraId="4D49F3F5" w14:textId="77777777" w:rsidR="00825672" w:rsidRPr="00363606" w:rsidRDefault="00825672" w:rsidP="00DC677F">
            <w:pPr>
              <w:keepNext/>
              <w:keepLines/>
              <w:jc w:val="left"/>
              <w:rPr>
                <w:rFonts w:ascii="Arial Narrow" w:eastAsia="Aptos" w:hAnsi="Arial Narrow" w:cs="Times New Roman"/>
                <w:sz w:val="20"/>
                <w:szCs w:val="20"/>
              </w:rPr>
            </w:pPr>
            <w:r w:rsidRPr="00363606">
              <w:rPr>
                <w:rFonts w:ascii="Arial Narrow" w:eastAsia="Aptos" w:hAnsi="Arial Narrow" w:cs="Times New Roman"/>
                <w:sz w:val="20"/>
                <w:szCs w:val="20"/>
              </w:rPr>
              <w:t>Yes</w:t>
            </w:r>
          </w:p>
          <w:p w14:paraId="2920D991" w14:textId="77777777" w:rsidR="00825672" w:rsidRPr="00363606" w:rsidRDefault="00825672" w:rsidP="00DC677F">
            <w:pPr>
              <w:keepNext/>
              <w:keepLines/>
              <w:jc w:val="left"/>
              <w:rPr>
                <w:rFonts w:ascii="Arial Narrow" w:eastAsia="Aptos" w:hAnsi="Arial Narrow" w:cs="Times New Roman"/>
                <w:sz w:val="20"/>
                <w:szCs w:val="20"/>
              </w:rPr>
            </w:pPr>
          </w:p>
          <w:p w14:paraId="6C47682A" w14:textId="77777777" w:rsidR="00825672" w:rsidRPr="00363606" w:rsidRDefault="00825672" w:rsidP="00DC677F">
            <w:pPr>
              <w:keepNext/>
              <w:keepLines/>
              <w:jc w:val="left"/>
              <w:rPr>
                <w:rFonts w:ascii="Arial Narrow" w:eastAsia="Aptos" w:hAnsi="Arial Narrow" w:cs="Times New Roman"/>
                <w:sz w:val="20"/>
                <w:szCs w:val="20"/>
              </w:rPr>
            </w:pPr>
          </w:p>
          <w:p w14:paraId="0A7400F5" w14:textId="77777777" w:rsidR="00825672" w:rsidRPr="00363606" w:rsidRDefault="00825672" w:rsidP="00DC677F">
            <w:pPr>
              <w:keepNext/>
              <w:keepLines/>
              <w:jc w:val="left"/>
              <w:rPr>
                <w:rFonts w:ascii="Arial Narrow" w:eastAsia="Aptos" w:hAnsi="Arial Narrow" w:cs="Times New Roman"/>
                <w:sz w:val="20"/>
                <w:szCs w:val="20"/>
              </w:rPr>
            </w:pPr>
          </w:p>
          <w:p w14:paraId="1F55677C" w14:textId="77777777" w:rsidR="00825672" w:rsidRPr="00363606" w:rsidRDefault="00825672" w:rsidP="00DC677F">
            <w:pPr>
              <w:keepNext/>
              <w:keepLines/>
              <w:jc w:val="left"/>
              <w:rPr>
                <w:rFonts w:ascii="Arial Narrow" w:eastAsia="Aptos" w:hAnsi="Arial Narrow" w:cs="Times New Roman"/>
                <w:sz w:val="20"/>
                <w:szCs w:val="20"/>
              </w:rPr>
            </w:pPr>
          </w:p>
          <w:p w14:paraId="2A6FC788" w14:textId="77777777" w:rsidR="00825672" w:rsidRPr="00363606" w:rsidRDefault="00825672" w:rsidP="00DC677F">
            <w:pPr>
              <w:keepNext/>
              <w:keepLines/>
              <w:jc w:val="left"/>
              <w:rPr>
                <w:rFonts w:ascii="Arial Narrow" w:eastAsia="Aptos" w:hAnsi="Arial Narrow" w:cs="Times New Roman"/>
                <w:sz w:val="20"/>
                <w:szCs w:val="20"/>
              </w:rPr>
            </w:pPr>
          </w:p>
          <w:p w14:paraId="1D466AD3" w14:textId="77777777" w:rsidR="00825672" w:rsidRPr="00DE5221" w:rsidRDefault="00825672" w:rsidP="00DC677F">
            <w:pPr>
              <w:keepNext/>
              <w:keepLines/>
              <w:jc w:val="left"/>
              <w:rPr>
                <w:rFonts w:ascii="Arial Narrow" w:eastAsia="Aptos" w:hAnsi="Arial Narrow" w:cs="Times New Roman"/>
                <w:sz w:val="20"/>
                <w:szCs w:val="20"/>
                <w:highlight w:val="yellow"/>
              </w:rPr>
            </w:pPr>
            <w:r w:rsidRPr="00363606">
              <w:rPr>
                <w:rFonts w:ascii="Arial Narrow" w:eastAsia="Aptos" w:hAnsi="Arial Narrow" w:cs="Times New Roman"/>
                <w:sz w:val="20"/>
                <w:szCs w:val="20"/>
              </w:rPr>
              <w:t>Yes</w:t>
            </w:r>
          </w:p>
        </w:tc>
      </w:tr>
      <w:tr w:rsidR="00825672" w:rsidRPr="005301DF" w14:paraId="6441689E" w14:textId="77777777" w:rsidTr="00374CB4">
        <w:tc>
          <w:tcPr>
            <w:tcW w:w="9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6135C" w14:textId="77777777" w:rsidR="00825672" w:rsidRPr="00AA09C3" w:rsidRDefault="00825672" w:rsidP="00374CB4">
            <w:pPr>
              <w:jc w:val="left"/>
              <w:rPr>
                <w:rFonts w:ascii="Arial Narrow" w:eastAsia="Aptos" w:hAnsi="Arial Narrow" w:cs="Times New Roman"/>
                <w:b/>
                <w:bCs/>
                <w:sz w:val="20"/>
                <w:szCs w:val="20"/>
              </w:rPr>
            </w:pPr>
            <w:r w:rsidRPr="00AA09C3">
              <w:rPr>
                <w:rFonts w:ascii="Arial Narrow" w:eastAsia="Aptos" w:hAnsi="Arial Narrow" w:cs="Times New Roman"/>
                <w:b/>
                <w:bCs/>
                <w:sz w:val="20"/>
                <w:szCs w:val="20"/>
              </w:rPr>
              <w:t>Economic model</w:t>
            </w:r>
          </w:p>
        </w:tc>
      </w:tr>
      <w:tr w:rsidR="00825672" w:rsidRPr="005301DF" w14:paraId="23D9BD51" w14:textId="77777777" w:rsidTr="00374CB4">
        <w:trPr>
          <w:gridAfter w:val="1"/>
          <w:wAfter w:w="10" w:type="dxa"/>
        </w:trPr>
        <w:tc>
          <w:tcPr>
            <w:tcW w:w="2977" w:type="dxa"/>
            <w:tcBorders>
              <w:top w:val="single" w:sz="4" w:space="0" w:color="auto"/>
              <w:left w:val="single" w:sz="4" w:space="0" w:color="auto"/>
              <w:bottom w:val="single" w:sz="4" w:space="0" w:color="auto"/>
              <w:right w:val="single" w:sz="4" w:space="0" w:color="auto"/>
            </w:tcBorders>
          </w:tcPr>
          <w:p w14:paraId="3C575814" w14:textId="77777777" w:rsidR="00825672" w:rsidRPr="005301DF" w:rsidRDefault="00825672" w:rsidP="00374CB4">
            <w:pPr>
              <w:jc w:val="left"/>
              <w:rPr>
                <w:rFonts w:ascii="Arial Narrow" w:eastAsia="Aptos" w:hAnsi="Arial Narrow" w:cs="Times New Roman"/>
                <w:sz w:val="20"/>
                <w:szCs w:val="20"/>
              </w:rPr>
            </w:pPr>
            <w:r w:rsidRPr="005301DF">
              <w:rPr>
                <w:rFonts w:ascii="Arial Narrow" w:eastAsia="Aptos" w:hAnsi="Arial Narrow" w:cs="Times New Roman"/>
                <w:sz w:val="20"/>
                <w:szCs w:val="20"/>
              </w:rPr>
              <w:t>Removal of double counting of teprotumumab discontinuation.</w:t>
            </w:r>
          </w:p>
          <w:p w14:paraId="7DDAD991" w14:textId="77777777" w:rsidR="00825672" w:rsidRDefault="00825672" w:rsidP="00374CB4">
            <w:pPr>
              <w:jc w:val="left"/>
              <w:rPr>
                <w:rFonts w:ascii="Arial Narrow" w:eastAsia="Aptos" w:hAnsi="Arial Narrow" w:cs="Times New Roman"/>
                <w:sz w:val="20"/>
                <w:szCs w:val="20"/>
              </w:rPr>
            </w:pPr>
          </w:p>
          <w:p w14:paraId="4FD99BDE" w14:textId="77777777" w:rsidR="00825672" w:rsidRPr="005301DF" w:rsidRDefault="00825672" w:rsidP="00374CB4">
            <w:pPr>
              <w:jc w:val="left"/>
              <w:rPr>
                <w:rFonts w:ascii="Arial Narrow" w:eastAsia="Aptos" w:hAnsi="Arial Narrow" w:cs="Times New Roman"/>
                <w:sz w:val="20"/>
                <w:szCs w:val="20"/>
              </w:rPr>
            </w:pPr>
          </w:p>
          <w:p w14:paraId="6A3D67CA" w14:textId="77777777" w:rsidR="00825672" w:rsidRPr="005301DF" w:rsidRDefault="00825672" w:rsidP="00374CB4">
            <w:pPr>
              <w:jc w:val="left"/>
              <w:rPr>
                <w:rFonts w:ascii="Arial Narrow" w:eastAsia="Aptos" w:hAnsi="Arial Narrow" w:cs="Times New Roman"/>
                <w:sz w:val="20"/>
                <w:szCs w:val="20"/>
              </w:rPr>
            </w:pPr>
            <w:r w:rsidRPr="005301DF">
              <w:rPr>
                <w:rFonts w:ascii="Arial Narrow" w:eastAsia="Aptos" w:hAnsi="Arial Narrow" w:cs="Times New Roman"/>
                <w:sz w:val="20"/>
                <w:szCs w:val="20"/>
              </w:rPr>
              <w:t xml:space="preserve">The IVMP treatment effect for diplopia </w:t>
            </w:r>
            <w:r>
              <w:rPr>
                <w:rFonts w:ascii="Arial Narrow" w:eastAsia="Aptos" w:hAnsi="Arial Narrow" w:cs="Times New Roman"/>
                <w:sz w:val="20"/>
                <w:szCs w:val="20"/>
              </w:rPr>
              <w:t xml:space="preserve">should be </w:t>
            </w:r>
            <w:r w:rsidRPr="005301DF">
              <w:rPr>
                <w:rFonts w:ascii="Arial Narrow" w:eastAsia="Aptos" w:hAnsi="Arial Narrow" w:cs="Times New Roman"/>
                <w:sz w:val="20"/>
                <w:szCs w:val="20"/>
              </w:rPr>
              <w:t>applied up to Week 12 in the model.</w:t>
            </w:r>
          </w:p>
          <w:p w14:paraId="50C3AFE9" w14:textId="77777777" w:rsidR="00825672" w:rsidRPr="005301DF" w:rsidRDefault="00825672" w:rsidP="00374CB4">
            <w:pPr>
              <w:jc w:val="left"/>
              <w:rPr>
                <w:rFonts w:ascii="Arial Narrow" w:eastAsia="Aptos" w:hAnsi="Arial Narrow" w:cs="Times New Roman"/>
                <w:sz w:val="20"/>
                <w:szCs w:val="20"/>
              </w:rPr>
            </w:pPr>
          </w:p>
          <w:p w14:paraId="7E405D53" w14:textId="77777777" w:rsidR="00825672" w:rsidRPr="005301DF" w:rsidRDefault="00825672" w:rsidP="00374CB4">
            <w:pPr>
              <w:jc w:val="left"/>
              <w:rPr>
                <w:rFonts w:ascii="Arial Narrow" w:eastAsia="Aptos" w:hAnsi="Arial Narrow" w:cs="Times New Roman"/>
                <w:sz w:val="20"/>
                <w:szCs w:val="20"/>
              </w:rPr>
            </w:pPr>
          </w:p>
          <w:p w14:paraId="064937A3" w14:textId="77777777" w:rsidR="00825672" w:rsidRPr="005301DF" w:rsidRDefault="00825672" w:rsidP="00374CB4">
            <w:pPr>
              <w:jc w:val="left"/>
              <w:rPr>
                <w:rFonts w:ascii="Arial Narrow" w:eastAsia="Aptos" w:hAnsi="Arial Narrow" w:cs="Times New Roman"/>
                <w:sz w:val="20"/>
                <w:szCs w:val="20"/>
              </w:rPr>
            </w:pPr>
            <w:r w:rsidRPr="005301DF">
              <w:rPr>
                <w:rFonts w:ascii="Arial Narrow" w:eastAsia="Aptos" w:hAnsi="Arial Narrow" w:cs="Times New Roman"/>
                <w:sz w:val="20"/>
                <w:szCs w:val="20"/>
              </w:rPr>
              <w:t>A 20-year time horizon.</w:t>
            </w:r>
          </w:p>
          <w:p w14:paraId="41E80CB5" w14:textId="77777777" w:rsidR="00825672" w:rsidRDefault="00825672" w:rsidP="00374CB4">
            <w:pPr>
              <w:jc w:val="left"/>
              <w:rPr>
                <w:rFonts w:ascii="Arial Narrow" w:eastAsia="Aptos" w:hAnsi="Arial Narrow" w:cs="Times New Roman"/>
                <w:sz w:val="20"/>
                <w:szCs w:val="20"/>
              </w:rPr>
            </w:pPr>
          </w:p>
          <w:p w14:paraId="7E3C40D6" w14:textId="77777777" w:rsidR="00825672" w:rsidRPr="005301DF" w:rsidRDefault="00825672" w:rsidP="00374CB4">
            <w:pPr>
              <w:jc w:val="left"/>
              <w:rPr>
                <w:rFonts w:ascii="Arial Narrow" w:eastAsia="Aptos" w:hAnsi="Arial Narrow" w:cs="Times New Roman"/>
                <w:sz w:val="20"/>
                <w:szCs w:val="20"/>
              </w:rPr>
            </w:pPr>
          </w:p>
          <w:p w14:paraId="68903DB6" w14:textId="77777777" w:rsidR="00825672" w:rsidRPr="005301DF" w:rsidRDefault="00825672" w:rsidP="00374CB4">
            <w:pPr>
              <w:jc w:val="left"/>
              <w:rPr>
                <w:rFonts w:ascii="Arial Narrow" w:eastAsia="Aptos" w:hAnsi="Arial Narrow" w:cs="Times New Roman"/>
                <w:sz w:val="20"/>
                <w:szCs w:val="20"/>
              </w:rPr>
            </w:pPr>
            <w:r>
              <w:rPr>
                <w:rFonts w:ascii="Arial Narrow" w:eastAsia="Aptos" w:hAnsi="Arial Narrow" w:cs="Times New Roman"/>
                <w:sz w:val="20"/>
                <w:szCs w:val="20"/>
              </w:rPr>
              <w:t>U</w:t>
            </w:r>
            <w:r w:rsidRPr="005301DF">
              <w:rPr>
                <w:rFonts w:ascii="Arial Narrow" w:eastAsia="Aptos" w:hAnsi="Arial Narrow" w:cs="Times New Roman"/>
                <w:sz w:val="20"/>
                <w:szCs w:val="20"/>
              </w:rPr>
              <w:t>tility weights</w:t>
            </w:r>
            <w:r>
              <w:rPr>
                <w:rFonts w:ascii="Arial Narrow" w:eastAsia="Aptos" w:hAnsi="Arial Narrow" w:cs="Times New Roman"/>
                <w:sz w:val="20"/>
                <w:szCs w:val="20"/>
              </w:rPr>
              <w:t xml:space="preserve"> should be revised to more </w:t>
            </w:r>
            <w:r w:rsidRPr="000D73B0">
              <w:rPr>
                <w:rFonts w:ascii="Arial Narrow" w:eastAsia="Aptos" w:hAnsi="Arial Narrow" w:cs="Times New Roman"/>
                <w:sz w:val="20"/>
                <w:szCs w:val="20"/>
              </w:rPr>
              <w:t xml:space="preserve">accurately reflect the </w:t>
            </w:r>
            <w:r>
              <w:rPr>
                <w:rFonts w:ascii="Arial Narrow" w:eastAsia="Aptos" w:hAnsi="Arial Narrow" w:cs="Times New Roman"/>
                <w:sz w:val="20"/>
                <w:szCs w:val="20"/>
              </w:rPr>
              <w:t>QoL</w:t>
            </w:r>
            <w:r w:rsidRPr="000D73B0">
              <w:rPr>
                <w:rFonts w:ascii="Arial Narrow" w:eastAsia="Aptos" w:hAnsi="Arial Narrow" w:cs="Times New Roman"/>
                <w:sz w:val="20"/>
                <w:szCs w:val="20"/>
              </w:rPr>
              <w:t xml:space="preserve"> of individuals with MS TED during the active and inactive phases of disease, </w:t>
            </w:r>
            <w:r>
              <w:rPr>
                <w:rFonts w:ascii="Arial Narrow" w:eastAsia="Aptos" w:hAnsi="Arial Narrow" w:cs="Times New Roman"/>
                <w:sz w:val="20"/>
                <w:szCs w:val="20"/>
              </w:rPr>
              <w:t>and</w:t>
            </w:r>
            <w:r w:rsidRPr="000D73B0">
              <w:rPr>
                <w:rFonts w:ascii="Arial Narrow" w:eastAsia="Aptos" w:hAnsi="Arial Narrow" w:cs="Times New Roman"/>
                <w:sz w:val="20"/>
                <w:szCs w:val="20"/>
              </w:rPr>
              <w:t xml:space="preserve"> long-term, during and after surgery</w:t>
            </w:r>
            <w:r>
              <w:rPr>
                <w:rFonts w:ascii="Arial Narrow" w:eastAsia="Aptos" w:hAnsi="Arial Narrow" w:cs="Times New Roman"/>
                <w:sz w:val="20"/>
                <w:szCs w:val="20"/>
              </w:rPr>
              <w:t>.</w:t>
            </w:r>
          </w:p>
          <w:p w14:paraId="009C6595" w14:textId="77777777" w:rsidR="00825672" w:rsidRPr="005301DF" w:rsidRDefault="00825672" w:rsidP="00374CB4">
            <w:pPr>
              <w:jc w:val="left"/>
              <w:rPr>
                <w:rFonts w:ascii="Arial Narrow" w:eastAsia="Aptos" w:hAnsi="Arial Narrow" w:cs="Times New Roman"/>
                <w:sz w:val="20"/>
                <w:szCs w:val="20"/>
              </w:rPr>
            </w:pPr>
          </w:p>
          <w:p w14:paraId="7743B878" w14:textId="1FE776C4" w:rsidR="00825672" w:rsidRPr="005301DF" w:rsidRDefault="00825672" w:rsidP="00374CB4">
            <w:pPr>
              <w:jc w:val="left"/>
              <w:rPr>
                <w:rFonts w:ascii="Arial Narrow" w:eastAsia="Aptos" w:hAnsi="Arial Narrow" w:cs="Times New Roman"/>
                <w:sz w:val="20"/>
                <w:szCs w:val="20"/>
              </w:rPr>
            </w:pPr>
            <w:r w:rsidRPr="005301DF">
              <w:rPr>
                <w:rFonts w:ascii="Arial Narrow" w:eastAsia="Aptos" w:hAnsi="Arial Narrow" w:cs="Times New Roman"/>
                <w:sz w:val="20"/>
                <w:szCs w:val="20"/>
              </w:rPr>
              <w:t xml:space="preserve">A price reduction reflective of an ICER of &lt;$75,000 per QALY gained. </w:t>
            </w:r>
          </w:p>
        </w:tc>
        <w:tc>
          <w:tcPr>
            <w:tcW w:w="4820" w:type="dxa"/>
            <w:tcBorders>
              <w:top w:val="single" w:sz="4" w:space="0" w:color="auto"/>
              <w:left w:val="single" w:sz="4" w:space="0" w:color="auto"/>
              <w:bottom w:val="single" w:sz="4" w:space="0" w:color="auto"/>
              <w:right w:val="single" w:sz="4" w:space="0" w:color="auto"/>
            </w:tcBorders>
          </w:tcPr>
          <w:p w14:paraId="7C08C957" w14:textId="77777777" w:rsidR="00825672" w:rsidRPr="00AA09C3" w:rsidRDefault="00825672" w:rsidP="00374CB4">
            <w:pPr>
              <w:jc w:val="left"/>
              <w:rPr>
                <w:rFonts w:ascii="Arial Narrow" w:eastAsia="Aptos" w:hAnsi="Arial Narrow" w:cs="Times New Roman"/>
                <w:sz w:val="20"/>
                <w:szCs w:val="20"/>
              </w:rPr>
            </w:pPr>
            <w:r w:rsidRPr="00AA09C3">
              <w:rPr>
                <w:rFonts w:ascii="Arial Narrow" w:eastAsia="Aptos" w:hAnsi="Arial Narrow" w:cs="Times New Roman"/>
                <w:sz w:val="20"/>
                <w:szCs w:val="20"/>
              </w:rPr>
              <w:lastRenderedPageBreak/>
              <w:t>The resubmission presented a revised base case with teprotumumab compliance set to 100</w:t>
            </w:r>
            <w:r>
              <w:rPr>
                <w:rFonts w:ascii="Arial Narrow" w:eastAsia="Aptos" w:hAnsi="Arial Narrow" w:cs="Times New Roman"/>
                <w:sz w:val="20"/>
                <w:szCs w:val="20"/>
              </w:rPr>
              <w:t>%, removing double counting of discontinuation</w:t>
            </w:r>
            <w:r w:rsidRPr="00AA09C3">
              <w:rPr>
                <w:rFonts w:ascii="Arial Narrow" w:eastAsia="Aptos" w:hAnsi="Arial Narrow" w:cs="Times New Roman"/>
                <w:sz w:val="20"/>
                <w:szCs w:val="20"/>
              </w:rPr>
              <w:t xml:space="preserve">. </w:t>
            </w:r>
          </w:p>
          <w:p w14:paraId="78210CDB" w14:textId="77777777" w:rsidR="00825672" w:rsidRPr="00AA09C3" w:rsidRDefault="00825672" w:rsidP="00374CB4">
            <w:pPr>
              <w:jc w:val="left"/>
              <w:rPr>
                <w:rFonts w:ascii="Arial Narrow" w:eastAsia="Aptos" w:hAnsi="Arial Narrow" w:cs="Times New Roman"/>
                <w:sz w:val="20"/>
                <w:szCs w:val="20"/>
              </w:rPr>
            </w:pPr>
          </w:p>
          <w:p w14:paraId="26F7304F" w14:textId="77777777" w:rsidR="00825672" w:rsidRPr="00AA09C3" w:rsidRDefault="00825672" w:rsidP="00374CB4">
            <w:pPr>
              <w:jc w:val="left"/>
              <w:rPr>
                <w:rFonts w:ascii="Arial Narrow" w:eastAsia="Aptos" w:hAnsi="Arial Narrow" w:cs="Times New Roman"/>
                <w:sz w:val="20"/>
                <w:szCs w:val="20"/>
              </w:rPr>
            </w:pPr>
            <w:r w:rsidRPr="00AA09C3">
              <w:rPr>
                <w:rFonts w:ascii="Arial Narrow" w:eastAsia="Aptos" w:hAnsi="Arial Narrow" w:cs="Times New Roman"/>
                <w:sz w:val="20"/>
                <w:szCs w:val="20"/>
              </w:rPr>
              <w:t>The resubmission calculated a per-week odds ratio (1.64), which was applied to the IVMP arm of the model up to Week 12 in the revised base case.</w:t>
            </w:r>
          </w:p>
          <w:p w14:paraId="74051F30" w14:textId="77777777" w:rsidR="00825672" w:rsidRPr="00AA09C3" w:rsidRDefault="00825672" w:rsidP="00374CB4">
            <w:pPr>
              <w:jc w:val="left"/>
              <w:rPr>
                <w:rFonts w:ascii="Arial Narrow" w:eastAsia="Aptos" w:hAnsi="Arial Narrow" w:cs="Times New Roman"/>
                <w:sz w:val="20"/>
                <w:szCs w:val="20"/>
              </w:rPr>
            </w:pPr>
          </w:p>
          <w:p w14:paraId="038A6223" w14:textId="77777777" w:rsidR="00825672" w:rsidRPr="00AA09C3" w:rsidRDefault="00825672" w:rsidP="00374CB4">
            <w:pPr>
              <w:jc w:val="left"/>
              <w:rPr>
                <w:rFonts w:ascii="Arial Narrow" w:eastAsia="Aptos" w:hAnsi="Arial Narrow" w:cs="Times New Roman"/>
                <w:sz w:val="20"/>
                <w:szCs w:val="20"/>
              </w:rPr>
            </w:pPr>
          </w:p>
          <w:p w14:paraId="6EE38931" w14:textId="77777777" w:rsidR="00825672" w:rsidRPr="00AA09C3" w:rsidRDefault="00825672" w:rsidP="00374CB4">
            <w:pPr>
              <w:jc w:val="left"/>
              <w:rPr>
                <w:rFonts w:ascii="Arial Narrow" w:eastAsia="Aptos" w:hAnsi="Arial Narrow" w:cs="Times New Roman"/>
                <w:sz w:val="20"/>
                <w:szCs w:val="20"/>
              </w:rPr>
            </w:pPr>
            <w:r w:rsidRPr="00AA09C3">
              <w:rPr>
                <w:rFonts w:ascii="Arial Narrow" w:eastAsia="Aptos" w:hAnsi="Arial Narrow" w:cs="Times New Roman"/>
                <w:sz w:val="20"/>
                <w:szCs w:val="20"/>
              </w:rPr>
              <w:t xml:space="preserve">In the revised base case, the time horizon </w:t>
            </w:r>
            <w:r>
              <w:rPr>
                <w:rFonts w:ascii="Arial Narrow" w:eastAsia="Aptos" w:hAnsi="Arial Narrow" w:cs="Times New Roman"/>
                <w:sz w:val="20"/>
                <w:szCs w:val="20"/>
              </w:rPr>
              <w:t>was</w:t>
            </w:r>
            <w:r w:rsidRPr="00AA09C3">
              <w:rPr>
                <w:rFonts w:ascii="Arial Narrow" w:eastAsia="Aptos" w:hAnsi="Arial Narrow" w:cs="Times New Roman"/>
                <w:sz w:val="20"/>
                <w:szCs w:val="20"/>
              </w:rPr>
              <w:t xml:space="preserve"> set to 20 years.</w:t>
            </w:r>
          </w:p>
          <w:p w14:paraId="2A130AA6" w14:textId="77777777" w:rsidR="00825672" w:rsidRDefault="00825672" w:rsidP="00374CB4">
            <w:pPr>
              <w:jc w:val="left"/>
              <w:rPr>
                <w:rFonts w:ascii="Arial Narrow" w:eastAsia="Aptos" w:hAnsi="Arial Narrow" w:cs="Times New Roman"/>
                <w:sz w:val="20"/>
                <w:szCs w:val="20"/>
              </w:rPr>
            </w:pPr>
          </w:p>
          <w:p w14:paraId="378C40DF" w14:textId="77777777" w:rsidR="00825672" w:rsidRPr="00AA09C3" w:rsidRDefault="00825672" w:rsidP="00374CB4">
            <w:pPr>
              <w:jc w:val="left"/>
              <w:rPr>
                <w:rFonts w:ascii="Arial Narrow" w:eastAsia="Aptos" w:hAnsi="Arial Narrow" w:cs="Times New Roman"/>
                <w:sz w:val="20"/>
                <w:szCs w:val="20"/>
              </w:rPr>
            </w:pPr>
          </w:p>
          <w:p w14:paraId="1AA17831" w14:textId="77777777" w:rsidR="00825672" w:rsidRPr="00AA09C3" w:rsidRDefault="00825672" w:rsidP="00374CB4">
            <w:pPr>
              <w:jc w:val="left"/>
              <w:rPr>
                <w:rFonts w:ascii="Arial Narrow" w:eastAsia="Aptos" w:hAnsi="Arial Narrow" w:cs="Times New Roman"/>
                <w:sz w:val="20"/>
                <w:szCs w:val="20"/>
              </w:rPr>
            </w:pPr>
            <w:r w:rsidRPr="00AA09C3">
              <w:rPr>
                <w:rFonts w:ascii="Arial Narrow" w:eastAsia="Aptos" w:hAnsi="Arial Narrow" w:cs="Times New Roman"/>
                <w:sz w:val="20"/>
                <w:szCs w:val="20"/>
              </w:rPr>
              <w:t>Alternate utility weights were applied to the revised base case</w:t>
            </w:r>
            <w:r>
              <w:rPr>
                <w:rFonts w:ascii="Arial Narrow" w:eastAsia="Aptos" w:hAnsi="Arial Narrow" w:cs="Times New Roman"/>
                <w:sz w:val="20"/>
                <w:szCs w:val="20"/>
              </w:rPr>
              <w:t xml:space="preserve"> and sought to more accurately reflect the QoL of individuals with MS TED.</w:t>
            </w:r>
          </w:p>
          <w:p w14:paraId="3F8CA6B9" w14:textId="77777777" w:rsidR="00825672" w:rsidRPr="00AA09C3" w:rsidRDefault="00825672" w:rsidP="00374CB4">
            <w:pPr>
              <w:jc w:val="left"/>
              <w:rPr>
                <w:rFonts w:ascii="Arial Narrow" w:eastAsia="Aptos" w:hAnsi="Arial Narrow" w:cs="Times New Roman"/>
                <w:sz w:val="20"/>
                <w:szCs w:val="20"/>
              </w:rPr>
            </w:pPr>
          </w:p>
          <w:p w14:paraId="11E4E685" w14:textId="77777777" w:rsidR="00825672" w:rsidRDefault="00825672" w:rsidP="00374CB4">
            <w:pPr>
              <w:jc w:val="left"/>
              <w:rPr>
                <w:rFonts w:ascii="Arial Narrow" w:eastAsia="Aptos" w:hAnsi="Arial Narrow" w:cs="Times New Roman"/>
                <w:sz w:val="20"/>
                <w:szCs w:val="20"/>
              </w:rPr>
            </w:pPr>
          </w:p>
          <w:p w14:paraId="156C3198" w14:textId="77777777" w:rsidR="00825672" w:rsidRDefault="00825672" w:rsidP="00374CB4">
            <w:pPr>
              <w:jc w:val="left"/>
              <w:rPr>
                <w:rFonts w:ascii="Arial Narrow" w:eastAsia="Aptos" w:hAnsi="Arial Narrow" w:cs="Times New Roman"/>
                <w:sz w:val="20"/>
                <w:szCs w:val="20"/>
              </w:rPr>
            </w:pPr>
          </w:p>
          <w:p w14:paraId="72B74D50" w14:textId="77777777" w:rsidR="00825672" w:rsidRPr="00AA09C3" w:rsidRDefault="00825672" w:rsidP="00374CB4">
            <w:pPr>
              <w:jc w:val="left"/>
              <w:rPr>
                <w:rFonts w:ascii="Arial Narrow" w:eastAsia="Aptos" w:hAnsi="Arial Narrow" w:cs="Times New Roman"/>
                <w:sz w:val="20"/>
                <w:szCs w:val="20"/>
              </w:rPr>
            </w:pPr>
          </w:p>
          <w:p w14:paraId="7D1DDFA2" w14:textId="2ADBC3F4" w:rsidR="00825672" w:rsidRPr="00CA1D31" w:rsidRDefault="00825672" w:rsidP="00374CB4">
            <w:pPr>
              <w:jc w:val="left"/>
              <w:rPr>
                <w:rFonts w:ascii="Arial Narrow" w:eastAsia="Aptos" w:hAnsi="Arial Narrow" w:cs="Times New Roman"/>
                <w:sz w:val="20"/>
                <w:szCs w:val="20"/>
              </w:rPr>
            </w:pPr>
            <w:r w:rsidRPr="00AA09C3">
              <w:rPr>
                <w:rFonts w:ascii="Arial Narrow" w:eastAsia="Aptos" w:hAnsi="Arial Narrow" w:cs="Times New Roman"/>
                <w:sz w:val="20"/>
                <w:szCs w:val="20"/>
              </w:rPr>
              <w:t xml:space="preserve">The resubmission proposed a price reduction of </w:t>
            </w:r>
            <w:r w:rsidR="00D80F16" w:rsidRPr="00702E51">
              <w:rPr>
                <w:rFonts w:ascii="Arial Narrow" w:eastAsia="Aptos" w:hAnsi="Arial Narrow" w:cs="Times New Roman"/>
                <w:color w:val="000000"/>
                <w:spacing w:val="55"/>
                <w:w w:val="96"/>
                <w:sz w:val="20"/>
                <w:szCs w:val="20"/>
                <w:shd w:val="solid" w:color="000000" w:fill="000000"/>
                <w:fitText w:val="330" w:id="-663975168"/>
                <w14:textFill>
                  <w14:solidFill>
                    <w14:srgbClr w14:val="000000">
                      <w14:alpha w14:val="100000"/>
                    </w14:srgbClr>
                  </w14:solidFill>
                </w14:textFill>
              </w:rPr>
              <w:t>|||</w:t>
            </w:r>
            <w:r w:rsidR="00D80F16" w:rsidRPr="00702E51">
              <w:rPr>
                <w:rFonts w:ascii="Arial Narrow" w:eastAsia="Aptos" w:hAnsi="Arial Narrow" w:cs="Times New Roman"/>
                <w:color w:val="000000"/>
                <w:spacing w:val="2"/>
                <w:w w:val="96"/>
                <w:sz w:val="20"/>
                <w:szCs w:val="20"/>
                <w:shd w:val="solid" w:color="000000" w:fill="000000"/>
                <w:fitText w:val="330" w:id="-663975168"/>
                <w14:textFill>
                  <w14:solidFill>
                    <w14:srgbClr w14:val="000000">
                      <w14:alpha w14:val="100000"/>
                    </w14:srgbClr>
                  </w14:solidFill>
                </w14:textFill>
              </w:rPr>
              <w:t>|</w:t>
            </w:r>
            <w:r w:rsidRPr="00AA09C3">
              <w:rPr>
                <w:rFonts w:ascii="Arial Narrow" w:eastAsia="Aptos" w:hAnsi="Arial Narrow" w:cs="Times New Roman"/>
                <w:sz w:val="20"/>
                <w:szCs w:val="20"/>
              </w:rPr>
              <w:t>%. The effective ex-manufacturer’s price was reduced from $</w:t>
            </w:r>
            <w:r w:rsidR="00D80F16" w:rsidRPr="00D80F16">
              <w:rPr>
                <w:rFonts w:ascii="Arial Narrow" w:eastAsia="Aptos" w:hAnsi="Arial Narrow" w:cs="Times New Roman"/>
                <w:color w:val="000000"/>
                <w:spacing w:val="49"/>
                <w:sz w:val="20"/>
                <w:szCs w:val="20"/>
                <w:shd w:val="solid" w:color="000000" w:fill="000000"/>
                <w:fitText w:val="320" w:id="-663975167"/>
                <w14:textFill>
                  <w14:solidFill>
                    <w14:srgbClr w14:val="000000">
                      <w14:alpha w14:val="100000"/>
                    </w14:srgbClr>
                  </w14:solidFill>
                </w14:textFill>
              </w:rPr>
              <w:t>|||</w:t>
            </w:r>
            <w:r w:rsidR="00D80F16" w:rsidRPr="00D80F16">
              <w:rPr>
                <w:rFonts w:ascii="Arial Narrow" w:eastAsia="Aptos" w:hAnsi="Arial Narrow" w:cs="Times New Roman"/>
                <w:color w:val="000000"/>
                <w:spacing w:val="3"/>
                <w:sz w:val="20"/>
                <w:szCs w:val="20"/>
                <w:shd w:val="solid" w:color="000000" w:fill="000000"/>
                <w:fitText w:val="320" w:id="-663975167"/>
                <w14:textFill>
                  <w14:solidFill>
                    <w14:srgbClr w14:val="000000">
                      <w14:alpha w14:val="100000"/>
                    </w14:srgbClr>
                  </w14:solidFill>
                </w14:textFill>
              </w:rPr>
              <w:t>|</w:t>
            </w:r>
            <w:r w:rsidRPr="00AA09C3">
              <w:rPr>
                <w:rFonts w:ascii="Arial Narrow" w:eastAsia="Aptos" w:hAnsi="Arial Narrow" w:cs="Times New Roman"/>
                <w:sz w:val="20"/>
                <w:szCs w:val="20"/>
              </w:rPr>
              <w:t xml:space="preserve"> to $</w:t>
            </w:r>
            <w:r w:rsidR="00D80F16" w:rsidRPr="00702E51">
              <w:rPr>
                <w:rFonts w:ascii="Arial Narrow" w:eastAsia="Aptos" w:hAnsi="Arial Narrow" w:cs="Times New Roman"/>
                <w:color w:val="000000"/>
                <w:spacing w:val="55"/>
                <w:w w:val="96"/>
                <w:sz w:val="20"/>
                <w:szCs w:val="20"/>
                <w:shd w:val="solid" w:color="000000" w:fill="000000"/>
                <w:fitText w:val="330" w:id="-663975166"/>
                <w14:textFill>
                  <w14:solidFill>
                    <w14:srgbClr w14:val="000000">
                      <w14:alpha w14:val="100000"/>
                    </w14:srgbClr>
                  </w14:solidFill>
                </w14:textFill>
              </w:rPr>
              <w:t>|||</w:t>
            </w:r>
            <w:r w:rsidR="00D80F16" w:rsidRPr="00702E51">
              <w:rPr>
                <w:rFonts w:ascii="Arial Narrow" w:eastAsia="Aptos" w:hAnsi="Arial Narrow" w:cs="Times New Roman"/>
                <w:color w:val="000000"/>
                <w:spacing w:val="2"/>
                <w:w w:val="96"/>
                <w:sz w:val="20"/>
                <w:szCs w:val="20"/>
                <w:shd w:val="solid" w:color="000000" w:fill="000000"/>
                <w:fitText w:val="330" w:id="-663975166"/>
                <w14:textFill>
                  <w14:solidFill>
                    <w14:srgbClr w14:val="000000">
                      <w14:alpha w14:val="100000"/>
                    </w14:srgbClr>
                  </w14:solidFill>
                </w14:textFill>
              </w:rPr>
              <w:t>|</w:t>
            </w:r>
            <w:r w:rsidRPr="00AA09C3">
              <w:rPr>
                <w:rFonts w:ascii="Arial Narrow" w:eastAsia="Aptos" w:hAnsi="Arial Narrow" w:cs="Times New Roman"/>
                <w:sz w:val="20"/>
                <w:szCs w:val="20"/>
              </w:rPr>
              <w:t xml:space="preserve"> per vial. The revised ICER </w:t>
            </w:r>
            <w:r>
              <w:rPr>
                <w:rFonts w:ascii="Arial Narrow" w:eastAsia="Aptos" w:hAnsi="Arial Narrow" w:cs="Times New Roman"/>
                <w:sz w:val="20"/>
                <w:szCs w:val="20"/>
              </w:rPr>
              <w:t>wa</w:t>
            </w:r>
            <w:r w:rsidRPr="00AA09C3">
              <w:rPr>
                <w:rFonts w:ascii="Arial Narrow" w:eastAsia="Aptos" w:hAnsi="Arial Narrow" w:cs="Times New Roman"/>
                <w:sz w:val="20"/>
                <w:szCs w:val="20"/>
              </w:rPr>
              <w:t>s $</w:t>
            </w:r>
            <w:r w:rsidR="00D80F16" w:rsidRPr="00702E51">
              <w:rPr>
                <w:rFonts w:ascii="Arial Narrow" w:eastAsia="Aptos" w:hAnsi="Arial Narrow" w:cs="Times New Roman"/>
                <w:color w:val="000000"/>
                <w:spacing w:val="55"/>
                <w:w w:val="96"/>
                <w:sz w:val="20"/>
                <w:szCs w:val="20"/>
                <w:shd w:val="solid" w:color="000000" w:fill="000000"/>
                <w:fitText w:val="330" w:id="-663975165"/>
                <w14:textFill>
                  <w14:solidFill>
                    <w14:srgbClr w14:val="000000">
                      <w14:alpha w14:val="100000"/>
                    </w14:srgbClr>
                  </w14:solidFill>
                </w14:textFill>
              </w:rPr>
              <w:t>|||</w:t>
            </w:r>
            <w:r w:rsidR="00D80F16" w:rsidRPr="00702E51">
              <w:rPr>
                <w:rFonts w:ascii="Arial Narrow" w:eastAsia="Aptos" w:hAnsi="Arial Narrow" w:cs="Times New Roman"/>
                <w:color w:val="000000"/>
                <w:spacing w:val="2"/>
                <w:w w:val="96"/>
                <w:sz w:val="20"/>
                <w:szCs w:val="20"/>
                <w:shd w:val="solid" w:color="000000" w:fill="000000"/>
                <w:fitText w:val="330" w:id="-663975165"/>
                <w14:textFill>
                  <w14:solidFill>
                    <w14:srgbClr w14:val="000000">
                      <w14:alpha w14:val="100000"/>
                    </w14:srgbClr>
                  </w14:solidFill>
                </w14:textFill>
              </w:rPr>
              <w:t>|</w:t>
            </w:r>
            <w:r w:rsidR="00616B3E">
              <w:rPr>
                <w:rFonts w:ascii="Arial Narrow" w:eastAsia="Aptos" w:hAnsi="Arial Narrow" w:cs="Times New Roman"/>
                <w:sz w:val="20"/>
                <w:szCs w:val="20"/>
                <w:vertAlign w:val="superscript"/>
              </w:rPr>
              <w:t xml:space="preserve"> 1</w:t>
            </w:r>
            <w:r w:rsidRPr="00AA09C3">
              <w:rPr>
                <w:rFonts w:ascii="Arial Narrow" w:eastAsia="Aptos" w:hAnsi="Arial Narrow" w:cs="Times New Roman"/>
                <w:sz w:val="20"/>
                <w:szCs w:val="20"/>
              </w:rPr>
              <w:t xml:space="preserve"> per QALY gained.</w:t>
            </w:r>
          </w:p>
        </w:tc>
        <w:tc>
          <w:tcPr>
            <w:tcW w:w="1368" w:type="dxa"/>
            <w:tcBorders>
              <w:top w:val="single" w:sz="4" w:space="0" w:color="auto"/>
              <w:left w:val="single" w:sz="4" w:space="0" w:color="auto"/>
              <w:bottom w:val="single" w:sz="4" w:space="0" w:color="auto"/>
              <w:right w:val="single" w:sz="4" w:space="0" w:color="auto"/>
            </w:tcBorders>
          </w:tcPr>
          <w:p w14:paraId="7E194781" w14:textId="77777777" w:rsidR="00825672" w:rsidRPr="005301DF" w:rsidRDefault="00825672" w:rsidP="00374CB4">
            <w:pPr>
              <w:jc w:val="left"/>
              <w:rPr>
                <w:rFonts w:ascii="Arial Narrow" w:eastAsia="Aptos" w:hAnsi="Arial Narrow" w:cs="Times New Roman"/>
                <w:sz w:val="20"/>
                <w:szCs w:val="20"/>
              </w:rPr>
            </w:pPr>
            <w:r w:rsidRPr="005301DF">
              <w:rPr>
                <w:rFonts w:ascii="Arial Narrow" w:eastAsia="Aptos" w:hAnsi="Arial Narrow" w:cs="Times New Roman"/>
                <w:sz w:val="20"/>
                <w:szCs w:val="20"/>
              </w:rPr>
              <w:lastRenderedPageBreak/>
              <w:t>Yes</w:t>
            </w:r>
          </w:p>
          <w:p w14:paraId="2AD9113B" w14:textId="77777777" w:rsidR="00825672" w:rsidRPr="005301DF" w:rsidRDefault="00825672" w:rsidP="00374CB4">
            <w:pPr>
              <w:jc w:val="left"/>
              <w:rPr>
                <w:rFonts w:ascii="Arial Narrow" w:eastAsia="Aptos" w:hAnsi="Arial Narrow" w:cs="Times New Roman"/>
                <w:sz w:val="20"/>
                <w:szCs w:val="20"/>
              </w:rPr>
            </w:pPr>
          </w:p>
          <w:p w14:paraId="6476D787" w14:textId="77777777" w:rsidR="00825672" w:rsidRDefault="00825672" w:rsidP="00374CB4">
            <w:pPr>
              <w:jc w:val="left"/>
              <w:rPr>
                <w:rFonts w:ascii="Arial Narrow" w:eastAsia="Aptos" w:hAnsi="Arial Narrow" w:cs="Times New Roman"/>
                <w:sz w:val="20"/>
                <w:szCs w:val="20"/>
              </w:rPr>
            </w:pPr>
          </w:p>
          <w:p w14:paraId="3E3740BE" w14:textId="77777777" w:rsidR="00825672" w:rsidRPr="005301DF" w:rsidRDefault="00825672" w:rsidP="00374CB4">
            <w:pPr>
              <w:jc w:val="left"/>
              <w:rPr>
                <w:rFonts w:ascii="Arial Narrow" w:eastAsia="Aptos" w:hAnsi="Arial Narrow" w:cs="Times New Roman"/>
                <w:sz w:val="20"/>
                <w:szCs w:val="20"/>
              </w:rPr>
            </w:pPr>
          </w:p>
          <w:p w14:paraId="68BB85AC" w14:textId="77777777" w:rsidR="00825672" w:rsidRPr="005301DF" w:rsidRDefault="00825672" w:rsidP="00374CB4">
            <w:pPr>
              <w:jc w:val="left"/>
              <w:rPr>
                <w:rFonts w:ascii="Arial Narrow" w:eastAsia="Aptos" w:hAnsi="Arial Narrow" w:cs="Times New Roman"/>
                <w:sz w:val="20"/>
                <w:szCs w:val="20"/>
              </w:rPr>
            </w:pPr>
            <w:r w:rsidRPr="005301DF">
              <w:rPr>
                <w:rFonts w:ascii="Arial Narrow" w:eastAsia="Aptos" w:hAnsi="Arial Narrow" w:cs="Times New Roman"/>
                <w:sz w:val="20"/>
                <w:szCs w:val="20"/>
              </w:rPr>
              <w:t>Yes</w:t>
            </w:r>
          </w:p>
          <w:p w14:paraId="7D0410B7" w14:textId="77777777" w:rsidR="00825672" w:rsidRPr="005301DF" w:rsidRDefault="00825672" w:rsidP="00374CB4">
            <w:pPr>
              <w:jc w:val="left"/>
              <w:rPr>
                <w:rFonts w:ascii="Arial Narrow" w:eastAsia="Aptos" w:hAnsi="Arial Narrow" w:cs="Times New Roman"/>
                <w:sz w:val="20"/>
                <w:szCs w:val="20"/>
              </w:rPr>
            </w:pPr>
          </w:p>
          <w:p w14:paraId="200238A4" w14:textId="77777777" w:rsidR="00825672" w:rsidRPr="005301DF" w:rsidRDefault="00825672" w:rsidP="00374CB4">
            <w:pPr>
              <w:jc w:val="left"/>
              <w:rPr>
                <w:rFonts w:ascii="Arial Narrow" w:eastAsia="Aptos" w:hAnsi="Arial Narrow" w:cs="Times New Roman"/>
                <w:sz w:val="20"/>
                <w:szCs w:val="20"/>
              </w:rPr>
            </w:pPr>
          </w:p>
          <w:p w14:paraId="10439E4F" w14:textId="77777777" w:rsidR="00825672" w:rsidRDefault="00825672" w:rsidP="00374CB4">
            <w:pPr>
              <w:jc w:val="left"/>
              <w:rPr>
                <w:rFonts w:ascii="Arial Narrow" w:eastAsia="Aptos" w:hAnsi="Arial Narrow" w:cs="Times New Roman"/>
                <w:sz w:val="20"/>
                <w:szCs w:val="20"/>
              </w:rPr>
            </w:pPr>
          </w:p>
          <w:p w14:paraId="0D1CEF0E" w14:textId="77777777" w:rsidR="00825672" w:rsidRPr="005301DF" w:rsidRDefault="00825672" w:rsidP="00374CB4">
            <w:pPr>
              <w:jc w:val="left"/>
              <w:rPr>
                <w:rFonts w:ascii="Arial Narrow" w:eastAsia="Aptos" w:hAnsi="Arial Narrow" w:cs="Times New Roman"/>
                <w:sz w:val="20"/>
                <w:szCs w:val="20"/>
              </w:rPr>
            </w:pPr>
          </w:p>
          <w:p w14:paraId="2A0BA1F6" w14:textId="77777777" w:rsidR="00825672" w:rsidRPr="005301DF" w:rsidRDefault="00825672" w:rsidP="00374CB4">
            <w:pPr>
              <w:jc w:val="left"/>
              <w:rPr>
                <w:rFonts w:ascii="Arial Narrow" w:eastAsia="Aptos" w:hAnsi="Arial Narrow" w:cs="Times New Roman"/>
                <w:sz w:val="20"/>
                <w:szCs w:val="20"/>
              </w:rPr>
            </w:pPr>
            <w:r w:rsidRPr="005301DF">
              <w:rPr>
                <w:rFonts w:ascii="Arial Narrow" w:eastAsia="Aptos" w:hAnsi="Arial Narrow" w:cs="Times New Roman"/>
                <w:sz w:val="20"/>
                <w:szCs w:val="20"/>
              </w:rPr>
              <w:t>Yes</w:t>
            </w:r>
          </w:p>
          <w:p w14:paraId="1B5124D9" w14:textId="77777777" w:rsidR="00825672" w:rsidRDefault="00825672" w:rsidP="00374CB4">
            <w:pPr>
              <w:jc w:val="left"/>
              <w:rPr>
                <w:rFonts w:ascii="Arial Narrow" w:eastAsia="Aptos" w:hAnsi="Arial Narrow" w:cs="Times New Roman"/>
                <w:sz w:val="20"/>
                <w:szCs w:val="20"/>
              </w:rPr>
            </w:pPr>
          </w:p>
          <w:p w14:paraId="12FF6171" w14:textId="77777777" w:rsidR="00825672" w:rsidRPr="005301DF" w:rsidRDefault="00825672" w:rsidP="00374CB4">
            <w:pPr>
              <w:jc w:val="left"/>
              <w:rPr>
                <w:rFonts w:ascii="Arial Narrow" w:eastAsia="Aptos" w:hAnsi="Arial Narrow" w:cs="Times New Roman"/>
                <w:sz w:val="20"/>
                <w:szCs w:val="20"/>
              </w:rPr>
            </w:pPr>
          </w:p>
          <w:p w14:paraId="6A49DFE6" w14:textId="77777777" w:rsidR="00825672" w:rsidRPr="005301DF" w:rsidRDefault="00825672" w:rsidP="00374CB4">
            <w:pPr>
              <w:jc w:val="left"/>
              <w:rPr>
                <w:rFonts w:ascii="Arial Narrow" w:eastAsia="Aptos" w:hAnsi="Arial Narrow" w:cs="Times New Roman"/>
                <w:sz w:val="20"/>
                <w:szCs w:val="20"/>
              </w:rPr>
            </w:pPr>
            <w:r w:rsidRPr="005301DF">
              <w:rPr>
                <w:rFonts w:ascii="Arial Narrow" w:eastAsia="Aptos" w:hAnsi="Arial Narrow" w:cs="Times New Roman"/>
                <w:sz w:val="20"/>
                <w:szCs w:val="20"/>
              </w:rPr>
              <w:t>Yes</w:t>
            </w:r>
          </w:p>
          <w:p w14:paraId="2F1F6F12" w14:textId="77777777" w:rsidR="00825672" w:rsidRDefault="00825672" w:rsidP="00374CB4">
            <w:pPr>
              <w:jc w:val="left"/>
              <w:rPr>
                <w:rFonts w:ascii="Arial Narrow" w:eastAsia="Aptos" w:hAnsi="Arial Narrow" w:cs="Times New Roman"/>
                <w:sz w:val="20"/>
                <w:szCs w:val="20"/>
              </w:rPr>
            </w:pPr>
          </w:p>
          <w:p w14:paraId="63F4CA52" w14:textId="77777777" w:rsidR="00825672" w:rsidRDefault="00825672" w:rsidP="00374CB4">
            <w:pPr>
              <w:jc w:val="left"/>
              <w:rPr>
                <w:rFonts w:ascii="Arial Narrow" w:eastAsia="Aptos" w:hAnsi="Arial Narrow" w:cs="Times New Roman"/>
                <w:sz w:val="20"/>
                <w:szCs w:val="20"/>
              </w:rPr>
            </w:pPr>
          </w:p>
          <w:p w14:paraId="4102A240" w14:textId="77777777" w:rsidR="00825672" w:rsidRDefault="00825672" w:rsidP="00374CB4">
            <w:pPr>
              <w:jc w:val="left"/>
              <w:rPr>
                <w:rFonts w:ascii="Arial Narrow" w:eastAsia="Aptos" w:hAnsi="Arial Narrow" w:cs="Times New Roman"/>
                <w:sz w:val="20"/>
                <w:szCs w:val="20"/>
              </w:rPr>
            </w:pPr>
          </w:p>
          <w:p w14:paraId="1D1751C3" w14:textId="77777777" w:rsidR="00825672" w:rsidRDefault="00825672" w:rsidP="00374CB4">
            <w:pPr>
              <w:jc w:val="left"/>
              <w:rPr>
                <w:rFonts w:ascii="Arial Narrow" w:eastAsia="Aptos" w:hAnsi="Arial Narrow" w:cs="Times New Roman"/>
                <w:sz w:val="20"/>
                <w:szCs w:val="20"/>
              </w:rPr>
            </w:pPr>
          </w:p>
          <w:p w14:paraId="22A85785" w14:textId="77777777" w:rsidR="00825672" w:rsidRDefault="00825672" w:rsidP="00374CB4">
            <w:pPr>
              <w:jc w:val="left"/>
              <w:rPr>
                <w:rFonts w:ascii="Arial Narrow" w:eastAsia="Aptos" w:hAnsi="Arial Narrow" w:cs="Times New Roman"/>
                <w:sz w:val="20"/>
                <w:szCs w:val="20"/>
              </w:rPr>
            </w:pPr>
          </w:p>
          <w:p w14:paraId="2F324D34" w14:textId="77777777" w:rsidR="00825672" w:rsidRDefault="00825672" w:rsidP="00374CB4">
            <w:pPr>
              <w:jc w:val="left"/>
              <w:rPr>
                <w:rFonts w:ascii="Arial Narrow" w:eastAsia="Aptos" w:hAnsi="Arial Narrow" w:cs="Times New Roman"/>
                <w:sz w:val="20"/>
                <w:szCs w:val="20"/>
              </w:rPr>
            </w:pPr>
          </w:p>
          <w:p w14:paraId="37C88D19" w14:textId="77777777" w:rsidR="00825672" w:rsidRPr="005301DF" w:rsidRDefault="00825672" w:rsidP="00374CB4">
            <w:pPr>
              <w:jc w:val="left"/>
              <w:rPr>
                <w:rFonts w:ascii="Arial Narrow" w:eastAsia="Aptos" w:hAnsi="Arial Narrow" w:cs="Times New Roman"/>
                <w:sz w:val="20"/>
                <w:szCs w:val="20"/>
              </w:rPr>
            </w:pPr>
            <w:r>
              <w:rPr>
                <w:rFonts w:ascii="Arial Narrow" w:eastAsia="Aptos" w:hAnsi="Arial Narrow" w:cs="Times New Roman"/>
                <w:sz w:val="20"/>
                <w:szCs w:val="20"/>
              </w:rPr>
              <w:t>Y</w:t>
            </w:r>
            <w:r w:rsidRPr="005301DF">
              <w:rPr>
                <w:rFonts w:ascii="Arial Narrow" w:eastAsia="Aptos" w:hAnsi="Arial Narrow" w:cs="Times New Roman"/>
                <w:sz w:val="20"/>
                <w:szCs w:val="20"/>
              </w:rPr>
              <w:t>es</w:t>
            </w:r>
          </w:p>
        </w:tc>
      </w:tr>
      <w:tr w:rsidR="00825672" w:rsidRPr="005301DF" w14:paraId="1145DB3E" w14:textId="77777777" w:rsidTr="00374CB4">
        <w:tc>
          <w:tcPr>
            <w:tcW w:w="9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09FF8" w14:textId="77777777" w:rsidR="00825672" w:rsidRPr="005301DF" w:rsidRDefault="00825672" w:rsidP="00374CB4">
            <w:pPr>
              <w:spacing w:after="255"/>
              <w:contextualSpacing/>
              <w:jc w:val="left"/>
              <w:rPr>
                <w:rFonts w:ascii="Arial Narrow" w:eastAsia="Aptos" w:hAnsi="Arial Narrow" w:cs="Calibri"/>
                <w:b/>
                <w:bCs/>
                <w:sz w:val="20"/>
                <w:szCs w:val="20"/>
                <w:highlight w:val="lightGray"/>
              </w:rPr>
            </w:pPr>
            <w:r w:rsidRPr="005301DF">
              <w:rPr>
                <w:rFonts w:ascii="Arial Narrow" w:eastAsia="Aptos" w:hAnsi="Arial Narrow" w:cs="Calibri"/>
                <w:b/>
                <w:bCs/>
                <w:sz w:val="20"/>
                <w:szCs w:val="20"/>
              </w:rPr>
              <w:lastRenderedPageBreak/>
              <w:t>Financial estimates</w:t>
            </w:r>
          </w:p>
        </w:tc>
      </w:tr>
      <w:tr w:rsidR="00825672" w:rsidRPr="005301DF" w14:paraId="49E260A5" w14:textId="77777777" w:rsidTr="00374CB4">
        <w:trPr>
          <w:gridAfter w:val="1"/>
          <w:wAfter w:w="10" w:type="dxa"/>
        </w:trPr>
        <w:tc>
          <w:tcPr>
            <w:tcW w:w="2977" w:type="dxa"/>
            <w:tcBorders>
              <w:top w:val="single" w:sz="4" w:space="0" w:color="auto"/>
              <w:left w:val="single" w:sz="4" w:space="0" w:color="auto"/>
              <w:bottom w:val="single" w:sz="4" w:space="0" w:color="auto"/>
              <w:right w:val="single" w:sz="4" w:space="0" w:color="auto"/>
            </w:tcBorders>
          </w:tcPr>
          <w:p w14:paraId="3FF88D99" w14:textId="521C882E" w:rsidR="00825672" w:rsidRPr="005301DF" w:rsidRDefault="00825672" w:rsidP="00374CB4">
            <w:pPr>
              <w:jc w:val="left"/>
              <w:rPr>
                <w:rFonts w:ascii="Arial Narrow" w:eastAsia="Aptos" w:hAnsi="Arial Narrow" w:cs="Calibri"/>
                <w:sz w:val="20"/>
                <w:szCs w:val="20"/>
              </w:rPr>
            </w:pPr>
            <w:r w:rsidRPr="005301DF">
              <w:rPr>
                <w:rFonts w:ascii="Arial Narrow" w:eastAsia="Aptos" w:hAnsi="Arial Narrow" w:cs="Calibri"/>
                <w:sz w:val="20"/>
                <w:szCs w:val="20"/>
              </w:rPr>
              <w:t xml:space="preserve">Revision to uptake rates, as per DUSC advice (Y1: </w:t>
            </w:r>
            <w:r w:rsidR="00D80F16" w:rsidRPr="00D80F16">
              <w:rPr>
                <w:rFonts w:ascii="Arial Narrow" w:eastAsia="Aptos" w:hAnsi="Arial Narrow" w:cs="Calibri"/>
                <w:color w:val="000000"/>
                <w:spacing w:val="49"/>
                <w:sz w:val="20"/>
                <w:szCs w:val="20"/>
                <w:shd w:val="solid" w:color="000000" w:fill="000000"/>
                <w:fitText w:val="320" w:id="-663975164"/>
                <w14:textFill>
                  <w14:solidFill>
                    <w14:srgbClr w14:val="000000">
                      <w14:alpha w14:val="100000"/>
                    </w14:srgbClr>
                  </w14:solidFill>
                </w14:textFill>
              </w:rPr>
              <w:t>|||</w:t>
            </w:r>
            <w:r w:rsidR="00D80F16" w:rsidRPr="00D80F16">
              <w:rPr>
                <w:rFonts w:ascii="Arial Narrow" w:eastAsia="Aptos" w:hAnsi="Arial Narrow" w:cs="Calibri"/>
                <w:color w:val="000000"/>
                <w:spacing w:val="3"/>
                <w:sz w:val="20"/>
                <w:szCs w:val="20"/>
                <w:shd w:val="solid" w:color="000000" w:fill="000000"/>
                <w:fitText w:val="320" w:id="-663975164"/>
                <w14:textFill>
                  <w14:solidFill>
                    <w14:srgbClr w14:val="000000">
                      <w14:alpha w14:val="100000"/>
                    </w14:srgbClr>
                  </w14:solidFill>
                </w14:textFill>
              </w:rPr>
              <w:t>|</w:t>
            </w:r>
            <w:r w:rsidRPr="005301DF">
              <w:rPr>
                <w:rFonts w:ascii="Arial Narrow" w:eastAsia="Aptos" w:hAnsi="Arial Narrow" w:cs="Calibri"/>
                <w:sz w:val="20"/>
                <w:szCs w:val="20"/>
              </w:rPr>
              <w:t xml:space="preserve">%, Y2: </w:t>
            </w:r>
            <w:r w:rsidR="00D80F16" w:rsidRPr="00702E51">
              <w:rPr>
                <w:rFonts w:ascii="Arial Narrow" w:eastAsia="Aptos" w:hAnsi="Arial Narrow" w:cs="Calibri"/>
                <w:color w:val="000000"/>
                <w:spacing w:val="55"/>
                <w:w w:val="96"/>
                <w:sz w:val="20"/>
                <w:szCs w:val="20"/>
                <w:shd w:val="solid" w:color="000000" w:fill="000000"/>
                <w:fitText w:val="330" w:id="-663975163"/>
                <w14:textFill>
                  <w14:solidFill>
                    <w14:srgbClr w14:val="000000">
                      <w14:alpha w14:val="100000"/>
                    </w14:srgbClr>
                  </w14:solidFill>
                </w14:textFill>
              </w:rPr>
              <w:t>|||</w:t>
            </w:r>
            <w:r w:rsidR="00D80F16" w:rsidRPr="00702E51">
              <w:rPr>
                <w:rFonts w:ascii="Arial Narrow" w:eastAsia="Aptos" w:hAnsi="Arial Narrow" w:cs="Calibri"/>
                <w:color w:val="000000"/>
                <w:spacing w:val="2"/>
                <w:w w:val="96"/>
                <w:sz w:val="20"/>
                <w:szCs w:val="20"/>
                <w:shd w:val="solid" w:color="000000" w:fill="000000"/>
                <w:fitText w:val="330" w:id="-663975163"/>
                <w14:textFill>
                  <w14:solidFill>
                    <w14:srgbClr w14:val="000000">
                      <w14:alpha w14:val="100000"/>
                    </w14:srgbClr>
                  </w14:solidFill>
                </w14:textFill>
              </w:rPr>
              <w:t>|</w:t>
            </w:r>
            <w:r w:rsidRPr="005301DF">
              <w:rPr>
                <w:rFonts w:ascii="Arial Narrow" w:eastAsia="Aptos" w:hAnsi="Arial Narrow" w:cs="Calibri"/>
                <w:sz w:val="20"/>
                <w:szCs w:val="20"/>
              </w:rPr>
              <w:t xml:space="preserve">%; Y3: </w:t>
            </w:r>
            <w:r w:rsidR="00D80F16" w:rsidRPr="00702E51">
              <w:rPr>
                <w:rFonts w:ascii="Arial Narrow" w:eastAsia="Aptos" w:hAnsi="Arial Narrow" w:cs="Calibri"/>
                <w:color w:val="000000"/>
                <w:spacing w:val="55"/>
                <w:w w:val="96"/>
                <w:sz w:val="20"/>
                <w:szCs w:val="20"/>
                <w:shd w:val="solid" w:color="000000" w:fill="000000"/>
                <w:fitText w:val="330" w:id="-663974912"/>
                <w14:textFill>
                  <w14:solidFill>
                    <w14:srgbClr w14:val="000000">
                      <w14:alpha w14:val="100000"/>
                    </w14:srgbClr>
                  </w14:solidFill>
                </w14:textFill>
              </w:rPr>
              <w:t>|||</w:t>
            </w:r>
            <w:r w:rsidR="00D80F16" w:rsidRPr="00702E51">
              <w:rPr>
                <w:rFonts w:ascii="Arial Narrow" w:eastAsia="Aptos" w:hAnsi="Arial Narrow" w:cs="Calibri"/>
                <w:color w:val="000000"/>
                <w:spacing w:val="2"/>
                <w:w w:val="96"/>
                <w:sz w:val="20"/>
                <w:szCs w:val="20"/>
                <w:shd w:val="solid" w:color="000000" w:fill="000000"/>
                <w:fitText w:val="330" w:id="-663974912"/>
                <w14:textFill>
                  <w14:solidFill>
                    <w14:srgbClr w14:val="000000">
                      <w14:alpha w14:val="100000"/>
                    </w14:srgbClr>
                  </w14:solidFill>
                </w14:textFill>
              </w:rPr>
              <w:t>|</w:t>
            </w:r>
            <w:r w:rsidRPr="005301DF">
              <w:rPr>
                <w:rFonts w:ascii="Arial Narrow" w:eastAsia="Aptos" w:hAnsi="Arial Narrow" w:cs="Calibri"/>
                <w:sz w:val="20"/>
                <w:szCs w:val="20"/>
              </w:rPr>
              <w:t xml:space="preserve">%; Y4: </w:t>
            </w:r>
            <w:r w:rsidR="00D80F16" w:rsidRPr="00702E51">
              <w:rPr>
                <w:rFonts w:ascii="Arial Narrow" w:eastAsia="Aptos" w:hAnsi="Arial Narrow" w:cs="Calibri"/>
                <w:color w:val="000000"/>
                <w:spacing w:val="55"/>
                <w:w w:val="96"/>
                <w:sz w:val="20"/>
                <w:szCs w:val="20"/>
                <w:shd w:val="solid" w:color="000000" w:fill="000000"/>
                <w:fitText w:val="330" w:id="-663974911"/>
                <w14:textFill>
                  <w14:solidFill>
                    <w14:srgbClr w14:val="000000">
                      <w14:alpha w14:val="100000"/>
                    </w14:srgbClr>
                  </w14:solidFill>
                </w14:textFill>
              </w:rPr>
              <w:t>|||</w:t>
            </w:r>
            <w:r w:rsidR="00D80F16" w:rsidRPr="00702E51">
              <w:rPr>
                <w:rFonts w:ascii="Arial Narrow" w:eastAsia="Aptos" w:hAnsi="Arial Narrow" w:cs="Calibri"/>
                <w:color w:val="000000"/>
                <w:spacing w:val="2"/>
                <w:w w:val="96"/>
                <w:sz w:val="20"/>
                <w:szCs w:val="20"/>
                <w:shd w:val="solid" w:color="000000" w:fill="000000"/>
                <w:fitText w:val="330" w:id="-663974911"/>
                <w14:textFill>
                  <w14:solidFill>
                    <w14:srgbClr w14:val="000000">
                      <w14:alpha w14:val="100000"/>
                    </w14:srgbClr>
                  </w14:solidFill>
                </w14:textFill>
              </w:rPr>
              <w:t>|</w:t>
            </w:r>
            <w:r w:rsidRPr="005301DF">
              <w:rPr>
                <w:rFonts w:ascii="Arial Narrow" w:eastAsia="Aptos" w:hAnsi="Arial Narrow" w:cs="Calibri"/>
                <w:sz w:val="20"/>
                <w:szCs w:val="20"/>
              </w:rPr>
              <w:t xml:space="preserve">%, Y5: </w:t>
            </w:r>
            <w:r w:rsidR="00D80F16" w:rsidRPr="00702E51">
              <w:rPr>
                <w:rFonts w:ascii="Arial Narrow" w:eastAsia="Aptos" w:hAnsi="Arial Narrow" w:cs="Calibri"/>
                <w:color w:val="000000"/>
                <w:spacing w:val="55"/>
                <w:w w:val="96"/>
                <w:sz w:val="20"/>
                <w:szCs w:val="20"/>
                <w:shd w:val="solid" w:color="000000" w:fill="000000"/>
                <w:fitText w:val="330" w:id="-663974910"/>
                <w14:textFill>
                  <w14:solidFill>
                    <w14:srgbClr w14:val="000000">
                      <w14:alpha w14:val="100000"/>
                    </w14:srgbClr>
                  </w14:solidFill>
                </w14:textFill>
              </w:rPr>
              <w:t>|||</w:t>
            </w:r>
            <w:r w:rsidR="00D80F16" w:rsidRPr="00702E51">
              <w:rPr>
                <w:rFonts w:ascii="Arial Narrow" w:eastAsia="Aptos" w:hAnsi="Arial Narrow" w:cs="Calibri"/>
                <w:color w:val="000000"/>
                <w:spacing w:val="2"/>
                <w:w w:val="96"/>
                <w:sz w:val="20"/>
                <w:szCs w:val="20"/>
                <w:shd w:val="solid" w:color="000000" w:fill="000000"/>
                <w:fitText w:val="330" w:id="-663974910"/>
                <w14:textFill>
                  <w14:solidFill>
                    <w14:srgbClr w14:val="000000">
                      <w14:alpha w14:val="100000"/>
                    </w14:srgbClr>
                  </w14:solidFill>
                </w14:textFill>
              </w:rPr>
              <w:t>|</w:t>
            </w:r>
            <w:r w:rsidRPr="005301DF">
              <w:rPr>
                <w:rFonts w:ascii="Arial Narrow" w:eastAsia="Aptos" w:hAnsi="Arial Narrow" w:cs="Calibri"/>
                <w:sz w:val="20"/>
                <w:szCs w:val="20"/>
              </w:rPr>
              <w:t xml:space="preserve">%; Y6: </w:t>
            </w:r>
            <w:r w:rsidR="00D80F16" w:rsidRPr="00702E51">
              <w:rPr>
                <w:rFonts w:ascii="Arial Narrow" w:eastAsia="Aptos" w:hAnsi="Arial Narrow" w:cs="Calibri"/>
                <w:color w:val="000000"/>
                <w:spacing w:val="55"/>
                <w:w w:val="96"/>
                <w:sz w:val="20"/>
                <w:szCs w:val="20"/>
                <w:shd w:val="solid" w:color="000000" w:fill="000000"/>
                <w:fitText w:val="330" w:id="-663974909"/>
                <w14:textFill>
                  <w14:solidFill>
                    <w14:srgbClr w14:val="000000">
                      <w14:alpha w14:val="100000"/>
                    </w14:srgbClr>
                  </w14:solidFill>
                </w14:textFill>
              </w:rPr>
              <w:t>|||</w:t>
            </w:r>
            <w:r w:rsidR="00D80F16" w:rsidRPr="00702E51">
              <w:rPr>
                <w:rFonts w:ascii="Arial Narrow" w:eastAsia="Aptos" w:hAnsi="Arial Narrow" w:cs="Calibri"/>
                <w:color w:val="000000"/>
                <w:spacing w:val="2"/>
                <w:w w:val="96"/>
                <w:sz w:val="20"/>
                <w:szCs w:val="20"/>
                <w:shd w:val="solid" w:color="000000" w:fill="000000"/>
                <w:fitText w:val="330" w:id="-663974909"/>
                <w14:textFill>
                  <w14:solidFill>
                    <w14:srgbClr w14:val="000000">
                      <w14:alpha w14:val="100000"/>
                    </w14:srgbClr>
                  </w14:solidFill>
                </w14:textFill>
              </w:rPr>
              <w:t>|</w:t>
            </w:r>
            <w:r w:rsidRPr="005301DF">
              <w:rPr>
                <w:rFonts w:ascii="Arial Narrow" w:eastAsia="Aptos" w:hAnsi="Arial Narrow" w:cs="Calibri"/>
                <w:sz w:val="20"/>
                <w:szCs w:val="20"/>
              </w:rPr>
              <w:t>%)</w:t>
            </w:r>
          </w:p>
          <w:p w14:paraId="3D5D09A3" w14:textId="77777777" w:rsidR="00825672" w:rsidRPr="005301DF" w:rsidRDefault="00825672" w:rsidP="00374CB4">
            <w:pPr>
              <w:jc w:val="left"/>
              <w:rPr>
                <w:rFonts w:ascii="Arial Narrow" w:eastAsia="Aptos" w:hAnsi="Arial Narrow" w:cs="Calibri"/>
                <w:sz w:val="20"/>
                <w:szCs w:val="20"/>
              </w:rPr>
            </w:pPr>
          </w:p>
          <w:p w14:paraId="35479100" w14:textId="77777777" w:rsidR="00825672" w:rsidRPr="005301DF" w:rsidRDefault="00825672" w:rsidP="00DC677F">
            <w:pPr>
              <w:jc w:val="left"/>
              <w:rPr>
                <w:rFonts w:ascii="Arial Narrow" w:eastAsia="Aptos" w:hAnsi="Arial Narrow" w:cs="Calibri"/>
                <w:sz w:val="20"/>
                <w:szCs w:val="20"/>
              </w:rPr>
            </w:pPr>
            <w:r w:rsidRPr="005301DF">
              <w:rPr>
                <w:rFonts w:ascii="Arial Narrow" w:eastAsia="Aptos" w:hAnsi="Arial Narrow" w:cs="Calibri"/>
                <w:sz w:val="20"/>
                <w:szCs w:val="20"/>
              </w:rPr>
              <w:t>Inclusion of MBS costs for</w:t>
            </w:r>
            <w:r w:rsidRPr="005301DF">
              <w:rPr>
                <w:rFonts w:ascii="Times New Roman" w:eastAsia="Aptos" w:hAnsi="Times New Roman" w:cs="Times New Roman"/>
              </w:rPr>
              <w:t xml:space="preserve"> </w:t>
            </w:r>
            <w:r w:rsidRPr="005301DF">
              <w:rPr>
                <w:rFonts w:ascii="Arial Narrow" w:eastAsia="Aptos" w:hAnsi="Arial Narrow" w:cs="Calibri"/>
                <w:sz w:val="20"/>
                <w:szCs w:val="20"/>
              </w:rPr>
              <w:t>administration, regular hearing tests, and the potential for a reduction in the use of orbital radiotherapy.</w:t>
            </w:r>
          </w:p>
        </w:tc>
        <w:tc>
          <w:tcPr>
            <w:tcW w:w="4820" w:type="dxa"/>
            <w:tcBorders>
              <w:top w:val="single" w:sz="4" w:space="0" w:color="auto"/>
              <w:left w:val="single" w:sz="4" w:space="0" w:color="auto"/>
              <w:bottom w:val="single" w:sz="4" w:space="0" w:color="auto"/>
              <w:right w:val="single" w:sz="4" w:space="0" w:color="auto"/>
            </w:tcBorders>
          </w:tcPr>
          <w:p w14:paraId="15927E3A" w14:textId="77777777" w:rsidR="00825672" w:rsidRPr="005301DF" w:rsidRDefault="00825672" w:rsidP="00374CB4">
            <w:pPr>
              <w:jc w:val="left"/>
              <w:rPr>
                <w:rFonts w:ascii="Arial Narrow" w:eastAsia="Aptos" w:hAnsi="Arial Narrow" w:cs="Calibri"/>
                <w:sz w:val="20"/>
                <w:szCs w:val="20"/>
              </w:rPr>
            </w:pPr>
            <w:r w:rsidRPr="005301DF">
              <w:rPr>
                <w:rFonts w:ascii="Arial Narrow" w:eastAsia="Aptos" w:hAnsi="Arial Narrow" w:cs="Calibri"/>
                <w:sz w:val="20"/>
                <w:szCs w:val="20"/>
              </w:rPr>
              <w:t>The resubmission applied the DUSC suggested uptake rates.</w:t>
            </w:r>
          </w:p>
          <w:p w14:paraId="300126A7" w14:textId="77777777" w:rsidR="00825672" w:rsidRPr="005301DF" w:rsidRDefault="00825672" w:rsidP="00374CB4">
            <w:pPr>
              <w:jc w:val="left"/>
              <w:rPr>
                <w:rFonts w:ascii="Arial Narrow" w:eastAsia="Aptos" w:hAnsi="Arial Narrow" w:cs="Calibri"/>
                <w:sz w:val="20"/>
                <w:szCs w:val="20"/>
              </w:rPr>
            </w:pPr>
          </w:p>
          <w:p w14:paraId="37349542" w14:textId="77777777" w:rsidR="00825672" w:rsidRDefault="00825672" w:rsidP="00374CB4">
            <w:pPr>
              <w:jc w:val="left"/>
              <w:rPr>
                <w:rFonts w:ascii="Arial Narrow" w:eastAsia="Aptos" w:hAnsi="Arial Narrow" w:cs="Calibri"/>
                <w:sz w:val="20"/>
                <w:szCs w:val="20"/>
              </w:rPr>
            </w:pPr>
          </w:p>
          <w:p w14:paraId="774ECE7A" w14:textId="77777777" w:rsidR="00825672" w:rsidRPr="005301DF" w:rsidRDefault="00825672" w:rsidP="00374CB4">
            <w:pPr>
              <w:tabs>
                <w:tab w:val="left" w:pos="1555"/>
              </w:tabs>
              <w:jc w:val="left"/>
              <w:rPr>
                <w:rFonts w:ascii="Arial Narrow" w:hAnsi="Arial Narrow" w:cs="Calibri"/>
                <w:sz w:val="20"/>
                <w:szCs w:val="20"/>
              </w:rPr>
            </w:pPr>
          </w:p>
          <w:p w14:paraId="255425CB" w14:textId="77777777" w:rsidR="00825672" w:rsidRDefault="00825672" w:rsidP="00374CB4">
            <w:pPr>
              <w:tabs>
                <w:tab w:val="left" w:pos="1555"/>
              </w:tabs>
              <w:jc w:val="left"/>
              <w:rPr>
                <w:rFonts w:ascii="Arial Narrow" w:eastAsia="Aptos" w:hAnsi="Arial Narrow" w:cs="Calibri"/>
                <w:b/>
                <w:bCs/>
                <w:sz w:val="20"/>
                <w:szCs w:val="20"/>
              </w:rPr>
            </w:pPr>
          </w:p>
          <w:p w14:paraId="6C11917A" w14:textId="78F8D55A" w:rsidR="00825672" w:rsidRPr="00220A6C" w:rsidRDefault="00825672" w:rsidP="00220A6C">
            <w:pPr>
              <w:spacing w:after="120"/>
              <w:jc w:val="left"/>
              <w:rPr>
                <w:rFonts w:ascii="Arial Narrow" w:eastAsia="Aptos" w:hAnsi="Arial Narrow" w:cs="Calibri"/>
                <w:b/>
                <w:bCs/>
                <w:sz w:val="20"/>
                <w:szCs w:val="20"/>
              </w:rPr>
            </w:pPr>
            <w:r w:rsidRPr="005030AA">
              <w:rPr>
                <w:rFonts w:ascii="Arial Narrow" w:eastAsia="Aptos" w:hAnsi="Arial Narrow" w:cs="Calibri"/>
                <w:sz w:val="20"/>
                <w:szCs w:val="20"/>
              </w:rPr>
              <w:t>The resubmission included MBS costs.</w:t>
            </w:r>
          </w:p>
        </w:tc>
        <w:tc>
          <w:tcPr>
            <w:tcW w:w="1368" w:type="dxa"/>
            <w:tcBorders>
              <w:top w:val="single" w:sz="4" w:space="0" w:color="auto"/>
              <w:left w:val="single" w:sz="4" w:space="0" w:color="auto"/>
              <w:bottom w:val="single" w:sz="4" w:space="0" w:color="auto"/>
              <w:right w:val="single" w:sz="4" w:space="0" w:color="auto"/>
            </w:tcBorders>
          </w:tcPr>
          <w:p w14:paraId="7906E7E2" w14:textId="77777777" w:rsidR="00825672" w:rsidRPr="005301DF" w:rsidRDefault="00825672" w:rsidP="00374CB4">
            <w:pPr>
              <w:jc w:val="left"/>
              <w:rPr>
                <w:rFonts w:ascii="Arial Narrow" w:eastAsia="Aptos" w:hAnsi="Arial Narrow" w:cs="Calibri"/>
                <w:sz w:val="20"/>
                <w:szCs w:val="20"/>
              </w:rPr>
            </w:pPr>
            <w:r w:rsidRPr="005301DF">
              <w:rPr>
                <w:rFonts w:ascii="Arial Narrow" w:eastAsia="Aptos" w:hAnsi="Arial Narrow" w:cs="Calibri"/>
                <w:sz w:val="20"/>
                <w:szCs w:val="20"/>
              </w:rPr>
              <w:t>Yes</w:t>
            </w:r>
          </w:p>
          <w:p w14:paraId="18FABEF7" w14:textId="77777777" w:rsidR="00825672" w:rsidRPr="005301DF" w:rsidRDefault="00825672" w:rsidP="00374CB4">
            <w:pPr>
              <w:jc w:val="left"/>
              <w:rPr>
                <w:rFonts w:ascii="Arial Narrow" w:eastAsia="Aptos" w:hAnsi="Arial Narrow" w:cs="Calibri"/>
                <w:sz w:val="20"/>
                <w:szCs w:val="20"/>
              </w:rPr>
            </w:pPr>
          </w:p>
          <w:p w14:paraId="667CD8ED" w14:textId="77777777" w:rsidR="00825672" w:rsidRPr="005301DF" w:rsidRDefault="00825672" w:rsidP="00374CB4">
            <w:pPr>
              <w:jc w:val="left"/>
              <w:rPr>
                <w:rFonts w:ascii="Arial Narrow" w:eastAsia="Aptos" w:hAnsi="Arial Narrow" w:cs="Calibri"/>
                <w:sz w:val="20"/>
                <w:szCs w:val="20"/>
              </w:rPr>
            </w:pPr>
          </w:p>
          <w:p w14:paraId="5E9AFC13" w14:textId="77777777" w:rsidR="00825672" w:rsidRDefault="00825672" w:rsidP="00374CB4">
            <w:pPr>
              <w:jc w:val="left"/>
              <w:rPr>
                <w:rFonts w:ascii="Arial Narrow" w:eastAsia="Aptos" w:hAnsi="Arial Narrow" w:cs="Calibri"/>
                <w:sz w:val="20"/>
                <w:szCs w:val="20"/>
              </w:rPr>
            </w:pPr>
          </w:p>
          <w:p w14:paraId="7AC54807" w14:textId="77777777" w:rsidR="00825672" w:rsidRPr="005301DF" w:rsidRDefault="00825672" w:rsidP="00374CB4">
            <w:pPr>
              <w:jc w:val="left"/>
              <w:rPr>
                <w:rFonts w:ascii="Arial Narrow" w:eastAsia="Aptos" w:hAnsi="Arial Narrow" w:cs="Calibri"/>
                <w:sz w:val="20"/>
                <w:szCs w:val="20"/>
              </w:rPr>
            </w:pPr>
          </w:p>
          <w:p w14:paraId="7D6940A8" w14:textId="77777777" w:rsidR="00825672" w:rsidRPr="005301DF" w:rsidRDefault="00825672" w:rsidP="00374CB4">
            <w:pPr>
              <w:jc w:val="left"/>
              <w:rPr>
                <w:rFonts w:ascii="Arial Narrow" w:eastAsia="Aptos" w:hAnsi="Arial Narrow" w:cs="Calibri"/>
                <w:sz w:val="20"/>
                <w:szCs w:val="20"/>
              </w:rPr>
            </w:pPr>
            <w:r w:rsidRPr="005301DF">
              <w:rPr>
                <w:rFonts w:ascii="Arial Narrow" w:eastAsia="Aptos" w:hAnsi="Arial Narrow" w:cs="Calibri"/>
                <w:sz w:val="20"/>
                <w:szCs w:val="20"/>
              </w:rPr>
              <w:t>Yes</w:t>
            </w:r>
          </w:p>
        </w:tc>
      </w:tr>
      <w:tr w:rsidR="00825672" w:rsidRPr="005301DF" w14:paraId="50D2FF39" w14:textId="77777777" w:rsidTr="00374CB4">
        <w:tc>
          <w:tcPr>
            <w:tcW w:w="9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27E46" w14:textId="77777777" w:rsidR="00825672" w:rsidRPr="005301DF" w:rsidRDefault="00825672" w:rsidP="00374CB4">
            <w:pPr>
              <w:jc w:val="left"/>
              <w:rPr>
                <w:rFonts w:ascii="Arial Narrow" w:eastAsia="Aptos" w:hAnsi="Arial Narrow" w:cs="Calibri"/>
                <w:b/>
                <w:bCs/>
                <w:sz w:val="20"/>
                <w:szCs w:val="20"/>
                <w:highlight w:val="yellow"/>
              </w:rPr>
            </w:pPr>
            <w:r w:rsidRPr="005301DF">
              <w:rPr>
                <w:rFonts w:ascii="Arial Narrow" w:eastAsia="Aptos" w:hAnsi="Arial Narrow" w:cs="Calibri"/>
                <w:b/>
                <w:bCs/>
                <w:sz w:val="20"/>
                <w:szCs w:val="20"/>
              </w:rPr>
              <w:t>Risk sharing arrangements</w:t>
            </w:r>
          </w:p>
        </w:tc>
      </w:tr>
      <w:tr w:rsidR="00825672" w:rsidRPr="005301DF" w14:paraId="3C03EC67" w14:textId="77777777" w:rsidTr="00374CB4">
        <w:trPr>
          <w:gridAfter w:val="1"/>
          <w:wAfter w:w="10" w:type="dxa"/>
        </w:trPr>
        <w:tc>
          <w:tcPr>
            <w:tcW w:w="2977" w:type="dxa"/>
            <w:tcBorders>
              <w:top w:val="single" w:sz="4" w:space="0" w:color="auto"/>
              <w:left w:val="single" w:sz="4" w:space="0" w:color="auto"/>
              <w:bottom w:val="single" w:sz="4" w:space="0" w:color="auto"/>
              <w:right w:val="single" w:sz="4" w:space="0" w:color="auto"/>
            </w:tcBorders>
            <w:hideMark/>
          </w:tcPr>
          <w:p w14:paraId="49960599" w14:textId="11EDFD58" w:rsidR="00825672" w:rsidRPr="005301DF" w:rsidRDefault="00825672" w:rsidP="00374CB4">
            <w:pPr>
              <w:jc w:val="left"/>
              <w:rPr>
                <w:rFonts w:ascii="Arial Narrow" w:eastAsia="Aptos" w:hAnsi="Arial Narrow" w:cs="Calibri"/>
                <w:sz w:val="20"/>
                <w:szCs w:val="20"/>
              </w:rPr>
            </w:pPr>
            <w:r w:rsidRPr="005301DF">
              <w:rPr>
                <w:rFonts w:ascii="Arial Narrow" w:eastAsia="Aptos" w:hAnsi="Arial Narrow" w:cs="Calibri"/>
                <w:sz w:val="20"/>
                <w:szCs w:val="20"/>
              </w:rPr>
              <w:t xml:space="preserve">Inclusion of an RSA with a rebate of </w:t>
            </w:r>
            <w:r w:rsidR="00D80F16" w:rsidRPr="00D80F16">
              <w:rPr>
                <w:rFonts w:ascii="Arial Narrow" w:eastAsia="Aptos" w:hAnsi="Arial Narrow" w:cs="Calibri"/>
                <w:color w:val="000000"/>
                <w:spacing w:val="53"/>
                <w:sz w:val="20"/>
                <w:szCs w:val="20"/>
                <w:shd w:val="solid" w:color="000000" w:fill="000000"/>
                <w:fitText w:val="330" w:id="-663974908"/>
                <w14:textFill>
                  <w14:solidFill>
                    <w14:srgbClr w14:val="000000">
                      <w14:alpha w14:val="100000"/>
                    </w14:srgbClr>
                  </w14:solidFill>
                </w14:textFill>
              </w:rPr>
              <w:t>|||</w:t>
            </w:r>
            <w:r w:rsidR="00D80F16" w:rsidRPr="00D80F16">
              <w:rPr>
                <w:rFonts w:ascii="Arial Narrow" w:eastAsia="Aptos" w:hAnsi="Arial Narrow" w:cs="Calibri"/>
                <w:color w:val="000000"/>
                <w:spacing w:val="1"/>
                <w:sz w:val="20"/>
                <w:szCs w:val="20"/>
                <w:shd w:val="solid" w:color="000000" w:fill="000000"/>
                <w:fitText w:val="330" w:id="-663974908"/>
                <w14:textFill>
                  <w14:solidFill>
                    <w14:srgbClr w14:val="000000">
                      <w14:alpha w14:val="100000"/>
                    </w14:srgbClr>
                  </w14:solidFill>
                </w14:textFill>
              </w:rPr>
              <w:t>|</w:t>
            </w:r>
            <w:r w:rsidRPr="005301DF">
              <w:rPr>
                <w:rFonts w:ascii="Arial Narrow" w:eastAsia="Aptos" w:hAnsi="Arial Narrow" w:cs="Calibri"/>
                <w:sz w:val="20"/>
                <w:szCs w:val="20"/>
              </w:rPr>
              <w:t>% for use above the expenditure caps to mitigate risk of use in chronic (inactive) and less severe disease.</w:t>
            </w:r>
          </w:p>
        </w:tc>
        <w:tc>
          <w:tcPr>
            <w:tcW w:w="4820" w:type="dxa"/>
            <w:tcBorders>
              <w:top w:val="single" w:sz="4" w:space="0" w:color="auto"/>
              <w:left w:val="single" w:sz="4" w:space="0" w:color="auto"/>
              <w:bottom w:val="single" w:sz="4" w:space="0" w:color="auto"/>
              <w:right w:val="single" w:sz="4" w:space="0" w:color="auto"/>
            </w:tcBorders>
          </w:tcPr>
          <w:p w14:paraId="1B619AE5" w14:textId="36327B8A" w:rsidR="00825672" w:rsidRPr="005301DF" w:rsidRDefault="00825672" w:rsidP="00374CB4">
            <w:pPr>
              <w:jc w:val="left"/>
              <w:rPr>
                <w:rFonts w:ascii="Arial Narrow" w:eastAsia="Aptos" w:hAnsi="Arial Narrow" w:cs="Calibri"/>
                <w:sz w:val="20"/>
                <w:szCs w:val="20"/>
              </w:rPr>
            </w:pPr>
            <w:r>
              <w:rPr>
                <w:rFonts w:ascii="Arial Narrow" w:eastAsia="Aptos" w:hAnsi="Arial Narrow" w:cs="Calibri"/>
                <w:sz w:val="20"/>
                <w:szCs w:val="20"/>
              </w:rPr>
              <w:t>T</w:t>
            </w:r>
            <w:r w:rsidRPr="005301DF">
              <w:rPr>
                <w:rFonts w:ascii="Arial Narrow" w:eastAsia="Aptos" w:hAnsi="Arial Narrow" w:cs="Calibri"/>
                <w:sz w:val="20"/>
                <w:szCs w:val="20"/>
              </w:rPr>
              <w:t xml:space="preserve">he resubmission </w:t>
            </w:r>
            <w:r>
              <w:rPr>
                <w:rFonts w:ascii="Arial Narrow" w:eastAsia="Aptos" w:hAnsi="Arial Narrow" w:cs="Calibri"/>
                <w:sz w:val="20"/>
                <w:szCs w:val="20"/>
              </w:rPr>
              <w:t>proposed a stepped</w:t>
            </w:r>
            <w:r w:rsidRPr="005301DF">
              <w:rPr>
                <w:rFonts w:ascii="Arial Narrow" w:eastAsia="Aptos" w:hAnsi="Arial Narrow" w:cs="Calibri"/>
                <w:sz w:val="20"/>
                <w:szCs w:val="20"/>
              </w:rPr>
              <w:t xml:space="preserve"> RSA</w:t>
            </w:r>
            <w:r>
              <w:rPr>
                <w:rFonts w:ascii="Arial Narrow" w:eastAsia="Aptos" w:hAnsi="Arial Narrow" w:cs="Calibri"/>
                <w:sz w:val="20"/>
                <w:szCs w:val="20"/>
              </w:rPr>
              <w:t xml:space="preserve">, which included a step that accounted for possible retreatment and a </w:t>
            </w:r>
            <w:r w:rsidR="00D80F16" w:rsidRPr="00702E51">
              <w:rPr>
                <w:rFonts w:ascii="Arial Narrow" w:eastAsia="Aptos" w:hAnsi="Arial Narrow" w:cs="Calibri"/>
                <w:color w:val="000000"/>
                <w:spacing w:val="53"/>
                <w:sz w:val="20"/>
                <w:szCs w:val="20"/>
                <w:shd w:val="solid" w:color="000000" w:fill="000000"/>
                <w:fitText w:val="330" w:id="-663974907"/>
                <w14:textFill>
                  <w14:solidFill>
                    <w14:srgbClr w14:val="000000">
                      <w14:alpha w14:val="100000"/>
                    </w14:srgbClr>
                  </w14:solidFill>
                </w14:textFill>
              </w:rPr>
              <w:t>|||</w:t>
            </w:r>
            <w:r w:rsidR="00D80F16" w:rsidRPr="00702E51">
              <w:rPr>
                <w:rFonts w:ascii="Arial Narrow" w:eastAsia="Aptos" w:hAnsi="Arial Narrow" w:cs="Calibri"/>
                <w:color w:val="000000"/>
                <w:spacing w:val="1"/>
                <w:sz w:val="20"/>
                <w:szCs w:val="20"/>
                <w:shd w:val="solid" w:color="000000" w:fill="000000"/>
                <w:fitText w:val="330" w:id="-663974907"/>
                <w14:textFill>
                  <w14:solidFill>
                    <w14:srgbClr w14:val="000000">
                      <w14:alpha w14:val="100000"/>
                    </w14:srgbClr>
                  </w14:solidFill>
                </w14:textFill>
              </w:rPr>
              <w:t>|</w:t>
            </w:r>
            <w:r>
              <w:rPr>
                <w:rFonts w:ascii="Arial Narrow" w:eastAsia="Aptos" w:hAnsi="Arial Narrow" w:cs="Calibri"/>
                <w:sz w:val="20"/>
                <w:szCs w:val="20"/>
              </w:rPr>
              <w:t>% rebate.</w:t>
            </w:r>
          </w:p>
          <w:p w14:paraId="0A8014A4" w14:textId="77777777" w:rsidR="00825672" w:rsidRPr="005301DF" w:rsidRDefault="00825672" w:rsidP="00374CB4">
            <w:pPr>
              <w:jc w:val="left"/>
              <w:rPr>
                <w:rFonts w:ascii="Arial Narrow" w:hAnsi="Arial Narrow" w:cs="Calibri"/>
                <w:sz w:val="20"/>
                <w:szCs w:val="20"/>
              </w:rPr>
            </w:pPr>
          </w:p>
        </w:tc>
        <w:tc>
          <w:tcPr>
            <w:tcW w:w="1368" w:type="dxa"/>
            <w:tcBorders>
              <w:top w:val="single" w:sz="4" w:space="0" w:color="auto"/>
              <w:left w:val="single" w:sz="4" w:space="0" w:color="auto"/>
              <w:bottom w:val="single" w:sz="4" w:space="0" w:color="auto"/>
              <w:right w:val="single" w:sz="4" w:space="0" w:color="auto"/>
            </w:tcBorders>
            <w:hideMark/>
          </w:tcPr>
          <w:p w14:paraId="6EA49C0F" w14:textId="77777777" w:rsidR="00825672" w:rsidRPr="005301DF" w:rsidRDefault="00825672" w:rsidP="00374CB4">
            <w:pPr>
              <w:jc w:val="left"/>
              <w:rPr>
                <w:rFonts w:ascii="Arial Narrow" w:eastAsia="Aptos" w:hAnsi="Arial Narrow" w:cs="Calibri"/>
                <w:sz w:val="20"/>
                <w:szCs w:val="20"/>
                <w:highlight w:val="yellow"/>
              </w:rPr>
            </w:pPr>
            <w:r w:rsidRPr="005301DF">
              <w:rPr>
                <w:rFonts w:ascii="Arial Narrow" w:eastAsia="Aptos" w:hAnsi="Arial Narrow" w:cs="Calibri"/>
                <w:sz w:val="20"/>
                <w:szCs w:val="20"/>
              </w:rPr>
              <w:t>Partially</w:t>
            </w:r>
          </w:p>
        </w:tc>
      </w:tr>
    </w:tbl>
    <w:p w14:paraId="7D90F61E" w14:textId="77777777" w:rsidR="00825672" w:rsidRDefault="00825672" w:rsidP="009622D5">
      <w:pPr>
        <w:pStyle w:val="3-BodyText"/>
        <w:numPr>
          <w:ilvl w:val="0"/>
          <w:numId w:val="0"/>
        </w:numPr>
        <w:spacing w:before="0" w:after="0"/>
        <w:rPr>
          <w:rFonts w:ascii="Arial Narrow" w:hAnsi="Arial Narrow"/>
          <w:sz w:val="18"/>
          <w:szCs w:val="18"/>
        </w:rPr>
      </w:pPr>
      <w:r>
        <w:rPr>
          <w:rFonts w:ascii="Arial Narrow" w:hAnsi="Arial Narrow"/>
          <w:sz w:val="18"/>
          <w:szCs w:val="18"/>
        </w:rPr>
        <w:t xml:space="preserve">Abbreviations: CAS = clinical activity score, GD = Graves’ disease; </w:t>
      </w:r>
      <w:r w:rsidRPr="006B14ED">
        <w:rPr>
          <w:rFonts w:ascii="Arial Narrow" w:hAnsi="Arial Narrow"/>
          <w:sz w:val="18"/>
          <w:szCs w:val="18"/>
        </w:rPr>
        <w:t xml:space="preserve">IVMP = intravenous methylprednisolone; MS </w:t>
      </w:r>
      <w:r>
        <w:rPr>
          <w:rFonts w:ascii="Arial Narrow" w:hAnsi="Arial Narrow"/>
          <w:sz w:val="18"/>
          <w:szCs w:val="18"/>
        </w:rPr>
        <w:t xml:space="preserve">TED </w:t>
      </w:r>
      <w:r w:rsidRPr="006B14ED">
        <w:rPr>
          <w:rFonts w:ascii="Arial Narrow" w:hAnsi="Arial Narrow"/>
          <w:sz w:val="18"/>
          <w:szCs w:val="18"/>
        </w:rPr>
        <w:t>= moderate</w:t>
      </w:r>
      <w:r>
        <w:rPr>
          <w:rFonts w:ascii="Arial Narrow" w:hAnsi="Arial Narrow"/>
          <w:sz w:val="18"/>
          <w:szCs w:val="18"/>
        </w:rPr>
        <w:t>-to-</w:t>
      </w:r>
      <w:r w:rsidRPr="006B14ED">
        <w:rPr>
          <w:rFonts w:ascii="Arial Narrow" w:hAnsi="Arial Narrow"/>
          <w:sz w:val="18"/>
          <w:szCs w:val="18"/>
        </w:rPr>
        <w:t>sever</w:t>
      </w:r>
      <w:r>
        <w:rPr>
          <w:rFonts w:ascii="Arial Narrow" w:hAnsi="Arial Narrow"/>
          <w:sz w:val="18"/>
          <w:szCs w:val="18"/>
        </w:rPr>
        <w:t xml:space="preserve">e </w:t>
      </w:r>
      <w:r w:rsidRPr="006B14ED">
        <w:rPr>
          <w:rFonts w:ascii="Arial Narrow" w:hAnsi="Arial Narrow"/>
          <w:sz w:val="18"/>
          <w:szCs w:val="18"/>
        </w:rPr>
        <w:t xml:space="preserve">thyroid eye disease; ICER = incremental cost effectiveness ratio; </w:t>
      </w:r>
      <w:r>
        <w:rPr>
          <w:rFonts w:ascii="Arial Narrow" w:hAnsi="Arial Narrow"/>
          <w:sz w:val="18"/>
          <w:szCs w:val="18"/>
        </w:rPr>
        <w:t xml:space="preserve">LY = life year, </w:t>
      </w:r>
      <w:r w:rsidRPr="006B14ED">
        <w:rPr>
          <w:rFonts w:ascii="Arial Narrow" w:hAnsi="Arial Narrow"/>
          <w:sz w:val="18"/>
          <w:szCs w:val="18"/>
        </w:rPr>
        <w:t>QALY = Quality adjusted life year</w:t>
      </w:r>
      <w:r>
        <w:rPr>
          <w:rFonts w:ascii="Arial Narrow" w:hAnsi="Arial Narrow"/>
          <w:sz w:val="18"/>
          <w:szCs w:val="18"/>
        </w:rPr>
        <w:t>, QoL = quality of life; RSA = Risk Sharing Arrangement. DUSC = Drug Utilisation Sub-Committee, MBS = Medical benefits schedule, m = million</w:t>
      </w:r>
      <w:r w:rsidRPr="006B14ED">
        <w:rPr>
          <w:rFonts w:ascii="Arial Narrow" w:hAnsi="Arial Narrow"/>
          <w:sz w:val="18"/>
          <w:szCs w:val="18"/>
        </w:rPr>
        <w:t>.</w:t>
      </w:r>
    </w:p>
    <w:p w14:paraId="468AF3F5" w14:textId="77777777" w:rsidR="009622D5" w:rsidRPr="009A6D58" w:rsidRDefault="009622D5" w:rsidP="009622D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AFFE440" w14:textId="6289BA84" w:rsidR="009622D5" w:rsidRPr="009622D5" w:rsidRDefault="009622D5" w:rsidP="009622D5">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4C4F96" w:rsidRPr="004C4F96">
        <w:rPr>
          <w:rFonts w:ascii="Arial Narrow" w:hAnsi="Arial Narrow"/>
          <w:i/>
          <w:sz w:val="18"/>
          <w:szCs w:val="18"/>
        </w:rPr>
        <w:t>$55,000 to &lt; $75,000</w:t>
      </w:r>
    </w:p>
    <w:p w14:paraId="3041D9C8" w14:textId="77777777" w:rsidR="00825672" w:rsidRDefault="00825672" w:rsidP="00825672">
      <w:pPr>
        <w:pStyle w:val="2-SectionHeading"/>
        <w:numPr>
          <w:ilvl w:val="0"/>
          <w:numId w:val="1"/>
        </w:numPr>
      </w:pPr>
      <w:bookmarkStart w:id="138" w:name="_Hlk196838203"/>
      <w:bookmarkEnd w:id="137"/>
      <w:r>
        <w:t>Requested listing</w:t>
      </w:r>
    </w:p>
    <w:p w14:paraId="694C9CEE" w14:textId="1C39A935" w:rsidR="00825672" w:rsidRDefault="00825672" w:rsidP="00DC677F">
      <w:pPr>
        <w:pStyle w:val="3-BodyText"/>
        <w:numPr>
          <w:ilvl w:val="1"/>
          <w:numId w:val="1"/>
        </w:numPr>
      </w:pPr>
      <w:r>
        <w:t xml:space="preserve">At the March 2025 PBAC meeting, the PBAC advised that the proposed restriction required revision (paragraph </w:t>
      </w:r>
      <w:r>
        <w:fldChar w:fldCharType="begin"/>
      </w:r>
      <w:r>
        <w:instrText xml:space="preserve"> REF _Ref195446466 \r \h </w:instrText>
      </w:r>
      <w:r>
        <w:fldChar w:fldCharType="separate"/>
      </w:r>
      <w:r w:rsidR="0012101B">
        <w:t>7.5</w:t>
      </w:r>
      <w:r>
        <w:fldChar w:fldCharType="end"/>
      </w:r>
      <w:r>
        <w:t>). Aligned with this advice, the resubmission:</w:t>
      </w:r>
    </w:p>
    <w:p w14:paraId="3B2D370B" w14:textId="77777777" w:rsidR="00825672" w:rsidRDefault="00825672" w:rsidP="00220A6C">
      <w:pPr>
        <w:pStyle w:val="3-BodyText"/>
        <w:numPr>
          <w:ilvl w:val="0"/>
          <w:numId w:val="24"/>
        </w:numPr>
        <w:ind w:left="1134"/>
      </w:pPr>
      <w:r>
        <w:t xml:space="preserve">retained a clinical activity score (CAS) threshold of </w:t>
      </w:r>
      <w:r>
        <w:rPr>
          <w:rFonts w:cstheme="minorHAnsi"/>
        </w:rPr>
        <w:t>≥</w:t>
      </w:r>
      <w:r>
        <w:t>3;</w:t>
      </w:r>
    </w:p>
    <w:p w14:paraId="50A58001" w14:textId="77777777" w:rsidR="00825672" w:rsidRDefault="00825672" w:rsidP="00220A6C">
      <w:pPr>
        <w:pStyle w:val="3-BodyText"/>
        <w:numPr>
          <w:ilvl w:val="0"/>
          <w:numId w:val="24"/>
        </w:numPr>
        <w:ind w:left="1134"/>
      </w:pPr>
      <w:r>
        <w:t>continued to</w:t>
      </w:r>
      <w:r w:rsidRPr="00002B23">
        <w:t xml:space="preserve"> </w:t>
      </w:r>
      <w:r>
        <w:t>exclude the</w:t>
      </w:r>
      <w:r w:rsidRPr="00002B23">
        <w:t xml:space="preserve"> requirement for a </w:t>
      </w:r>
      <w:r>
        <w:t>Graves’ disease (</w:t>
      </w:r>
      <w:r w:rsidRPr="00002B23">
        <w:t>GD</w:t>
      </w:r>
      <w:r>
        <w:t>)</w:t>
      </w:r>
      <w:r w:rsidRPr="00002B23">
        <w:t xml:space="preserve"> diagnosis</w:t>
      </w:r>
      <w:r>
        <w:t>;</w:t>
      </w:r>
    </w:p>
    <w:p w14:paraId="782C8C7D" w14:textId="77777777" w:rsidR="00825672" w:rsidRDefault="00825672" w:rsidP="00220A6C">
      <w:pPr>
        <w:pStyle w:val="3-BodyText"/>
        <w:numPr>
          <w:ilvl w:val="0"/>
          <w:numId w:val="24"/>
        </w:numPr>
        <w:ind w:left="1134"/>
      </w:pPr>
      <w:r>
        <w:t>m</w:t>
      </w:r>
      <w:r w:rsidRPr="001C06BA">
        <w:t>aintained a line-agnostic listing</w:t>
      </w:r>
      <w:r>
        <w:t>;</w:t>
      </w:r>
    </w:p>
    <w:p w14:paraId="6016875A" w14:textId="36FE1904" w:rsidR="00825672" w:rsidRDefault="00825672" w:rsidP="00220A6C">
      <w:pPr>
        <w:pStyle w:val="3-BodyText"/>
        <w:numPr>
          <w:ilvl w:val="0"/>
          <w:numId w:val="24"/>
        </w:numPr>
        <w:ind w:left="1134"/>
      </w:pPr>
      <w:r w:rsidRPr="00EF2E75">
        <w:lastRenderedPageBreak/>
        <w:t>included a population criterion restricting treatment to individuals at least 18</w:t>
      </w:r>
      <w:r w:rsidR="005F2B8C">
        <w:t> </w:t>
      </w:r>
      <w:r w:rsidRPr="00EF2E75">
        <w:t>years of age</w:t>
      </w:r>
      <w:r>
        <w:t>;</w:t>
      </w:r>
    </w:p>
    <w:p w14:paraId="5B536FEB" w14:textId="77777777" w:rsidR="00825672" w:rsidRDefault="00825672" w:rsidP="00220A6C">
      <w:pPr>
        <w:pStyle w:val="3-BodyText"/>
        <w:numPr>
          <w:ilvl w:val="0"/>
          <w:numId w:val="24"/>
        </w:numPr>
        <w:ind w:left="1134" w:hanging="338"/>
      </w:pPr>
      <w:r w:rsidRPr="009F43E0">
        <w:t>requested an Authority Required (telephone/online) listing for the initial treatment phase</w:t>
      </w:r>
      <w:r>
        <w:t>; and</w:t>
      </w:r>
    </w:p>
    <w:p w14:paraId="2AF97D9D" w14:textId="77777777" w:rsidR="00825672" w:rsidRDefault="00825672" w:rsidP="00220A6C">
      <w:pPr>
        <w:pStyle w:val="3-BodyText"/>
        <w:numPr>
          <w:ilvl w:val="0"/>
          <w:numId w:val="24"/>
        </w:numPr>
        <w:ind w:left="1134" w:hanging="338"/>
      </w:pPr>
      <w:r w:rsidRPr="00CA7A95">
        <w:t xml:space="preserve">included </w:t>
      </w:r>
      <w:r>
        <w:t xml:space="preserve">a </w:t>
      </w:r>
      <w:r w:rsidRPr="00CA7A95">
        <w:t>treatment criterion for the continuing treatment phase which requires prescribing of teprotumumab to be by a specialist physician experienced in the management of thyroid eye disease or by a medical practitioner in consultation with a specialist physician experienced in the management of thyroid eye disease.</w:t>
      </w:r>
    </w:p>
    <w:p w14:paraId="4054B173" w14:textId="56D9BC46" w:rsidR="00825672" w:rsidRDefault="00825672" w:rsidP="00DC677F">
      <w:pPr>
        <w:pStyle w:val="3-BodyText"/>
        <w:numPr>
          <w:ilvl w:val="1"/>
          <w:numId w:val="1"/>
        </w:numPr>
      </w:pPr>
      <w:r>
        <w:t xml:space="preserve">The PBAC also </w:t>
      </w:r>
      <w:r w:rsidRPr="0087595F">
        <w:t>considered that retreatment</w:t>
      </w:r>
      <w:r w:rsidRPr="00566891">
        <w:t xml:space="preserve"> with teprotumumab would be appropriate for subsequent episodes of active MS TED, except in cases where there was a poor response to prior treatment</w:t>
      </w:r>
      <w:r>
        <w:t xml:space="preserve"> (paragraph </w:t>
      </w:r>
      <w:r>
        <w:fldChar w:fldCharType="begin"/>
      </w:r>
      <w:r>
        <w:instrText xml:space="preserve"> REF _Ref195446466 \r \h </w:instrText>
      </w:r>
      <w:r>
        <w:fldChar w:fldCharType="separate"/>
      </w:r>
      <w:r w:rsidR="0012101B">
        <w:t>7.5</w:t>
      </w:r>
      <w:r>
        <w:fldChar w:fldCharType="end"/>
      </w:r>
      <w:r>
        <w:t>)</w:t>
      </w:r>
      <w:r w:rsidRPr="00566891">
        <w:t>.</w:t>
      </w:r>
      <w:r>
        <w:t xml:space="preserve"> In response, the resubmission p</w:t>
      </w:r>
      <w:r w:rsidRPr="00E93656">
        <w:t xml:space="preserve">roposed </w:t>
      </w:r>
      <w:r>
        <w:t xml:space="preserve">a </w:t>
      </w:r>
      <w:r w:rsidRPr="00E93656">
        <w:t>clinical criterion for the initial treatment phase limit</w:t>
      </w:r>
      <w:r>
        <w:t>ing</w:t>
      </w:r>
      <w:r w:rsidRPr="00E93656">
        <w:t xml:space="preserve"> retreatment to prior responders</w:t>
      </w:r>
      <w:r>
        <w:t xml:space="preserve">. This was aligned with previous PBAC advice. </w:t>
      </w:r>
      <w:r w:rsidRPr="004571A2">
        <w:t xml:space="preserve">However, given there </w:t>
      </w:r>
      <w:r>
        <w:t>is</w:t>
      </w:r>
      <w:r w:rsidRPr="004571A2">
        <w:t xml:space="preserve"> no defined treatment</w:t>
      </w:r>
      <w:r>
        <w:t xml:space="preserve"> duration in the restriction</w:t>
      </w:r>
      <w:r w:rsidRPr="004571A2">
        <w:t>, retreatment could b</w:t>
      </w:r>
      <w:r>
        <w:t>e mistakenly</w:t>
      </w:r>
      <w:r w:rsidRPr="004571A2">
        <w:t xml:space="preserve"> initiated through the proposed continuing treatment phase and bypass the activity (CAS of ≥ 3) and severity criteria (2021 European Group on Graves' Orbitopathy [EUGOGO] guidelines) for retreatment. </w:t>
      </w:r>
      <w:r>
        <w:t xml:space="preserve">The Secretariat considered that it </w:t>
      </w:r>
      <w:r w:rsidRPr="004571A2">
        <w:t>may be appropriate for the restriction to state</w:t>
      </w:r>
      <w:r>
        <w:t xml:space="preserve"> that</w:t>
      </w:r>
      <w:r w:rsidRPr="004571A2">
        <w:t xml:space="preserve"> a treatment course is 8 doses in total, and reinitiating patients should </w:t>
      </w:r>
      <w:r>
        <w:t xml:space="preserve">again </w:t>
      </w:r>
      <w:r w:rsidRPr="004571A2">
        <w:t>be prescribed the initial 10</w:t>
      </w:r>
      <w:r>
        <w:t xml:space="preserve"> </w:t>
      </w:r>
      <w:r w:rsidRPr="004571A2">
        <w:t>mg/</w:t>
      </w:r>
      <w:r>
        <w:t xml:space="preserve">kg </w:t>
      </w:r>
      <w:r w:rsidRPr="004571A2">
        <w:t>dose through the initial treatment phas</w:t>
      </w:r>
      <w:r>
        <w:t>e</w:t>
      </w:r>
      <w:r w:rsidRPr="004571A2">
        <w:t>.</w:t>
      </w:r>
    </w:p>
    <w:p w14:paraId="0C285236" w14:textId="1EFFD6F2" w:rsidR="00825672" w:rsidRPr="00A740CC" w:rsidRDefault="00825672" w:rsidP="00DC677F">
      <w:pPr>
        <w:pStyle w:val="3-BodyText"/>
        <w:numPr>
          <w:ilvl w:val="1"/>
          <w:numId w:val="1"/>
        </w:numPr>
      </w:pPr>
      <w:r>
        <w:t xml:space="preserve">The PBAC previously considered that it would be appropriate to </w:t>
      </w:r>
      <w:r w:rsidRPr="0087595F">
        <w:t>include a stopping rule based</w:t>
      </w:r>
      <w:r>
        <w:t xml:space="preserve"> on adverse events, efficacy, and pregnancy (paragraph </w:t>
      </w:r>
      <w:r>
        <w:fldChar w:fldCharType="begin"/>
      </w:r>
      <w:r>
        <w:instrText xml:space="preserve"> REF _Ref195446466 \r \h </w:instrText>
      </w:r>
      <w:r>
        <w:fldChar w:fldCharType="separate"/>
      </w:r>
      <w:r w:rsidR="0012101B">
        <w:t>7.5</w:t>
      </w:r>
      <w:r>
        <w:fldChar w:fldCharType="end"/>
      </w:r>
      <w:r>
        <w:t xml:space="preserve">). </w:t>
      </w:r>
      <w:r w:rsidRPr="003958C3">
        <w:t>The resubmission proposed cautions, rather than a stopping rule related to pregnancy and audiology monitoring.</w:t>
      </w:r>
      <w:r>
        <w:t xml:space="preserve"> C</w:t>
      </w:r>
      <w:r w:rsidRPr="005F5F1F">
        <w:t>autions are administrative advice and not legally binding.</w:t>
      </w:r>
      <w:r>
        <w:t xml:space="preserve"> Furthermore,</w:t>
      </w:r>
      <w:r w:rsidRPr="005F5F1F">
        <w:t xml:space="preserve"> </w:t>
      </w:r>
      <w:r>
        <w:t>b</w:t>
      </w:r>
      <w:r w:rsidRPr="003958C3">
        <w:t>ased on clinician feedback, a stopping rule for efficacy was not proposed. The submission stated th</w:t>
      </w:r>
      <w:r>
        <w:t>at</w:t>
      </w:r>
      <w:r>
        <w:rPr>
          <w:rFonts w:cstheme="minorHAnsi"/>
        </w:rPr>
        <w:t xml:space="preserve"> </w:t>
      </w:r>
      <w:r w:rsidRPr="0D5A925D">
        <w:t>a specific time point during the eight infusions</w:t>
      </w:r>
      <w:r>
        <w:t xml:space="preserve"> (24 weeks)</w:t>
      </w:r>
      <w:r w:rsidRPr="0D5A925D">
        <w:t xml:space="preserve"> to determine response to treatment </w:t>
      </w:r>
      <w:r>
        <w:t>was</w:t>
      </w:r>
      <w:r w:rsidRPr="0D5A925D">
        <w:t xml:space="preserve"> not evident in the </w:t>
      </w:r>
      <w:r>
        <w:t xml:space="preserve">results of the </w:t>
      </w:r>
      <w:r w:rsidRPr="0D5A925D">
        <w:t>teprotumumab clinical trials</w:t>
      </w:r>
      <w:r w:rsidRPr="00E709AA">
        <w:rPr>
          <w:rFonts w:cstheme="minorHAnsi"/>
        </w:rPr>
        <w:t xml:space="preserve">. </w:t>
      </w:r>
      <w:r>
        <w:rPr>
          <w:rFonts w:cstheme="minorHAnsi"/>
        </w:rPr>
        <w:t>Furthermore, a</w:t>
      </w:r>
      <w:r w:rsidRPr="00E709AA">
        <w:rPr>
          <w:rFonts w:cstheme="minorHAnsi"/>
        </w:rPr>
        <w:t xml:space="preserve"> </w:t>
      </w:r>
      <w:r>
        <w:rPr>
          <w:rFonts w:cstheme="minorHAnsi"/>
        </w:rPr>
        <w:t>‘</w:t>
      </w:r>
      <w:r w:rsidRPr="00E709AA">
        <w:rPr>
          <w:rFonts w:cstheme="minorHAnsi"/>
        </w:rPr>
        <w:t>responder</w:t>
      </w:r>
      <w:r>
        <w:rPr>
          <w:rFonts w:cstheme="minorHAnsi"/>
        </w:rPr>
        <w:t>’</w:t>
      </w:r>
      <w:r w:rsidRPr="00E709AA">
        <w:rPr>
          <w:rFonts w:cstheme="minorHAnsi"/>
        </w:rPr>
        <w:t xml:space="preserve"> was defined</w:t>
      </w:r>
      <w:r>
        <w:rPr>
          <w:rFonts w:cstheme="minorHAnsi"/>
        </w:rPr>
        <w:t xml:space="preserve"> in the OPTIC clinical trial</w:t>
      </w:r>
      <w:r w:rsidRPr="00E709AA">
        <w:rPr>
          <w:rFonts w:cstheme="minorHAnsi"/>
        </w:rPr>
        <w:t xml:space="preserve"> as a patient</w:t>
      </w:r>
      <w:r w:rsidRPr="00E709AA" w:rsidDel="00AD6C58">
        <w:rPr>
          <w:rFonts w:cstheme="minorHAnsi"/>
        </w:rPr>
        <w:t xml:space="preserve"> </w:t>
      </w:r>
      <w:r w:rsidRPr="00E709AA">
        <w:rPr>
          <w:rFonts w:cstheme="minorHAnsi"/>
        </w:rPr>
        <w:t>who had a decrease of ≥2mm from baseline in proptosis and ≥2 point in overall reduction in CAS at Week 24 (i.e. after all</w:t>
      </w:r>
      <w:r>
        <w:rPr>
          <w:rFonts w:cstheme="minorHAnsi"/>
        </w:rPr>
        <w:t xml:space="preserve"> eight</w:t>
      </w:r>
      <w:r w:rsidRPr="00E709AA">
        <w:rPr>
          <w:rFonts w:cstheme="minorHAnsi"/>
        </w:rPr>
        <w:t xml:space="preserve"> infusions had been administered).</w:t>
      </w:r>
      <w:r>
        <w:rPr>
          <w:rFonts w:cstheme="minorHAnsi"/>
        </w:rPr>
        <w:t xml:space="preserve"> Moreover,</w:t>
      </w:r>
      <w:r w:rsidRPr="00E709AA">
        <w:rPr>
          <w:rFonts w:cstheme="minorHAnsi"/>
        </w:rPr>
        <w:t xml:space="preserve"> on review of the clinical evidence, the mean change in proptosis after 24 weeks (-2.82 [0.191]mm) </w:t>
      </w:r>
      <w:r>
        <w:rPr>
          <w:rFonts w:cstheme="minorHAnsi"/>
        </w:rPr>
        <w:t>did</w:t>
      </w:r>
      <w:r w:rsidRPr="00E709AA">
        <w:rPr>
          <w:rFonts w:cstheme="minorHAnsi"/>
        </w:rPr>
        <w:t xml:space="preserve"> not result in a statistically significant decrease until the end of the follow-up period at week 72 (-3.62 [1.387] mm) and increases between week 24 and 28 (-3.51 [1.738mm])</w:t>
      </w:r>
      <w:r>
        <w:rPr>
          <w:rFonts w:cstheme="minorHAnsi"/>
        </w:rPr>
        <w:t>. The submission stated that this</w:t>
      </w:r>
      <w:r w:rsidRPr="00E709AA">
        <w:rPr>
          <w:rFonts w:cstheme="minorHAnsi"/>
        </w:rPr>
        <w:t xml:space="preserve"> indicate</w:t>
      </w:r>
      <w:r>
        <w:rPr>
          <w:rFonts w:cstheme="minorHAnsi"/>
        </w:rPr>
        <w:t>d</w:t>
      </w:r>
      <w:r w:rsidRPr="00E709AA">
        <w:rPr>
          <w:rFonts w:cstheme="minorHAnsi"/>
        </w:rPr>
        <w:t xml:space="preserve"> that response to teprotumumab </w:t>
      </w:r>
      <w:r>
        <w:rPr>
          <w:rFonts w:cstheme="minorHAnsi"/>
        </w:rPr>
        <w:t xml:space="preserve">continues to </w:t>
      </w:r>
      <w:r w:rsidRPr="00E709AA">
        <w:rPr>
          <w:rFonts w:cstheme="minorHAnsi"/>
        </w:rPr>
        <w:t>increas</w:t>
      </w:r>
      <w:r>
        <w:rPr>
          <w:rFonts w:cstheme="minorHAnsi"/>
        </w:rPr>
        <w:t>e</w:t>
      </w:r>
      <w:r w:rsidRPr="00E709AA">
        <w:rPr>
          <w:rFonts w:cstheme="minorHAnsi"/>
        </w:rPr>
        <w:t xml:space="preserve"> after treatment has been completed, and therefore a pre-defined point to assess response may be clinically </w:t>
      </w:r>
      <w:r>
        <w:rPr>
          <w:rFonts w:cstheme="minorHAnsi"/>
        </w:rPr>
        <w:t>inappropriate.</w:t>
      </w:r>
    </w:p>
    <w:p w14:paraId="01E69566" w14:textId="2660617B" w:rsidR="00825672" w:rsidRPr="00FA3ACD" w:rsidRDefault="00825672" w:rsidP="00DC677F">
      <w:pPr>
        <w:pStyle w:val="3-BodyText"/>
        <w:numPr>
          <w:ilvl w:val="1"/>
          <w:numId w:val="1"/>
        </w:numPr>
      </w:pPr>
      <w:r>
        <w:t>Due to safety concerns related to hearing impairment, the PBAC previously considered</w:t>
      </w:r>
      <w:r w:rsidRPr="003F2BC2">
        <w:rPr>
          <w:lang w:eastAsia="en-US"/>
        </w:rPr>
        <w:t xml:space="preserve"> </w:t>
      </w:r>
      <w:r w:rsidRPr="00D539BB">
        <w:rPr>
          <w:lang w:eastAsia="en-US"/>
        </w:rPr>
        <w:t xml:space="preserve">that as part of the restriction it would be appropriate to include </w:t>
      </w:r>
      <w:r>
        <w:rPr>
          <w:lang w:eastAsia="en-US"/>
        </w:rPr>
        <w:t>a requirement for</w:t>
      </w:r>
      <w:r w:rsidRPr="00D539BB">
        <w:rPr>
          <w:lang w:eastAsia="en-US"/>
        </w:rPr>
        <w:t xml:space="preserve"> audiology review and surveillance before and during treatment</w:t>
      </w:r>
      <w:r>
        <w:rPr>
          <w:lang w:eastAsia="en-US"/>
        </w:rPr>
        <w:t xml:space="preserve"> (</w:t>
      </w:r>
      <w:r>
        <w:t xml:space="preserve">paragraph </w:t>
      </w:r>
      <w:r>
        <w:fldChar w:fldCharType="begin"/>
      </w:r>
      <w:r>
        <w:instrText xml:space="preserve"> REF _Ref195446466 \r \h </w:instrText>
      </w:r>
      <w:r>
        <w:fldChar w:fldCharType="separate"/>
      </w:r>
      <w:r w:rsidR="0012101B">
        <w:t>7.5</w:t>
      </w:r>
      <w:r>
        <w:fldChar w:fldCharType="end"/>
      </w:r>
      <w:r>
        <w:t>)</w:t>
      </w:r>
      <w:r>
        <w:rPr>
          <w:lang w:eastAsia="en-US"/>
        </w:rPr>
        <w:t xml:space="preserve">. In response, the resubmission proposed a caution stating that a </w:t>
      </w:r>
      <w:r w:rsidRPr="008A3B26">
        <w:rPr>
          <w:lang w:eastAsia="en-US"/>
        </w:rPr>
        <w:t>patient</w:t>
      </w:r>
      <w:r>
        <w:rPr>
          <w:lang w:eastAsia="en-US"/>
        </w:rPr>
        <w:t>’</w:t>
      </w:r>
      <w:r w:rsidRPr="008A3B26">
        <w:rPr>
          <w:lang w:eastAsia="en-US"/>
        </w:rPr>
        <w:t xml:space="preserve">s hearing should </w:t>
      </w:r>
      <w:r w:rsidRPr="008A3B26">
        <w:rPr>
          <w:lang w:eastAsia="en-US"/>
        </w:rPr>
        <w:lastRenderedPageBreak/>
        <w:t>be assessed before, and routinely during and after treatment, including use of audiograms where clinically warranted.</w:t>
      </w:r>
      <w:r>
        <w:rPr>
          <w:lang w:eastAsia="en-US"/>
        </w:rPr>
        <w:t xml:space="preserve"> C</w:t>
      </w:r>
      <w:r w:rsidRPr="008A3B26">
        <w:rPr>
          <w:lang w:eastAsia="en-US"/>
        </w:rPr>
        <w:t>autions are administrative advice and not legally binding.</w:t>
      </w:r>
      <w:r w:rsidRPr="008A3B26">
        <w:rPr>
          <w:rFonts w:ascii="Arial Narrow" w:hAnsi="Arial Narrow"/>
          <w:sz w:val="20"/>
          <w:szCs w:val="20"/>
        </w:rPr>
        <w:t xml:space="preserve"> </w:t>
      </w:r>
    </w:p>
    <w:p w14:paraId="05FE0AE1" w14:textId="5B518D50" w:rsidR="00825672" w:rsidRPr="00FA3ACD" w:rsidRDefault="00825672" w:rsidP="00DC677F">
      <w:pPr>
        <w:pStyle w:val="3-BodyText"/>
        <w:numPr>
          <w:ilvl w:val="0"/>
          <w:numId w:val="0"/>
        </w:numPr>
        <w:ind w:left="720"/>
        <w:rPr>
          <w:i/>
          <w:iCs/>
        </w:rPr>
      </w:pPr>
      <w:r w:rsidRPr="00FA3ACD">
        <w:rPr>
          <w:i/>
          <w:iCs/>
        </w:rPr>
        <w:t xml:space="preserve">For more detail on PBAC’s view, see </w:t>
      </w:r>
      <w:r>
        <w:rPr>
          <w:i/>
          <w:iCs/>
        </w:rPr>
        <w:t>s</w:t>
      </w:r>
      <w:r w:rsidRPr="00FA3ACD">
        <w:rPr>
          <w:i/>
          <w:iCs/>
        </w:rPr>
        <w:t>ection 1</w:t>
      </w:r>
      <w:r w:rsidR="00DC677F">
        <w:rPr>
          <w:i/>
          <w:iCs/>
        </w:rPr>
        <w:t>3</w:t>
      </w:r>
      <w:r w:rsidRPr="00FA3ACD">
        <w:rPr>
          <w:i/>
          <w:iCs/>
        </w:rPr>
        <w:t xml:space="preserve"> PBAC outcome.</w:t>
      </w:r>
    </w:p>
    <w:p w14:paraId="7DF3FC47" w14:textId="77777777" w:rsidR="00825672" w:rsidRDefault="00825672" w:rsidP="00825672">
      <w:pPr>
        <w:pStyle w:val="2-SectionHeading"/>
        <w:numPr>
          <w:ilvl w:val="0"/>
          <w:numId w:val="1"/>
        </w:numPr>
      </w:pPr>
      <w:r>
        <w:t>Consideration of the evidence</w:t>
      </w:r>
    </w:p>
    <w:p w14:paraId="14223CE0" w14:textId="77777777" w:rsidR="00825672" w:rsidRPr="00DF716E" w:rsidRDefault="00825672" w:rsidP="00321978">
      <w:pPr>
        <w:pStyle w:val="4-SubsectionHeading"/>
      </w:pPr>
      <w:r>
        <w:t xml:space="preserve">Economic analysis </w:t>
      </w:r>
    </w:p>
    <w:p w14:paraId="00862922" w14:textId="77777777" w:rsidR="00825672" w:rsidRDefault="00825672" w:rsidP="00220A6C">
      <w:pPr>
        <w:pStyle w:val="3-BodyText"/>
        <w:numPr>
          <w:ilvl w:val="1"/>
          <w:numId w:val="1"/>
        </w:numPr>
      </w:pPr>
      <w:r>
        <w:t>As an early resolution resubmission, the updated economic evaluation has not been independently evaluated.</w:t>
      </w:r>
    </w:p>
    <w:p w14:paraId="35E4A2F7" w14:textId="3DBA2DED" w:rsidR="00825672" w:rsidRDefault="00825672" w:rsidP="00220A6C">
      <w:pPr>
        <w:pStyle w:val="3-BodyText"/>
        <w:numPr>
          <w:ilvl w:val="1"/>
          <w:numId w:val="1"/>
        </w:numPr>
      </w:pPr>
      <w:r>
        <w:t>At the March 2025 PBAC meeting, the</w:t>
      </w:r>
      <w:r w:rsidRPr="003D75BB">
        <w:t xml:space="preserve"> PBAC considered that revision to inputs</w:t>
      </w:r>
      <w:r>
        <w:t xml:space="preserve"> in the economic model</w:t>
      </w:r>
      <w:r w:rsidRPr="003D75BB">
        <w:t xml:space="preserve"> and a price reduction would be required to address residual uncertainty and achieve a cost-effective listing </w:t>
      </w:r>
      <w:r>
        <w:t xml:space="preserve">(paragraph </w:t>
      </w:r>
      <w:r>
        <w:fldChar w:fldCharType="begin"/>
      </w:r>
      <w:r>
        <w:instrText xml:space="preserve"> REF _Ref195448044 \r \h </w:instrText>
      </w:r>
      <w:r>
        <w:fldChar w:fldCharType="separate"/>
      </w:r>
      <w:r w:rsidR="0012101B">
        <w:t>7.17</w:t>
      </w:r>
      <w:r>
        <w:fldChar w:fldCharType="end"/>
      </w:r>
      <w:r>
        <w:t>). Aligned with this advice, the resubmission presented a re-specified base case which:</w:t>
      </w:r>
    </w:p>
    <w:p w14:paraId="1F4CBE9E" w14:textId="77777777" w:rsidR="00825672" w:rsidRDefault="00825672" w:rsidP="00220A6C">
      <w:pPr>
        <w:pStyle w:val="3-BodyText"/>
        <w:numPr>
          <w:ilvl w:val="0"/>
          <w:numId w:val="25"/>
        </w:numPr>
        <w:ind w:left="1134"/>
      </w:pPr>
      <w:r>
        <w:t>removed the double counting of teprotumumab discontinuation by increasing teprotumumab compliance from 91.57% to 100%;</w:t>
      </w:r>
    </w:p>
    <w:p w14:paraId="5E396D04" w14:textId="77777777" w:rsidR="00825672" w:rsidRDefault="00825672" w:rsidP="00220A6C">
      <w:pPr>
        <w:pStyle w:val="3-BodyText"/>
        <w:numPr>
          <w:ilvl w:val="0"/>
          <w:numId w:val="25"/>
        </w:numPr>
        <w:ind w:left="1134"/>
      </w:pPr>
      <w:r>
        <w:t xml:space="preserve">corrected the length of the </w:t>
      </w:r>
      <w:r w:rsidRPr="00CC3758">
        <w:t>intravenous methylprednisolone</w:t>
      </w:r>
      <w:r>
        <w:t xml:space="preserve"> (IVMP) treatment effect by applying</w:t>
      </w:r>
      <w:r w:rsidRPr="00D67A8F">
        <w:t xml:space="preserve"> a per-week odds ratio (1.64)</w:t>
      </w:r>
      <w:r>
        <w:t xml:space="preserve"> </w:t>
      </w:r>
      <w:r w:rsidRPr="00D67A8F">
        <w:t>to the IVMP arm of the model up to Week 12</w:t>
      </w:r>
      <w:r>
        <w:t>;</w:t>
      </w:r>
    </w:p>
    <w:p w14:paraId="5C182671" w14:textId="77777777" w:rsidR="00825672" w:rsidRDefault="00825672" w:rsidP="00220A6C">
      <w:pPr>
        <w:pStyle w:val="3-BodyText"/>
        <w:numPr>
          <w:ilvl w:val="0"/>
          <w:numId w:val="25"/>
        </w:numPr>
        <w:ind w:left="1134"/>
      </w:pPr>
      <w:r>
        <w:t>reduced the time horizon from 47 years (lifetime) to 20 years;</w:t>
      </w:r>
    </w:p>
    <w:p w14:paraId="25879DC9" w14:textId="77777777" w:rsidR="00825672" w:rsidRDefault="00825672" w:rsidP="00220A6C">
      <w:pPr>
        <w:pStyle w:val="3-BodyText"/>
        <w:numPr>
          <w:ilvl w:val="0"/>
          <w:numId w:val="25"/>
        </w:numPr>
        <w:ind w:left="1134"/>
      </w:pPr>
      <w:r>
        <w:t xml:space="preserve">applied alternate utility-weights; and </w:t>
      </w:r>
    </w:p>
    <w:p w14:paraId="5EBCEE9A" w14:textId="62809F57" w:rsidR="00825672" w:rsidRDefault="00825672" w:rsidP="00220A6C">
      <w:pPr>
        <w:pStyle w:val="3-BodyText"/>
        <w:numPr>
          <w:ilvl w:val="0"/>
          <w:numId w:val="25"/>
        </w:numPr>
        <w:ind w:left="1134"/>
      </w:pPr>
      <w:r w:rsidRPr="003E34FD">
        <w:t xml:space="preserve">proposed a price reduction of </w:t>
      </w:r>
      <w:r w:rsidR="00D80F16" w:rsidRPr="00702E51">
        <w:rPr>
          <w:color w:val="000000"/>
          <w:w w:val="60"/>
          <w:shd w:val="solid" w:color="000000" w:fill="000000"/>
          <w:fitText w:val="470" w:id="-663974906"/>
          <w14:textFill>
            <w14:solidFill>
              <w14:srgbClr w14:val="000000">
                <w14:alpha w14:val="100000"/>
              </w14:srgbClr>
            </w14:solidFill>
          </w14:textFill>
        </w:rPr>
        <w:t>|||  ||</w:t>
      </w:r>
      <w:r w:rsidR="00D80F16" w:rsidRPr="00702E51">
        <w:rPr>
          <w:color w:val="000000"/>
          <w:spacing w:val="6"/>
          <w:w w:val="60"/>
          <w:shd w:val="solid" w:color="000000" w:fill="000000"/>
          <w:fitText w:val="470" w:id="-663974906"/>
          <w14:textFill>
            <w14:solidFill>
              <w14:srgbClr w14:val="000000">
                <w14:alpha w14:val="100000"/>
              </w14:srgbClr>
            </w14:solidFill>
          </w14:textFill>
        </w:rPr>
        <w:t>|</w:t>
      </w:r>
      <w:r w:rsidRPr="003E34FD">
        <w:t>%.</w:t>
      </w:r>
    </w:p>
    <w:p w14:paraId="111A67D5" w14:textId="1E407FA9" w:rsidR="00825672" w:rsidRDefault="00825672" w:rsidP="00220A6C">
      <w:pPr>
        <w:pStyle w:val="3-BodyText"/>
        <w:numPr>
          <w:ilvl w:val="1"/>
          <w:numId w:val="1"/>
        </w:numPr>
      </w:pPr>
      <w:r w:rsidRPr="00D41DC0">
        <w:t xml:space="preserve">The PBAC </w:t>
      </w:r>
      <w:r>
        <w:t xml:space="preserve">previously </w:t>
      </w:r>
      <w:r w:rsidRPr="00D41DC0">
        <w:t xml:space="preserve">noted that the IVMP treatment effect for diplopia had been applied to cycle 1 only (i.e. to week 6), which was not consistent with the data from the </w:t>
      </w:r>
      <w:r w:rsidRPr="005E7233">
        <w:rPr>
          <w:snapToGrid w:val="0"/>
          <w:lang w:eastAsia="en-US"/>
        </w:rPr>
        <w:t xml:space="preserve">unanchored matching adjusted indirect comparison </w:t>
      </w:r>
      <w:r>
        <w:rPr>
          <w:snapToGrid w:val="0"/>
          <w:lang w:eastAsia="en-US"/>
        </w:rPr>
        <w:t>(</w:t>
      </w:r>
      <w:r w:rsidRPr="00D41DC0">
        <w:t>MAIC</w:t>
      </w:r>
      <w:r>
        <w:t>)</w:t>
      </w:r>
      <w:r w:rsidRPr="00D41DC0">
        <w:t xml:space="preserve"> which reported the odds of improved response to 12 weeks (paragraph</w:t>
      </w:r>
      <w:r>
        <w:t>s</w:t>
      </w:r>
      <w:r w:rsidRPr="00D41DC0">
        <w:t xml:space="preserve"> </w:t>
      </w:r>
      <w:r>
        <w:fldChar w:fldCharType="begin"/>
      </w:r>
      <w:r>
        <w:instrText xml:space="preserve"> REF _Ref195436204 \r \h </w:instrText>
      </w:r>
      <w:r>
        <w:fldChar w:fldCharType="separate"/>
      </w:r>
      <w:r w:rsidR="0012101B">
        <w:t>6.71</w:t>
      </w:r>
      <w:r>
        <w:fldChar w:fldCharType="end"/>
      </w:r>
      <w:r>
        <w:t xml:space="preserve">, </w:t>
      </w:r>
      <w:r>
        <w:fldChar w:fldCharType="begin"/>
      </w:r>
      <w:r>
        <w:instrText xml:space="preserve"> REF _Ref195446902 \r \h </w:instrText>
      </w:r>
      <w:r>
        <w:fldChar w:fldCharType="separate"/>
      </w:r>
      <w:r w:rsidR="0012101B">
        <w:t>7.14</w:t>
      </w:r>
      <w:r>
        <w:fldChar w:fldCharType="end"/>
      </w:r>
      <w:r w:rsidRPr="00D41DC0">
        <w:t>).</w:t>
      </w:r>
      <w:r>
        <w:t xml:space="preserve"> The resubmission noted that the previous evaluation, in attempt to correct for the error in a sensitivity analysis, applied the</w:t>
      </w:r>
      <w:r w:rsidRPr="00F54AA5">
        <w:t xml:space="preserve"> diplopia response </w:t>
      </w:r>
      <w:r>
        <w:t>odds ratio (</w:t>
      </w:r>
      <w:r w:rsidRPr="00F54AA5">
        <w:t>OR</w:t>
      </w:r>
      <w:r>
        <w:t>) to</w:t>
      </w:r>
      <w:r w:rsidRPr="00F54AA5">
        <w:t xml:space="preserve"> 2.69 to weeks 1–12</w:t>
      </w:r>
      <w:r>
        <w:t xml:space="preserve"> (</w:t>
      </w:r>
      <w:r>
        <w:fldChar w:fldCharType="begin"/>
      </w:r>
      <w:r>
        <w:instrText xml:space="preserve"> REF _Ref104805122 \h </w:instrText>
      </w:r>
      <w:r>
        <w:fldChar w:fldCharType="separate"/>
      </w:r>
      <w:r w:rsidR="0012101B" w:rsidRPr="005E7233">
        <w:t xml:space="preserve">Table </w:t>
      </w:r>
      <w:r w:rsidR="0012101B">
        <w:rPr>
          <w:noProof/>
        </w:rPr>
        <w:t>17</w:t>
      </w:r>
      <w:r>
        <w:fldChar w:fldCharType="end"/>
      </w:r>
      <w:r>
        <w:t xml:space="preserve"> and </w:t>
      </w:r>
      <w:r>
        <w:fldChar w:fldCharType="begin"/>
      </w:r>
      <w:r>
        <w:instrText xml:space="preserve"> REF _Ref104804865 \h </w:instrText>
      </w:r>
      <w:r>
        <w:fldChar w:fldCharType="separate"/>
      </w:r>
      <w:r w:rsidR="0012101B" w:rsidRPr="005E7233">
        <w:t xml:space="preserve">Table </w:t>
      </w:r>
      <w:r w:rsidR="0012101B">
        <w:rPr>
          <w:noProof/>
        </w:rPr>
        <w:t>19</w:t>
      </w:r>
      <w:r>
        <w:fldChar w:fldCharType="end"/>
      </w:r>
      <w:r>
        <w:t xml:space="preserve">), which likely over inflated the efficacy of </w:t>
      </w:r>
      <w:r w:rsidRPr="00F54AA5">
        <w:t xml:space="preserve">IVMP </w:t>
      </w:r>
      <w:r>
        <w:t xml:space="preserve">in </w:t>
      </w:r>
      <w:r w:rsidRPr="00F54AA5">
        <w:t>cycle</w:t>
      </w:r>
      <w:r>
        <w:t>s</w:t>
      </w:r>
      <w:r w:rsidRPr="00F54AA5">
        <w:t xml:space="preserve"> 1 and 2</w:t>
      </w:r>
      <w:r>
        <w:t>.</w:t>
      </w:r>
      <w:r w:rsidRPr="00F20A6E">
        <w:t xml:space="preserve"> </w:t>
      </w:r>
      <w:r>
        <w:t xml:space="preserve">The resubmission noted that with two 6-week cycles for IVMP treatment, a per-cycle OR was required to account for the cumulative effect over two cycles which equalled the original 12-week OR. The calculation was for 6 weeks = sqrt(OR_12 week) = sqrt(2.69) ≈ 1.64. The resubmission’s approach for estimating the IVMP treatment effect resulted in an increase in the incremental cost-effectiveness ratio (ICER) from </w:t>
      </w:r>
      <w:r w:rsidR="00710355" w:rsidRPr="00710355">
        <w:t>$55,000 to &lt; $75,000</w:t>
      </w:r>
      <w:r w:rsidR="00710355">
        <w:t xml:space="preserve"> </w:t>
      </w:r>
      <w:r>
        <w:t xml:space="preserve">to </w:t>
      </w:r>
      <w:r w:rsidR="00F90F3A" w:rsidRPr="00F90F3A">
        <w:t>$75,000 to &lt; $95,000</w:t>
      </w:r>
      <w:r>
        <w:t>, when applied to the March 2025 economic model.</w:t>
      </w:r>
    </w:p>
    <w:p w14:paraId="3D0E20B5" w14:textId="4E547EFF" w:rsidR="00825672" w:rsidRPr="00AD00C5" w:rsidRDefault="00825672" w:rsidP="00220A6C">
      <w:pPr>
        <w:pStyle w:val="3-BodyText"/>
        <w:numPr>
          <w:ilvl w:val="1"/>
          <w:numId w:val="1"/>
        </w:numPr>
      </w:pPr>
      <w:bookmarkStart w:id="139" w:name="_Ref199218789"/>
      <w:r w:rsidRPr="002A6814">
        <w:t>The PBAC</w:t>
      </w:r>
      <w:r>
        <w:t xml:space="preserve"> previously</w:t>
      </w:r>
      <w:r w:rsidRPr="002A6814">
        <w:t xml:space="preserve"> noted that there was also a high degree of uncertainty related to the health state utility values applied to the economic model (paragraphs </w:t>
      </w:r>
      <w:r>
        <w:fldChar w:fldCharType="begin"/>
      </w:r>
      <w:r>
        <w:instrText xml:space="preserve"> REF _Ref195439138 \r \h </w:instrText>
      </w:r>
      <w:r>
        <w:fldChar w:fldCharType="separate"/>
      </w:r>
      <w:r w:rsidR="0012101B">
        <w:t>6.77</w:t>
      </w:r>
      <w:r>
        <w:fldChar w:fldCharType="end"/>
      </w:r>
      <w:r>
        <w:rPr>
          <w:rFonts w:cstheme="minorHAnsi"/>
        </w:rPr>
        <w:t>−</w:t>
      </w:r>
      <w:r>
        <w:fldChar w:fldCharType="begin"/>
      </w:r>
      <w:r>
        <w:instrText xml:space="preserve"> REF _Ref195439141 \r \h </w:instrText>
      </w:r>
      <w:r>
        <w:fldChar w:fldCharType="separate"/>
      </w:r>
      <w:r w:rsidR="0012101B">
        <w:t>6.78</w:t>
      </w:r>
      <w:r>
        <w:fldChar w:fldCharType="end"/>
      </w:r>
      <w:r>
        <w:t xml:space="preserve">, </w:t>
      </w:r>
      <w:r>
        <w:fldChar w:fldCharType="begin"/>
      </w:r>
      <w:r>
        <w:instrText xml:space="preserve"> REF _Ref195447317 \r \h </w:instrText>
      </w:r>
      <w:r>
        <w:fldChar w:fldCharType="separate"/>
      </w:r>
      <w:r w:rsidR="0012101B">
        <w:t>7.16</w:t>
      </w:r>
      <w:r>
        <w:fldChar w:fldCharType="end"/>
      </w:r>
      <w:r w:rsidRPr="002A6814">
        <w:t xml:space="preserve">). The PBAC considered that alternative utility-weights would be required to </w:t>
      </w:r>
      <w:r w:rsidRPr="002A6814">
        <w:lastRenderedPageBreak/>
        <w:t>ensure the overall validity of the economic model</w:t>
      </w:r>
      <w:r>
        <w:t>. The resubmission sought to address these concerns through an ‘</w:t>
      </w:r>
      <w:r w:rsidRPr="00FB7E07">
        <w:rPr>
          <w:lang w:val="en-IN"/>
        </w:rPr>
        <w:t>anchor-based approach</w:t>
      </w:r>
      <w:r>
        <w:rPr>
          <w:lang w:val="en-IN"/>
        </w:rPr>
        <w:t>’</w:t>
      </w:r>
      <w:r w:rsidRPr="00FB7E07">
        <w:rPr>
          <w:lang w:val="en-IN"/>
        </w:rPr>
        <w:t>, where</w:t>
      </w:r>
      <w:r>
        <w:rPr>
          <w:lang w:val="en-IN"/>
        </w:rPr>
        <w:t>by</w:t>
      </w:r>
      <w:r w:rsidRPr="00FB7E07">
        <w:rPr>
          <w:lang w:val="en-IN"/>
        </w:rPr>
        <w:t xml:space="preserve"> utility estimates </w:t>
      </w:r>
      <w:r>
        <w:rPr>
          <w:lang w:val="en-IN"/>
        </w:rPr>
        <w:t>were</w:t>
      </w:r>
      <w:r w:rsidRPr="00FB7E07">
        <w:rPr>
          <w:lang w:val="en-IN"/>
        </w:rPr>
        <w:t xml:space="preserve"> </w:t>
      </w:r>
      <w:r>
        <w:rPr>
          <w:lang w:val="en-IN"/>
        </w:rPr>
        <w:t>re</w:t>
      </w:r>
      <w:r w:rsidRPr="00FB7E07">
        <w:rPr>
          <w:lang w:val="en-IN"/>
        </w:rPr>
        <w:t xml:space="preserve">calibrated relative to a normative baseline. </w:t>
      </w:r>
      <w:r w:rsidRPr="006B0432">
        <w:rPr>
          <w:lang w:val="en-IN"/>
        </w:rPr>
        <w:t>The health state</w:t>
      </w:r>
      <w:r>
        <w:rPr>
          <w:lang w:val="en-IN"/>
        </w:rPr>
        <w:t xml:space="preserve"> with the highest health-related quality of life (HRQoL) pre-surgery</w:t>
      </w:r>
      <w:r w:rsidRPr="006B0432">
        <w:rPr>
          <w:lang w:val="en-IN"/>
        </w:rPr>
        <w:t xml:space="preserve">, defined as small proptosis with no diplopia, was assumed to represent a near-normal level of functioning and </w:t>
      </w:r>
      <w:r>
        <w:rPr>
          <w:lang w:val="en-IN"/>
        </w:rPr>
        <w:t>quality of life (QoL)</w:t>
      </w:r>
      <w:r w:rsidRPr="006B0432">
        <w:rPr>
          <w:lang w:val="en-IN"/>
        </w:rPr>
        <w:t xml:space="preserve">. </w:t>
      </w:r>
      <w:r>
        <w:rPr>
          <w:lang w:val="en-IN"/>
        </w:rPr>
        <w:t>This</w:t>
      </w:r>
      <w:r w:rsidRPr="006B0432">
        <w:rPr>
          <w:lang w:val="en-IN"/>
        </w:rPr>
        <w:t xml:space="preserve"> utility was </w:t>
      </w:r>
      <w:r>
        <w:rPr>
          <w:lang w:val="en-IN"/>
        </w:rPr>
        <w:t>increased</w:t>
      </w:r>
      <w:r w:rsidRPr="006B0432">
        <w:rPr>
          <w:lang w:val="en-IN"/>
        </w:rPr>
        <w:t xml:space="preserve"> by 0.25 to 0.85 </w:t>
      </w:r>
      <w:r>
        <w:rPr>
          <w:lang w:val="en-IN"/>
        </w:rPr>
        <w:t>and</w:t>
      </w:r>
      <w:r w:rsidRPr="006B0432">
        <w:rPr>
          <w:lang w:val="en-IN"/>
        </w:rPr>
        <w:t xml:space="preserve"> </w:t>
      </w:r>
      <w:r>
        <w:rPr>
          <w:lang w:val="en-IN"/>
        </w:rPr>
        <w:t>is close in value to</w:t>
      </w:r>
      <w:r w:rsidRPr="006B0432">
        <w:rPr>
          <w:lang w:val="en-IN"/>
        </w:rPr>
        <w:t xml:space="preserve"> </w:t>
      </w:r>
      <w:r>
        <w:rPr>
          <w:lang w:val="en-IN"/>
        </w:rPr>
        <w:t xml:space="preserve">the </w:t>
      </w:r>
      <w:r w:rsidRPr="006B0432">
        <w:rPr>
          <w:lang w:val="en-IN"/>
        </w:rPr>
        <w:t xml:space="preserve">utility </w:t>
      </w:r>
      <w:r>
        <w:rPr>
          <w:lang w:val="en-IN"/>
        </w:rPr>
        <w:t>estimated as the</w:t>
      </w:r>
      <w:r w:rsidRPr="006B0432">
        <w:rPr>
          <w:lang w:val="en-IN"/>
        </w:rPr>
        <w:t xml:space="preserve"> population norm in Australia (</w:t>
      </w:r>
      <w:r>
        <w:rPr>
          <w:lang w:val="en-IN"/>
        </w:rPr>
        <w:t xml:space="preserve">0.86; </w:t>
      </w:r>
      <w:r w:rsidRPr="006B0432">
        <w:rPr>
          <w:lang w:val="en-IN"/>
        </w:rPr>
        <w:t>Redwood et. al. 202</w:t>
      </w:r>
      <w:r>
        <w:rPr>
          <w:lang w:val="en-IN"/>
        </w:rPr>
        <w:t>3</w:t>
      </w:r>
      <w:r>
        <w:rPr>
          <w:rStyle w:val="FootnoteReference"/>
          <w:lang w:val="en-IN"/>
        </w:rPr>
        <w:footnoteReference w:id="56"/>
      </w:r>
      <w:r w:rsidRPr="006B0432">
        <w:rPr>
          <w:lang w:val="en-IN"/>
        </w:rPr>
        <w:t>)</w:t>
      </w:r>
      <w:r>
        <w:rPr>
          <w:lang w:val="en-IN"/>
        </w:rPr>
        <w:t xml:space="preserve"> and </w:t>
      </w:r>
      <w:r w:rsidRPr="006B0432">
        <w:rPr>
          <w:lang w:val="en-IN"/>
        </w:rPr>
        <w:t>serve</w:t>
      </w:r>
      <w:r>
        <w:rPr>
          <w:lang w:val="en-IN"/>
        </w:rPr>
        <w:t>d</w:t>
      </w:r>
      <w:r w:rsidRPr="006B0432">
        <w:rPr>
          <w:lang w:val="en-IN"/>
        </w:rPr>
        <w:t xml:space="preserve"> as the </w:t>
      </w:r>
      <w:r>
        <w:rPr>
          <w:lang w:val="en-IN"/>
        </w:rPr>
        <w:t>‘</w:t>
      </w:r>
      <w:r w:rsidRPr="006B0432">
        <w:rPr>
          <w:lang w:val="en-IN"/>
        </w:rPr>
        <w:t>anchor state</w:t>
      </w:r>
      <w:r>
        <w:rPr>
          <w:lang w:val="en-IN"/>
        </w:rPr>
        <w:t>’</w:t>
      </w:r>
      <w:r w:rsidRPr="006B0432">
        <w:rPr>
          <w:lang w:val="en-IN"/>
        </w:rPr>
        <w:t xml:space="preserve"> for estimating the utility of all other health states. </w:t>
      </w:r>
      <w:r w:rsidRPr="00CF0480">
        <w:rPr>
          <w:lang w:val="en-IN"/>
        </w:rPr>
        <w:t>Utility values for the remaining pre-surgery health states were calculated by applying the decrements between health states as reported in Smith et al. 2023</w:t>
      </w:r>
      <w:r>
        <w:rPr>
          <w:rStyle w:val="FootnoteReference"/>
          <w:lang w:val="en-IN"/>
        </w:rPr>
        <w:footnoteReference w:id="57"/>
      </w:r>
      <w:r w:rsidRPr="00CF0480">
        <w:rPr>
          <w:lang w:val="en-IN"/>
        </w:rPr>
        <w:t>. The revised pre-surgery values are presented in</w:t>
      </w:r>
      <w:r>
        <w:rPr>
          <w:lang w:val="en-IN"/>
        </w:rPr>
        <w:t xml:space="preserve"> </w:t>
      </w:r>
      <w:r>
        <w:rPr>
          <w:lang w:val="en-IN"/>
        </w:rPr>
        <w:fldChar w:fldCharType="begin"/>
      </w:r>
      <w:r>
        <w:rPr>
          <w:lang w:val="en-IN"/>
        </w:rPr>
        <w:instrText xml:space="preserve"> REF _Ref199061439 \h </w:instrText>
      </w:r>
      <w:r>
        <w:rPr>
          <w:lang w:val="en-IN"/>
        </w:rPr>
      </w:r>
      <w:r>
        <w:rPr>
          <w:lang w:val="en-IN"/>
        </w:rPr>
        <w:fldChar w:fldCharType="separate"/>
      </w:r>
      <w:r w:rsidR="0012101B" w:rsidRPr="00FB14AF">
        <w:t xml:space="preserve">Table </w:t>
      </w:r>
      <w:r w:rsidR="0012101B">
        <w:rPr>
          <w:noProof/>
        </w:rPr>
        <w:t>28</w:t>
      </w:r>
      <w:r>
        <w:rPr>
          <w:lang w:val="en-IN"/>
        </w:rPr>
        <w:fldChar w:fldCharType="end"/>
      </w:r>
      <w:r w:rsidRPr="00CF0480">
        <w:rPr>
          <w:lang w:val="en-IN"/>
        </w:rPr>
        <w:t>.</w:t>
      </w:r>
      <w:bookmarkEnd w:id="139"/>
      <w:r w:rsidRPr="00CF0480">
        <w:rPr>
          <w:lang w:val="en-IN"/>
        </w:rPr>
        <w:t xml:space="preserve"> </w:t>
      </w:r>
    </w:p>
    <w:p w14:paraId="6209A0C9" w14:textId="77777777" w:rsidR="00825672" w:rsidRDefault="00825672" w:rsidP="00220A6C">
      <w:pPr>
        <w:pStyle w:val="3-BodyText"/>
        <w:numPr>
          <w:ilvl w:val="1"/>
          <w:numId w:val="1"/>
        </w:numPr>
        <w:rPr>
          <w:lang w:val="en-IN"/>
        </w:rPr>
      </w:pPr>
      <w:r>
        <w:rPr>
          <w:lang w:val="en-IN"/>
        </w:rPr>
        <w:t>The resubmission also revised the utility values for health states related to surgery and post-surgery. A</w:t>
      </w:r>
      <w:r w:rsidRPr="009E4C96">
        <w:rPr>
          <w:lang w:val="en-IN"/>
        </w:rPr>
        <w:t xml:space="preserve"> decrement in utility was applied on transition to the surgical phase that was relative and proportionate to the health state the patient was in prior to surgery. Secondly, an improvement in utility was then applied to reflect a clinical improvement from surgery, again relative and proportionate to the starting TED health state. These movements in and out of surgery across each of the six health states aim</w:t>
      </w:r>
      <w:r>
        <w:rPr>
          <w:lang w:val="en-IN"/>
        </w:rPr>
        <w:t>ed</w:t>
      </w:r>
      <w:r w:rsidRPr="009E4C96">
        <w:rPr>
          <w:lang w:val="en-IN"/>
        </w:rPr>
        <w:t xml:space="preserve"> to reflect the individual surgical journeys expected for patients living with TED. This was not possible in the original model which used a single health state value for the surgical phase and post-surgical phase, independent of treatment arm. </w:t>
      </w:r>
    </w:p>
    <w:p w14:paraId="266A217A" w14:textId="48562F00" w:rsidR="00825672" w:rsidRPr="001E5929" w:rsidRDefault="00825672" w:rsidP="00220A6C">
      <w:pPr>
        <w:pStyle w:val="3-BodyText"/>
        <w:numPr>
          <w:ilvl w:val="1"/>
          <w:numId w:val="1"/>
        </w:numPr>
        <w:rPr>
          <w:lang w:val="en-IN"/>
        </w:rPr>
      </w:pPr>
      <w:r w:rsidRPr="00D04616">
        <w:rPr>
          <w:lang w:val="en-IN"/>
        </w:rPr>
        <w:t xml:space="preserve">To reflect reduced utility in the surgical phase, </w:t>
      </w:r>
      <w:r>
        <w:rPr>
          <w:lang w:val="en-IN"/>
        </w:rPr>
        <w:t>a</w:t>
      </w:r>
      <w:r w:rsidRPr="00D04616">
        <w:rPr>
          <w:lang w:val="en-IN"/>
        </w:rPr>
        <w:t xml:space="preserve"> decrement of 0.05 was applied to the small proptosis health states</w:t>
      </w:r>
      <w:r>
        <w:rPr>
          <w:lang w:val="en-IN"/>
        </w:rPr>
        <w:t xml:space="preserve"> and a decrement of </w:t>
      </w:r>
      <w:r w:rsidRPr="00D04616">
        <w:rPr>
          <w:lang w:val="en-IN"/>
        </w:rPr>
        <w:t xml:space="preserve">0.1 was applied to the large proptosis health </w:t>
      </w:r>
      <w:r w:rsidRPr="009232A6">
        <w:rPr>
          <w:lang w:val="en-IN"/>
        </w:rPr>
        <w:t>states (</w:t>
      </w:r>
      <w:r w:rsidRPr="009232A6">
        <w:rPr>
          <w:lang w:val="en-IN"/>
        </w:rPr>
        <w:fldChar w:fldCharType="begin"/>
      </w:r>
      <w:r w:rsidRPr="009232A6">
        <w:rPr>
          <w:lang w:val="en-IN"/>
        </w:rPr>
        <w:instrText xml:space="preserve"> REF _Ref199055303 \h  \* MERGEFORMAT </w:instrText>
      </w:r>
      <w:r w:rsidRPr="009232A6">
        <w:rPr>
          <w:lang w:val="en-IN"/>
        </w:rPr>
      </w:r>
      <w:r w:rsidRPr="009232A6">
        <w:rPr>
          <w:lang w:val="en-IN"/>
        </w:rPr>
        <w:fldChar w:fldCharType="separate"/>
      </w:r>
      <w:r w:rsidR="0012101B" w:rsidRPr="0012101B">
        <w:rPr>
          <w:lang w:val="en-IN"/>
        </w:rPr>
        <w:t>Table 24</w:t>
      </w:r>
      <w:r w:rsidRPr="009232A6">
        <w:rPr>
          <w:lang w:val="en-IN"/>
        </w:rPr>
        <w:fldChar w:fldCharType="end"/>
      </w:r>
      <w:r w:rsidRPr="009232A6">
        <w:rPr>
          <w:lang w:val="en-IN"/>
        </w:rPr>
        <w:t>). The</w:t>
      </w:r>
      <w:r>
        <w:rPr>
          <w:lang w:val="en-IN"/>
        </w:rPr>
        <w:t xml:space="preserve"> resubmission stated that a</w:t>
      </w:r>
      <w:r w:rsidRPr="00D04616">
        <w:rPr>
          <w:lang w:val="en-IN"/>
        </w:rPr>
        <w:t xml:space="preserve"> larger decrement was applied for large v</w:t>
      </w:r>
      <w:r>
        <w:rPr>
          <w:lang w:val="en-IN"/>
        </w:rPr>
        <w:t>er</w:t>
      </w:r>
      <w:r w:rsidRPr="00D04616">
        <w:rPr>
          <w:lang w:val="en-IN"/>
        </w:rPr>
        <w:t>s</w:t>
      </w:r>
      <w:r>
        <w:rPr>
          <w:lang w:val="en-IN"/>
        </w:rPr>
        <w:t>us</w:t>
      </w:r>
      <w:r w:rsidRPr="00D04616">
        <w:rPr>
          <w:lang w:val="en-IN"/>
        </w:rPr>
        <w:t xml:space="preserve"> small proptosis </w:t>
      </w:r>
      <w:r>
        <w:rPr>
          <w:lang w:val="en-IN"/>
        </w:rPr>
        <w:t>due to</w:t>
      </w:r>
      <w:r w:rsidRPr="00D04616">
        <w:rPr>
          <w:lang w:val="en-IN"/>
        </w:rPr>
        <w:t xml:space="preserve"> patients with large proptosis requir</w:t>
      </w:r>
      <w:r>
        <w:rPr>
          <w:lang w:val="en-IN"/>
        </w:rPr>
        <w:t>ing</w:t>
      </w:r>
      <w:r w:rsidRPr="00D04616">
        <w:rPr>
          <w:lang w:val="en-IN"/>
        </w:rPr>
        <w:t xml:space="preserve"> more invasive bony wall rather than fat-only decompression surgeries, which are more complex and consequently impactful on quality of life. </w:t>
      </w:r>
      <w:r>
        <w:rPr>
          <w:lang w:val="en-IN"/>
        </w:rPr>
        <w:t xml:space="preserve">However, no decrements were applied to surgery for large proptosis, constant diplopia and a smaller decrement (0.04) was applied for surgery for small proptosis, constant diplopia. This was because the resubmission assumed a ‘floor’ utility of 0.55 across all health states. A comparison of the utility values during the surgery phase from the March 2025 model versus the re-specified model in the resubmission is provided in </w:t>
      </w:r>
      <w:r>
        <w:rPr>
          <w:lang w:val="en-IN"/>
        </w:rPr>
        <w:fldChar w:fldCharType="begin"/>
      </w:r>
      <w:r>
        <w:rPr>
          <w:lang w:val="en-IN"/>
        </w:rPr>
        <w:instrText xml:space="preserve"> REF _Ref199060007 \h  \* MERGEFORMAT </w:instrText>
      </w:r>
      <w:r>
        <w:rPr>
          <w:lang w:val="en-IN"/>
        </w:rPr>
      </w:r>
      <w:r>
        <w:rPr>
          <w:lang w:val="en-IN"/>
        </w:rPr>
        <w:fldChar w:fldCharType="separate"/>
      </w:r>
      <w:r w:rsidR="0012101B" w:rsidRPr="0012101B">
        <w:rPr>
          <w:lang w:val="en-IN"/>
        </w:rPr>
        <w:t>Table 25</w:t>
      </w:r>
      <w:r>
        <w:rPr>
          <w:lang w:val="en-IN"/>
        </w:rPr>
        <w:fldChar w:fldCharType="end"/>
      </w:r>
      <w:r>
        <w:rPr>
          <w:lang w:val="en-IN"/>
        </w:rPr>
        <w:t>.</w:t>
      </w:r>
    </w:p>
    <w:p w14:paraId="509312B8" w14:textId="79834817" w:rsidR="00825672" w:rsidRPr="006E3DC9" w:rsidRDefault="00825672" w:rsidP="00220A6C">
      <w:pPr>
        <w:pStyle w:val="TableFigureHeading"/>
        <w:keepLines/>
        <w:rPr>
          <w:rStyle w:val="CommentReference"/>
          <w:b/>
          <w:bCs w:val="0"/>
        </w:rPr>
      </w:pPr>
      <w:bookmarkStart w:id="140" w:name="_Ref199055303"/>
      <w:r w:rsidRPr="006E3DC9">
        <w:rPr>
          <w:rStyle w:val="CommentReference"/>
          <w:b/>
          <w:bCs w:val="0"/>
        </w:rPr>
        <w:lastRenderedPageBreak/>
        <w:t xml:space="preserve">Table </w:t>
      </w:r>
      <w:r w:rsidRPr="006E3DC9">
        <w:rPr>
          <w:rStyle w:val="CommentReference"/>
          <w:b/>
          <w:bCs w:val="0"/>
        </w:rPr>
        <w:fldChar w:fldCharType="begin"/>
      </w:r>
      <w:r w:rsidRPr="006E3DC9">
        <w:rPr>
          <w:rStyle w:val="CommentReference"/>
          <w:b/>
          <w:bCs w:val="0"/>
        </w:rPr>
        <w:instrText xml:space="preserve"> SEQ Table \* ARABIC </w:instrText>
      </w:r>
      <w:r w:rsidRPr="006E3DC9">
        <w:rPr>
          <w:rStyle w:val="CommentReference"/>
          <w:b/>
          <w:bCs w:val="0"/>
        </w:rPr>
        <w:fldChar w:fldCharType="separate"/>
      </w:r>
      <w:r w:rsidR="0012101B">
        <w:rPr>
          <w:rStyle w:val="CommentReference"/>
          <w:b/>
          <w:bCs w:val="0"/>
          <w:noProof/>
        </w:rPr>
        <w:t>24</w:t>
      </w:r>
      <w:r w:rsidRPr="006E3DC9">
        <w:rPr>
          <w:rStyle w:val="CommentReference"/>
          <w:b/>
          <w:bCs w:val="0"/>
        </w:rPr>
        <w:fldChar w:fldCharType="end"/>
      </w:r>
      <w:bookmarkEnd w:id="140"/>
      <w:r>
        <w:rPr>
          <w:rStyle w:val="CommentReference"/>
          <w:b/>
          <w:bCs w:val="0"/>
        </w:rPr>
        <w:t>:</w:t>
      </w:r>
      <w:r w:rsidRPr="006E3DC9">
        <w:rPr>
          <w:rStyle w:val="CommentReference"/>
          <w:b/>
          <w:bCs w:val="0"/>
        </w:rPr>
        <w:t xml:space="preserve"> Comparison of the decrements due to surgery from the March 2025 v</w:t>
      </w:r>
      <w:r>
        <w:rPr>
          <w:rStyle w:val="CommentReference"/>
          <w:b/>
          <w:bCs w:val="0"/>
        </w:rPr>
        <w:t>er</w:t>
      </w:r>
      <w:r w:rsidRPr="006E3DC9">
        <w:rPr>
          <w:rStyle w:val="CommentReference"/>
          <w:b/>
          <w:bCs w:val="0"/>
        </w:rPr>
        <w:t>s</w:t>
      </w:r>
      <w:r>
        <w:rPr>
          <w:rStyle w:val="CommentReference"/>
          <w:b/>
          <w:bCs w:val="0"/>
        </w:rPr>
        <w:t xml:space="preserve">us the </w:t>
      </w:r>
      <w:r w:rsidRPr="006E3DC9">
        <w:rPr>
          <w:rStyle w:val="CommentReference"/>
          <w:b/>
          <w:bCs w:val="0"/>
        </w:rPr>
        <w:t>re-specified model</w:t>
      </w:r>
      <w:r>
        <w:rPr>
          <w:rStyle w:val="CommentReference"/>
          <w:b/>
          <w:bCs w:val="0"/>
        </w:rPr>
        <w:t xml:space="preserve"> in the resubmission</w:t>
      </w:r>
    </w:p>
    <w:tbl>
      <w:tblPr>
        <w:tblStyle w:val="Submissionstandard"/>
        <w:tblW w:w="5000" w:type="pct"/>
        <w:tblLook w:val="04A0" w:firstRow="1" w:lastRow="0" w:firstColumn="1" w:lastColumn="0" w:noHBand="0" w:noVBand="1"/>
      </w:tblPr>
      <w:tblGrid>
        <w:gridCol w:w="4199"/>
        <w:gridCol w:w="2409"/>
        <w:gridCol w:w="2409"/>
      </w:tblGrid>
      <w:tr w:rsidR="00825672" w:rsidRPr="003C003A" w14:paraId="1F4E96EB" w14:textId="77777777" w:rsidTr="00374CB4">
        <w:trPr>
          <w:cnfStyle w:val="100000000000" w:firstRow="1" w:lastRow="0" w:firstColumn="0" w:lastColumn="0" w:oddVBand="0" w:evenVBand="0" w:oddHBand="0" w:evenHBand="0" w:firstRowFirstColumn="0" w:firstRowLastColumn="0" w:lastRowFirstColumn="0" w:lastRowLastColumn="0"/>
          <w:cantSplit/>
          <w:trHeight w:val="170"/>
          <w:tblHeader/>
        </w:trPr>
        <w:tc>
          <w:tcPr>
            <w:tcW w:w="2328" w:type="pct"/>
            <w:tcBorders>
              <w:bottom w:val="single" w:sz="4" w:space="0" w:color="auto"/>
            </w:tcBorders>
            <w:shd w:val="clear" w:color="auto" w:fill="FFFFFF" w:themeFill="background1"/>
            <w:vAlign w:val="center"/>
          </w:tcPr>
          <w:p w14:paraId="35420F09" w14:textId="77777777" w:rsidR="00825672" w:rsidRPr="003C003A" w:rsidRDefault="00825672" w:rsidP="00220A6C">
            <w:pPr>
              <w:keepNext/>
              <w:keepLines/>
              <w:jc w:val="left"/>
              <w:rPr>
                <w:rFonts w:ascii="Arial Narrow" w:eastAsia="Aptos" w:hAnsi="Arial Narrow" w:cs="Calibri"/>
                <w:bCs/>
                <w:sz w:val="20"/>
                <w:szCs w:val="20"/>
                <w:lang w:val="en-AU" w:bidi="ar-SA"/>
              </w:rPr>
            </w:pPr>
            <w:r w:rsidRPr="003C003A">
              <w:rPr>
                <w:rFonts w:ascii="Arial Narrow" w:eastAsia="Aptos" w:hAnsi="Arial Narrow" w:cs="Calibri"/>
                <w:bCs/>
                <w:sz w:val="20"/>
                <w:szCs w:val="20"/>
                <w:lang w:val="en-AU" w:bidi="ar-SA"/>
              </w:rPr>
              <w:t>Health state</w:t>
            </w:r>
          </w:p>
        </w:tc>
        <w:tc>
          <w:tcPr>
            <w:tcW w:w="1336" w:type="pct"/>
            <w:tcBorders>
              <w:bottom w:val="single" w:sz="4" w:space="0" w:color="auto"/>
            </w:tcBorders>
            <w:shd w:val="clear" w:color="auto" w:fill="D9D9D9" w:themeFill="background1" w:themeFillShade="D9"/>
          </w:tcPr>
          <w:p w14:paraId="42479F37" w14:textId="77777777" w:rsidR="00825672" w:rsidRPr="003C003A" w:rsidRDefault="00825672" w:rsidP="00220A6C">
            <w:pPr>
              <w:keepNext/>
              <w:keepLines/>
              <w:jc w:val="center"/>
              <w:rPr>
                <w:rFonts w:ascii="Arial Narrow" w:eastAsia="Aptos" w:hAnsi="Arial Narrow" w:cs="Calibri"/>
                <w:bCs/>
                <w:sz w:val="20"/>
                <w:szCs w:val="20"/>
                <w:lang w:val="en-AU" w:bidi="ar-SA"/>
              </w:rPr>
            </w:pPr>
            <w:r w:rsidRPr="003C003A">
              <w:rPr>
                <w:rFonts w:ascii="Arial Narrow" w:eastAsia="Aptos" w:hAnsi="Arial Narrow" w:cs="Calibri"/>
                <w:bCs/>
                <w:sz w:val="20"/>
                <w:szCs w:val="20"/>
                <w:lang w:val="en-AU" w:bidi="ar-SA"/>
              </w:rPr>
              <w:t>Decrement due to surgery (March</w:t>
            </w:r>
            <w:r>
              <w:rPr>
                <w:rFonts w:ascii="Arial Narrow" w:eastAsia="Aptos" w:hAnsi="Arial Narrow" w:cs="Calibri"/>
                <w:bCs/>
                <w:sz w:val="20"/>
                <w:szCs w:val="20"/>
                <w:lang w:val="en-AU" w:bidi="ar-SA"/>
              </w:rPr>
              <w:t xml:space="preserve"> 20</w:t>
            </w:r>
            <w:r w:rsidRPr="003C003A">
              <w:rPr>
                <w:rFonts w:ascii="Arial Narrow" w:eastAsia="Aptos" w:hAnsi="Arial Narrow" w:cs="Calibri"/>
                <w:bCs/>
                <w:sz w:val="20"/>
                <w:szCs w:val="20"/>
                <w:lang w:val="en-AU" w:bidi="ar-SA"/>
              </w:rPr>
              <w:t>25 model)</w:t>
            </w:r>
          </w:p>
        </w:tc>
        <w:tc>
          <w:tcPr>
            <w:tcW w:w="1336" w:type="pct"/>
            <w:tcBorders>
              <w:bottom w:val="single" w:sz="4" w:space="0" w:color="auto"/>
            </w:tcBorders>
            <w:shd w:val="clear" w:color="auto" w:fill="FFFFFF" w:themeFill="background1"/>
          </w:tcPr>
          <w:p w14:paraId="50B3DDBE" w14:textId="77777777" w:rsidR="00825672" w:rsidRPr="003C003A" w:rsidRDefault="00825672" w:rsidP="00220A6C">
            <w:pPr>
              <w:keepNext/>
              <w:keepLines/>
              <w:jc w:val="center"/>
              <w:rPr>
                <w:rFonts w:ascii="Arial Narrow" w:eastAsia="Aptos" w:hAnsi="Arial Narrow" w:cs="Calibri"/>
                <w:bCs/>
                <w:sz w:val="20"/>
                <w:szCs w:val="20"/>
                <w:lang w:val="en-AU" w:bidi="ar-SA"/>
              </w:rPr>
            </w:pPr>
            <w:r w:rsidRPr="003C003A">
              <w:rPr>
                <w:rFonts w:ascii="Arial Narrow" w:eastAsia="Aptos" w:hAnsi="Arial Narrow" w:cs="Calibri"/>
                <w:bCs/>
                <w:sz w:val="20"/>
                <w:szCs w:val="20"/>
                <w:lang w:val="en-AU" w:bidi="ar-SA"/>
              </w:rPr>
              <w:t>Decrement due to surgery (</w:t>
            </w:r>
            <w:r>
              <w:rPr>
                <w:rFonts w:ascii="Arial Narrow" w:eastAsia="Aptos" w:hAnsi="Arial Narrow" w:cs="Calibri"/>
                <w:bCs/>
                <w:sz w:val="20"/>
                <w:szCs w:val="20"/>
                <w:lang w:val="en-AU" w:bidi="ar-SA"/>
              </w:rPr>
              <w:t>Resubmission</w:t>
            </w:r>
            <w:r w:rsidRPr="003C003A">
              <w:rPr>
                <w:rFonts w:ascii="Arial Narrow" w:eastAsia="Aptos" w:hAnsi="Arial Narrow" w:cs="Calibri"/>
                <w:bCs/>
                <w:sz w:val="20"/>
                <w:szCs w:val="20"/>
                <w:lang w:val="en-AU" w:bidi="ar-SA"/>
              </w:rPr>
              <w:t xml:space="preserve"> model)</w:t>
            </w:r>
          </w:p>
        </w:tc>
      </w:tr>
      <w:tr w:rsidR="00825672" w:rsidRPr="003C003A" w14:paraId="3CDFF2C5" w14:textId="77777777" w:rsidTr="00374CB4">
        <w:trPr>
          <w:trHeight w:val="170"/>
        </w:trPr>
        <w:tc>
          <w:tcPr>
            <w:tcW w:w="2328" w:type="pct"/>
            <w:vAlign w:val="center"/>
          </w:tcPr>
          <w:p w14:paraId="2500877F" w14:textId="77777777" w:rsidR="00825672" w:rsidRPr="003C003A" w:rsidRDefault="00825672" w:rsidP="00220A6C">
            <w:pPr>
              <w:keepNext/>
              <w:keepLines/>
              <w:jc w:val="left"/>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Small Proptosis, No Diplopia</w:t>
            </w:r>
          </w:p>
        </w:tc>
        <w:tc>
          <w:tcPr>
            <w:tcW w:w="1336" w:type="pct"/>
            <w:shd w:val="clear" w:color="auto" w:fill="D9D9D9" w:themeFill="background1" w:themeFillShade="D9"/>
          </w:tcPr>
          <w:p w14:paraId="205AC99D"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0.3</w:t>
            </w:r>
          </w:p>
        </w:tc>
        <w:tc>
          <w:tcPr>
            <w:tcW w:w="1336" w:type="pct"/>
          </w:tcPr>
          <w:p w14:paraId="55F54188"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0.05</w:t>
            </w:r>
          </w:p>
        </w:tc>
      </w:tr>
      <w:tr w:rsidR="00825672" w:rsidRPr="003C003A" w14:paraId="1CE1E3B4" w14:textId="77777777" w:rsidTr="00374CB4">
        <w:trPr>
          <w:trHeight w:val="170"/>
        </w:trPr>
        <w:tc>
          <w:tcPr>
            <w:tcW w:w="2328" w:type="pct"/>
            <w:vAlign w:val="center"/>
          </w:tcPr>
          <w:p w14:paraId="76714CC6" w14:textId="77777777" w:rsidR="00825672" w:rsidRPr="003C003A" w:rsidRDefault="00825672" w:rsidP="00220A6C">
            <w:pPr>
              <w:keepNext/>
              <w:keepLines/>
              <w:jc w:val="left"/>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Large Proptosis, No Diplopia</w:t>
            </w:r>
          </w:p>
        </w:tc>
        <w:tc>
          <w:tcPr>
            <w:tcW w:w="1336" w:type="pct"/>
            <w:shd w:val="clear" w:color="auto" w:fill="D9D9D9" w:themeFill="background1" w:themeFillShade="D9"/>
          </w:tcPr>
          <w:p w14:paraId="739B46A1"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0.16</w:t>
            </w:r>
          </w:p>
        </w:tc>
        <w:tc>
          <w:tcPr>
            <w:tcW w:w="1336" w:type="pct"/>
          </w:tcPr>
          <w:p w14:paraId="26F194B0"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0.1</w:t>
            </w:r>
          </w:p>
        </w:tc>
      </w:tr>
      <w:tr w:rsidR="00825672" w:rsidRPr="003C003A" w14:paraId="63AACAC0" w14:textId="77777777" w:rsidTr="00374CB4">
        <w:trPr>
          <w:trHeight w:val="170"/>
        </w:trPr>
        <w:tc>
          <w:tcPr>
            <w:tcW w:w="2328" w:type="pct"/>
            <w:vAlign w:val="center"/>
          </w:tcPr>
          <w:p w14:paraId="20E939F9" w14:textId="77777777" w:rsidR="00825672" w:rsidRPr="003C003A" w:rsidRDefault="00825672" w:rsidP="00220A6C">
            <w:pPr>
              <w:keepNext/>
              <w:keepLines/>
              <w:jc w:val="left"/>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Small Proptosis, Intermittent/Inconstant Diplopia</w:t>
            </w:r>
          </w:p>
        </w:tc>
        <w:tc>
          <w:tcPr>
            <w:tcW w:w="1336" w:type="pct"/>
            <w:shd w:val="clear" w:color="auto" w:fill="D9D9D9" w:themeFill="background1" w:themeFillShade="D9"/>
          </w:tcPr>
          <w:p w14:paraId="2E61C72C"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0.22</w:t>
            </w:r>
          </w:p>
        </w:tc>
        <w:tc>
          <w:tcPr>
            <w:tcW w:w="1336" w:type="pct"/>
          </w:tcPr>
          <w:p w14:paraId="7822A1EC"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0.05</w:t>
            </w:r>
          </w:p>
        </w:tc>
      </w:tr>
      <w:tr w:rsidR="00825672" w:rsidRPr="003C003A" w14:paraId="7E7E3522" w14:textId="77777777" w:rsidTr="00374CB4">
        <w:trPr>
          <w:trHeight w:val="170"/>
        </w:trPr>
        <w:tc>
          <w:tcPr>
            <w:tcW w:w="2328" w:type="pct"/>
            <w:vAlign w:val="center"/>
          </w:tcPr>
          <w:p w14:paraId="2A3116DF" w14:textId="77777777" w:rsidR="00825672" w:rsidRPr="003C003A" w:rsidRDefault="00825672" w:rsidP="00220A6C">
            <w:pPr>
              <w:keepNext/>
              <w:keepLines/>
              <w:jc w:val="left"/>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Large Proptosis, Intermittent/Inconstant Diplopia</w:t>
            </w:r>
          </w:p>
        </w:tc>
        <w:tc>
          <w:tcPr>
            <w:tcW w:w="1336" w:type="pct"/>
            <w:shd w:val="clear" w:color="auto" w:fill="D9D9D9" w:themeFill="background1" w:themeFillShade="D9"/>
          </w:tcPr>
          <w:p w14:paraId="38472ACD"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0.13</w:t>
            </w:r>
          </w:p>
        </w:tc>
        <w:tc>
          <w:tcPr>
            <w:tcW w:w="1336" w:type="pct"/>
          </w:tcPr>
          <w:p w14:paraId="1D41C062"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0.1</w:t>
            </w:r>
          </w:p>
        </w:tc>
      </w:tr>
      <w:tr w:rsidR="00825672" w:rsidRPr="003C003A" w14:paraId="1D9D27D9" w14:textId="77777777" w:rsidTr="00374CB4">
        <w:trPr>
          <w:trHeight w:val="170"/>
        </w:trPr>
        <w:tc>
          <w:tcPr>
            <w:tcW w:w="2328" w:type="pct"/>
            <w:vAlign w:val="center"/>
          </w:tcPr>
          <w:p w14:paraId="4AC948C5" w14:textId="77777777" w:rsidR="00825672" w:rsidRPr="003C003A" w:rsidRDefault="00825672" w:rsidP="00220A6C">
            <w:pPr>
              <w:keepNext/>
              <w:keepLines/>
              <w:jc w:val="left"/>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Small Proptosis, Constant Diplopia</w:t>
            </w:r>
          </w:p>
        </w:tc>
        <w:tc>
          <w:tcPr>
            <w:tcW w:w="1336" w:type="pct"/>
            <w:shd w:val="clear" w:color="auto" w:fill="D9D9D9" w:themeFill="background1" w:themeFillShade="D9"/>
          </w:tcPr>
          <w:p w14:paraId="26F98B4E"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0.04</w:t>
            </w:r>
          </w:p>
        </w:tc>
        <w:tc>
          <w:tcPr>
            <w:tcW w:w="1336" w:type="pct"/>
          </w:tcPr>
          <w:p w14:paraId="4E61EBBA"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0.04</w:t>
            </w:r>
          </w:p>
        </w:tc>
      </w:tr>
      <w:tr w:rsidR="00825672" w:rsidRPr="003C003A" w14:paraId="7174C96E" w14:textId="77777777" w:rsidTr="00374CB4">
        <w:trPr>
          <w:trHeight w:val="170"/>
        </w:trPr>
        <w:tc>
          <w:tcPr>
            <w:tcW w:w="2328" w:type="pct"/>
            <w:vAlign w:val="center"/>
          </w:tcPr>
          <w:p w14:paraId="310E6B2D" w14:textId="77777777" w:rsidR="00825672" w:rsidRPr="003C003A" w:rsidRDefault="00825672" w:rsidP="00220A6C">
            <w:pPr>
              <w:keepNext/>
              <w:keepLines/>
              <w:jc w:val="left"/>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Large Proptosis, Constant Diplopia</w:t>
            </w:r>
          </w:p>
        </w:tc>
        <w:tc>
          <w:tcPr>
            <w:tcW w:w="1336" w:type="pct"/>
            <w:shd w:val="clear" w:color="auto" w:fill="D9D9D9" w:themeFill="background1" w:themeFillShade="D9"/>
          </w:tcPr>
          <w:p w14:paraId="113271CC"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w:t>
            </w:r>
          </w:p>
        </w:tc>
        <w:tc>
          <w:tcPr>
            <w:tcW w:w="1336" w:type="pct"/>
          </w:tcPr>
          <w:p w14:paraId="5744476B" w14:textId="77777777" w:rsidR="00825672" w:rsidRPr="003C003A" w:rsidRDefault="00825672" w:rsidP="00220A6C">
            <w:pPr>
              <w:keepNext/>
              <w:keepLines/>
              <w:jc w:val="center"/>
              <w:rPr>
                <w:rFonts w:ascii="Arial Narrow" w:eastAsia="Aptos" w:hAnsi="Arial Narrow" w:cs="Calibri"/>
                <w:sz w:val="20"/>
                <w:szCs w:val="20"/>
                <w:lang w:val="en-AU" w:bidi="ar-SA"/>
              </w:rPr>
            </w:pPr>
            <w:r w:rsidRPr="003C003A">
              <w:rPr>
                <w:rFonts w:ascii="Arial Narrow" w:eastAsia="Aptos" w:hAnsi="Arial Narrow" w:cs="Calibri"/>
                <w:sz w:val="20"/>
                <w:szCs w:val="20"/>
                <w:lang w:val="en-AU" w:bidi="ar-SA"/>
              </w:rPr>
              <w:t>0</w:t>
            </w:r>
          </w:p>
        </w:tc>
      </w:tr>
    </w:tbl>
    <w:p w14:paraId="286080F1" w14:textId="77777777" w:rsidR="00825672" w:rsidRPr="00545AFD" w:rsidRDefault="00825672" w:rsidP="00220A6C">
      <w:pPr>
        <w:pStyle w:val="TableFooter"/>
        <w:keepLines/>
      </w:pPr>
      <w:r>
        <w:t>Source: Resubmission, Table 9, p8</w:t>
      </w:r>
    </w:p>
    <w:p w14:paraId="193F5A52" w14:textId="764B61AD" w:rsidR="00825672" w:rsidRPr="006E3DC9" w:rsidRDefault="00825672" w:rsidP="00220A6C">
      <w:pPr>
        <w:pStyle w:val="TableFigureHeading"/>
        <w:keepLines/>
        <w:spacing w:before="120"/>
        <w:rPr>
          <w:b w:val="0"/>
        </w:rPr>
      </w:pPr>
      <w:bookmarkStart w:id="141" w:name="_Ref199060007"/>
      <w:r w:rsidRPr="006E3DC9">
        <w:rPr>
          <w:rStyle w:val="CommentReference"/>
          <w:b/>
        </w:rPr>
        <w:t xml:space="preserve">Table </w:t>
      </w:r>
      <w:r w:rsidRPr="006E3DC9">
        <w:rPr>
          <w:rStyle w:val="CommentReference"/>
          <w:b/>
        </w:rPr>
        <w:fldChar w:fldCharType="begin"/>
      </w:r>
      <w:r w:rsidRPr="006E3DC9">
        <w:rPr>
          <w:rStyle w:val="CommentReference"/>
          <w:b/>
        </w:rPr>
        <w:instrText xml:space="preserve"> SEQ Table \* ARABIC </w:instrText>
      </w:r>
      <w:r w:rsidRPr="006E3DC9">
        <w:rPr>
          <w:rStyle w:val="CommentReference"/>
          <w:b/>
        </w:rPr>
        <w:fldChar w:fldCharType="separate"/>
      </w:r>
      <w:r w:rsidR="0012101B">
        <w:rPr>
          <w:rStyle w:val="CommentReference"/>
          <w:b/>
          <w:noProof/>
        </w:rPr>
        <w:t>25</w:t>
      </w:r>
      <w:r w:rsidRPr="006E3DC9">
        <w:rPr>
          <w:rStyle w:val="CommentReference"/>
          <w:b/>
        </w:rPr>
        <w:fldChar w:fldCharType="end"/>
      </w:r>
      <w:bookmarkEnd w:id="141"/>
      <w:r>
        <w:rPr>
          <w:rStyle w:val="CommentReference"/>
          <w:b/>
        </w:rPr>
        <w:t>:</w:t>
      </w:r>
      <w:r w:rsidRPr="006E3DC9">
        <w:rPr>
          <w:rStyle w:val="CommentReference"/>
          <w:b/>
        </w:rPr>
        <w:t xml:space="preserve"> Comparison of utility during </w:t>
      </w:r>
      <w:r>
        <w:rPr>
          <w:rStyle w:val="CommentReference"/>
          <w:b/>
        </w:rPr>
        <w:t xml:space="preserve">the </w:t>
      </w:r>
      <w:r w:rsidRPr="006E3DC9">
        <w:rPr>
          <w:rStyle w:val="CommentReference"/>
          <w:b/>
        </w:rPr>
        <w:t xml:space="preserve">surgery phase in the March 2025 </w:t>
      </w:r>
      <w:r w:rsidRPr="006E3DC9">
        <w:rPr>
          <w:rStyle w:val="CommentReference"/>
          <w:b/>
          <w:bCs w:val="0"/>
        </w:rPr>
        <w:t>v</w:t>
      </w:r>
      <w:r>
        <w:rPr>
          <w:rStyle w:val="CommentReference"/>
          <w:b/>
          <w:bCs w:val="0"/>
        </w:rPr>
        <w:t>er</w:t>
      </w:r>
      <w:r w:rsidRPr="006E3DC9">
        <w:rPr>
          <w:rStyle w:val="CommentReference"/>
          <w:b/>
          <w:bCs w:val="0"/>
        </w:rPr>
        <w:t>s</w:t>
      </w:r>
      <w:r>
        <w:rPr>
          <w:rStyle w:val="CommentReference"/>
          <w:b/>
          <w:bCs w:val="0"/>
        </w:rPr>
        <w:t xml:space="preserve">us the </w:t>
      </w:r>
      <w:r w:rsidRPr="006E3DC9">
        <w:rPr>
          <w:rStyle w:val="CommentReference"/>
          <w:b/>
        </w:rPr>
        <w:t>re-specified model</w:t>
      </w:r>
      <w:r>
        <w:rPr>
          <w:rStyle w:val="CommentReference"/>
          <w:b/>
        </w:rPr>
        <w:t xml:space="preserve"> in the resubmission</w:t>
      </w:r>
    </w:p>
    <w:tbl>
      <w:tblPr>
        <w:tblStyle w:val="Submissionstandard"/>
        <w:tblW w:w="5000" w:type="pct"/>
        <w:tblLook w:val="04A0" w:firstRow="1" w:lastRow="0" w:firstColumn="1" w:lastColumn="0" w:noHBand="0" w:noVBand="1"/>
      </w:tblPr>
      <w:tblGrid>
        <w:gridCol w:w="4243"/>
        <w:gridCol w:w="2390"/>
        <w:gridCol w:w="2384"/>
      </w:tblGrid>
      <w:tr w:rsidR="00825672" w:rsidRPr="003B6A18" w14:paraId="5F87C08B" w14:textId="77777777" w:rsidTr="00374CB4">
        <w:trPr>
          <w:cnfStyle w:val="100000000000" w:firstRow="1" w:lastRow="0" w:firstColumn="0" w:lastColumn="0" w:oddVBand="0" w:evenVBand="0" w:oddHBand="0" w:evenHBand="0" w:firstRowFirstColumn="0" w:firstRowLastColumn="0" w:lastRowFirstColumn="0" w:lastRowLastColumn="0"/>
          <w:cantSplit/>
          <w:trHeight w:val="170"/>
          <w:tblHeader/>
        </w:trPr>
        <w:tc>
          <w:tcPr>
            <w:tcW w:w="2353" w:type="pct"/>
            <w:tcBorders>
              <w:bottom w:val="single" w:sz="4" w:space="0" w:color="auto"/>
            </w:tcBorders>
            <w:shd w:val="clear" w:color="auto" w:fill="FFFFFF" w:themeFill="background1"/>
            <w:vAlign w:val="center"/>
          </w:tcPr>
          <w:p w14:paraId="2E78BB2E" w14:textId="77777777" w:rsidR="00825672" w:rsidRPr="00F94835" w:rsidRDefault="00825672" w:rsidP="00220A6C">
            <w:pPr>
              <w:keepNext/>
              <w:keepLines/>
              <w:rPr>
                <w:rFonts w:ascii="Arial Narrow" w:eastAsia="Aptos" w:hAnsi="Arial Narrow" w:cs="Calibri"/>
                <w:bCs/>
                <w:sz w:val="20"/>
                <w:szCs w:val="20"/>
                <w:lang w:val="en-AU" w:bidi="ar-SA"/>
              </w:rPr>
            </w:pPr>
            <w:r w:rsidRPr="00F94835">
              <w:rPr>
                <w:rFonts w:ascii="Arial Narrow" w:eastAsia="Aptos" w:hAnsi="Arial Narrow" w:cs="Calibri"/>
                <w:bCs/>
                <w:sz w:val="20"/>
                <w:szCs w:val="20"/>
                <w:lang w:val="en-AU" w:bidi="ar-SA"/>
              </w:rPr>
              <w:t>Health state</w:t>
            </w:r>
          </w:p>
        </w:tc>
        <w:tc>
          <w:tcPr>
            <w:tcW w:w="1325" w:type="pct"/>
            <w:tcBorders>
              <w:bottom w:val="single" w:sz="4" w:space="0" w:color="auto"/>
            </w:tcBorders>
            <w:shd w:val="clear" w:color="auto" w:fill="D9D9D9" w:themeFill="background1" w:themeFillShade="D9"/>
            <w:vAlign w:val="center"/>
          </w:tcPr>
          <w:p w14:paraId="68B1A0CF" w14:textId="77777777" w:rsidR="00825672" w:rsidRPr="00F94835" w:rsidRDefault="00825672" w:rsidP="00220A6C">
            <w:pPr>
              <w:keepNext/>
              <w:keepLines/>
              <w:jc w:val="center"/>
              <w:rPr>
                <w:rFonts w:ascii="Arial Narrow" w:eastAsia="Aptos" w:hAnsi="Arial Narrow" w:cs="Calibri"/>
                <w:bCs/>
                <w:sz w:val="20"/>
                <w:szCs w:val="20"/>
                <w:lang w:val="en-AU" w:bidi="ar-SA"/>
              </w:rPr>
            </w:pPr>
            <w:r w:rsidRPr="00F94835">
              <w:rPr>
                <w:rFonts w:ascii="Arial Narrow" w:eastAsia="Aptos" w:hAnsi="Arial Narrow" w:cs="Calibri"/>
                <w:bCs/>
                <w:sz w:val="20"/>
                <w:szCs w:val="20"/>
                <w:lang w:val="en-AU" w:bidi="ar-SA"/>
              </w:rPr>
              <w:t xml:space="preserve">Utility during surgery </w:t>
            </w:r>
          </w:p>
          <w:p w14:paraId="017321E2" w14:textId="77777777" w:rsidR="00825672" w:rsidRPr="00F94835" w:rsidRDefault="00825672" w:rsidP="00220A6C">
            <w:pPr>
              <w:keepNext/>
              <w:keepLines/>
              <w:jc w:val="center"/>
              <w:rPr>
                <w:rFonts w:ascii="Arial Narrow" w:eastAsia="Aptos" w:hAnsi="Arial Narrow" w:cs="Calibri"/>
                <w:bCs/>
                <w:sz w:val="20"/>
                <w:szCs w:val="20"/>
                <w:lang w:val="en-AU" w:bidi="ar-SA"/>
              </w:rPr>
            </w:pPr>
            <w:r w:rsidRPr="00F94835">
              <w:rPr>
                <w:rFonts w:ascii="Arial Narrow" w:eastAsia="Aptos" w:hAnsi="Arial Narrow" w:cs="Calibri"/>
                <w:bCs/>
                <w:sz w:val="20"/>
                <w:szCs w:val="20"/>
                <w:lang w:val="en-AU" w:bidi="ar-SA"/>
              </w:rPr>
              <w:t>(March</w:t>
            </w:r>
            <w:r>
              <w:rPr>
                <w:rFonts w:ascii="Arial Narrow" w:eastAsia="Aptos" w:hAnsi="Arial Narrow" w:cs="Calibri"/>
                <w:bCs/>
                <w:sz w:val="20"/>
                <w:szCs w:val="20"/>
                <w:lang w:val="en-AU" w:bidi="ar-SA"/>
              </w:rPr>
              <w:t xml:space="preserve"> 20</w:t>
            </w:r>
            <w:r w:rsidRPr="00F94835">
              <w:rPr>
                <w:rFonts w:ascii="Arial Narrow" w:eastAsia="Aptos" w:hAnsi="Arial Narrow" w:cs="Calibri"/>
                <w:bCs/>
                <w:sz w:val="20"/>
                <w:szCs w:val="20"/>
                <w:lang w:val="en-AU" w:bidi="ar-SA"/>
              </w:rPr>
              <w:t>25 model)</w:t>
            </w:r>
          </w:p>
        </w:tc>
        <w:tc>
          <w:tcPr>
            <w:tcW w:w="1322" w:type="pct"/>
            <w:tcBorders>
              <w:bottom w:val="single" w:sz="4" w:space="0" w:color="auto"/>
            </w:tcBorders>
            <w:shd w:val="clear" w:color="auto" w:fill="FFFFFF" w:themeFill="background1"/>
            <w:vAlign w:val="center"/>
          </w:tcPr>
          <w:p w14:paraId="38E7982B" w14:textId="77777777" w:rsidR="00825672" w:rsidRPr="00F94835" w:rsidRDefault="00825672" w:rsidP="00220A6C">
            <w:pPr>
              <w:keepNext/>
              <w:keepLines/>
              <w:jc w:val="center"/>
              <w:rPr>
                <w:rFonts w:ascii="Arial Narrow" w:eastAsia="Aptos" w:hAnsi="Arial Narrow" w:cs="Calibri"/>
                <w:bCs/>
                <w:sz w:val="20"/>
                <w:szCs w:val="20"/>
                <w:lang w:val="en-AU" w:bidi="ar-SA"/>
              </w:rPr>
            </w:pPr>
            <w:r w:rsidRPr="00F94835">
              <w:rPr>
                <w:rFonts w:ascii="Arial Narrow" w:eastAsia="Aptos" w:hAnsi="Arial Narrow" w:cs="Calibri"/>
                <w:bCs/>
                <w:sz w:val="20"/>
                <w:szCs w:val="20"/>
                <w:lang w:val="en-AU" w:bidi="ar-SA"/>
              </w:rPr>
              <w:t xml:space="preserve">Utility during surgery </w:t>
            </w:r>
          </w:p>
          <w:p w14:paraId="27C584E3" w14:textId="77777777" w:rsidR="00825672" w:rsidRPr="00F94835" w:rsidRDefault="00825672" w:rsidP="00220A6C">
            <w:pPr>
              <w:keepNext/>
              <w:keepLines/>
              <w:jc w:val="center"/>
              <w:rPr>
                <w:rFonts w:ascii="Arial Narrow" w:eastAsia="Aptos" w:hAnsi="Arial Narrow" w:cs="Calibri"/>
                <w:bCs/>
                <w:sz w:val="20"/>
                <w:szCs w:val="20"/>
                <w:lang w:val="en-AU" w:bidi="ar-SA"/>
              </w:rPr>
            </w:pPr>
            <w:r w:rsidRPr="00F94835">
              <w:rPr>
                <w:rFonts w:ascii="Arial Narrow" w:eastAsia="Aptos" w:hAnsi="Arial Narrow" w:cs="Calibri"/>
                <w:bCs/>
                <w:sz w:val="20"/>
                <w:szCs w:val="20"/>
                <w:lang w:val="en-AU" w:bidi="ar-SA"/>
              </w:rPr>
              <w:t>(</w:t>
            </w:r>
            <w:r>
              <w:rPr>
                <w:rFonts w:ascii="Arial Narrow" w:eastAsia="Aptos" w:hAnsi="Arial Narrow" w:cs="Calibri"/>
                <w:bCs/>
                <w:sz w:val="20"/>
                <w:szCs w:val="20"/>
                <w:lang w:val="en-AU" w:bidi="ar-SA"/>
              </w:rPr>
              <w:t>Resubmission</w:t>
            </w:r>
            <w:r w:rsidRPr="00F94835">
              <w:rPr>
                <w:rFonts w:ascii="Arial Narrow" w:eastAsia="Aptos" w:hAnsi="Arial Narrow" w:cs="Calibri"/>
                <w:bCs/>
                <w:sz w:val="20"/>
                <w:szCs w:val="20"/>
                <w:lang w:val="en-AU" w:bidi="ar-SA"/>
              </w:rPr>
              <w:t xml:space="preserve"> model)</w:t>
            </w:r>
          </w:p>
        </w:tc>
      </w:tr>
      <w:tr w:rsidR="00825672" w:rsidRPr="003B6A18" w14:paraId="61AD0000" w14:textId="77777777" w:rsidTr="00374CB4">
        <w:trPr>
          <w:trHeight w:val="170"/>
        </w:trPr>
        <w:tc>
          <w:tcPr>
            <w:tcW w:w="2353" w:type="pct"/>
            <w:vAlign w:val="center"/>
          </w:tcPr>
          <w:p w14:paraId="75F28AA8" w14:textId="77777777" w:rsidR="00825672" w:rsidRPr="006E3DC9" w:rsidRDefault="00825672" w:rsidP="00220A6C">
            <w:pPr>
              <w:keepNext/>
              <w:keepLines/>
              <w:jc w:val="left"/>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Small Proptosis, No Diplopia</w:t>
            </w:r>
          </w:p>
        </w:tc>
        <w:tc>
          <w:tcPr>
            <w:tcW w:w="1325" w:type="pct"/>
            <w:shd w:val="clear" w:color="auto" w:fill="D9D9D9" w:themeFill="background1" w:themeFillShade="D9"/>
          </w:tcPr>
          <w:p w14:paraId="74BE3A07"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0.55</w:t>
            </w:r>
          </w:p>
        </w:tc>
        <w:tc>
          <w:tcPr>
            <w:tcW w:w="1322" w:type="pct"/>
          </w:tcPr>
          <w:p w14:paraId="40C50711"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0.80</w:t>
            </w:r>
          </w:p>
        </w:tc>
      </w:tr>
      <w:tr w:rsidR="00825672" w:rsidRPr="003B6A18" w14:paraId="23A5F0C4" w14:textId="77777777" w:rsidTr="00374CB4">
        <w:trPr>
          <w:trHeight w:val="170"/>
        </w:trPr>
        <w:tc>
          <w:tcPr>
            <w:tcW w:w="2353" w:type="pct"/>
            <w:vAlign w:val="center"/>
          </w:tcPr>
          <w:p w14:paraId="44E5DE43" w14:textId="77777777" w:rsidR="00825672" w:rsidRPr="006E3DC9" w:rsidRDefault="00825672" w:rsidP="00220A6C">
            <w:pPr>
              <w:keepNext/>
              <w:keepLines/>
              <w:jc w:val="left"/>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Large Proptosis, No Diplopia</w:t>
            </w:r>
          </w:p>
        </w:tc>
        <w:tc>
          <w:tcPr>
            <w:tcW w:w="1325" w:type="pct"/>
            <w:shd w:val="clear" w:color="auto" w:fill="D9D9D9" w:themeFill="background1" w:themeFillShade="D9"/>
          </w:tcPr>
          <w:p w14:paraId="418C7726"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0.55</w:t>
            </w:r>
          </w:p>
        </w:tc>
        <w:tc>
          <w:tcPr>
            <w:tcW w:w="1322" w:type="pct"/>
          </w:tcPr>
          <w:p w14:paraId="44C3B93B"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0.61</w:t>
            </w:r>
          </w:p>
        </w:tc>
      </w:tr>
      <w:tr w:rsidR="00825672" w:rsidRPr="003B6A18" w14:paraId="16213F82" w14:textId="77777777" w:rsidTr="00374CB4">
        <w:trPr>
          <w:trHeight w:val="170"/>
        </w:trPr>
        <w:tc>
          <w:tcPr>
            <w:tcW w:w="2353" w:type="pct"/>
            <w:vAlign w:val="center"/>
          </w:tcPr>
          <w:p w14:paraId="30124AFF" w14:textId="77777777" w:rsidR="00825672" w:rsidRPr="006E3DC9" w:rsidRDefault="00825672" w:rsidP="00220A6C">
            <w:pPr>
              <w:keepNext/>
              <w:keepLines/>
              <w:jc w:val="left"/>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Small Proptosis, Intermittent/Inconstant Diplopia</w:t>
            </w:r>
          </w:p>
        </w:tc>
        <w:tc>
          <w:tcPr>
            <w:tcW w:w="1325" w:type="pct"/>
            <w:shd w:val="clear" w:color="auto" w:fill="D9D9D9" w:themeFill="background1" w:themeFillShade="D9"/>
          </w:tcPr>
          <w:p w14:paraId="48D3F087"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0.55</w:t>
            </w:r>
          </w:p>
        </w:tc>
        <w:tc>
          <w:tcPr>
            <w:tcW w:w="1322" w:type="pct"/>
          </w:tcPr>
          <w:p w14:paraId="05BF475C"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0.72</w:t>
            </w:r>
          </w:p>
        </w:tc>
      </w:tr>
      <w:tr w:rsidR="00825672" w:rsidRPr="003B6A18" w14:paraId="2ECF5225" w14:textId="77777777" w:rsidTr="00374CB4">
        <w:trPr>
          <w:trHeight w:val="170"/>
        </w:trPr>
        <w:tc>
          <w:tcPr>
            <w:tcW w:w="2353" w:type="pct"/>
            <w:vAlign w:val="center"/>
          </w:tcPr>
          <w:p w14:paraId="148E22B7" w14:textId="77777777" w:rsidR="00825672" w:rsidRPr="006E3DC9" w:rsidRDefault="00825672" w:rsidP="00220A6C">
            <w:pPr>
              <w:keepNext/>
              <w:keepLines/>
              <w:jc w:val="left"/>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Large Proptosis, Intermittent/Inconstant Diplopia</w:t>
            </w:r>
          </w:p>
        </w:tc>
        <w:tc>
          <w:tcPr>
            <w:tcW w:w="1325" w:type="pct"/>
            <w:shd w:val="clear" w:color="auto" w:fill="D9D9D9" w:themeFill="background1" w:themeFillShade="D9"/>
          </w:tcPr>
          <w:p w14:paraId="2BD67AB5"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0.55</w:t>
            </w:r>
          </w:p>
        </w:tc>
        <w:tc>
          <w:tcPr>
            <w:tcW w:w="1322" w:type="pct"/>
          </w:tcPr>
          <w:p w14:paraId="5E2E3C62"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0.58</w:t>
            </w:r>
          </w:p>
        </w:tc>
      </w:tr>
      <w:tr w:rsidR="00825672" w:rsidRPr="003B6A18" w14:paraId="1DF482B8" w14:textId="77777777" w:rsidTr="00374CB4">
        <w:trPr>
          <w:trHeight w:val="170"/>
        </w:trPr>
        <w:tc>
          <w:tcPr>
            <w:tcW w:w="2353" w:type="pct"/>
            <w:vAlign w:val="center"/>
          </w:tcPr>
          <w:p w14:paraId="628F2769" w14:textId="77777777" w:rsidR="00825672" w:rsidRPr="006E3DC9" w:rsidRDefault="00825672" w:rsidP="00220A6C">
            <w:pPr>
              <w:keepNext/>
              <w:keepLines/>
              <w:jc w:val="left"/>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Small Proptosis, Constant Diplopia</w:t>
            </w:r>
          </w:p>
        </w:tc>
        <w:tc>
          <w:tcPr>
            <w:tcW w:w="1325" w:type="pct"/>
            <w:shd w:val="clear" w:color="auto" w:fill="D9D9D9" w:themeFill="background1" w:themeFillShade="D9"/>
          </w:tcPr>
          <w:p w14:paraId="28E7DC69"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0.55</w:t>
            </w:r>
          </w:p>
        </w:tc>
        <w:tc>
          <w:tcPr>
            <w:tcW w:w="1322" w:type="pct"/>
          </w:tcPr>
          <w:p w14:paraId="61FF65E2"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0.55</w:t>
            </w:r>
          </w:p>
        </w:tc>
      </w:tr>
      <w:tr w:rsidR="00825672" w:rsidRPr="003B6A18" w14:paraId="01D85964" w14:textId="77777777" w:rsidTr="00374CB4">
        <w:trPr>
          <w:trHeight w:val="170"/>
        </w:trPr>
        <w:tc>
          <w:tcPr>
            <w:tcW w:w="2353" w:type="pct"/>
            <w:vAlign w:val="center"/>
          </w:tcPr>
          <w:p w14:paraId="48478ABC" w14:textId="77777777" w:rsidR="00825672" w:rsidRPr="006E3DC9" w:rsidRDefault="00825672" w:rsidP="00220A6C">
            <w:pPr>
              <w:keepNext/>
              <w:keepLines/>
              <w:jc w:val="left"/>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Large Proptosis, Constant Diplopia</w:t>
            </w:r>
          </w:p>
        </w:tc>
        <w:tc>
          <w:tcPr>
            <w:tcW w:w="1325" w:type="pct"/>
            <w:shd w:val="clear" w:color="auto" w:fill="D9D9D9" w:themeFill="background1" w:themeFillShade="D9"/>
          </w:tcPr>
          <w:p w14:paraId="7BA2297B"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0.55</w:t>
            </w:r>
          </w:p>
        </w:tc>
        <w:tc>
          <w:tcPr>
            <w:tcW w:w="1322" w:type="pct"/>
          </w:tcPr>
          <w:p w14:paraId="171E5610" w14:textId="77777777" w:rsidR="00825672" w:rsidRPr="006E3DC9" w:rsidRDefault="00825672" w:rsidP="00220A6C">
            <w:pPr>
              <w:keepNext/>
              <w:keepLines/>
              <w:jc w:val="center"/>
              <w:rPr>
                <w:rFonts w:ascii="Arial Narrow" w:eastAsia="Aptos" w:hAnsi="Arial Narrow" w:cs="Calibri"/>
                <w:sz w:val="20"/>
                <w:szCs w:val="20"/>
                <w:lang w:val="en-AU" w:bidi="ar-SA"/>
              </w:rPr>
            </w:pPr>
            <w:r w:rsidRPr="006E3DC9">
              <w:rPr>
                <w:rFonts w:ascii="Arial Narrow" w:eastAsia="Aptos" w:hAnsi="Arial Narrow" w:cs="Calibri"/>
                <w:sz w:val="20"/>
                <w:szCs w:val="20"/>
                <w:lang w:val="en-AU" w:bidi="ar-SA"/>
              </w:rPr>
              <w:t>0.55</w:t>
            </w:r>
          </w:p>
        </w:tc>
      </w:tr>
    </w:tbl>
    <w:p w14:paraId="63E9FFEF" w14:textId="77777777" w:rsidR="00825672" w:rsidRPr="00363606" w:rsidRDefault="00825672" w:rsidP="00825672">
      <w:pPr>
        <w:pStyle w:val="TableFooter"/>
        <w:rPr>
          <w:i/>
          <w:iCs/>
        </w:rPr>
      </w:pPr>
      <w:r>
        <w:t xml:space="preserve">Source: Resubmission, </w:t>
      </w:r>
      <w:r w:rsidRPr="00E21525">
        <w:t>Table 10</w:t>
      </w:r>
      <w:r w:rsidRPr="00363606">
        <w:t>, p8</w:t>
      </w:r>
    </w:p>
    <w:p w14:paraId="230C4CEB" w14:textId="383FB4BA" w:rsidR="00825672" w:rsidRDefault="00825672" w:rsidP="00220A6C">
      <w:pPr>
        <w:pStyle w:val="3-BodyText"/>
        <w:numPr>
          <w:ilvl w:val="1"/>
          <w:numId w:val="1"/>
        </w:numPr>
      </w:pPr>
      <w:r w:rsidRPr="00363606">
        <w:t>To reflect an improvement</w:t>
      </w:r>
      <w:r w:rsidRPr="001C2083">
        <w:t xml:space="preserve"> in quality of life following rehabilitative surgery, the resubmission also revised the post-surgical utility weights</w:t>
      </w:r>
      <w:r>
        <w:t xml:space="preserve"> (</w:t>
      </w:r>
      <w:r>
        <w:fldChar w:fldCharType="begin"/>
      </w:r>
      <w:r>
        <w:instrText xml:space="preserve"> REF _Ref199059559 \h  \* MERGEFORMAT </w:instrText>
      </w:r>
      <w:r>
        <w:fldChar w:fldCharType="separate"/>
      </w:r>
      <w:r w:rsidR="0012101B" w:rsidRPr="0012101B">
        <w:t>Table 26</w:t>
      </w:r>
      <w:r>
        <w:fldChar w:fldCharType="end"/>
      </w:r>
      <w:r>
        <w:t>)</w:t>
      </w:r>
      <w:r w:rsidRPr="001C2083">
        <w:t>. Similar to the approach taken in the surgical phase, the utility gains following surgery were proportionate to the severity of the starting health state</w:t>
      </w:r>
      <w:r>
        <w:t>.</w:t>
      </w:r>
      <w:r w:rsidRPr="001C2083">
        <w:t xml:space="preserve"> The health states associated with the most severe disease were assumed to gain the most utility from surgery (0.22), while the health states with less severe disease gained the least (0.05 for small proptosis, no diplopia and 0.13 for small proptosis, intermittent/inconstant diplopia</w:t>
      </w:r>
      <w:r w:rsidRPr="00977727">
        <w:t xml:space="preserve">). The two intermediate health states defined by large proptosis differed slightly in the utility gain achieved from surgery with a greater improvement modelled </w:t>
      </w:r>
      <w:r>
        <w:t>for</w:t>
      </w:r>
      <w:r w:rsidRPr="00977727">
        <w:t xml:space="preserve"> intermittent/inconstant diplopia (0.19) </w:t>
      </w:r>
      <w:r>
        <w:t xml:space="preserve">versus </w:t>
      </w:r>
      <w:r w:rsidRPr="00977727">
        <w:t xml:space="preserve">no diplopia (0.16). </w:t>
      </w:r>
    </w:p>
    <w:p w14:paraId="29EF9CBA" w14:textId="3DBB6F82" w:rsidR="00825672" w:rsidRPr="00BD0089" w:rsidRDefault="00825672" w:rsidP="00220A6C">
      <w:pPr>
        <w:pStyle w:val="3-BodyText"/>
        <w:numPr>
          <w:ilvl w:val="1"/>
          <w:numId w:val="1"/>
        </w:numPr>
      </w:pPr>
      <w:r w:rsidRPr="006C3AF0">
        <w:t xml:space="preserve">The revised approach </w:t>
      </w:r>
      <w:r>
        <w:t>assumed the</w:t>
      </w:r>
      <w:r w:rsidRPr="006C3AF0">
        <w:t xml:space="preserve"> three health states</w:t>
      </w:r>
      <w:r>
        <w:t xml:space="preserve"> with the highest quality of life, resulted in</w:t>
      </w:r>
      <w:r w:rsidRPr="006C3AF0">
        <w:t xml:space="preserve"> a post-surgery utility of 0.85</w:t>
      </w:r>
      <w:r>
        <w:t>,</w:t>
      </w:r>
      <w:r w:rsidRPr="006C3AF0">
        <w:t xml:space="preserve"> the same </w:t>
      </w:r>
      <w:r>
        <w:t xml:space="preserve">value </w:t>
      </w:r>
      <w:r w:rsidRPr="006C3AF0">
        <w:t xml:space="preserve">as the </w:t>
      </w:r>
      <w:r>
        <w:t>highest</w:t>
      </w:r>
      <w:r w:rsidRPr="006C3AF0">
        <w:t xml:space="preserve"> TED health state </w:t>
      </w:r>
      <w:r>
        <w:t>pre-surgery,</w:t>
      </w:r>
      <w:r w:rsidRPr="006C3AF0">
        <w:t xml:space="preserve"> and the three health states </w:t>
      </w:r>
      <w:r>
        <w:t xml:space="preserve">with the lowest quality of life, resulted in a post-utility of 0.77, </w:t>
      </w:r>
      <w:r w:rsidRPr="006C3AF0">
        <w:t xml:space="preserve">the same </w:t>
      </w:r>
      <w:r>
        <w:t xml:space="preserve">as </w:t>
      </w:r>
      <w:r w:rsidRPr="006C3AF0">
        <w:t>the second-</w:t>
      </w:r>
      <w:r>
        <w:t>highest</w:t>
      </w:r>
      <w:r w:rsidRPr="006C3AF0">
        <w:t xml:space="preserve"> </w:t>
      </w:r>
      <w:r>
        <w:t>utility</w:t>
      </w:r>
      <w:r w:rsidRPr="006C3AF0">
        <w:t xml:space="preserve"> </w:t>
      </w:r>
      <w:r>
        <w:t>pre-surgery</w:t>
      </w:r>
      <w:r w:rsidRPr="006C3AF0">
        <w:t xml:space="preserve">. </w:t>
      </w:r>
      <w:r>
        <w:rPr>
          <w:lang w:val="en-IN"/>
        </w:rPr>
        <w:t xml:space="preserve">A comparison of the utility values during the post-surgery phase from the March 2025 model versus the re-specified model in the resubmission is </w:t>
      </w:r>
      <w:r w:rsidRPr="00082494">
        <w:t xml:space="preserve">provided in </w:t>
      </w:r>
      <w:r w:rsidRPr="00082494">
        <w:fldChar w:fldCharType="begin"/>
      </w:r>
      <w:r w:rsidRPr="00082494">
        <w:instrText xml:space="preserve"> REF _Ref199060498 \h </w:instrText>
      </w:r>
      <w:r>
        <w:instrText xml:space="preserve"> \* MERGEFORMAT </w:instrText>
      </w:r>
      <w:r w:rsidRPr="00082494">
        <w:fldChar w:fldCharType="separate"/>
      </w:r>
      <w:r w:rsidR="0012101B" w:rsidRPr="0012101B">
        <w:t>Table 27</w:t>
      </w:r>
      <w:r w:rsidRPr="00082494">
        <w:fldChar w:fldCharType="end"/>
      </w:r>
      <w:r>
        <w:t>.</w:t>
      </w:r>
    </w:p>
    <w:p w14:paraId="685C5EBD" w14:textId="04C8CA12" w:rsidR="00825672" w:rsidRPr="006E3DC9" w:rsidRDefault="00825672" w:rsidP="00220A6C">
      <w:pPr>
        <w:pStyle w:val="TableFigureHeading"/>
        <w:spacing w:before="120"/>
        <w:rPr>
          <w:b w:val="0"/>
        </w:rPr>
      </w:pPr>
      <w:bookmarkStart w:id="142" w:name="_Ref199059559"/>
      <w:r w:rsidRPr="00BD0089">
        <w:rPr>
          <w:rStyle w:val="CommentReference"/>
          <w:b/>
          <w:bCs w:val="0"/>
        </w:rPr>
        <w:lastRenderedPageBreak/>
        <w:t xml:space="preserve">Table </w:t>
      </w:r>
      <w:r w:rsidRPr="00BD0089">
        <w:rPr>
          <w:rStyle w:val="CommentReference"/>
          <w:b/>
          <w:bCs w:val="0"/>
        </w:rPr>
        <w:fldChar w:fldCharType="begin"/>
      </w:r>
      <w:r w:rsidRPr="00BD0089">
        <w:rPr>
          <w:rStyle w:val="CommentReference"/>
          <w:b/>
          <w:bCs w:val="0"/>
        </w:rPr>
        <w:instrText xml:space="preserve"> SEQ Table \* ARABIC </w:instrText>
      </w:r>
      <w:r w:rsidRPr="00BD0089">
        <w:rPr>
          <w:rStyle w:val="CommentReference"/>
          <w:b/>
          <w:bCs w:val="0"/>
        </w:rPr>
        <w:fldChar w:fldCharType="separate"/>
      </w:r>
      <w:r w:rsidR="0012101B">
        <w:rPr>
          <w:rStyle w:val="CommentReference"/>
          <w:b/>
          <w:bCs w:val="0"/>
          <w:noProof/>
        </w:rPr>
        <w:t>26</w:t>
      </w:r>
      <w:r w:rsidRPr="00BD0089">
        <w:rPr>
          <w:rStyle w:val="CommentReference"/>
          <w:b/>
          <w:bCs w:val="0"/>
        </w:rPr>
        <w:fldChar w:fldCharType="end"/>
      </w:r>
      <w:bookmarkEnd w:id="142"/>
      <w:r>
        <w:rPr>
          <w:rStyle w:val="CommentReference"/>
          <w:b/>
          <w:bCs w:val="0"/>
        </w:rPr>
        <w:t xml:space="preserve">: </w:t>
      </w:r>
      <w:r w:rsidRPr="00BD0089">
        <w:rPr>
          <w:rStyle w:val="CommentReference"/>
          <w:b/>
          <w:bCs w:val="0"/>
        </w:rPr>
        <w:t xml:space="preserve">Comparison of the utility gains post-surgery from the March 2025 </w:t>
      </w:r>
      <w:r w:rsidRPr="006E3DC9">
        <w:rPr>
          <w:rStyle w:val="CommentReference"/>
          <w:b/>
          <w:bCs w:val="0"/>
        </w:rPr>
        <w:t>v</w:t>
      </w:r>
      <w:r>
        <w:rPr>
          <w:rStyle w:val="CommentReference"/>
          <w:b/>
          <w:bCs w:val="0"/>
        </w:rPr>
        <w:t>er</w:t>
      </w:r>
      <w:r w:rsidRPr="006E3DC9">
        <w:rPr>
          <w:rStyle w:val="CommentReference"/>
          <w:b/>
          <w:bCs w:val="0"/>
        </w:rPr>
        <w:t>s</w:t>
      </w:r>
      <w:r>
        <w:rPr>
          <w:rStyle w:val="CommentReference"/>
          <w:b/>
          <w:bCs w:val="0"/>
        </w:rPr>
        <w:t xml:space="preserve">us the </w:t>
      </w:r>
      <w:r w:rsidRPr="006E3DC9">
        <w:rPr>
          <w:rStyle w:val="CommentReference"/>
          <w:b/>
        </w:rPr>
        <w:t>re-specified model</w:t>
      </w:r>
      <w:r>
        <w:rPr>
          <w:rStyle w:val="CommentReference"/>
          <w:b/>
        </w:rPr>
        <w:t xml:space="preserve"> in the resubmission</w:t>
      </w:r>
    </w:p>
    <w:tbl>
      <w:tblPr>
        <w:tblStyle w:val="Submissionstandard"/>
        <w:tblW w:w="5000" w:type="pct"/>
        <w:tblLook w:val="04A0" w:firstRow="1" w:lastRow="0" w:firstColumn="1" w:lastColumn="0" w:noHBand="0" w:noVBand="1"/>
      </w:tblPr>
      <w:tblGrid>
        <w:gridCol w:w="4199"/>
        <w:gridCol w:w="2409"/>
        <w:gridCol w:w="2409"/>
      </w:tblGrid>
      <w:tr w:rsidR="00825672" w:rsidRPr="003B6A18" w14:paraId="6C457894" w14:textId="77777777" w:rsidTr="00374CB4">
        <w:trPr>
          <w:cnfStyle w:val="100000000000" w:firstRow="1" w:lastRow="0" w:firstColumn="0" w:lastColumn="0" w:oddVBand="0" w:evenVBand="0" w:oddHBand="0" w:evenHBand="0" w:firstRowFirstColumn="0" w:firstRowLastColumn="0" w:lastRowFirstColumn="0" w:lastRowLastColumn="0"/>
          <w:cantSplit/>
          <w:trHeight w:val="170"/>
          <w:tblHeader/>
        </w:trPr>
        <w:tc>
          <w:tcPr>
            <w:tcW w:w="2328" w:type="pct"/>
            <w:tcBorders>
              <w:bottom w:val="single" w:sz="4" w:space="0" w:color="auto"/>
            </w:tcBorders>
            <w:shd w:val="clear" w:color="auto" w:fill="FFFFFF" w:themeFill="background1"/>
            <w:vAlign w:val="center"/>
          </w:tcPr>
          <w:p w14:paraId="3AAB6A54" w14:textId="77777777" w:rsidR="00825672" w:rsidRPr="00EC24CF" w:rsidRDefault="00825672" w:rsidP="00220A6C">
            <w:pPr>
              <w:keepNext/>
              <w:rPr>
                <w:rFonts w:ascii="Arial Narrow" w:eastAsia="Aptos" w:hAnsi="Arial Narrow" w:cs="Calibri"/>
                <w:bCs/>
                <w:sz w:val="20"/>
                <w:szCs w:val="20"/>
                <w:lang w:val="en-AU" w:bidi="ar-SA"/>
              </w:rPr>
            </w:pPr>
            <w:r w:rsidRPr="00EC24CF">
              <w:rPr>
                <w:rFonts w:ascii="Arial Narrow" w:eastAsia="Aptos" w:hAnsi="Arial Narrow" w:cs="Calibri"/>
                <w:bCs/>
                <w:sz w:val="20"/>
                <w:szCs w:val="20"/>
                <w:lang w:val="en-AU" w:bidi="ar-SA"/>
              </w:rPr>
              <w:t>Health state</w:t>
            </w:r>
          </w:p>
        </w:tc>
        <w:tc>
          <w:tcPr>
            <w:tcW w:w="1336" w:type="pct"/>
            <w:tcBorders>
              <w:bottom w:val="single" w:sz="4" w:space="0" w:color="auto"/>
            </w:tcBorders>
            <w:shd w:val="clear" w:color="auto" w:fill="D9D9D9" w:themeFill="background1" w:themeFillShade="D9"/>
          </w:tcPr>
          <w:p w14:paraId="5D1AE10B" w14:textId="77777777" w:rsidR="00825672" w:rsidRPr="00832EF7" w:rsidRDefault="00825672" w:rsidP="00220A6C">
            <w:pPr>
              <w:keepNext/>
              <w:jc w:val="center"/>
              <w:rPr>
                <w:rFonts w:ascii="Arial Narrow" w:eastAsia="Aptos" w:hAnsi="Arial Narrow" w:cs="Calibri"/>
                <w:bCs/>
                <w:sz w:val="20"/>
                <w:szCs w:val="20"/>
                <w:lang w:val="en-AU" w:bidi="ar-SA"/>
              </w:rPr>
            </w:pPr>
            <w:r w:rsidRPr="00832EF7">
              <w:rPr>
                <w:rFonts w:ascii="Arial Narrow" w:eastAsia="Aptos" w:hAnsi="Arial Narrow" w:cs="Calibri"/>
                <w:bCs/>
                <w:sz w:val="20"/>
                <w:szCs w:val="20"/>
                <w:lang w:val="en-AU" w:bidi="ar-SA"/>
              </w:rPr>
              <w:t>Utility gains post-surgery (March 2025 model)</w:t>
            </w:r>
          </w:p>
        </w:tc>
        <w:tc>
          <w:tcPr>
            <w:tcW w:w="1336" w:type="pct"/>
            <w:tcBorders>
              <w:bottom w:val="single" w:sz="4" w:space="0" w:color="auto"/>
            </w:tcBorders>
            <w:shd w:val="clear" w:color="auto" w:fill="FFFFFF" w:themeFill="background1"/>
          </w:tcPr>
          <w:p w14:paraId="6B385C9A" w14:textId="77777777" w:rsidR="00825672" w:rsidRPr="00EC24CF" w:rsidRDefault="00825672" w:rsidP="00220A6C">
            <w:pPr>
              <w:keepNext/>
              <w:jc w:val="center"/>
              <w:rPr>
                <w:rFonts w:ascii="Arial Narrow" w:eastAsia="Aptos" w:hAnsi="Arial Narrow" w:cs="Calibri"/>
                <w:bCs/>
                <w:sz w:val="20"/>
                <w:szCs w:val="20"/>
                <w:lang w:val="en-AU" w:bidi="ar-SA"/>
              </w:rPr>
            </w:pPr>
            <w:r w:rsidRPr="00EC24CF">
              <w:rPr>
                <w:rFonts w:ascii="Arial Narrow" w:eastAsia="Aptos" w:hAnsi="Arial Narrow" w:cs="Calibri"/>
                <w:bCs/>
                <w:sz w:val="20"/>
                <w:szCs w:val="20"/>
                <w:lang w:val="en-AU" w:bidi="ar-SA"/>
              </w:rPr>
              <w:t>Utility gains post-surgery (</w:t>
            </w:r>
            <w:r>
              <w:rPr>
                <w:rFonts w:ascii="Arial Narrow" w:eastAsia="Aptos" w:hAnsi="Arial Narrow" w:cs="Calibri"/>
                <w:bCs/>
                <w:sz w:val="20"/>
                <w:szCs w:val="20"/>
                <w:lang w:val="en-AU" w:bidi="ar-SA"/>
              </w:rPr>
              <w:t xml:space="preserve">Resubmission </w:t>
            </w:r>
            <w:r w:rsidRPr="00EC24CF">
              <w:rPr>
                <w:rFonts w:ascii="Arial Narrow" w:eastAsia="Aptos" w:hAnsi="Arial Narrow" w:cs="Calibri"/>
                <w:bCs/>
                <w:sz w:val="20"/>
                <w:szCs w:val="20"/>
                <w:lang w:val="en-AU" w:bidi="ar-SA"/>
              </w:rPr>
              <w:t>model)</w:t>
            </w:r>
          </w:p>
        </w:tc>
      </w:tr>
      <w:tr w:rsidR="00825672" w:rsidRPr="003B6A18" w14:paraId="7ACB49BF" w14:textId="77777777" w:rsidTr="00374CB4">
        <w:trPr>
          <w:trHeight w:val="170"/>
        </w:trPr>
        <w:tc>
          <w:tcPr>
            <w:tcW w:w="2328" w:type="pct"/>
            <w:vAlign w:val="center"/>
          </w:tcPr>
          <w:p w14:paraId="402FB0B0" w14:textId="77777777" w:rsidR="00825672" w:rsidRPr="00B95A6A" w:rsidRDefault="00825672" w:rsidP="00220A6C">
            <w:pPr>
              <w:keepNext/>
              <w:jc w:val="left"/>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Small Proptosis, No Diplopia</w:t>
            </w:r>
          </w:p>
        </w:tc>
        <w:tc>
          <w:tcPr>
            <w:tcW w:w="1336" w:type="pct"/>
            <w:shd w:val="clear" w:color="auto" w:fill="D9D9D9" w:themeFill="background1" w:themeFillShade="D9"/>
          </w:tcPr>
          <w:p w14:paraId="009A3193" w14:textId="77777777" w:rsidR="00825672" w:rsidRPr="00832EF7" w:rsidRDefault="00825672" w:rsidP="00220A6C">
            <w:pPr>
              <w:keepNext/>
              <w:jc w:val="center"/>
              <w:rPr>
                <w:rFonts w:ascii="Arial Narrow" w:eastAsia="Aptos" w:hAnsi="Arial Narrow" w:cs="Calibri"/>
                <w:sz w:val="20"/>
                <w:szCs w:val="20"/>
                <w:lang w:val="en-AU" w:bidi="ar-SA"/>
              </w:rPr>
            </w:pPr>
            <w:r w:rsidRPr="00832EF7">
              <w:rPr>
                <w:rFonts w:ascii="Arial Narrow" w:eastAsia="Aptos" w:hAnsi="Arial Narrow" w:cs="Calibri"/>
                <w:sz w:val="20"/>
                <w:szCs w:val="20"/>
                <w:lang w:val="en-AU" w:bidi="ar-SA"/>
              </w:rPr>
              <w:t>0.13</w:t>
            </w:r>
          </w:p>
        </w:tc>
        <w:tc>
          <w:tcPr>
            <w:tcW w:w="1336" w:type="pct"/>
          </w:tcPr>
          <w:p w14:paraId="366C7B84" w14:textId="77777777" w:rsidR="00825672" w:rsidRPr="00B95A6A" w:rsidRDefault="00825672" w:rsidP="00220A6C">
            <w:pPr>
              <w:keepNext/>
              <w:jc w:val="center"/>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0.05</w:t>
            </w:r>
          </w:p>
        </w:tc>
      </w:tr>
      <w:tr w:rsidR="00825672" w:rsidRPr="003B6A18" w14:paraId="2C8635A8" w14:textId="77777777" w:rsidTr="00374CB4">
        <w:trPr>
          <w:trHeight w:val="170"/>
        </w:trPr>
        <w:tc>
          <w:tcPr>
            <w:tcW w:w="2328" w:type="pct"/>
            <w:vAlign w:val="center"/>
          </w:tcPr>
          <w:p w14:paraId="63D92509" w14:textId="77777777" w:rsidR="00825672" w:rsidRPr="00B95A6A" w:rsidRDefault="00825672" w:rsidP="00220A6C">
            <w:pPr>
              <w:keepNext/>
              <w:jc w:val="left"/>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Large Proptosis, No Diplopia</w:t>
            </w:r>
          </w:p>
        </w:tc>
        <w:tc>
          <w:tcPr>
            <w:tcW w:w="1336" w:type="pct"/>
            <w:shd w:val="clear" w:color="auto" w:fill="D9D9D9" w:themeFill="background1" w:themeFillShade="D9"/>
          </w:tcPr>
          <w:p w14:paraId="1C6EC5D4" w14:textId="77777777" w:rsidR="00825672" w:rsidRPr="00832EF7" w:rsidRDefault="00825672" w:rsidP="00220A6C">
            <w:pPr>
              <w:keepNext/>
              <w:jc w:val="center"/>
              <w:rPr>
                <w:rFonts w:ascii="Arial Narrow" w:eastAsia="Aptos" w:hAnsi="Arial Narrow" w:cs="Calibri"/>
                <w:sz w:val="20"/>
                <w:szCs w:val="20"/>
                <w:lang w:val="en-AU" w:bidi="ar-SA"/>
              </w:rPr>
            </w:pPr>
            <w:r w:rsidRPr="00832EF7">
              <w:rPr>
                <w:rFonts w:ascii="Arial Narrow" w:eastAsia="Aptos" w:hAnsi="Arial Narrow" w:cs="Calibri"/>
                <w:sz w:val="20"/>
                <w:szCs w:val="20"/>
                <w:lang w:val="en-AU" w:bidi="ar-SA"/>
              </w:rPr>
              <w:t>0.13</w:t>
            </w:r>
          </w:p>
        </w:tc>
        <w:tc>
          <w:tcPr>
            <w:tcW w:w="1336" w:type="pct"/>
          </w:tcPr>
          <w:p w14:paraId="60A81DA5" w14:textId="77777777" w:rsidR="00825672" w:rsidRPr="00B95A6A" w:rsidRDefault="00825672" w:rsidP="00220A6C">
            <w:pPr>
              <w:keepNext/>
              <w:jc w:val="center"/>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0.16</w:t>
            </w:r>
          </w:p>
        </w:tc>
      </w:tr>
      <w:tr w:rsidR="00825672" w:rsidRPr="003B6A18" w14:paraId="44FD947C" w14:textId="77777777" w:rsidTr="00374CB4">
        <w:trPr>
          <w:trHeight w:val="170"/>
        </w:trPr>
        <w:tc>
          <w:tcPr>
            <w:tcW w:w="2328" w:type="pct"/>
            <w:vAlign w:val="center"/>
          </w:tcPr>
          <w:p w14:paraId="33C54B65" w14:textId="77777777" w:rsidR="00825672" w:rsidRPr="00B95A6A" w:rsidRDefault="00825672" w:rsidP="00220A6C">
            <w:pPr>
              <w:keepNext/>
              <w:jc w:val="left"/>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Small Proptosis, Intermittent/Inconstant Diplopia</w:t>
            </w:r>
          </w:p>
        </w:tc>
        <w:tc>
          <w:tcPr>
            <w:tcW w:w="1336" w:type="pct"/>
            <w:shd w:val="clear" w:color="auto" w:fill="D9D9D9" w:themeFill="background1" w:themeFillShade="D9"/>
          </w:tcPr>
          <w:p w14:paraId="32EA219B" w14:textId="77777777" w:rsidR="00825672" w:rsidRPr="00832EF7" w:rsidRDefault="00825672" w:rsidP="00220A6C">
            <w:pPr>
              <w:keepNext/>
              <w:jc w:val="center"/>
              <w:rPr>
                <w:rFonts w:ascii="Arial Narrow" w:eastAsia="Aptos" w:hAnsi="Arial Narrow" w:cs="Calibri"/>
                <w:sz w:val="20"/>
                <w:szCs w:val="20"/>
                <w:lang w:val="en-AU" w:bidi="ar-SA"/>
              </w:rPr>
            </w:pPr>
            <w:r w:rsidRPr="00832EF7">
              <w:rPr>
                <w:rFonts w:ascii="Arial Narrow" w:eastAsia="Aptos" w:hAnsi="Arial Narrow" w:cs="Calibri"/>
                <w:sz w:val="20"/>
                <w:szCs w:val="20"/>
                <w:lang w:val="en-AU" w:bidi="ar-SA"/>
              </w:rPr>
              <w:t>0.13</w:t>
            </w:r>
          </w:p>
        </w:tc>
        <w:tc>
          <w:tcPr>
            <w:tcW w:w="1336" w:type="pct"/>
          </w:tcPr>
          <w:p w14:paraId="5B180ED3" w14:textId="77777777" w:rsidR="00825672" w:rsidRPr="00B95A6A" w:rsidRDefault="00825672" w:rsidP="00220A6C">
            <w:pPr>
              <w:keepNext/>
              <w:jc w:val="center"/>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0.13</w:t>
            </w:r>
          </w:p>
        </w:tc>
      </w:tr>
      <w:tr w:rsidR="00825672" w:rsidRPr="003B6A18" w14:paraId="68ADA315" w14:textId="77777777" w:rsidTr="00374CB4">
        <w:trPr>
          <w:trHeight w:val="170"/>
        </w:trPr>
        <w:tc>
          <w:tcPr>
            <w:tcW w:w="2328" w:type="pct"/>
            <w:vAlign w:val="center"/>
          </w:tcPr>
          <w:p w14:paraId="4F363F19" w14:textId="77777777" w:rsidR="00825672" w:rsidRPr="00B95A6A" w:rsidRDefault="00825672" w:rsidP="00220A6C">
            <w:pPr>
              <w:keepNext/>
              <w:jc w:val="left"/>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Large Proptosis, Intermittent/Inconstant Diplopia</w:t>
            </w:r>
          </w:p>
        </w:tc>
        <w:tc>
          <w:tcPr>
            <w:tcW w:w="1336" w:type="pct"/>
            <w:shd w:val="clear" w:color="auto" w:fill="D9D9D9" w:themeFill="background1" w:themeFillShade="D9"/>
          </w:tcPr>
          <w:p w14:paraId="6F1F8B0E" w14:textId="77777777" w:rsidR="00825672" w:rsidRPr="00832EF7" w:rsidRDefault="00825672" w:rsidP="00220A6C">
            <w:pPr>
              <w:keepNext/>
              <w:jc w:val="center"/>
              <w:rPr>
                <w:rFonts w:ascii="Arial Narrow" w:eastAsia="Aptos" w:hAnsi="Arial Narrow" w:cs="Calibri"/>
                <w:sz w:val="20"/>
                <w:szCs w:val="20"/>
                <w:lang w:val="en-AU" w:bidi="ar-SA"/>
              </w:rPr>
            </w:pPr>
            <w:r w:rsidRPr="00832EF7">
              <w:rPr>
                <w:rFonts w:ascii="Arial Narrow" w:eastAsia="Aptos" w:hAnsi="Arial Narrow" w:cs="Calibri"/>
                <w:sz w:val="20"/>
                <w:szCs w:val="20"/>
                <w:lang w:val="en-AU" w:bidi="ar-SA"/>
              </w:rPr>
              <w:t>0.13</w:t>
            </w:r>
          </w:p>
        </w:tc>
        <w:tc>
          <w:tcPr>
            <w:tcW w:w="1336" w:type="pct"/>
          </w:tcPr>
          <w:p w14:paraId="28268449" w14:textId="77777777" w:rsidR="00825672" w:rsidRPr="00B95A6A" w:rsidRDefault="00825672" w:rsidP="00220A6C">
            <w:pPr>
              <w:keepNext/>
              <w:jc w:val="center"/>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0.19</w:t>
            </w:r>
          </w:p>
        </w:tc>
      </w:tr>
      <w:tr w:rsidR="00825672" w:rsidRPr="003B6A18" w14:paraId="2A91817F" w14:textId="77777777" w:rsidTr="00374CB4">
        <w:trPr>
          <w:trHeight w:val="170"/>
        </w:trPr>
        <w:tc>
          <w:tcPr>
            <w:tcW w:w="2328" w:type="pct"/>
            <w:vAlign w:val="center"/>
          </w:tcPr>
          <w:p w14:paraId="6856502B" w14:textId="77777777" w:rsidR="00825672" w:rsidRPr="00B95A6A" w:rsidRDefault="00825672" w:rsidP="00220A6C">
            <w:pPr>
              <w:keepNext/>
              <w:jc w:val="left"/>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Small Proptosis, Constant Diplopia</w:t>
            </w:r>
          </w:p>
        </w:tc>
        <w:tc>
          <w:tcPr>
            <w:tcW w:w="1336" w:type="pct"/>
            <w:shd w:val="clear" w:color="auto" w:fill="D9D9D9" w:themeFill="background1" w:themeFillShade="D9"/>
          </w:tcPr>
          <w:p w14:paraId="524E5EE8" w14:textId="77777777" w:rsidR="00825672" w:rsidRPr="00832EF7" w:rsidRDefault="00825672" w:rsidP="00220A6C">
            <w:pPr>
              <w:keepNext/>
              <w:jc w:val="center"/>
              <w:rPr>
                <w:rFonts w:ascii="Arial Narrow" w:eastAsia="Aptos" w:hAnsi="Arial Narrow" w:cs="Calibri"/>
                <w:sz w:val="20"/>
                <w:szCs w:val="20"/>
                <w:lang w:val="en-AU" w:bidi="ar-SA"/>
              </w:rPr>
            </w:pPr>
            <w:r w:rsidRPr="00832EF7">
              <w:rPr>
                <w:rFonts w:ascii="Arial Narrow" w:eastAsia="Aptos" w:hAnsi="Arial Narrow" w:cs="Calibri"/>
                <w:sz w:val="20"/>
                <w:szCs w:val="20"/>
                <w:lang w:val="en-AU" w:bidi="ar-SA"/>
              </w:rPr>
              <w:t>0.13</w:t>
            </w:r>
          </w:p>
        </w:tc>
        <w:tc>
          <w:tcPr>
            <w:tcW w:w="1336" w:type="pct"/>
          </w:tcPr>
          <w:p w14:paraId="239BC998" w14:textId="77777777" w:rsidR="00825672" w:rsidRPr="00B95A6A" w:rsidRDefault="00825672" w:rsidP="00220A6C">
            <w:pPr>
              <w:keepNext/>
              <w:jc w:val="center"/>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0.22</w:t>
            </w:r>
          </w:p>
        </w:tc>
      </w:tr>
      <w:tr w:rsidR="00825672" w:rsidRPr="003B6A18" w14:paraId="09D25DE1" w14:textId="77777777" w:rsidTr="00374CB4">
        <w:trPr>
          <w:trHeight w:val="170"/>
        </w:trPr>
        <w:tc>
          <w:tcPr>
            <w:tcW w:w="2328" w:type="pct"/>
            <w:vAlign w:val="center"/>
          </w:tcPr>
          <w:p w14:paraId="2B219E3C" w14:textId="77777777" w:rsidR="00825672" w:rsidRPr="00B95A6A" w:rsidRDefault="00825672" w:rsidP="00220A6C">
            <w:pPr>
              <w:keepNext/>
              <w:jc w:val="left"/>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Large Proptosis, Constant Diplopia</w:t>
            </w:r>
          </w:p>
        </w:tc>
        <w:tc>
          <w:tcPr>
            <w:tcW w:w="1336" w:type="pct"/>
            <w:shd w:val="clear" w:color="auto" w:fill="D9D9D9" w:themeFill="background1" w:themeFillShade="D9"/>
          </w:tcPr>
          <w:p w14:paraId="43C02702" w14:textId="77777777" w:rsidR="00825672" w:rsidRPr="00832EF7" w:rsidRDefault="00825672" w:rsidP="00220A6C">
            <w:pPr>
              <w:keepNext/>
              <w:jc w:val="center"/>
              <w:rPr>
                <w:rFonts w:ascii="Arial Narrow" w:eastAsia="Aptos" w:hAnsi="Arial Narrow" w:cs="Calibri"/>
                <w:sz w:val="20"/>
                <w:szCs w:val="20"/>
                <w:lang w:val="en-AU" w:bidi="ar-SA"/>
              </w:rPr>
            </w:pPr>
            <w:r w:rsidRPr="00832EF7">
              <w:rPr>
                <w:rFonts w:ascii="Arial Narrow" w:eastAsia="Aptos" w:hAnsi="Arial Narrow" w:cs="Calibri"/>
                <w:sz w:val="20"/>
                <w:szCs w:val="20"/>
                <w:lang w:val="en-AU" w:bidi="ar-SA"/>
              </w:rPr>
              <w:t>0.13</w:t>
            </w:r>
          </w:p>
        </w:tc>
        <w:tc>
          <w:tcPr>
            <w:tcW w:w="1336" w:type="pct"/>
          </w:tcPr>
          <w:p w14:paraId="3DA54EF2" w14:textId="77777777" w:rsidR="00825672" w:rsidRPr="00B95A6A" w:rsidRDefault="00825672" w:rsidP="00220A6C">
            <w:pPr>
              <w:keepNext/>
              <w:jc w:val="center"/>
              <w:rPr>
                <w:rFonts w:ascii="Arial Narrow" w:eastAsia="Aptos" w:hAnsi="Arial Narrow" w:cs="Calibri"/>
                <w:sz w:val="20"/>
                <w:szCs w:val="20"/>
                <w:lang w:val="en-AU" w:bidi="ar-SA"/>
              </w:rPr>
            </w:pPr>
            <w:r w:rsidRPr="00B95A6A">
              <w:rPr>
                <w:rFonts w:ascii="Arial Narrow" w:eastAsia="Aptos" w:hAnsi="Arial Narrow" w:cs="Calibri"/>
                <w:sz w:val="20"/>
                <w:szCs w:val="20"/>
                <w:lang w:val="en-AU" w:bidi="ar-SA"/>
              </w:rPr>
              <w:t>0.22</w:t>
            </w:r>
          </w:p>
        </w:tc>
      </w:tr>
    </w:tbl>
    <w:p w14:paraId="66682A8C" w14:textId="77777777" w:rsidR="00825672" w:rsidRPr="008178FC" w:rsidRDefault="00825672" w:rsidP="00220A6C">
      <w:pPr>
        <w:pStyle w:val="TableFooter"/>
        <w:spacing w:after="120"/>
      </w:pPr>
      <w:r>
        <w:t xml:space="preserve">Source: Resubmission, </w:t>
      </w:r>
      <w:r w:rsidRPr="008178FC">
        <w:t>Table 11, p9</w:t>
      </w:r>
    </w:p>
    <w:p w14:paraId="45352456" w14:textId="18BDF82B" w:rsidR="00825672" w:rsidRPr="00487758" w:rsidRDefault="00825672" w:rsidP="00825672">
      <w:pPr>
        <w:pStyle w:val="TableFigureHeading"/>
        <w:spacing w:before="120"/>
        <w:rPr>
          <w:rStyle w:val="CommentReference"/>
          <w:b/>
          <w:bCs w:val="0"/>
        </w:rPr>
      </w:pPr>
      <w:bookmarkStart w:id="143" w:name="_Ref199060498"/>
      <w:r w:rsidRPr="00487758">
        <w:rPr>
          <w:rStyle w:val="CommentReference"/>
          <w:b/>
          <w:bCs w:val="0"/>
        </w:rPr>
        <w:t xml:space="preserve">Table </w:t>
      </w:r>
      <w:r w:rsidRPr="00487758">
        <w:rPr>
          <w:rStyle w:val="CommentReference"/>
          <w:b/>
          <w:bCs w:val="0"/>
        </w:rPr>
        <w:fldChar w:fldCharType="begin"/>
      </w:r>
      <w:r w:rsidRPr="00487758">
        <w:rPr>
          <w:rStyle w:val="CommentReference"/>
          <w:b/>
          <w:bCs w:val="0"/>
        </w:rPr>
        <w:instrText xml:space="preserve"> SEQ Table \* ARABIC </w:instrText>
      </w:r>
      <w:r w:rsidRPr="00487758">
        <w:rPr>
          <w:rStyle w:val="CommentReference"/>
          <w:b/>
          <w:bCs w:val="0"/>
        </w:rPr>
        <w:fldChar w:fldCharType="separate"/>
      </w:r>
      <w:r w:rsidR="0012101B">
        <w:rPr>
          <w:rStyle w:val="CommentReference"/>
          <w:b/>
          <w:bCs w:val="0"/>
          <w:noProof/>
        </w:rPr>
        <w:t>27</w:t>
      </w:r>
      <w:r w:rsidRPr="00487758">
        <w:rPr>
          <w:rStyle w:val="CommentReference"/>
          <w:b/>
          <w:bCs w:val="0"/>
        </w:rPr>
        <w:fldChar w:fldCharType="end"/>
      </w:r>
      <w:bookmarkEnd w:id="143"/>
      <w:r>
        <w:rPr>
          <w:rStyle w:val="CommentReference"/>
          <w:b/>
          <w:bCs w:val="0"/>
        </w:rPr>
        <w:t xml:space="preserve">: </w:t>
      </w:r>
      <w:r w:rsidRPr="00487758">
        <w:rPr>
          <w:rStyle w:val="CommentReference"/>
          <w:b/>
          <w:bCs w:val="0"/>
        </w:rPr>
        <w:t xml:space="preserve">Comparison of utility during post-surgery phase in the March 2025 vs re-specified </w:t>
      </w:r>
      <w:r>
        <w:rPr>
          <w:rStyle w:val="CommentReference"/>
          <w:b/>
          <w:bCs w:val="0"/>
        </w:rPr>
        <w:t xml:space="preserve">resubmission </w:t>
      </w:r>
      <w:r w:rsidRPr="00487758">
        <w:rPr>
          <w:rStyle w:val="CommentReference"/>
          <w:b/>
          <w:bCs w:val="0"/>
        </w:rPr>
        <w:t>model</w:t>
      </w:r>
    </w:p>
    <w:tbl>
      <w:tblPr>
        <w:tblStyle w:val="Submissionstandard"/>
        <w:tblW w:w="5000" w:type="pct"/>
        <w:tblLook w:val="04A0" w:firstRow="1" w:lastRow="0" w:firstColumn="1" w:lastColumn="0" w:noHBand="0" w:noVBand="1"/>
      </w:tblPr>
      <w:tblGrid>
        <w:gridCol w:w="3579"/>
        <w:gridCol w:w="2718"/>
        <w:gridCol w:w="2720"/>
      </w:tblGrid>
      <w:tr w:rsidR="00825672" w:rsidRPr="003B6A18" w14:paraId="00334BD7" w14:textId="77777777" w:rsidTr="00374CB4">
        <w:trPr>
          <w:cnfStyle w:val="100000000000" w:firstRow="1" w:lastRow="0" w:firstColumn="0" w:lastColumn="0" w:oddVBand="0" w:evenVBand="0" w:oddHBand="0" w:evenHBand="0" w:firstRowFirstColumn="0" w:firstRowLastColumn="0" w:lastRowFirstColumn="0" w:lastRowLastColumn="0"/>
          <w:cantSplit/>
          <w:trHeight w:val="170"/>
          <w:tblHeader/>
        </w:trPr>
        <w:tc>
          <w:tcPr>
            <w:tcW w:w="1985" w:type="pct"/>
            <w:tcBorders>
              <w:bottom w:val="single" w:sz="4" w:space="0" w:color="auto"/>
            </w:tcBorders>
            <w:shd w:val="clear" w:color="auto" w:fill="FFFFFF" w:themeFill="background1"/>
            <w:vAlign w:val="center"/>
          </w:tcPr>
          <w:p w14:paraId="22BFCB2A" w14:textId="77777777" w:rsidR="00825672" w:rsidRPr="009E79FA" w:rsidRDefault="00825672" w:rsidP="00374CB4">
            <w:pPr>
              <w:rPr>
                <w:rFonts w:ascii="Arial Narrow" w:eastAsia="Aptos" w:hAnsi="Arial Narrow" w:cs="Calibri"/>
                <w:bCs/>
                <w:sz w:val="20"/>
                <w:szCs w:val="20"/>
                <w:lang w:val="en-AU" w:bidi="ar-SA"/>
              </w:rPr>
            </w:pPr>
            <w:r w:rsidRPr="009E79FA">
              <w:rPr>
                <w:rFonts w:ascii="Arial Narrow" w:eastAsia="Aptos" w:hAnsi="Arial Narrow" w:cs="Calibri"/>
                <w:bCs/>
                <w:sz w:val="20"/>
                <w:szCs w:val="20"/>
                <w:lang w:val="en-AU" w:bidi="ar-SA"/>
              </w:rPr>
              <w:t>Health state</w:t>
            </w:r>
          </w:p>
        </w:tc>
        <w:tc>
          <w:tcPr>
            <w:tcW w:w="1507" w:type="pct"/>
            <w:tcBorders>
              <w:bottom w:val="single" w:sz="4" w:space="0" w:color="auto"/>
            </w:tcBorders>
            <w:shd w:val="clear" w:color="auto" w:fill="D9D9D9" w:themeFill="background1" w:themeFillShade="D9"/>
            <w:tcMar>
              <w:left w:w="57" w:type="dxa"/>
              <w:right w:w="57" w:type="dxa"/>
            </w:tcMar>
            <w:vAlign w:val="center"/>
          </w:tcPr>
          <w:p w14:paraId="32E1CE85" w14:textId="77777777" w:rsidR="00825672" w:rsidRPr="009E79FA" w:rsidRDefault="00825672" w:rsidP="00374CB4">
            <w:pPr>
              <w:jc w:val="center"/>
              <w:rPr>
                <w:rFonts w:ascii="Arial Narrow" w:eastAsia="Aptos" w:hAnsi="Arial Narrow" w:cs="Calibri"/>
                <w:bCs/>
                <w:sz w:val="20"/>
                <w:szCs w:val="20"/>
                <w:lang w:val="en-AU" w:bidi="ar-SA"/>
              </w:rPr>
            </w:pPr>
            <w:r w:rsidRPr="009E79FA">
              <w:rPr>
                <w:rFonts w:ascii="Arial Narrow" w:eastAsia="Aptos" w:hAnsi="Arial Narrow" w:cs="Calibri"/>
                <w:bCs/>
                <w:sz w:val="20"/>
                <w:szCs w:val="20"/>
                <w:lang w:val="en-AU" w:bidi="ar-SA"/>
              </w:rPr>
              <w:t>Utility during post-surgery phase</w:t>
            </w:r>
          </w:p>
          <w:p w14:paraId="1BBC8A01" w14:textId="77777777" w:rsidR="00825672" w:rsidRPr="009E79FA" w:rsidRDefault="00825672" w:rsidP="00374CB4">
            <w:pPr>
              <w:jc w:val="center"/>
              <w:rPr>
                <w:rFonts w:ascii="Arial Narrow" w:eastAsia="Aptos" w:hAnsi="Arial Narrow" w:cs="Calibri"/>
                <w:bCs/>
                <w:sz w:val="20"/>
                <w:szCs w:val="20"/>
                <w:lang w:val="en-AU" w:bidi="ar-SA"/>
              </w:rPr>
            </w:pPr>
            <w:r w:rsidRPr="009E79FA">
              <w:rPr>
                <w:rFonts w:ascii="Arial Narrow" w:eastAsia="Aptos" w:hAnsi="Arial Narrow" w:cs="Calibri"/>
                <w:bCs/>
                <w:sz w:val="20"/>
                <w:szCs w:val="20"/>
                <w:lang w:val="en-AU" w:bidi="ar-SA"/>
              </w:rPr>
              <w:t>(March</w:t>
            </w:r>
            <w:r>
              <w:rPr>
                <w:rFonts w:ascii="Arial Narrow" w:eastAsia="Aptos" w:hAnsi="Arial Narrow" w:cs="Calibri"/>
                <w:bCs/>
                <w:sz w:val="20"/>
                <w:szCs w:val="20"/>
                <w:lang w:val="en-AU" w:bidi="ar-SA"/>
              </w:rPr>
              <w:t xml:space="preserve"> 20</w:t>
            </w:r>
            <w:r w:rsidRPr="009E79FA">
              <w:rPr>
                <w:rFonts w:ascii="Arial Narrow" w:eastAsia="Aptos" w:hAnsi="Arial Narrow" w:cs="Calibri"/>
                <w:bCs/>
                <w:sz w:val="20"/>
                <w:szCs w:val="20"/>
                <w:lang w:val="en-AU" w:bidi="ar-SA"/>
              </w:rPr>
              <w:t>25 model)</w:t>
            </w:r>
          </w:p>
        </w:tc>
        <w:tc>
          <w:tcPr>
            <w:tcW w:w="1508" w:type="pct"/>
            <w:tcBorders>
              <w:bottom w:val="single" w:sz="4" w:space="0" w:color="auto"/>
            </w:tcBorders>
            <w:shd w:val="clear" w:color="auto" w:fill="FFFFFF" w:themeFill="background1"/>
            <w:tcMar>
              <w:left w:w="57" w:type="dxa"/>
              <w:right w:w="57" w:type="dxa"/>
            </w:tcMar>
            <w:vAlign w:val="center"/>
          </w:tcPr>
          <w:p w14:paraId="2B06F8FE" w14:textId="77777777" w:rsidR="00825672" w:rsidRPr="009E79FA" w:rsidRDefault="00825672" w:rsidP="00374CB4">
            <w:pPr>
              <w:jc w:val="center"/>
              <w:rPr>
                <w:rFonts w:ascii="Arial Narrow" w:eastAsia="Aptos" w:hAnsi="Arial Narrow" w:cs="Calibri"/>
                <w:bCs/>
                <w:sz w:val="20"/>
                <w:szCs w:val="20"/>
                <w:lang w:val="en-AU" w:bidi="ar-SA"/>
              </w:rPr>
            </w:pPr>
            <w:r w:rsidRPr="009E79FA">
              <w:rPr>
                <w:rFonts w:ascii="Arial Narrow" w:eastAsia="Aptos" w:hAnsi="Arial Narrow" w:cs="Calibri"/>
                <w:bCs/>
                <w:sz w:val="20"/>
                <w:szCs w:val="20"/>
                <w:lang w:val="en-AU" w:bidi="ar-SA"/>
              </w:rPr>
              <w:t>Utility during post-surgery phase</w:t>
            </w:r>
          </w:p>
          <w:p w14:paraId="458AFDB1" w14:textId="77777777" w:rsidR="00825672" w:rsidRPr="009E79FA" w:rsidRDefault="00825672" w:rsidP="00374CB4">
            <w:pPr>
              <w:jc w:val="center"/>
              <w:rPr>
                <w:rFonts w:ascii="Arial Narrow" w:eastAsia="Aptos" w:hAnsi="Arial Narrow" w:cs="Calibri"/>
                <w:bCs/>
                <w:sz w:val="20"/>
                <w:szCs w:val="20"/>
                <w:lang w:val="en-AU" w:bidi="ar-SA"/>
              </w:rPr>
            </w:pPr>
            <w:r w:rsidRPr="009E79FA">
              <w:rPr>
                <w:rFonts w:ascii="Arial Narrow" w:eastAsia="Aptos" w:hAnsi="Arial Narrow" w:cs="Calibri"/>
                <w:bCs/>
                <w:sz w:val="20"/>
                <w:szCs w:val="20"/>
                <w:lang w:val="en-AU" w:bidi="ar-SA"/>
              </w:rPr>
              <w:t>(</w:t>
            </w:r>
            <w:r>
              <w:rPr>
                <w:rFonts w:ascii="Arial Narrow" w:eastAsia="Aptos" w:hAnsi="Arial Narrow" w:cs="Calibri"/>
                <w:bCs/>
                <w:sz w:val="20"/>
                <w:szCs w:val="20"/>
                <w:lang w:val="en-AU" w:bidi="ar-SA"/>
              </w:rPr>
              <w:t>Resubmission</w:t>
            </w:r>
            <w:r w:rsidRPr="009E79FA">
              <w:rPr>
                <w:rFonts w:ascii="Arial Narrow" w:eastAsia="Aptos" w:hAnsi="Arial Narrow" w:cs="Calibri"/>
                <w:bCs/>
                <w:sz w:val="20"/>
                <w:szCs w:val="20"/>
                <w:lang w:val="en-AU" w:bidi="ar-SA"/>
              </w:rPr>
              <w:t xml:space="preserve"> model)</w:t>
            </w:r>
          </w:p>
        </w:tc>
      </w:tr>
      <w:tr w:rsidR="00825672" w:rsidRPr="00D7727C" w14:paraId="73E6B18A" w14:textId="77777777" w:rsidTr="00374CB4">
        <w:trPr>
          <w:trHeight w:val="170"/>
        </w:trPr>
        <w:tc>
          <w:tcPr>
            <w:tcW w:w="1985" w:type="pct"/>
            <w:vAlign w:val="center"/>
          </w:tcPr>
          <w:p w14:paraId="4AF13718" w14:textId="77777777" w:rsidR="00825672" w:rsidRPr="00D7727C" w:rsidRDefault="00825672" w:rsidP="00374CB4">
            <w:pPr>
              <w:jc w:val="left"/>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Small Proptosis, No Diplopia</w:t>
            </w:r>
          </w:p>
        </w:tc>
        <w:tc>
          <w:tcPr>
            <w:tcW w:w="1507" w:type="pct"/>
            <w:shd w:val="clear" w:color="auto" w:fill="D9D9D9" w:themeFill="background1" w:themeFillShade="D9"/>
            <w:vAlign w:val="center"/>
          </w:tcPr>
          <w:p w14:paraId="22DB7235"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0.68</w:t>
            </w:r>
          </w:p>
        </w:tc>
        <w:tc>
          <w:tcPr>
            <w:tcW w:w="1508" w:type="pct"/>
            <w:vAlign w:val="center"/>
          </w:tcPr>
          <w:p w14:paraId="57B91EFD"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0.85</w:t>
            </w:r>
          </w:p>
        </w:tc>
      </w:tr>
      <w:tr w:rsidR="00825672" w:rsidRPr="00D7727C" w14:paraId="33D8567A" w14:textId="77777777" w:rsidTr="00374CB4">
        <w:trPr>
          <w:trHeight w:val="170"/>
        </w:trPr>
        <w:tc>
          <w:tcPr>
            <w:tcW w:w="1985" w:type="pct"/>
            <w:vAlign w:val="center"/>
          </w:tcPr>
          <w:p w14:paraId="7435EEF8" w14:textId="77777777" w:rsidR="00825672" w:rsidRPr="00D7727C" w:rsidRDefault="00825672" w:rsidP="00374CB4">
            <w:pPr>
              <w:jc w:val="left"/>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Large Proptosis, No Diplopia</w:t>
            </w:r>
          </w:p>
        </w:tc>
        <w:tc>
          <w:tcPr>
            <w:tcW w:w="1507" w:type="pct"/>
            <w:shd w:val="clear" w:color="auto" w:fill="D9D9D9" w:themeFill="background1" w:themeFillShade="D9"/>
            <w:vAlign w:val="center"/>
          </w:tcPr>
          <w:p w14:paraId="541D9967"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0.68</w:t>
            </w:r>
          </w:p>
        </w:tc>
        <w:tc>
          <w:tcPr>
            <w:tcW w:w="1508" w:type="pct"/>
            <w:vAlign w:val="center"/>
          </w:tcPr>
          <w:p w14:paraId="0E92E142"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0.85</w:t>
            </w:r>
          </w:p>
        </w:tc>
      </w:tr>
      <w:tr w:rsidR="00825672" w:rsidRPr="00D7727C" w14:paraId="5962A45D" w14:textId="77777777" w:rsidTr="00374CB4">
        <w:trPr>
          <w:trHeight w:val="170"/>
        </w:trPr>
        <w:tc>
          <w:tcPr>
            <w:tcW w:w="1985" w:type="pct"/>
            <w:vAlign w:val="center"/>
          </w:tcPr>
          <w:p w14:paraId="0D7A5453" w14:textId="77777777" w:rsidR="00825672" w:rsidRPr="00D7727C" w:rsidRDefault="00825672" w:rsidP="00374CB4">
            <w:pPr>
              <w:jc w:val="left"/>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Small Proptosis, Intermittent/Inconstant Diplopia</w:t>
            </w:r>
          </w:p>
        </w:tc>
        <w:tc>
          <w:tcPr>
            <w:tcW w:w="1507" w:type="pct"/>
            <w:shd w:val="clear" w:color="auto" w:fill="D9D9D9" w:themeFill="background1" w:themeFillShade="D9"/>
            <w:vAlign w:val="center"/>
          </w:tcPr>
          <w:p w14:paraId="2901AB00"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0.68</w:t>
            </w:r>
          </w:p>
        </w:tc>
        <w:tc>
          <w:tcPr>
            <w:tcW w:w="1508" w:type="pct"/>
            <w:vAlign w:val="center"/>
          </w:tcPr>
          <w:p w14:paraId="4009F757"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0.85</w:t>
            </w:r>
          </w:p>
        </w:tc>
      </w:tr>
      <w:tr w:rsidR="00825672" w:rsidRPr="00D7727C" w14:paraId="0A79FDEC" w14:textId="77777777" w:rsidTr="00374CB4">
        <w:trPr>
          <w:trHeight w:val="170"/>
        </w:trPr>
        <w:tc>
          <w:tcPr>
            <w:tcW w:w="1985" w:type="pct"/>
            <w:vAlign w:val="center"/>
          </w:tcPr>
          <w:p w14:paraId="384862DF" w14:textId="77777777" w:rsidR="00825672" w:rsidRPr="00D7727C" w:rsidRDefault="00825672" w:rsidP="00374CB4">
            <w:pPr>
              <w:jc w:val="left"/>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Large Proptosis, Intermittent/Inconstant Diplopia</w:t>
            </w:r>
          </w:p>
        </w:tc>
        <w:tc>
          <w:tcPr>
            <w:tcW w:w="1507" w:type="pct"/>
            <w:shd w:val="clear" w:color="auto" w:fill="D9D9D9" w:themeFill="background1" w:themeFillShade="D9"/>
            <w:vAlign w:val="center"/>
          </w:tcPr>
          <w:p w14:paraId="4C05CBBE"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0.68</w:t>
            </w:r>
          </w:p>
        </w:tc>
        <w:tc>
          <w:tcPr>
            <w:tcW w:w="1508" w:type="pct"/>
            <w:vAlign w:val="center"/>
          </w:tcPr>
          <w:p w14:paraId="156623D9"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0.77</w:t>
            </w:r>
          </w:p>
        </w:tc>
      </w:tr>
      <w:tr w:rsidR="00825672" w:rsidRPr="00D7727C" w14:paraId="430D8426" w14:textId="77777777" w:rsidTr="00374CB4">
        <w:trPr>
          <w:trHeight w:val="170"/>
        </w:trPr>
        <w:tc>
          <w:tcPr>
            <w:tcW w:w="1985" w:type="pct"/>
            <w:vAlign w:val="center"/>
          </w:tcPr>
          <w:p w14:paraId="050F0228" w14:textId="77777777" w:rsidR="00825672" w:rsidRPr="00D7727C" w:rsidRDefault="00825672" w:rsidP="00374CB4">
            <w:pPr>
              <w:jc w:val="left"/>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Small Proptosis, Constant Diplopia</w:t>
            </w:r>
          </w:p>
        </w:tc>
        <w:tc>
          <w:tcPr>
            <w:tcW w:w="1507" w:type="pct"/>
            <w:shd w:val="clear" w:color="auto" w:fill="D9D9D9" w:themeFill="background1" w:themeFillShade="D9"/>
            <w:vAlign w:val="center"/>
          </w:tcPr>
          <w:p w14:paraId="2BD26D95"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0.68</w:t>
            </w:r>
          </w:p>
        </w:tc>
        <w:tc>
          <w:tcPr>
            <w:tcW w:w="1508" w:type="pct"/>
            <w:vAlign w:val="center"/>
          </w:tcPr>
          <w:p w14:paraId="42C2B7AF"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0.77</w:t>
            </w:r>
          </w:p>
        </w:tc>
      </w:tr>
      <w:tr w:rsidR="00825672" w:rsidRPr="00D7727C" w14:paraId="38DEF7AF" w14:textId="77777777" w:rsidTr="00374CB4">
        <w:trPr>
          <w:trHeight w:val="170"/>
        </w:trPr>
        <w:tc>
          <w:tcPr>
            <w:tcW w:w="1985" w:type="pct"/>
            <w:vAlign w:val="center"/>
          </w:tcPr>
          <w:p w14:paraId="78937BE5" w14:textId="77777777" w:rsidR="00825672" w:rsidRPr="00D7727C" w:rsidRDefault="00825672" w:rsidP="00374CB4">
            <w:pPr>
              <w:jc w:val="left"/>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Large Proptosis, Constant Diplopia</w:t>
            </w:r>
          </w:p>
        </w:tc>
        <w:tc>
          <w:tcPr>
            <w:tcW w:w="1507" w:type="pct"/>
            <w:shd w:val="clear" w:color="auto" w:fill="D9D9D9" w:themeFill="background1" w:themeFillShade="D9"/>
            <w:vAlign w:val="center"/>
          </w:tcPr>
          <w:p w14:paraId="4D04F514"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0.68</w:t>
            </w:r>
          </w:p>
        </w:tc>
        <w:tc>
          <w:tcPr>
            <w:tcW w:w="1508" w:type="pct"/>
            <w:vAlign w:val="center"/>
          </w:tcPr>
          <w:p w14:paraId="523AE7E4" w14:textId="77777777" w:rsidR="00825672" w:rsidRPr="00D7727C" w:rsidRDefault="00825672" w:rsidP="00374CB4">
            <w:pPr>
              <w:jc w:val="center"/>
              <w:rPr>
                <w:rFonts w:ascii="Arial Narrow" w:eastAsia="Aptos" w:hAnsi="Arial Narrow" w:cs="Calibri"/>
                <w:sz w:val="20"/>
                <w:szCs w:val="20"/>
                <w:lang w:val="en-AU" w:bidi="ar-SA"/>
              </w:rPr>
            </w:pPr>
            <w:r w:rsidRPr="00D7727C">
              <w:rPr>
                <w:rFonts w:ascii="Arial Narrow" w:eastAsia="Aptos" w:hAnsi="Arial Narrow" w:cs="Calibri"/>
                <w:sz w:val="20"/>
                <w:szCs w:val="20"/>
                <w:lang w:val="en-AU" w:bidi="ar-SA"/>
              </w:rPr>
              <w:t>0.77</w:t>
            </w:r>
          </w:p>
        </w:tc>
      </w:tr>
    </w:tbl>
    <w:p w14:paraId="5CD0D6F4" w14:textId="77777777" w:rsidR="00825672" w:rsidRPr="00363606" w:rsidRDefault="00825672" w:rsidP="00220A6C">
      <w:pPr>
        <w:pStyle w:val="TableFooter"/>
        <w:spacing w:after="120"/>
        <w:rPr>
          <w:i/>
          <w:iCs/>
        </w:rPr>
      </w:pPr>
      <w:r w:rsidRPr="00D7727C">
        <w:rPr>
          <w:rFonts w:eastAsia="Aptos" w:cs="Calibri"/>
          <w:sz w:val="20"/>
          <w:szCs w:val="20"/>
          <w:lang w:eastAsia="en-US"/>
        </w:rPr>
        <w:t xml:space="preserve"> </w:t>
      </w:r>
      <w:r>
        <w:t xml:space="preserve">Source: Resubmission, </w:t>
      </w:r>
      <w:r w:rsidRPr="008178FC">
        <w:t>Table 12, p</w:t>
      </w:r>
      <w:r w:rsidRPr="00363606">
        <w:t>9</w:t>
      </w:r>
    </w:p>
    <w:p w14:paraId="52D33B70" w14:textId="77777777" w:rsidR="00825672" w:rsidRDefault="00825672" w:rsidP="00220A6C">
      <w:pPr>
        <w:pStyle w:val="3-BodyText"/>
        <w:numPr>
          <w:ilvl w:val="1"/>
          <w:numId w:val="1"/>
        </w:numPr>
      </w:pPr>
      <w:r w:rsidRPr="00363606">
        <w:t>The submission</w:t>
      </w:r>
      <w:r w:rsidRPr="00CC012A">
        <w:t xml:space="preserve"> </w:t>
      </w:r>
      <w:r>
        <w:t xml:space="preserve">noted that not all patient’s achieved a ‘full recovery’ in utility (assumed as a value of 0.85), which was stated to be a reasonable assumption </w:t>
      </w:r>
      <w:r w:rsidRPr="00CC012A">
        <w:t>considering that post-operative diplopia, dry eye, residual disfigurement and depressive symptoms</w:t>
      </w:r>
      <w:r>
        <w:t xml:space="preserve"> </w:t>
      </w:r>
      <w:r w:rsidRPr="00CC012A">
        <w:t>often persist despite rehabilitative surgical intervention for TED.</w:t>
      </w:r>
    </w:p>
    <w:p w14:paraId="0C9C07A4" w14:textId="384E407E" w:rsidR="00825672" w:rsidRPr="00CC012A" w:rsidRDefault="00825672" w:rsidP="00220A6C">
      <w:pPr>
        <w:pStyle w:val="3-BodyText"/>
        <w:numPr>
          <w:ilvl w:val="1"/>
          <w:numId w:val="1"/>
        </w:numPr>
      </w:pPr>
      <w:r>
        <w:t xml:space="preserve">The revised utility weights in the resubmission are summarised in </w:t>
      </w:r>
      <w:r>
        <w:fldChar w:fldCharType="begin"/>
      </w:r>
      <w:r>
        <w:instrText xml:space="preserve"> REF _Ref199061439 \h </w:instrText>
      </w:r>
      <w:r>
        <w:fldChar w:fldCharType="separate"/>
      </w:r>
      <w:r w:rsidR="0012101B" w:rsidRPr="00FB14AF">
        <w:t xml:space="preserve">Table </w:t>
      </w:r>
      <w:r w:rsidR="0012101B">
        <w:rPr>
          <w:noProof/>
        </w:rPr>
        <w:t>28</w:t>
      </w:r>
      <w:r>
        <w:fldChar w:fldCharType="end"/>
      </w:r>
      <w:r>
        <w:t>.</w:t>
      </w:r>
    </w:p>
    <w:p w14:paraId="58DDCAC9" w14:textId="0B7F12DA" w:rsidR="00825672" w:rsidRPr="003010F0" w:rsidRDefault="00825672" w:rsidP="00825672">
      <w:pPr>
        <w:pStyle w:val="TableFigureHeading"/>
        <w:spacing w:before="120"/>
        <w:rPr>
          <w:bCs w:val="0"/>
          <w:szCs w:val="16"/>
        </w:rPr>
      </w:pPr>
      <w:bookmarkStart w:id="144" w:name="_Ref199061439"/>
      <w:r w:rsidRPr="00FB14AF">
        <w:t xml:space="preserve">Table </w:t>
      </w:r>
      <w:r w:rsidRPr="00FB14AF">
        <w:fldChar w:fldCharType="begin"/>
      </w:r>
      <w:r w:rsidRPr="00FB14AF">
        <w:instrText xml:space="preserve"> SEQ Table \* ARABIC </w:instrText>
      </w:r>
      <w:r w:rsidRPr="00FB14AF">
        <w:fldChar w:fldCharType="separate"/>
      </w:r>
      <w:r w:rsidR="0012101B">
        <w:rPr>
          <w:noProof/>
        </w:rPr>
        <w:t>28</w:t>
      </w:r>
      <w:r w:rsidRPr="00FB14AF">
        <w:fldChar w:fldCharType="end"/>
      </w:r>
      <w:bookmarkEnd w:id="144"/>
      <w:r w:rsidRPr="00FB14AF">
        <w:t>:</w:t>
      </w:r>
      <w:r>
        <w:t xml:space="preserve"> Revised utility weights in the </w:t>
      </w:r>
      <w:r w:rsidRPr="00487758">
        <w:rPr>
          <w:rStyle w:val="CommentReference"/>
          <w:b/>
          <w:bCs w:val="0"/>
        </w:rPr>
        <w:t xml:space="preserve">re-specified </w:t>
      </w:r>
      <w:r>
        <w:rPr>
          <w:rStyle w:val="CommentReference"/>
          <w:b/>
          <w:bCs w:val="0"/>
        </w:rPr>
        <w:t xml:space="preserve">resubmission </w:t>
      </w:r>
      <w:r w:rsidRPr="00487758">
        <w:rPr>
          <w:rStyle w:val="CommentReference"/>
          <w:b/>
          <w:bCs w:val="0"/>
        </w:rPr>
        <w:t>model</w:t>
      </w:r>
    </w:p>
    <w:tbl>
      <w:tblPr>
        <w:tblStyle w:val="Submissionstandard"/>
        <w:tblW w:w="4999" w:type="pct"/>
        <w:shd w:val="clear" w:color="auto" w:fill="FFFFFF" w:themeFill="background1"/>
        <w:tblLook w:val="04A0" w:firstRow="1" w:lastRow="0" w:firstColumn="1" w:lastColumn="0" w:noHBand="0" w:noVBand="1"/>
      </w:tblPr>
      <w:tblGrid>
        <w:gridCol w:w="3581"/>
        <w:gridCol w:w="1812"/>
        <w:gridCol w:w="1812"/>
        <w:gridCol w:w="1810"/>
      </w:tblGrid>
      <w:tr w:rsidR="00825672" w:rsidRPr="00F83A7E" w14:paraId="6DBE5A0A" w14:textId="77777777" w:rsidTr="00374CB4">
        <w:trPr>
          <w:cnfStyle w:val="100000000000" w:firstRow="1" w:lastRow="0" w:firstColumn="0" w:lastColumn="0" w:oddVBand="0" w:evenVBand="0" w:oddHBand="0" w:evenHBand="0" w:firstRowFirstColumn="0" w:firstRowLastColumn="0" w:lastRowFirstColumn="0" w:lastRowLastColumn="0"/>
          <w:cantSplit/>
          <w:trHeight w:val="170"/>
          <w:tblHeader/>
        </w:trPr>
        <w:tc>
          <w:tcPr>
            <w:tcW w:w="1986" w:type="pct"/>
            <w:tcBorders>
              <w:bottom w:val="single" w:sz="4" w:space="0" w:color="auto"/>
            </w:tcBorders>
            <w:shd w:val="clear" w:color="auto" w:fill="FFFFFF" w:themeFill="background1"/>
            <w:vAlign w:val="center"/>
          </w:tcPr>
          <w:p w14:paraId="4FB9614D" w14:textId="77777777" w:rsidR="00825672" w:rsidRPr="001E7E20" w:rsidRDefault="00825672" w:rsidP="00374CB4">
            <w:pPr>
              <w:pStyle w:val="TableText0"/>
              <w:rPr>
                <w:bCs w:val="0"/>
                <w:sz w:val="20"/>
                <w:lang w:val="en-AU" w:eastAsia="en-AU" w:bidi="ar-SA"/>
              </w:rPr>
            </w:pPr>
            <w:r w:rsidRPr="001E7E20">
              <w:rPr>
                <w:bCs w:val="0"/>
                <w:sz w:val="20"/>
                <w:lang w:val="en-AU" w:eastAsia="en-AU" w:bidi="ar-SA"/>
              </w:rPr>
              <w:t>Health state</w:t>
            </w:r>
          </w:p>
        </w:tc>
        <w:tc>
          <w:tcPr>
            <w:tcW w:w="1005" w:type="pct"/>
            <w:tcBorders>
              <w:bottom w:val="single" w:sz="4" w:space="0" w:color="auto"/>
            </w:tcBorders>
            <w:shd w:val="clear" w:color="auto" w:fill="FFFFFF" w:themeFill="background1"/>
            <w:vAlign w:val="center"/>
          </w:tcPr>
          <w:p w14:paraId="15D6B079" w14:textId="77777777" w:rsidR="00825672" w:rsidRPr="001E7E20" w:rsidRDefault="00825672" w:rsidP="00374CB4">
            <w:pPr>
              <w:pStyle w:val="TableText0"/>
              <w:jc w:val="center"/>
              <w:rPr>
                <w:bCs w:val="0"/>
                <w:sz w:val="20"/>
                <w:lang w:val="en-AU" w:eastAsia="en-AU" w:bidi="ar-SA"/>
              </w:rPr>
            </w:pPr>
            <w:r w:rsidRPr="001E7E20">
              <w:rPr>
                <w:bCs w:val="0"/>
                <w:sz w:val="20"/>
                <w:lang w:val="en-AU" w:eastAsia="en-AU" w:bidi="ar-SA"/>
              </w:rPr>
              <w:t xml:space="preserve">Utility </w:t>
            </w:r>
            <w:r>
              <w:rPr>
                <w:bCs w:val="0"/>
                <w:sz w:val="20"/>
                <w:lang w:val="en-AU" w:eastAsia="en-AU" w:bidi="ar-SA"/>
              </w:rPr>
              <w:t>pre-surgery</w:t>
            </w:r>
          </w:p>
        </w:tc>
        <w:tc>
          <w:tcPr>
            <w:tcW w:w="1005" w:type="pct"/>
            <w:tcBorders>
              <w:bottom w:val="single" w:sz="4" w:space="0" w:color="auto"/>
            </w:tcBorders>
            <w:shd w:val="clear" w:color="auto" w:fill="FFFFFF" w:themeFill="background1"/>
            <w:vAlign w:val="center"/>
          </w:tcPr>
          <w:p w14:paraId="683CE234" w14:textId="77777777" w:rsidR="00825672" w:rsidRPr="001E7E20" w:rsidRDefault="00825672" w:rsidP="00374CB4">
            <w:pPr>
              <w:pStyle w:val="TableText0"/>
              <w:jc w:val="center"/>
              <w:rPr>
                <w:bCs w:val="0"/>
                <w:sz w:val="20"/>
                <w:lang w:val="en-AU" w:eastAsia="en-AU" w:bidi="ar-SA"/>
              </w:rPr>
            </w:pPr>
            <w:r w:rsidRPr="001E7E20">
              <w:rPr>
                <w:bCs w:val="0"/>
                <w:sz w:val="20"/>
                <w:lang w:val="en-AU" w:eastAsia="en-AU" w:bidi="ar-SA"/>
              </w:rPr>
              <w:t xml:space="preserve">Utility during surgery </w:t>
            </w:r>
            <w:r>
              <w:rPr>
                <w:bCs w:val="0"/>
                <w:sz w:val="20"/>
                <w:lang w:val="en-AU" w:eastAsia="en-AU" w:bidi="ar-SA"/>
              </w:rPr>
              <w:t>phase</w:t>
            </w:r>
          </w:p>
        </w:tc>
        <w:tc>
          <w:tcPr>
            <w:tcW w:w="1005" w:type="pct"/>
            <w:tcBorders>
              <w:bottom w:val="single" w:sz="4" w:space="0" w:color="auto"/>
            </w:tcBorders>
            <w:shd w:val="clear" w:color="auto" w:fill="FFFFFF" w:themeFill="background1"/>
            <w:vAlign w:val="center"/>
          </w:tcPr>
          <w:p w14:paraId="02BED357" w14:textId="77777777" w:rsidR="00825672" w:rsidRPr="001E7E20" w:rsidRDefault="00825672" w:rsidP="00374CB4">
            <w:pPr>
              <w:pStyle w:val="TableText0"/>
              <w:jc w:val="center"/>
              <w:rPr>
                <w:bCs w:val="0"/>
                <w:sz w:val="20"/>
                <w:lang w:val="en-AU" w:eastAsia="en-AU" w:bidi="ar-SA"/>
              </w:rPr>
            </w:pPr>
            <w:r w:rsidRPr="001E7E20">
              <w:rPr>
                <w:bCs w:val="0"/>
                <w:sz w:val="20"/>
                <w:lang w:val="en-AU" w:eastAsia="en-AU" w:bidi="ar-SA"/>
              </w:rPr>
              <w:t>Utility post-surgery</w:t>
            </w:r>
          </w:p>
        </w:tc>
      </w:tr>
      <w:tr w:rsidR="00825672" w:rsidRPr="00F83A7E" w14:paraId="38DB1AE7" w14:textId="77777777" w:rsidTr="00374CB4">
        <w:trPr>
          <w:trHeight w:val="170"/>
        </w:trPr>
        <w:tc>
          <w:tcPr>
            <w:tcW w:w="1986" w:type="pct"/>
            <w:vAlign w:val="center"/>
          </w:tcPr>
          <w:p w14:paraId="3A911CA2" w14:textId="77777777" w:rsidR="00825672" w:rsidRPr="001E7E20" w:rsidRDefault="00825672" w:rsidP="00374CB4">
            <w:pPr>
              <w:pStyle w:val="TableText0"/>
              <w:rPr>
                <w:sz w:val="20"/>
                <w:lang w:val="en-AU" w:eastAsia="en-AU" w:bidi="ar-SA"/>
              </w:rPr>
            </w:pPr>
            <w:r w:rsidRPr="001E7E20">
              <w:rPr>
                <w:sz w:val="20"/>
                <w:lang w:val="en-AU" w:eastAsia="en-AU" w:bidi="ar-SA"/>
              </w:rPr>
              <w:t xml:space="preserve">Small Proptosis, </w:t>
            </w:r>
          </w:p>
          <w:p w14:paraId="6C044C17" w14:textId="77777777" w:rsidR="00825672" w:rsidRPr="001E7E20" w:rsidRDefault="00825672" w:rsidP="00374CB4">
            <w:pPr>
              <w:pStyle w:val="TableText0"/>
              <w:rPr>
                <w:sz w:val="20"/>
                <w:lang w:val="en-AU" w:eastAsia="en-AU" w:bidi="ar-SA"/>
              </w:rPr>
            </w:pPr>
            <w:r w:rsidRPr="001E7E20">
              <w:rPr>
                <w:sz w:val="20"/>
                <w:lang w:val="en-AU" w:eastAsia="en-AU" w:bidi="ar-SA"/>
              </w:rPr>
              <w:t>No Diplopia</w:t>
            </w:r>
          </w:p>
        </w:tc>
        <w:tc>
          <w:tcPr>
            <w:tcW w:w="1005" w:type="pct"/>
            <w:vAlign w:val="center"/>
          </w:tcPr>
          <w:p w14:paraId="7BE7F501" w14:textId="77777777" w:rsidR="00825672" w:rsidRPr="001E7E20" w:rsidRDefault="00825672" w:rsidP="00374CB4">
            <w:pPr>
              <w:pStyle w:val="TableText0"/>
              <w:jc w:val="center"/>
              <w:rPr>
                <w:sz w:val="20"/>
                <w:lang w:val="en-AU" w:eastAsia="en-AU" w:bidi="ar-SA"/>
              </w:rPr>
            </w:pPr>
            <w:r w:rsidRPr="001E7E20">
              <w:rPr>
                <w:sz w:val="20"/>
                <w:lang w:val="en-AU" w:eastAsia="en-AU" w:bidi="ar-SA"/>
              </w:rPr>
              <w:t>0.85</w:t>
            </w:r>
          </w:p>
        </w:tc>
        <w:tc>
          <w:tcPr>
            <w:tcW w:w="1005" w:type="pct"/>
            <w:vAlign w:val="center"/>
          </w:tcPr>
          <w:p w14:paraId="0CAF21E0" w14:textId="77777777" w:rsidR="00825672" w:rsidRPr="001E7E20" w:rsidRDefault="00825672" w:rsidP="00374CB4">
            <w:pPr>
              <w:pStyle w:val="TableText0"/>
              <w:jc w:val="center"/>
              <w:rPr>
                <w:sz w:val="20"/>
                <w:lang w:val="en-AU" w:eastAsia="en-AU" w:bidi="ar-SA"/>
              </w:rPr>
            </w:pPr>
            <w:r w:rsidRPr="001E7E20">
              <w:rPr>
                <w:sz w:val="20"/>
                <w:lang w:val="en-AU" w:eastAsia="en-AU" w:bidi="ar-SA"/>
              </w:rPr>
              <w:t>0.80</w:t>
            </w:r>
          </w:p>
        </w:tc>
        <w:tc>
          <w:tcPr>
            <w:tcW w:w="1005" w:type="pct"/>
            <w:vAlign w:val="center"/>
          </w:tcPr>
          <w:p w14:paraId="35B34141" w14:textId="77777777" w:rsidR="00825672" w:rsidRPr="001E7E20" w:rsidRDefault="00825672" w:rsidP="00374CB4">
            <w:pPr>
              <w:pStyle w:val="TableText0"/>
              <w:jc w:val="center"/>
              <w:rPr>
                <w:sz w:val="20"/>
                <w:lang w:val="en-AU" w:eastAsia="en-AU" w:bidi="ar-SA"/>
              </w:rPr>
            </w:pPr>
            <w:r w:rsidRPr="001E7E20">
              <w:rPr>
                <w:sz w:val="20"/>
                <w:lang w:val="en-AU" w:eastAsia="en-AU" w:bidi="ar-SA"/>
              </w:rPr>
              <w:t>0.85</w:t>
            </w:r>
          </w:p>
        </w:tc>
      </w:tr>
      <w:tr w:rsidR="00825672" w:rsidRPr="00F83A7E" w14:paraId="117F32A6" w14:textId="77777777" w:rsidTr="00374CB4">
        <w:trPr>
          <w:trHeight w:val="170"/>
        </w:trPr>
        <w:tc>
          <w:tcPr>
            <w:tcW w:w="1986" w:type="pct"/>
            <w:vAlign w:val="center"/>
          </w:tcPr>
          <w:p w14:paraId="48A3E3EA" w14:textId="77777777" w:rsidR="00825672" w:rsidRPr="001E7E20" w:rsidRDefault="00825672" w:rsidP="00374CB4">
            <w:pPr>
              <w:pStyle w:val="TableText0"/>
              <w:rPr>
                <w:sz w:val="20"/>
                <w:lang w:val="en-AU" w:eastAsia="en-AU" w:bidi="ar-SA"/>
              </w:rPr>
            </w:pPr>
            <w:r w:rsidRPr="001E7E20">
              <w:rPr>
                <w:sz w:val="20"/>
                <w:lang w:val="en-AU" w:eastAsia="en-AU" w:bidi="ar-SA"/>
              </w:rPr>
              <w:t xml:space="preserve">Large Proptosis, </w:t>
            </w:r>
          </w:p>
          <w:p w14:paraId="526B533C" w14:textId="77777777" w:rsidR="00825672" w:rsidRPr="001E7E20" w:rsidRDefault="00825672" w:rsidP="00374CB4">
            <w:pPr>
              <w:pStyle w:val="TableText0"/>
              <w:rPr>
                <w:sz w:val="20"/>
                <w:lang w:val="en-AU" w:eastAsia="en-AU" w:bidi="ar-SA"/>
              </w:rPr>
            </w:pPr>
            <w:r w:rsidRPr="001E7E20">
              <w:rPr>
                <w:sz w:val="20"/>
                <w:lang w:val="en-AU" w:eastAsia="en-AU" w:bidi="ar-SA"/>
              </w:rPr>
              <w:t>No Diplopia</w:t>
            </w:r>
          </w:p>
        </w:tc>
        <w:tc>
          <w:tcPr>
            <w:tcW w:w="1005" w:type="pct"/>
            <w:vAlign w:val="center"/>
          </w:tcPr>
          <w:p w14:paraId="7A650CB8" w14:textId="77777777" w:rsidR="00825672" w:rsidRPr="001E7E20" w:rsidRDefault="00825672" w:rsidP="00374CB4">
            <w:pPr>
              <w:pStyle w:val="TableText0"/>
              <w:jc w:val="center"/>
              <w:rPr>
                <w:sz w:val="20"/>
                <w:lang w:val="en-AU" w:eastAsia="en-AU" w:bidi="ar-SA"/>
              </w:rPr>
            </w:pPr>
            <w:r w:rsidRPr="001E7E20">
              <w:rPr>
                <w:sz w:val="20"/>
                <w:lang w:val="en-AU" w:eastAsia="en-AU" w:bidi="ar-SA"/>
              </w:rPr>
              <w:t>0.71</w:t>
            </w:r>
          </w:p>
        </w:tc>
        <w:tc>
          <w:tcPr>
            <w:tcW w:w="1005" w:type="pct"/>
            <w:vAlign w:val="center"/>
          </w:tcPr>
          <w:p w14:paraId="11A5EC94" w14:textId="77777777" w:rsidR="00825672" w:rsidRPr="001E7E20" w:rsidRDefault="00825672" w:rsidP="00374CB4">
            <w:pPr>
              <w:pStyle w:val="TableText0"/>
              <w:jc w:val="center"/>
              <w:rPr>
                <w:sz w:val="20"/>
                <w:lang w:val="en-AU" w:eastAsia="en-AU" w:bidi="ar-SA"/>
              </w:rPr>
            </w:pPr>
            <w:r w:rsidRPr="001E7E20">
              <w:rPr>
                <w:sz w:val="20"/>
                <w:lang w:val="en-AU" w:eastAsia="en-AU" w:bidi="ar-SA"/>
              </w:rPr>
              <w:t>0.61</w:t>
            </w:r>
          </w:p>
        </w:tc>
        <w:tc>
          <w:tcPr>
            <w:tcW w:w="1005" w:type="pct"/>
            <w:vAlign w:val="center"/>
          </w:tcPr>
          <w:p w14:paraId="25719573" w14:textId="77777777" w:rsidR="00825672" w:rsidRPr="001E7E20" w:rsidRDefault="00825672" w:rsidP="00374CB4">
            <w:pPr>
              <w:pStyle w:val="TableText0"/>
              <w:jc w:val="center"/>
              <w:rPr>
                <w:sz w:val="20"/>
                <w:lang w:val="en-AU" w:eastAsia="en-AU" w:bidi="ar-SA"/>
              </w:rPr>
            </w:pPr>
            <w:r w:rsidRPr="001E7E20">
              <w:rPr>
                <w:sz w:val="20"/>
                <w:lang w:val="en-AU" w:eastAsia="en-AU" w:bidi="ar-SA"/>
              </w:rPr>
              <w:t>0.85</w:t>
            </w:r>
          </w:p>
        </w:tc>
      </w:tr>
      <w:tr w:rsidR="00825672" w:rsidRPr="00F83A7E" w14:paraId="3C78931C" w14:textId="77777777" w:rsidTr="00374CB4">
        <w:trPr>
          <w:trHeight w:val="170"/>
        </w:trPr>
        <w:tc>
          <w:tcPr>
            <w:tcW w:w="1986" w:type="pct"/>
            <w:vAlign w:val="center"/>
          </w:tcPr>
          <w:p w14:paraId="57C6C3EC" w14:textId="77777777" w:rsidR="00825672" w:rsidRPr="001E7E20" w:rsidRDefault="00825672" w:rsidP="00374CB4">
            <w:pPr>
              <w:pStyle w:val="TableText0"/>
              <w:rPr>
                <w:sz w:val="20"/>
                <w:lang w:val="en-AU" w:eastAsia="en-AU" w:bidi="ar-SA"/>
              </w:rPr>
            </w:pPr>
            <w:r w:rsidRPr="001E7E20">
              <w:rPr>
                <w:sz w:val="20"/>
                <w:lang w:val="en-AU" w:eastAsia="en-AU" w:bidi="ar-SA"/>
              </w:rPr>
              <w:t>Small Proptosis, Intermittent/Inconstant Diplopia</w:t>
            </w:r>
          </w:p>
        </w:tc>
        <w:tc>
          <w:tcPr>
            <w:tcW w:w="1005" w:type="pct"/>
            <w:vAlign w:val="center"/>
          </w:tcPr>
          <w:p w14:paraId="7F5728B8" w14:textId="77777777" w:rsidR="00825672" w:rsidRPr="001E7E20" w:rsidRDefault="00825672" w:rsidP="00374CB4">
            <w:pPr>
              <w:pStyle w:val="TableText0"/>
              <w:jc w:val="center"/>
              <w:rPr>
                <w:sz w:val="20"/>
                <w:lang w:val="en-AU" w:eastAsia="en-AU" w:bidi="ar-SA"/>
              </w:rPr>
            </w:pPr>
            <w:r w:rsidRPr="001E7E20">
              <w:rPr>
                <w:sz w:val="20"/>
                <w:lang w:val="en-AU" w:eastAsia="en-AU" w:bidi="ar-SA"/>
              </w:rPr>
              <w:t>0.77</w:t>
            </w:r>
          </w:p>
        </w:tc>
        <w:tc>
          <w:tcPr>
            <w:tcW w:w="1005" w:type="pct"/>
            <w:vAlign w:val="center"/>
          </w:tcPr>
          <w:p w14:paraId="4DC221F0" w14:textId="77777777" w:rsidR="00825672" w:rsidRPr="001E7E20" w:rsidRDefault="00825672" w:rsidP="00374CB4">
            <w:pPr>
              <w:pStyle w:val="TableText0"/>
              <w:jc w:val="center"/>
              <w:rPr>
                <w:sz w:val="20"/>
                <w:lang w:val="en-AU" w:eastAsia="en-AU" w:bidi="ar-SA"/>
              </w:rPr>
            </w:pPr>
            <w:r w:rsidRPr="001E7E20">
              <w:rPr>
                <w:sz w:val="20"/>
                <w:lang w:val="en-AU" w:eastAsia="en-AU" w:bidi="ar-SA"/>
              </w:rPr>
              <w:t>0.72</w:t>
            </w:r>
          </w:p>
        </w:tc>
        <w:tc>
          <w:tcPr>
            <w:tcW w:w="1005" w:type="pct"/>
            <w:vAlign w:val="center"/>
          </w:tcPr>
          <w:p w14:paraId="2B9CE136" w14:textId="77777777" w:rsidR="00825672" w:rsidRPr="001E7E20" w:rsidRDefault="00825672" w:rsidP="00374CB4">
            <w:pPr>
              <w:pStyle w:val="TableText0"/>
              <w:jc w:val="center"/>
              <w:rPr>
                <w:sz w:val="20"/>
                <w:lang w:val="en-AU" w:eastAsia="en-AU" w:bidi="ar-SA"/>
              </w:rPr>
            </w:pPr>
            <w:r w:rsidRPr="001E7E20">
              <w:rPr>
                <w:sz w:val="20"/>
                <w:lang w:val="en-AU" w:eastAsia="en-AU" w:bidi="ar-SA"/>
              </w:rPr>
              <w:t>0.85</w:t>
            </w:r>
          </w:p>
        </w:tc>
      </w:tr>
      <w:tr w:rsidR="00825672" w:rsidRPr="00F83A7E" w14:paraId="07EBFE79" w14:textId="77777777" w:rsidTr="00374CB4">
        <w:trPr>
          <w:trHeight w:val="170"/>
        </w:trPr>
        <w:tc>
          <w:tcPr>
            <w:tcW w:w="1986" w:type="pct"/>
            <w:vAlign w:val="center"/>
          </w:tcPr>
          <w:p w14:paraId="78B05F60" w14:textId="77777777" w:rsidR="00825672" w:rsidRPr="001E7E20" w:rsidRDefault="00825672" w:rsidP="00374CB4">
            <w:pPr>
              <w:pStyle w:val="TableText0"/>
              <w:rPr>
                <w:sz w:val="20"/>
                <w:lang w:val="en-AU" w:eastAsia="en-AU" w:bidi="ar-SA"/>
              </w:rPr>
            </w:pPr>
            <w:r w:rsidRPr="001E7E20">
              <w:rPr>
                <w:sz w:val="20"/>
                <w:lang w:val="en-AU" w:eastAsia="en-AU" w:bidi="ar-SA"/>
              </w:rPr>
              <w:t>Large Proptosis, Intermittent/Inconstant Diplopia</w:t>
            </w:r>
          </w:p>
        </w:tc>
        <w:tc>
          <w:tcPr>
            <w:tcW w:w="1005" w:type="pct"/>
            <w:vAlign w:val="center"/>
          </w:tcPr>
          <w:p w14:paraId="2147EDA6" w14:textId="77777777" w:rsidR="00825672" w:rsidRPr="001E7E20" w:rsidRDefault="00825672" w:rsidP="00374CB4">
            <w:pPr>
              <w:pStyle w:val="TableText0"/>
              <w:jc w:val="center"/>
              <w:rPr>
                <w:sz w:val="20"/>
                <w:lang w:val="en-AU" w:eastAsia="en-AU" w:bidi="ar-SA"/>
              </w:rPr>
            </w:pPr>
            <w:r w:rsidRPr="001E7E20">
              <w:rPr>
                <w:sz w:val="20"/>
                <w:lang w:val="en-AU" w:eastAsia="en-AU" w:bidi="ar-SA"/>
              </w:rPr>
              <w:t>0.68</w:t>
            </w:r>
          </w:p>
        </w:tc>
        <w:tc>
          <w:tcPr>
            <w:tcW w:w="1005" w:type="pct"/>
            <w:vAlign w:val="center"/>
          </w:tcPr>
          <w:p w14:paraId="5F74B1E0" w14:textId="77777777" w:rsidR="00825672" w:rsidRPr="001E7E20" w:rsidRDefault="00825672" w:rsidP="00374CB4">
            <w:pPr>
              <w:pStyle w:val="TableText0"/>
              <w:jc w:val="center"/>
              <w:rPr>
                <w:sz w:val="20"/>
                <w:lang w:val="en-AU" w:eastAsia="en-AU" w:bidi="ar-SA"/>
              </w:rPr>
            </w:pPr>
            <w:r w:rsidRPr="001E7E20">
              <w:rPr>
                <w:sz w:val="20"/>
                <w:lang w:val="en-AU" w:eastAsia="en-AU" w:bidi="ar-SA"/>
              </w:rPr>
              <w:t>0.58</w:t>
            </w:r>
          </w:p>
        </w:tc>
        <w:tc>
          <w:tcPr>
            <w:tcW w:w="1005" w:type="pct"/>
            <w:vAlign w:val="center"/>
          </w:tcPr>
          <w:p w14:paraId="1AD8BD89" w14:textId="77777777" w:rsidR="00825672" w:rsidRPr="001E7E20" w:rsidRDefault="00825672" w:rsidP="00374CB4">
            <w:pPr>
              <w:pStyle w:val="TableText0"/>
              <w:jc w:val="center"/>
              <w:rPr>
                <w:sz w:val="20"/>
                <w:lang w:val="en-AU" w:eastAsia="en-AU" w:bidi="ar-SA"/>
              </w:rPr>
            </w:pPr>
            <w:r w:rsidRPr="001E7E20">
              <w:rPr>
                <w:sz w:val="20"/>
                <w:lang w:val="en-AU" w:eastAsia="en-AU" w:bidi="ar-SA"/>
              </w:rPr>
              <w:t>0.77</w:t>
            </w:r>
          </w:p>
        </w:tc>
      </w:tr>
      <w:tr w:rsidR="00825672" w:rsidRPr="00F83A7E" w14:paraId="0C03C054" w14:textId="77777777" w:rsidTr="00374CB4">
        <w:trPr>
          <w:trHeight w:val="170"/>
        </w:trPr>
        <w:tc>
          <w:tcPr>
            <w:tcW w:w="1986" w:type="pct"/>
            <w:vAlign w:val="center"/>
          </w:tcPr>
          <w:p w14:paraId="038E294C" w14:textId="77777777" w:rsidR="00825672" w:rsidRPr="001E7E20" w:rsidRDefault="00825672" w:rsidP="00374CB4">
            <w:pPr>
              <w:pStyle w:val="TableText0"/>
              <w:rPr>
                <w:sz w:val="20"/>
                <w:lang w:val="en-AU" w:eastAsia="en-AU" w:bidi="ar-SA"/>
              </w:rPr>
            </w:pPr>
            <w:r w:rsidRPr="001E7E20">
              <w:rPr>
                <w:sz w:val="20"/>
                <w:lang w:val="en-AU" w:eastAsia="en-AU" w:bidi="ar-SA"/>
              </w:rPr>
              <w:t>Small Proptosis, Constant Diplopia</w:t>
            </w:r>
          </w:p>
        </w:tc>
        <w:tc>
          <w:tcPr>
            <w:tcW w:w="1005" w:type="pct"/>
            <w:vAlign w:val="center"/>
          </w:tcPr>
          <w:p w14:paraId="7FD30B11" w14:textId="77777777" w:rsidR="00825672" w:rsidRPr="001E7E20" w:rsidRDefault="00825672" w:rsidP="00374CB4">
            <w:pPr>
              <w:pStyle w:val="TableText0"/>
              <w:jc w:val="center"/>
              <w:rPr>
                <w:sz w:val="20"/>
                <w:lang w:val="en-AU" w:eastAsia="en-AU" w:bidi="ar-SA"/>
              </w:rPr>
            </w:pPr>
            <w:r w:rsidRPr="001E7E20">
              <w:rPr>
                <w:sz w:val="20"/>
                <w:lang w:val="en-AU" w:eastAsia="en-AU" w:bidi="ar-SA"/>
              </w:rPr>
              <w:t>0.59</w:t>
            </w:r>
          </w:p>
        </w:tc>
        <w:tc>
          <w:tcPr>
            <w:tcW w:w="1005" w:type="pct"/>
            <w:vAlign w:val="center"/>
          </w:tcPr>
          <w:p w14:paraId="5E5C8FCC" w14:textId="77777777" w:rsidR="00825672" w:rsidRPr="001E7E20" w:rsidRDefault="00825672" w:rsidP="00374CB4">
            <w:pPr>
              <w:pStyle w:val="TableText0"/>
              <w:jc w:val="center"/>
              <w:rPr>
                <w:sz w:val="20"/>
                <w:lang w:val="en-AU" w:eastAsia="en-AU" w:bidi="ar-SA"/>
              </w:rPr>
            </w:pPr>
            <w:r w:rsidRPr="001E7E20">
              <w:rPr>
                <w:sz w:val="20"/>
                <w:lang w:val="en-AU" w:eastAsia="en-AU" w:bidi="ar-SA"/>
              </w:rPr>
              <w:t>0.55</w:t>
            </w:r>
          </w:p>
        </w:tc>
        <w:tc>
          <w:tcPr>
            <w:tcW w:w="1005" w:type="pct"/>
            <w:vAlign w:val="center"/>
          </w:tcPr>
          <w:p w14:paraId="2005726F" w14:textId="77777777" w:rsidR="00825672" w:rsidRPr="001E7E20" w:rsidRDefault="00825672" w:rsidP="00374CB4">
            <w:pPr>
              <w:pStyle w:val="TableText0"/>
              <w:jc w:val="center"/>
              <w:rPr>
                <w:sz w:val="20"/>
                <w:lang w:val="en-AU" w:eastAsia="en-AU" w:bidi="ar-SA"/>
              </w:rPr>
            </w:pPr>
            <w:r w:rsidRPr="001E7E20">
              <w:rPr>
                <w:sz w:val="20"/>
                <w:lang w:val="en-AU" w:eastAsia="en-AU" w:bidi="ar-SA"/>
              </w:rPr>
              <w:t>0.77</w:t>
            </w:r>
          </w:p>
        </w:tc>
      </w:tr>
      <w:tr w:rsidR="00825672" w:rsidRPr="00F83A7E" w14:paraId="22D0E623" w14:textId="77777777" w:rsidTr="00374CB4">
        <w:trPr>
          <w:trHeight w:val="170"/>
        </w:trPr>
        <w:tc>
          <w:tcPr>
            <w:tcW w:w="1986" w:type="pct"/>
            <w:vAlign w:val="center"/>
          </w:tcPr>
          <w:p w14:paraId="06F60C3E" w14:textId="77777777" w:rsidR="00825672" w:rsidRPr="001E7E20" w:rsidRDefault="00825672" w:rsidP="00374CB4">
            <w:pPr>
              <w:pStyle w:val="TableText0"/>
              <w:rPr>
                <w:sz w:val="20"/>
                <w:lang w:val="en-AU" w:eastAsia="en-AU" w:bidi="ar-SA"/>
              </w:rPr>
            </w:pPr>
            <w:r w:rsidRPr="001E7E20">
              <w:rPr>
                <w:sz w:val="20"/>
                <w:lang w:val="en-AU" w:eastAsia="en-AU" w:bidi="ar-SA"/>
              </w:rPr>
              <w:t>Large Proptosis, Constant Diplopia</w:t>
            </w:r>
          </w:p>
        </w:tc>
        <w:tc>
          <w:tcPr>
            <w:tcW w:w="1005" w:type="pct"/>
            <w:vAlign w:val="center"/>
          </w:tcPr>
          <w:p w14:paraId="28406311" w14:textId="77777777" w:rsidR="00825672" w:rsidRPr="001E7E20" w:rsidRDefault="00825672" w:rsidP="00374CB4">
            <w:pPr>
              <w:pStyle w:val="TableText0"/>
              <w:jc w:val="center"/>
              <w:rPr>
                <w:sz w:val="20"/>
                <w:lang w:val="en-AU" w:eastAsia="en-AU" w:bidi="ar-SA"/>
              </w:rPr>
            </w:pPr>
            <w:r w:rsidRPr="001E7E20">
              <w:rPr>
                <w:sz w:val="20"/>
                <w:lang w:val="en-AU" w:eastAsia="en-AU" w:bidi="ar-SA"/>
              </w:rPr>
              <w:t>0.55</w:t>
            </w:r>
          </w:p>
        </w:tc>
        <w:tc>
          <w:tcPr>
            <w:tcW w:w="1005" w:type="pct"/>
            <w:vAlign w:val="center"/>
          </w:tcPr>
          <w:p w14:paraId="49255406" w14:textId="77777777" w:rsidR="00825672" w:rsidRPr="001E7E20" w:rsidRDefault="00825672" w:rsidP="00374CB4">
            <w:pPr>
              <w:pStyle w:val="TableText0"/>
              <w:jc w:val="center"/>
              <w:rPr>
                <w:sz w:val="20"/>
                <w:lang w:val="en-AU" w:eastAsia="en-AU" w:bidi="ar-SA"/>
              </w:rPr>
            </w:pPr>
            <w:r w:rsidRPr="001E7E20">
              <w:rPr>
                <w:sz w:val="20"/>
                <w:lang w:val="en-AU" w:eastAsia="en-AU" w:bidi="ar-SA"/>
              </w:rPr>
              <w:t>0.55</w:t>
            </w:r>
          </w:p>
        </w:tc>
        <w:tc>
          <w:tcPr>
            <w:tcW w:w="1005" w:type="pct"/>
            <w:vAlign w:val="center"/>
          </w:tcPr>
          <w:p w14:paraId="381543A5" w14:textId="77777777" w:rsidR="00825672" w:rsidRPr="001E7E20" w:rsidRDefault="00825672" w:rsidP="00374CB4">
            <w:pPr>
              <w:pStyle w:val="TableText0"/>
              <w:jc w:val="center"/>
              <w:rPr>
                <w:sz w:val="20"/>
                <w:lang w:val="en-AU" w:eastAsia="en-AU" w:bidi="ar-SA"/>
              </w:rPr>
            </w:pPr>
            <w:r w:rsidRPr="001E7E20">
              <w:rPr>
                <w:sz w:val="20"/>
                <w:lang w:val="en-AU" w:eastAsia="en-AU" w:bidi="ar-SA"/>
              </w:rPr>
              <w:t>0.77</w:t>
            </w:r>
          </w:p>
        </w:tc>
      </w:tr>
    </w:tbl>
    <w:p w14:paraId="43199459" w14:textId="77777777" w:rsidR="00825672" w:rsidRPr="0093079B" w:rsidRDefault="00825672" w:rsidP="00825672">
      <w:pPr>
        <w:pStyle w:val="TableFooter"/>
      </w:pPr>
      <w:r>
        <w:t>Source: Resubmission, Table 8, p7</w:t>
      </w:r>
    </w:p>
    <w:p w14:paraId="475CE6AF" w14:textId="7EEB5373" w:rsidR="00825672" w:rsidRPr="008B79D2" w:rsidRDefault="00825672" w:rsidP="00220A6C">
      <w:pPr>
        <w:pStyle w:val="3-BodyText"/>
        <w:numPr>
          <w:ilvl w:val="1"/>
          <w:numId w:val="1"/>
        </w:numPr>
      </w:pPr>
      <w:bookmarkStart w:id="145" w:name="_Ref199218810"/>
      <w:r w:rsidRPr="00962D0D">
        <w:t xml:space="preserve">Utility estimates for the surgical and post-surgical phases were weighted by the distribution of patients entering surgery from each health state by treatment arm and multiplying these weights by the corresponding health state utility values to generate an average utility for patients requiring surgery </w:t>
      </w:r>
      <w:r>
        <w:t>in</w:t>
      </w:r>
      <w:r w:rsidRPr="00962D0D">
        <w:t xml:space="preserve"> each treatment ar</w:t>
      </w:r>
      <w:r>
        <w:t xml:space="preserve">m. </w:t>
      </w:r>
      <w:r w:rsidRPr="00FA3BFB">
        <w:t xml:space="preserve">The </w:t>
      </w:r>
      <w:r>
        <w:t>calculated</w:t>
      </w:r>
      <w:r w:rsidRPr="00FA3BFB">
        <w:t xml:space="preserve"> weighted utilities </w:t>
      </w:r>
      <w:r>
        <w:t>assumed</w:t>
      </w:r>
      <w:r w:rsidRPr="00FA3BFB">
        <w:t xml:space="preserve"> that the teprotumumab arm had higher utilit</w:t>
      </w:r>
      <w:r>
        <w:t>y values</w:t>
      </w:r>
      <w:r w:rsidRPr="00FA3BFB">
        <w:t xml:space="preserve"> compared to the IVMP arm</w:t>
      </w:r>
      <w:r>
        <w:t xml:space="preserve"> (</w:t>
      </w:r>
      <w:r>
        <w:fldChar w:fldCharType="begin"/>
      </w:r>
      <w:r>
        <w:instrText xml:space="preserve"> REF _Ref199325560 \h </w:instrText>
      </w:r>
      <w:r>
        <w:fldChar w:fldCharType="separate"/>
      </w:r>
      <w:r w:rsidR="0012101B" w:rsidRPr="00FB14AF">
        <w:t xml:space="preserve">Table </w:t>
      </w:r>
      <w:r w:rsidR="0012101B">
        <w:rPr>
          <w:noProof/>
        </w:rPr>
        <w:t>29</w:t>
      </w:r>
      <w:r>
        <w:fldChar w:fldCharType="end"/>
      </w:r>
      <w:r>
        <w:t>)</w:t>
      </w:r>
      <w:r w:rsidRPr="00FA3BFB">
        <w:t>.</w:t>
      </w:r>
      <w:bookmarkEnd w:id="145"/>
    </w:p>
    <w:p w14:paraId="520AA4EF" w14:textId="6E7283E0" w:rsidR="00825672" w:rsidRPr="00487758" w:rsidRDefault="00825672" w:rsidP="00825672">
      <w:pPr>
        <w:pStyle w:val="TableFigureHeading"/>
        <w:spacing w:before="120"/>
        <w:rPr>
          <w:rStyle w:val="CommentReference"/>
          <w:b/>
          <w:bCs w:val="0"/>
        </w:rPr>
      </w:pPr>
      <w:bookmarkStart w:id="146" w:name="_Ref199325560"/>
      <w:r w:rsidRPr="00FB14AF">
        <w:lastRenderedPageBreak/>
        <w:t xml:space="preserve">Table </w:t>
      </w:r>
      <w:r w:rsidRPr="00FB14AF">
        <w:fldChar w:fldCharType="begin"/>
      </w:r>
      <w:r w:rsidRPr="00FB14AF">
        <w:instrText xml:space="preserve"> SEQ Table \* ARABIC </w:instrText>
      </w:r>
      <w:r w:rsidRPr="00FB14AF">
        <w:fldChar w:fldCharType="separate"/>
      </w:r>
      <w:r w:rsidR="0012101B">
        <w:rPr>
          <w:noProof/>
        </w:rPr>
        <w:t>29</w:t>
      </w:r>
      <w:r w:rsidRPr="00FB14AF">
        <w:fldChar w:fldCharType="end"/>
      </w:r>
      <w:bookmarkEnd w:id="146"/>
      <w:r>
        <w:t xml:space="preserve">: </w:t>
      </w:r>
      <w:r w:rsidRPr="003010F0">
        <w:t>Weighted utility values in</w:t>
      </w:r>
      <w:r>
        <w:t xml:space="preserve"> the</w:t>
      </w:r>
      <w:r w:rsidRPr="003010F0">
        <w:t xml:space="preserve"> </w:t>
      </w:r>
      <w:r w:rsidRPr="00487758">
        <w:rPr>
          <w:rStyle w:val="CommentReference"/>
          <w:b/>
          <w:bCs w:val="0"/>
        </w:rPr>
        <w:t xml:space="preserve">re-specified </w:t>
      </w:r>
      <w:r>
        <w:rPr>
          <w:rStyle w:val="CommentReference"/>
          <w:b/>
          <w:bCs w:val="0"/>
        </w:rPr>
        <w:t xml:space="preserve">resubmission </w:t>
      </w:r>
      <w:r w:rsidRPr="00487758">
        <w:rPr>
          <w:rStyle w:val="CommentReference"/>
          <w:b/>
          <w:bCs w:val="0"/>
        </w:rPr>
        <w:t>model</w:t>
      </w:r>
    </w:p>
    <w:tbl>
      <w:tblPr>
        <w:tblStyle w:val="Submissionstandard"/>
        <w:tblW w:w="5000" w:type="pct"/>
        <w:tblLook w:val="04A0" w:firstRow="1" w:lastRow="0" w:firstColumn="1" w:lastColumn="0" w:noHBand="0" w:noVBand="1"/>
      </w:tblPr>
      <w:tblGrid>
        <w:gridCol w:w="2345"/>
        <w:gridCol w:w="3336"/>
        <w:gridCol w:w="3336"/>
      </w:tblGrid>
      <w:tr w:rsidR="00825672" w:rsidRPr="003B6A18" w14:paraId="6BBB4694" w14:textId="77777777" w:rsidTr="00374CB4">
        <w:trPr>
          <w:cnfStyle w:val="100000000000" w:firstRow="1" w:lastRow="0" w:firstColumn="0" w:lastColumn="0" w:oddVBand="0" w:evenVBand="0" w:oddHBand="0" w:evenHBand="0" w:firstRowFirstColumn="0" w:firstRowLastColumn="0" w:lastRowFirstColumn="0" w:lastRowLastColumn="0"/>
          <w:trHeight w:val="170"/>
        </w:trPr>
        <w:tc>
          <w:tcPr>
            <w:tcW w:w="1300" w:type="pct"/>
            <w:tcBorders>
              <w:bottom w:val="single" w:sz="4" w:space="0" w:color="auto"/>
            </w:tcBorders>
            <w:shd w:val="clear" w:color="auto" w:fill="auto"/>
          </w:tcPr>
          <w:p w14:paraId="7D664B19" w14:textId="77777777" w:rsidR="00825672" w:rsidRPr="003010F0" w:rsidRDefault="00825672" w:rsidP="00374CB4">
            <w:pPr>
              <w:pStyle w:val="TableText0"/>
              <w:rPr>
                <w:bCs w:val="0"/>
                <w:sz w:val="20"/>
                <w:lang w:val="en-AU" w:eastAsia="en-AU" w:bidi="ar-SA"/>
              </w:rPr>
            </w:pPr>
          </w:p>
        </w:tc>
        <w:tc>
          <w:tcPr>
            <w:tcW w:w="1850" w:type="pct"/>
            <w:tcBorders>
              <w:bottom w:val="single" w:sz="4" w:space="0" w:color="auto"/>
            </w:tcBorders>
            <w:shd w:val="clear" w:color="auto" w:fill="auto"/>
          </w:tcPr>
          <w:p w14:paraId="585BFBF6" w14:textId="77777777" w:rsidR="00825672" w:rsidRPr="003010F0" w:rsidRDefault="00825672" w:rsidP="00374CB4">
            <w:pPr>
              <w:pStyle w:val="TableText0"/>
              <w:jc w:val="center"/>
              <w:rPr>
                <w:bCs w:val="0"/>
                <w:sz w:val="20"/>
                <w:lang w:val="en-AU" w:eastAsia="en-AU" w:bidi="ar-SA"/>
              </w:rPr>
            </w:pPr>
            <w:r w:rsidRPr="003010F0">
              <w:rPr>
                <w:bCs w:val="0"/>
                <w:sz w:val="20"/>
                <w:lang w:val="en-AU" w:eastAsia="en-AU" w:bidi="ar-SA"/>
              </w:rPr>
              <w:t>Teprotumumab</w:t>
            </w:r>
          </w:p>
        </w:tc>
        <w:tc>
          <w:tcPr>
            <w:tcW w:w="1850" w:type="pct"/>
            <w:tcBorders>
              <w:bottom w:val="single" w:sz="4" w:space="0" w:color="auto"/>
            </w:tcBorders>
            <w:shd w:val="clear" w:color="auto" w:fill="auto"/>
          </w:tcPr>
          <w:p w14:paraId="5BDDEC33" w14:textId="77777777" w:rsidR="00825672" w:rsidRPr="003010F0" w:rsidRDefault="00825672" w:rsidP="00374CB4">
            <w:pPr>
              <w:pStyle w:val="TableText0"/>
              <w:jc w:val="center"/>
              <w:rPr>
                <w:bCs w:val="0"/>
                <w:sz w:val="20"/>
                <w:lang w:val="en-AU" w:eastAsia="en-AU" w:bidi="ar-SA"/>
              </w:rPr>
            </w:pPr>
            <w:r w:rsidRPr="003010F0">
              <w:rPr>
                <w:bCs w:val="0"/>
                <w:sz w:val="20"/>
                <w:lang w:val="en-AU" w:eastAsia="en-AU" w:bidi="ar-SA"/>
              </w:rPr>
              <w:t>IVMP</w:t>
            </w:r>
          </w:p>
        </w:tc>
      </w:tr>
      <w:tr w:rsidR="00825672" w:rsidRPr="003B6A18" w14:paraId="5A1A527A" w14:textId="77777777" w:rsidTr="00374CB4">
        <w:trPr>
          <w:trHeight w:val="170"/>
        </w:trPr>
        <w:tc>
          <w:tcPr>
            <w:tcW w:w="1300" w:type="pct"/>
          </w:tcPr>
          <w:p w14:paraId="0A8F84BE" w14:textId="77777777" w:rsidR="00825672" w:rsidRPr="003010F0" w:rsidRDefault="00825672" w:rsidP="00374CB4">
            <w:pPr>
              <w:pStyle w:val="TableText0"/>
              <w:rPr>
                <w:sz w:val="20"/>
                <w:lang w:val="en-AU" w:eastAsia="en-AU" w:bidi="ar-SA"/>
              </w:rPr>
            </w:pPr>
            <w:r w:rsidRPr="003010F0">
              <w:rPr>
                <w:sz w:val="20"/>
                <w:lang w:val="en-AU" w:eastAsia="en-AU" w:bidi="ar-SA"/>
              </w:rPr>
              <w:t>Surgery</w:t>
            </w:r>
          </w:p>
        </w:tc>
        <w:tc>
          <w:tcPr>
            <w:tcW w:w="1850" w:type="pct"/>
            <w:vAlign w:val="center"/>
          </w:tcPr>
          <w:p w14:paraId="3EE432EF" w14:textId="77777777" w:rsidR="00825672" w:rsidRPr="003010F0" w:rsidRDefault="00825672" w:rsidP="00374CB4">
            <w:pPr>
              <w:pStyle w:val="TableText0"/>
              <w:jc w:val="center"/>
              <w:rPr>
                <w:sz w:val="20"/>
                <w:lang w:val="en-AU" w:eastAsia="en-AU" w:bidi="ar-SA"/>
              </w:rPr>
            </w:pPr>
            <w:r w:rsidRPr="003010F0">
              <w:rPr>
                <w:sz w:val="20"/>
                <w:lang w:val="en-AU" w:eastAsia="en-AU" w:bidi="ar-SA"/>
              </w:rPr>
              <w:t>0.62</w:t>
            </w:r>
          </w:p>
        </w:tc>
        <w:tc>
          <w:tcPr>
            <w:tcW w:w="1850" w:type="pct"/>
            <w:vAlign w:val="center"/>
          </w:tcPr>
          <w:p w14:paraId="5382C05B" w14:textId="77777777" w:rsidR="00825672" w:rsidRPr="003010F0" w:rsidRDefault="00825672" w:rsidP="00374CB4">
            <w:pPr>
              <w:pStyle w:val="TableText0"/>
              <w:jc w:val="center"/>
              <w:rPr>
                <w:sz w:val="20"/>
                <w:lang w:val="en-AU" w:eastAsia="en-AU" w:bidi="ar-SA"/>
              </w:rPr>
            </w:pPr>
            <w:r w:rsidRPr="003010F0">
              <w:rPr>
                <w:sz w:val="20"/>
                <w:lang w:val="en-AU" w:eastAsia="en-AU" w:bidi="ar-SA"/>
              </w:rPr>
              <w:t>0.58</w:t>
            </w:r>
          </w:p>
        </w:tc>
      </w:tr>
      <w:tr w:rsidR="00825672" w:rsidRPr="00E709AA" w14:paraId="52F2DABE" w14:textId="77777777" w:rsidTr="00374CB4">
        <w:trPr>
          <w:trHeight w:val="170"/>
        </w:trPr>
        <w:tc>
          <w:tcPr>
            <w:tcW w:w="1300" w:type="pct"/>
          </w:tcPr>
          <w:p w14:paraId="3EDAEFFB" w14:textId="77777777" w:rsidR="00825672" w:rsidRPr="003010F0" w:rsidRDefault="00825672" w:rsidP="00374CB4">
            <w:pPr>
              <w:pStyle w:val="TableText0"/>
              <w:rPr>
                <w:sz w:val="20"/>
                <w:lang w:val="en-AU" w:eastAsia="en-AU" w:bidi="ar-SA"/>
              </w:rPr>
            </w:pPr>
            <w:r w:rsidRPr="003010F0">
              <w:rPr>
                <w:sz w:val="20"/>
                <w:lang w:val="en-AU" w:eastAsia="en-AU" w:bidi="ar-SA"/>
              </w:rPr>
              <w:t>Post-surgery</w:t>
            </w:r>
          </w:p>
        </w:tc>
        <w:tc>
          <w:tcPr>
            <w:tcW w:w="1850" w:type="pct"/>
            <w:vAlign w:val="center"/>
          </w:tcPr>
          <w:p w14:paraId="70354BF8" w14:textId="77777777" w:rsidR="00825672" w:rsidRPr="003010F0" w:rsidRDefault="00825672" w:rsidP="00374CB4">
            <w:pPr>
              <w:pStyle w:val="TableText0"/>
              <w:jc w:val="center"/>
              <w:rPr>
                <w:sz w:val="20"/>
                <w:lang w:val="en-AU" w:eastAsia="en-AU" w:bidi="ar-SA"/>
              </w:rPr>
            </w:pPr>
            <w:r w:rsidRPr="003010F0">
              <w:rPr>
                <w:sz w:val="20"/>
                <w:lang w:val="en-AU" w:eastAsia="en-AU" w:bidi="ar-SA"/>
              </w:rPr>
              <w:t>0.82</w:t>
            </w:r>
          </w:p>
        </w:tc>
        <w:tc>
          <w:tcPr>
            <w:tcW w:w="1850" w:type="pct"/>
            <w:vAlign w:val="center"/>
          </w:tcPr>
          <w:p w14:paraId="47B0567D" w14:textId="77777777" w:rsidR="00825672" w:rsidRPr="003010F0" w:rsidRDefault="00825672" w:rsidP="00374CB4">
            <w:pPr>
              <w:pStyle w:val="TableText0"/>
              <w:jc w:val="center"/>
              <w:rPr>
                <w:sz w:val="20"/>
                <w:lang w:val="en-AU" w:eastAsia="en-AU" w:bidi="ar-SA"/>
              </w:rPr>
            </w:pPr>
            <w:r w:rsidRPr="003010F0">
              <w:rPr>
                <w:sz w:val="20"/>
                <w:lang w:val="en-AU" w:eastAsia="en-AU" w:bidi="ar-SA"/>
              </w:rPr>
              <w:t>0.79</w:t>
            </w:r>
          </w:p>
        </w:tc>
      </w:tr>
    </w:tbl>
    <w:p w14:paraId="49BE82FD" w14:textId="77777777" w:rsidR="00825672" w:rsidRPr="00545AFD" w:rsidRDefault="00825672" w:rsidP="00825672">
      <w:pPr>
        <w:pStyle w:val="TableFooter"/>
      </w:pPr>
      <w:r>
        <w:t xml:space="preserve">Source: Resubmission, </w:t>
      </w:r>
      <w:r w:rsidRPr="008178FC">
        <w:t>Table 13, p</w:t>
      </w:r>
      <w:r>
        <w:t>10</w:t>
      </w:r>
    </w:p>
    <w:p w14:paraId="2CB40731" w14:textId="41E31F7D" w:rsidR="00825672" w:rsidRDefault="00825672" w:rsidP="00220A6C">
      <w:pPr>
        <w:pStyle w:val="3-BodyText"/>
        <w:numPr>
          <w:ilvl w:val="1"/>
          <w:numId w:val="1"/>
        </w:numPr>
      </w:pPr>
      <w:r w:rsidRPr="00853811">
        <w:t xml:space="preserve">The resubmission </w:t>
      </w:r>
      <w:r>
        <w:t xml:space="preserve">also </w:t>
      </w:r>
      <w:r w:rsidRPr="00853811">
        <w:t xml:space="preserve">proposed a price reduction of </w:t>
      </w:r>
      <w:r w:rsidR="00D80F16" w:rsidRPr="00D80F16">
        <w:rPr>
          <w:color w:val="000000"/>
          <w:w w:val="60"/>
          <w:shd w:val="solid" w:color="000000" w:fill="000000"/>
          <w:fitText w:val="470" w:id="-663974905"/>
          <w14:textFill>
            <w14:solidFill>
              <w14:srgbClr w14:val="000000">
                <w14:alpha w14:val="100000"/>
              </w14:srgbClr>
            </w14:solidFill>
          </w14:textFill>
        </w:rPr>
        <w:t>|||  ||</w:t>
      </w:r>
      <w:r w:rsidR="00D80F16" w:rsidRPr="00D80F16">
        <w:rPr>
          <w:color w:val="000000"/>
          <w:spacing w:val="6"/>
          <w:w w:val="60"/>
          <w:shd w:val="solid" w:color="000000" w:fill="000000"/>
          <w:fitText w:val="470" w:id="-663974905"/>
          <w14:textFill>
            <w14:solidFill>
              <w14:srgbClr w14:val="000000">
                <w14:alpha w14:val="100000"/>
              </w14:srgbClr>
            </w14:solidFill>
          </w14:textFill>
        </w:rPr>
        <w:t>|</w:t>
      </w:r>
      <w:r w:rsidRPr="00853811">
        <w:t>%. The effective ex-manufacturer’s price was reduced from $</w:t>
      </w:r>
      <w:r w:rsidR="00D80F16" w:rsidRPr="00D80F16">
        <w:rPr>
          <w:color w:val="000000"/>
          <w:w w:val="60"/>
          <w:shd w:val="solid" w:color="000000" w:fill="000000"/>
          <w:fitText w:val="470" w:id="-663974904"/>
          <w14:textFill>
            <w14:solidFill>
              <w14:srgbClr w14:val="000000">
                <w14:alpha w14:val="100000"/>
              </w14:srgbClr>
            </w14:solidFill>
          </w14:textFill>
        </w:rPr>
        <w:t>|||  ||</w:t>
      </w:r>
      <w:r w:rsidR="00D80F16" w:rsidRPr="00D80F16">
        <w:rPr>
          <w:color w:val="000000"/>
          <w:spacing w:val="6"/>
          <w:w w:val="60"/>
          <w:shd w:val="solid" w:color="000000" w:fill="000000"/>
          <w:fitText w:val="470" w:id="-663974904"/>
          <w14:textFill>
            <w14:solidFill>
              <w14:srgbClr w14:val="000000">
                <w14:alpha w14:val="100000"/>
              </w14:srgbClr>
            </w14:solidFill>
          </w14:textFill>
        </w:rPr>
        <w:t>|</w:t>
      </w:r>
      <w:r w:rsidRPr="00853811">
        <w:t xml:space="preserve"> to $</w:t>
      </w:r>
      <w:r w:rsidR="00D80F16" w:rsidRPr="00D80F16">
        <w:rPr>
          <w:color w:val="000000"/>
          <w:w w:val="60"/>
          <w:shd w:val="solid" w:color="000000" w:fill="000000"/>
          <w:fitText w:val="470" w:id="-663974903"/>
          <w14:textFill>
            <w14:solidFill>
              <w14:srgbClr w14:val="000000">
                <w14:alpha w14:val="100000"/>
              </w14:srgbClr>
            </w14:solidFill>
          </w14:textFill>
        </w:rPr>
        <w:t>|||  ||</w:t>
      </w:r>
      <w:r w:rsidR="00D80F16" w:rsidRPr="00D80F16">
        <w:rPr>
          <w:color w:val="000000"/>
          <w:spacing w:val="6"/>
          <w:w w:val="60"/>
          <w:shd w:val="solid" w:color="000000" w:fill="000000"/>
          <w:fitText w:val="470" w:id="-663974903"/>
          <w14:textFill>
            <w14:solidFill>
              <w14:srgbClr w14:val="000000">
                <w14:alpha w14:val="100000"/>
              </w14:srgbClr>
            </w14:solidFill>
          </w14:textFill>
        </w:rPr>
        <w:t>|</w:t>
      </w:r>
      <w:r w:rsidRPr="00853811">
        <w:t xml:space="preserve"> per vial. </w:t>
      </w:r>
    </w:p>
    <w:p w14:paraId="1184B021" w14:textId="2A3F789C" w:rsidR="00825672" w:rsidRDefault="00825672" w:rsidP="00220A6C">
      <w:pPr>
        <w:pStyle w:val="3-BodyText"/>
        <w:numPr>
          <w:ilvl w:val="1"/>
          <w:numId w:val="1"/>
        </w:numPr>
      </w:pPr>
      <w:r>
        <w:t xml:space="preserve">The revised results of the economic evaluation are presented in </w:t>
      </w:r>
      <w:r>
        <w:fldChar w:fldCharType="begin"/>
      </w:r>
      <w:r>
        <w:instrText xml:space="preserve"> REF _Ref199143710 \h </w:instrText>
      </w:r>
      <w:r>
        <w:fldChar w:fldCharType="separate"/>
      </w:r>
      <w:r w:rsidR="0012101B" w:rsidRPr="00FB14AF">
        <w:t xml:space="preserve">Table </w:t>
      </w:r>
      <w:r w:rsidR="0012101B">
        <w:rPr>
          <w:noProof/>
        </w:rPr>
        <w:t>30</w:t>
      </w:r>
      <w:r>
        <w:fldChar w:fldCharType="end"/>
      </w:r>
      <w:r>
        <w:t xml:space="preserve">. The </w:t>
      </w:r>
      <w:r w:rsidRPr="00853811">
        <w:t xml:space="preserve">ICER </w:t>
      </w:r>
      <w:r>
        <w:t>wa</w:t>
      </w:r>
      <w:r w:rsidRPr="00853811">
        <w:t xml:space="preserve">s </w:t>
      </w:r>
      <w:r w:rsidR="00071168" w:rsidRPr="00071168">
        <w:t>$55,000 to &lt; $75,000</w:t>
      </w:r>
      <w:r w:rsidRPr="00853811">
        <w:t xml:space="preserve"> per QALY gained.</w:t>
      </w:r>
    </w:p>
    <w:p w14:paraId="2A65A6D9" w14:textId="78379F6A" w:rsidR="00825672" w:rsidRDefault="00825672" w:rsidP="00825672">
      <w:pPr>
        <w:pStyle w:val="TableFigureHeading"/>
        <w:spacing w:before="120"/>
      </w:pPr>
      <w:bookmarkStart w:id="147" w:name="_Ref199143710"/>
      <w:r w:rsidRPr="00FB14AF">
        <w:t xml:space="preserve">Table </w:t>
      </w:r>
      <w:r w:rsidRPr="00FB14AF">
        <w:fldChar w:fldCharType="begin"/>
      </w:r>
      <w:r w:rsidRPr="00FB14AF">
        <w:instrText xml:space="preserve"> SEQ Table \* ARABIC </w:instrText>
      </w:r>
      <w:r w:rsidRPr="00FB14AF">
        <w:fldChar w:fldCharType="separate"/>
      </w:r>
      <w:r w:rsidR="0012101B">
        <w:rPr>
          <w:noProof/>
        </w:rPr>
        <w:t>30</w:t>
      </w:r>
      <w:r w:rsidRPr="00FB14AF">
        <w:fldChar w:fldCharType="end"/>
      </w:r>
      <w:bookmarkEnd w:id="147"/>
      <w:r>
        <w:t xml:space="preserve">: Results of the re-specified resubmission model compared with the </w:t>
      </w:r>
      <w:r w:rsidRPr="00487758">
        <w:rPr>
          <w:rStyle w:val="CommentReference"/>
          <w:b/>
          <w:bCs w:val="0"/>
        </w:rPr>
        <w:t>March 2025</w:t>
      </w:r>
      <w:r>
        <w:rPr>
          <w:rStyle w:val="CommentReference"/>
          <w:b/>
          <w:bCs w:val="0"/>
        </w:rPr>
        <w:t xml:space="preserve"> model</w:t>
      </w:r>
    </w:p>
    <w:tbl>
      <w:tblPr>
        <w:tblStyle w:val="Submissionstandard"/>
        <w:tblW w:w="5000" w:type="pct"/>
        <w:tblLook w:val="04A0" w:firstRow="1" w:lastRow="0" w:firstColumn="1" w:lastColumn="0" w:noHBand="0" w:noVBand="1"/>
      </w:tblPr>
      <w:tblGrid>
        <w:gridCol w:w="1803"/>
        <w:gridCol w:w="1793"/>
        <w:gridCol w:w="11"/>
        <w:gridCol w:w="1782"/>
        <w:gridCol w:w="22"/>
        <w:gridCol w:w="1771"/>
        <w:gridCol w:w="32"/>
        <w:gridCol w:w="1803"/>
      </w:tblGrid>
      <w:tr w:rsidR="00825672" w14:paraId="5ED074B3" w14:textId="77777777" w:rsidTr="00374CB4">
        <w:trPr>
          <w:cnfStyle w:val="100000000000" w:firstRow="1" w:lastRow="0" w:firstColumn="0" w:lastColumn="0" w:oddVBand="0" w:evenVBand="0" w:oddHBand="0" w:evenHBand="0" w:firstRowFirstColumn="0" w:firstRowLastColumn="0" w:lastRowFirstColumn="0" w:lastRowLastColumn="0"/>
          <w:trHeight w:val="170"/>
        </w:trPr>
        <w:tc>
          <w:tcPr>
            <w:tcW w:w="1000" w:type="pct"/>
            <w:shd w:val="clear" w:color="auto" w:fill="auto"/>
            <w:hideMark/>
          </w:tcPr>
          <w:p w14:paraId="18BEA9E7" w14:textId="77777777" w:rsidR="00825672" w:rsidRDefault="00825672" w:rsidP="00374CB4">
            <w:pPr>
              <w:rPr>
                <w:rFonts w:ascii="Arial Narrow" w:eastAsia="Calibri" w:hAnsi="Arial Narrow" w:cs="Times New Roman"/>
                <w:b w:val="0"/>
                <w:sz w:val="20"/>
                <w:szCs w:val="20"/>
              </w:rPr>
            </w:pPr>
          </w:p>
        </w:tc>
        <w:tc>
          <w:tcPr>
            <w:tcW w:w="994" w:type="pct"/>
            <w:shd w:val="clear" w:color="auto" w:fill="auto"/>
            <w:hideMark/>
          </w:tcPr>
          <w:p w14:paraId="6588B8F0" w14:textId="77777777" w:rsidR="00825672" w:rsidRPr="00596A16" w:rsidRDefault="00825672" w:rsidP="00374CB4">
            <w:pPr>
              <w:rPr>
                <w:rFonts w:ascii="Arial Narrow" w:eastAsia="Calibri" w:hAnsi="Arial Narrow" w:cs="Times New Roman"/>
                <w:bCs/>
                <w:sz w:val="20"/>
                <w:szCs w:val="20"/>
              </w:rPr>
            </w:pPr>
            <w:r w:rsidRPr="00596A16">
              <w:rPr>
                <w:rFonts w:ascii="Arial Narrow" w:eastAsia="Calibri" w:hAnsi="Arial Narrow" w:cs="Times New Roman"/>
                <w:bCs/>
                <w:sz w:val="20"/>
                <w:szCs w:val="20"/>
              </w:rPr>
              <w:t xml:space="preserve">Teprotumumab </w:t>
            </w:r>
          </w:p>
        </w:tc>
        <w:tc>
          <w:tcPr>
            <w:tcW w:w="994" w:type="pct"/>
            <w:gridSpan w:val="2"/>
            <w:shd w:val="clear" w:color="auto" w:fill="auto"/>
            <w:hideMark/>
          </w:tcPr>
          <w:p w14:paraId="492BCDF7" w14:textId="77777777" w:rsidR="00825672" w:rsidRPr="00596A16" w:rsidRDefault="00825672" w:rsidP="00374CB4">
            <w:pPr>
              <w:rPr>
                <w:rFonts w:ascii="Arial Narrow" w:eastAsia="Calibri" w:hAnsi="Arial Narrow" w:cs="Times New Roman"/>
                <w:bCs/>
                <w:sz w:val="20"/>
                <w:szCs w:val="20"/>
              </w:rPr>
            </w:pPr>
            <w:r w:rsidRPr="00596A16">
              <w:rPr>
                <w:rFonts w:ascii="Arial Narrow" w:eastAsia="Calibri" w:hAnsi="Arial Narrow" w:cs="Times New Roman"/>
                <w:bCs/>
                <w:sz w:val="20"/>
                <w:szCs w:val="20"/>
              </w:rPr>
              <w:t xml:space="preserve">IVMP </w:t>
            </w:r>
          </w:p>
        </w:tc>
        <w:tc>
          <w:tcPr>
            <w:tcW w:w="994" w:type="pct"/>
            <w:gridSpan w:val="2"/>
            <w:shd w:val="clear" w:color="auto" w:fill="auto"/>
            <w:hideMark/>
          </w:tcPr>
          <w:p w14:paraId="30896375" w14:textId="77777777" w:rsidR="00825672" w:rsidRPr="00596A16" w:rsidRDefault="00825672" w:rsidP="00374CB4">
            <w:pPr>
              <w:rPr>
                <w:rFonts w:ascii="Arial Narrow" w:eastAsia="Calibri" w:hAnsi="Arial Narrow" w:cs="Times New Roman"/>
                <w:bCs/>
                <w:sz w:val="20"/>
                <w:szCs w:val="20"/>
              </w:rPr>
            </w:pPr>
            <w:r w:rsidRPr="00596A16">
              <w:rPr>
                <w:rFonts w:ascii="Arial Narrow" w:eastAsia="Calibri" w:hAnsi="Arial Narrow" w:cs="Times New Roman"/>
                <w:bCs/>
                <w:sz w:val="20"/>
                <w:szCs w:val="20"/>
              </w:rPr>
              <w:t>Incremental</w:t>
            </w:r>
          </w:p>
        </w:tc>
        <w:tc>
          <w:tcPr>
            <w:tcW w:w="1018" w:type="pct"/>
            <w:gridSpan w:val="2"/>
            <w:shd w:val="clear" w:color="auto" w:fill="auto"/>
            <w:hideMark/>
          </w:tcPr>
          <w:p w14:paraId="21B95A78" w14:textId="77777777" w:rsidR="00825672" w:rsidRPr="00596A16" w:rsidRDefault="00825672" w:rsidP="00374CB4">
            <w:pPr>
              <w:rPr>
                <w:rFonts w:ascii="Arial Narrow" w:eastAsia="Calibri" w:hAnsi="Arial Narrow" w:cs="Times New Roman"/>
                <w:bCs/>
                <w:sz w:val="20"/>
                <w:szCs w:val="20"/>
              </w:rPr>
            </w:pPr>
            <w:r w:rsidRPr="00596A16">
              <w:rPr>
                <w:rFonts w:ascii="Arial Narrow" w:eastAsia="Calibri" w:hAnsi="Arial Narrow" w:cs="Times New Roman"/>
                <w:bCs/>
                <w:sz w:val="20"/>
                <w:szCs w:val="20"/>
              </w:rPr>
              <w:t>ICER</w:t>
            </w:r>
          </w:p>
        </w:tc>
      </w:tr>
      <w:tr w:rsidR="00825672" w14:paraId="41996D5C" w14:textId="77777777" w:rsidTr="00374CB4">
        <w:trPr>
          <w:trHeight w:val="170"/>
        </w:trPr>
        <w:tc>
          <w:tcPr>
            <w:tcW w:w="5000" w:type="pct"/>
            <w:gridSpan w:val="8"/>
            <w:tcBorders>
              <w:top w:val="single" w:sz="4" w:space="0" w:color="auto"/>
              <w:left w:val="single" w:sz="4" w:space="0" w:color="auto"/>
              <w:bottom w:val="single" w:sz="4" w:space="0" w:color="auto"/>
              <w:right w:val="single" w:sz="4" w:space="0" w:color="auto"/>
            </w:tcBorders>
          </w:tcPr>
          <w:p w14:paraId="7E19DF53" w14:textId="77777777" w:rsidR="00825672" w:rsidRPr="00C56498" w:rsidRDefault="00825672" w:rsidP="00374CB4">
            <w:pPr>
              <w:rPr>
                <w:rFonts w:ascii="Arial Narrow" w:eastAsia="Calibri" w:hAnsi="Arial Narrow" w:cs="Times New Roman"/>
                <w:b/>
                <w:bCs/>
                <w:sz w:val="20"/>
                <w:szCs w:val="20"/>
              </w:rPr>
            </w:pPr>
            <w:r w:rsidRPr="00C56498">
              <w:rPr>
                <w:rFonts w:ascii="Arial Narrow" w:eastAsia="Calibri" w:hAnsi="Arial Narrow" w:cs="Times New Roman"/>
                <w:b/>
                <w:bCs/>
                <w:sz w:val="20"/>
                <w:szCs w:val="20"/>
              </w:rPr>
              <w:t xml:space="preserve">Re-specified model of the resubmission </w:t>
            </w:r>
          </w:p>
        </w:tc>
      </w:tr>
      <w:tr w:rsidR="00825672" w14:paraId="05BA72C3" w14:textId="77777777" w:rsidTr="00374CB4">
        <w:trPr>
          <w:trHeight w:val="170"/>
        </w:trPr>
        <w:tc>
          <w:tcPr>
            <w:tcW w:w="1000" w:type="pct"/>
            <w:tcBorders>
              <w:top w:val="single" w:sz="4" w:space="0" w:color="auto"/>
              <w:left w:val="single" w:sz="4" w:space="0" w:color="auto"/>
              <w:bottom w:val="single" w:sz="4" w:space="0" w:color="auto"/>
              <w:right w:val="single" w:sz="4" w:space="0" w:color="auto"/>
            </w:tcBorders>
            <w:hideMark/>
          </w:tcPr>
          <w:p w14:paraId="36054627"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Total cost</w:t>
            </w:r>
          </w:p>
        </w:tc>
        <w:tc>
          <w:tcPr>
            <w:tcW w:w="1000" w:type="pct"/>
            <w:gridSpan w:val="2"/>
            <w:tcBorders>
              <w:top w:val="single" w:sz="4" w:space="0" w:color="auto"/>
              <w:left w:val="single" w:sz="4" w:space="0" w:color="auto"/>
              <w:bottom w:val="single" w:sz="4" w:space="0" w:color="auto"/>
              <w:right w:val="single" w:sz="4" w:space="0" w:color="auto"/>
            </w:tcBorders>
            <w:hideMark/>
          </w:tcPr>
          <w:p w14:paraId="036116F2" w14:textId="33443F82"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r w:rsidR="00D80F16" w:rsidRPr="00D80F16">
              <w:rPr>
                <w:rFonts w:ascii="Arial Narrow" w:eastAsia="Calibri" w:hAnsi="Arial Narrow" w:cs="Times New Roman"/>
                <w:color w:val="000000"/>
                <w:spacing w:val="9"/>
                <w:sz w:val="20"/>
                <w:szCs w:val="20"/>
                <w:shd w:val="solid" w:color="000000" w:fill="000000"/>
                <w:fitText w:val="310" w:id="-663974902"/>
                <w14:textFill>
                  <w14:solidFill>
                    <w14:srgbClr w14:val="000000">
                      <w14:alpha w14:val="100000"/>
                    </w14:srgbClr>
                  </w14:solidFill>
                </w14:textFill>
              </w:rPr>
              <w:t>||  |</w:t>
            </w:r>
            <w:r w:rsidR="00D80F16" w:rsidRPr="00D80F16">
              <w:rPr>
                <w:rFonts w:ascii="Arial Narrow" w:eastAsia="Calibri" w:hAnsi="Arial Narrow" w:cs="Times New Roman"/>
                <w:color w:val="000000"/>
                <w:spacing w:val="4"/>
                <w:sz w:val="20"/>
                <w:szCs w:val="20"/>
                <w:shd w:val="solid" w:color="000000" w:fill="000000"/>
                <w:fitText w:val="310" w:id="-663974902"/>
                <w14:textFill>
                  <w14:solidFill>
                    <w14:srgbClr w14:val="000000">
                      <w14:alpha w14:val="100000"/>
                    </w14:srgbClr>
                  </w14:solidFill>
                </w14:textFill>
              </w:rPr>
              <w:t>|</w:t>
            </w:r>
          </w:p>
        </w:tc>
        <w:tc>
          <w:tcPr>
            <w:tcW w:w="1000" w:type="pct"/>
            <w:gridSpan w:val="2"/>
            <w:tcBorders>
              <w:top w:val="single" w:sz="4" w:space="0" w:color="auto"/>
              <w:left w:val="single" w:sz="4" w:space="0" w:color="auto"/>
              <w:bottom w:val="single" w:sz="4" w:space="0" w:color="auto"/>
              <w:right w:val="single" w:sz="4" w:space="0" w:color="auto"/>
            </w:tcBorders>
            <w:hideMark/>
          </w:tcPr>
          <w:p w14:paraId="3EB9EE0C"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$42,852</w:t>
            </w:r>
          </w:p>
        </w:tc>
        <w:tc>
          <w:tcPr>
            <w:tcW w:w="1000" w:type="pct"/>
            <w:gridSpan w:val="2"/>
            <w:tcBorders>
              <w:top w:val="single" w:sz="4" w:space="0" w:color="auto"/>
              <w:left w:val="single" w:sz="4" w:space="0" w:color="auto"/>
              <w:bottom w:val="single" w:sz="4" w:space="0" w:color="auto"/>
              <w:right w:val="single" w:sz="4" w:space="0" w:color="auto"/>
            </w:tcBorders>
            <w:hideMark/>
          </w:tcPr>
          <w:p w14:paraId="7DEE1BAC" w14:textId="64165F23"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r w:rsidR="00D80F16" w:rsidRPr="00D80F16">
              <w:rPr>
                <w:rFonts w:ascii="Arial Narrow" w:eastAsia="Calibri" w:hAnsi="Arial Narrow" w:cs="Times New Roman"/>
                <w:color w:val="000000"/>
                <w:spacing w:val="9"/>
                <w:sz w:val="20"/>
                <w:szCs w:val="20"/>
                <w:shd w:val="solid" w:color="000000" w:fill="000000"/>
                <w:fitText w:val="310" w:id="-663974901"/>
                <w14:textFill>
                  <w14:solidFill>
                    <w14:srgbClr w14:val="000000">
                      <w14:alpha w14:val="100000"/>
                    </w14:srgbClr>
                  </w14:solidFill>
                </w14:textFill>
              </w:rPr>
              <w:t>||  |</w:t>
            </w:r>
            <w:r w:rsidR="00D80F16" w:rsidRPr="00D80F16">
              <w:rPr>
                <w:rFonts w:ascii="Arial Narrow" w:eastAsia="Calibri" w:hAnsi="Arial Narrow" w:cs="Times New Roman"/>
                <w:color w:val="000000"/>
                <w:spacing w:val="4"/>
                <w:sz w:val="20"/>
                <w:szCs w:val="20"/>
                <w:shd w:val="solid" w:color="000000" w:fill="000000"/>
                <w:fitText w:val="310" w:id="-663974901"/>
                <w14:textFill>
                  <w14:solidFill>
                    <w14:srgbClr w14:val="000000">
                      <w14:alpha w14:val="100000"/>
                    </w14:srgbClr>
                  </w14:solidFill>
                </w14:textFill>
              </w:rPr>
              <w:t>|</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2A8831B"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p>
        </w:tc>
      </w:tr>
      <w:tr w:rsidR="00825672" w14:paraId="53DDDFF0" w14:textId="77777777" w:rsidTr="00374CB4">
        <w:trPr>
          <w:trHeight w:val="170"/>
        </w:trPr>
        <w:tc>
          <w:tcPr>
            <w:tcW w:w="1000" w:type="pct"/>
            <w:tcBorders>
              <w:top w:val="single" w:sz="4" w:space="0" w:color="auto"/>
              <w:left w:val="single" w:sz="4" w:space="0" w:color="auto"/>
              <w:bottom w:val="single" w:sz="4" w:space="0" w:color="auto"/>
              <w:right w:val="single" w:sz="4" w:space="0" w:color="auto"/>
            </w:tcBorders>
            <w:hideMark/>
          </w:tcPr>
          <w:p w14:paraId="5CD14F0C"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LYs</w:t>
            </w:r>
          </w:p>
        </w:tc>
        <w:tc>
          <w:tcPr>
            <w:tcW w:w="1000" w:type="pct"/>
            <w:gridSpan w:val="2"/>
            <w:tcBorders>
              <w:top w:val="single" w:sz="4" w:space="0" w:color="auto"/>
              <w:left w:val="single" w:sz="4" w:space="0" w:color="auto"/>
              <w:bottom w:val="single" w:sz="4" w:space="0" w:color="auto"/>
              <w:right w:val="single" w:sz="4" w:space="0" w:color="auto"/>
            </w:tcBorders>
            <w:hideMark/>
          </w:tcPr>
          <w:p w14:paraId="64D25FA4"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12.63</w:t>
            </w:r>
          </w:p>
        </w:tc>
        <w:tc>
          <w:tcPr>
            <w:tcW w:w="1000" w:type="pct"/>
            <w:gridSpan w:val="2"/>
            <w:tcBorders>
              <w:top w:val="single" w:sz="4" w:space="0" w:color="auto"/>
              <w:left w:val="single" w:sz="4" w:space="0" w:color="auto"/>
              <w:bottom w:val="single" w:sz="4" w:space="0" w:color="auto"/>
              <w:right w:val="single" w:sz="4" w:space="0" w:color="auto"/>
            </w:tcBorders>
            <w:hideMark/>
          </w:tcPr>
          <w:p w14:paraId="75AC0013"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12.63</w:t>
            </w:r>
          </w:p>
        </w:tc>
        <w:tc>
          <w:tcPr>
            <w:tcW w:w="1000" w:type="pct"/>
            <w:gridSpan w:val="2"/>
            <w:tcBorders>
              <w:top w:val="single" w:sz="4" w:space="0" w:color="auto"/>
              <w:left w:val="single" w:sz="4" w:space="0" w:color="auto"/>
              <w:bottom w:val="single" w:sz="4" w:space="0" w:color="auto"/>
              <w:right w:val="single" w:sz="4" w:space="0" w:color="auto"/>
            </w:tcBorders>
            <w:hideMark/>
          </w:tcPr>
          <w:p w14:paraId="628BCF83"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0.00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8A4C31C"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p>
        </w:tc>
      </w:tr>
      <w:tr w:rsidR="00825672" w14:paraId="019DD9A5" w14:textId="77777777" w:rsidTr="00374CB4">
        <w:trPr>
          <w:trHeight w:val="170"/>
        </w:trPr>
        <w:tc>
          <w:tcPr>
            <w:tcW w:w="1000" w:type="pct"/>
            <w:tcBorders>
              <w:top w:val="single" w:sz="4" w:space="0" w:color="auto"/>
              <w:left w:val="single" w:sz="4" w:space="0" w:color="auto"/>
              <w:bottom w:val="single" w:sz="4" w:space="0" w:color="auto"/>
              <w:right w:val="single" w:sz="4" w:space="0" w:color="auto"/>
            </w:tcBorders>
            <w:hideMark/>
          </w:tcPr>
          <w:p w14:paraId="01E4E111"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QALYs</w:t>
            </w:r>
          </w:p>
        </w:tc>
        <w:tc>
          <w:tcPr>
            <w:tcW w:w="1000" w:type="pct"/>
            <w:gridSpan w:val="2"/>
            <w:tcBorders>
              <w:top w:val="single" w:sz="4" w:space="0" w:color="auto"/>
              <w:left w:val="single" w:sz="4" w:space="0" w:color="auto"/>
              <w:bottom w:val="single" w:sz="4" w:space="0" w:color="auto"/>
              <w:right w:val="single" w:sz="4" w:space="0" w:color="auto"/>
            </w:tcBorders>
            <w:hideMark/>
          </w:tcPr>
          <w:p w14:paraId="449B0BB6"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9.74</w:t>
            </w:r>
          </w:p>
        </w:tc>
        <w:tc>
          <w:tcPr>
            <w:tcW w:w="1000" w:type="pct"/>
            <w:gridSpan w:val="2"/>
            <w:tcBorders>
              <w:top w:val="single" w:sz="4" w:space="0" w:color="auto"/>
              <w:left w:val="single" w:sz="4" w:space="0" w:color="auto"/>
              <w:bottom w:val="single" w:sz="4" w:space="0" w:color="auto"/>
              <w:right w:val="single" w:sz="4" w:space="0" w:color="auto"/>
            </w:tcBorders>
            <w:hideMark/>
          </w:tcPr>
          <w:p w14:paraId="0B1D2A5A"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8.77</w:t>
            </w:r>
          </w:p>
        </w:tc>
        <w:tc>
          <w:tcPr>
            <w:tcW w:w="1000" w:type="pct"/>
            <w:gridSpan w:val="2"/>
            <w:tcBorders>
              <w:top w:val="single" w:sz="4" w:space="0" w:color="auto"/>
              <w:left w:val="single" w:sz="4" w:space="0" w:color="auto"/>
              <w:bottom w:val="single" w:sz="4" w:space="0" w:color="auto"/>
              <w:right w:val="single" w:sz="4" w:space="0" w:color="auto"/>
            </w:tcBorders>
            <w:hideMark/>
          </w:tcPr>
          <w:p w14:paraId="78EE7205"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0.967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E9913EA" w14:textId="524861A4" w:rsidR="00825672" w:rsidRPr="00CC4464" w:rsidRDefault="00825672" w:rsidP="00374CB4">
            <w:pPr>
              <w:rPr>
                <w:rFonts w:ascii="Arial Narrow" w:eastAsia="Calibri" w:hAnsi="Arial Narrow" w:cs="Times New Roman"/>
                <w:sz w:val="20"/>
                <w:szCs w:val="20"/>
                <w:vertAlign w:val="superscript"/>
              </w:rPr>
            </w:pPr>
            <w:r>
              <w:rPr>
                <w:rFonts w:ascii="Arial Narrow" w:eastAsia="Calibri" w:hAnsi="Arial Narrow" w:cs="Times New Roman"/>
                <w:sz w:val="20"/>
                <w:szCs w:val="20"/>
              </w:rPr>
              <w:t>$</w:t>
            </w:r>
            <w:r w:rsidR="00D80F16" w:rsidRPr="00D80F16">
              <w:rPr>
                <w:rFonts w:ascii="Arial Narrow" w:eastAsia="Calibri" w:hAnsi="Arial Narrow" w:cs="Times New Roman"/>
                <w:color w:val="000000"/>
                <w:spacing w:val="9"/>
                <w:sz w:val="20"/>
                <w:szCs w:val="20"/>
                <w:shd w:val="solid" w:color="000000" w:fill="000000"/>
                <w:fitText w:val="310" w:id="-663974900"/>
                <w14:textFill>
                  <w14:solidFill>
                    <w14:srgbClr w14:val="000000">
                      <w14:alpha w14:val="100000"/>
                    </w14:srgbClr>
                  </w14:solidFill>
                </w14:textFill>
              </w:rPr>
              <w:t>||  |</w:t>
            </w:r>
            <w:r w:rsidR="00D80F16" w:rsidRPr="00D80F16">
              <w:rPr>
                <w:rFonts w:ascii="Arial Narrow" w:eastAsia="Calibri" w:hAnsi="Arial Narrow" w:cs="Times New Roman"/>
                <w:color w:val="000000"/>
                <w:spacing w:val="4"/>
                <w:sz w:val="20"/>
                <w:szCs w:val="20"/>
                <w:shd w:val="solid" w:color="000000" w:fill="000000"/>
                <w:fitText w:val="310" w:id="-663974900"/>
                <w14:textFill>
                  <w14:solidFill>
                    <w14:srgbClr w14:val="000000">
                      <w14:alpha w14:val="100000"/>
                    </w14:srgbClr>
                  </w14:solidFill>
                </w14:textFill>
              </w:rPr>
              <w:t>|</w:t>
            </w:r>
            <w:r w:rsidR="00CC4464">
              <w:rPr>
                <w:rFonts w:ascii="Arial Narrow" w:eastAsia="Calibri" w:hAnsi="Arial Narrow" w:cs="Times New Roman"/>
                <w:sz w:val="20"/>
                <w:szCs w:val="20"/>
              </w:rPr>
              <w:t xml:space="preserve"> </w:t>
            </w:r>
            <w:r w:rsidR="00CC4464">
              <w:rPr>
                <w:rFonts w:ascii="Arial Narrow" w:eastAsia="Calibri" w:hAnsi="Arial Narrow" w:cs="Times New Roman"/>
                <w:sz w:val="20"/>
                <w:szCs w:val="20"/>
                <w:vertAlign w:val="superscript"/>
              </w:rPr>
              <w:t>1</w:t>
            </w:r>
          </w:p>
        </w:tc>
      </w:tr>
      <w:tr w:rsidR="00825672" w14:paraId="393069C1" w14:textId="77777777" w:rsidTr="00374CB4">
        <w:trPr>
          <w:trHeight w:val="170"/>
        </w:trPr>
        <w:tc>
          <w:tcPr>
            <w:tcW w:w="5000" w:type="pct"/>
            <w:gridSpan w:val="8"/>
            <w:shd w:val="clear" w:color="auto" w:fill="D9D9D9" w:themeFill="background1" w:themeFillShade="D9"/>
          </w:tcPr>
          <w:p w14:paraId="1FB33622" w14:textId="77777777" w:rsidR="00825672" w:rsidRPr="009C001D" w:rsidRDefault="00825672" w:rsidP="00374CB4">
            <w:pPr>
              <w:rPr>
                <w:rFonts w:ascii="Arial Narrow" w:eastAsia="Calibri" w:hAnsi="Arial Narrow" w:cs="Times New Roman"/>
                <w:b/>
                <w:bCs/>
                <w:sz w:val="20"/>
                <w:szCs w:val="20"/>
              </w:rPr>
            </w:pPr>
            <w:r w:rsidRPr="009C001D">
              <w:rPr>
                <w:rFonts w:ascii="Arial Narrow" w:eastAsia="Calibri" w:hAnsi="Arial Narrow" w:cs="Times New Roman"/>
                <w:b/>
                <w:bCs/>
                <w:sz w:val="20"/>
                <w:szCs w:val="20"/>
              </w:rPr>
              <w:t>March 2025 submission</w:t>
            </w:r>
          </w:p>
        </w:tc>
      </w:tr>
      <w:tr w:rsidR="00825672" w14:paraId="743A679D" w14:textId="77777777" w:rsidTr="00374CB4">
        <w:trPr>
          <w:trHeight w:val="170"/>
        </w:trPr>
        <w:tc>
          <w:tcPr>
            <w:tcW w:w="1000" w:type="pct"/>
            <w:shd w:val="clear" w:color="auto" w:fill="D9D9D9" w:themeFill="background1" w:themeFillShade="D9"/>
            <w:hideMark/>
          </w:tcPr>
          <w:p w14:paraId="1155E752"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Total cost</w:t>
            </w:r>
          </w:p>
        </w:tc>
        <w:tc>
          <w:tcPr>
            <w:tcW w:w="1000" w:type="pct"/>
            <w:gridSpan w:val="2"/>
            <w:shd w:val="clear" w:color="auto" w:fill="D9D9D9" w:themeFill="background1" w:themeFillShade="D9"/>
            <w:hideMark/>
          </w:tcPr>
          <w:p w14:paraId="2797FAA0" w14:textId="580F9425"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r w:rsidR="00D80F16" w:rsidRPr="00D80F16">
              <w:rPr>
                <w:rFonts w:ascii="Arial Narrow" w:eastAsia="Calibri" w:hAnsi="Arial Narrow" w:cs="Times New Roman"/>
                <w:color w:val="000000"/>
                <w:spacing w:val="9"/>
                <w:sz w:val="20"/>
                <w:szCs w:val="20"/>
                <w:shd w:val="solid" w:color="000000" w:fill="000000"/>
                <w:fitText w:val="310" w:id="-663974899"/>
                <w14:textFill>
                  <w14:solidFill>
                    <w14:srgbClr w14:val="000000">
                      <w14:alpha w14:val="100000"/>
                    </w14:srgbClr>
                  </w14:solidFill>
                </w14:textFill>
              </w:rPr>
              <w:t>||  |</w:t>
            </w:r>
            <w:r w:rsidR="00D80F16" w:rsidRPr="00D80F16">
              <w:rPr>
                <w:rFonts w:ascii="Arial Narrow" w:eastAsia="Calibri" w:hAnsi="Arial Narrow" w:cs="Times New Roman"/>
                <w:color w:val="000000"/>
                <w:spacing w:val="4"/>
                <w:sz w:val="20"/>
                <w:szCs w:val="20"/>
                <w:shd w:val="solid" w:color="000000" w:fill="000000"/>
                <w:fitText w:val="310" w:id="-663974899"/>
                <w14:textFill>
                  <w14:solidFill>
                    <w14:srgbClr w14:val="000000">
                      <w14:alpha w14:val="100000"/>
                    </w14:srgbClr>
                  </w14:solidFill>
                </w14:textFill>
              </w:rPr>
              <w:t>|</w:t>
            </w:r>
          </w:p>
        </w:tc>
        <w:tc>
          <w:tcPr>
            <w:tcW w:w="1000" w:type="pct"/>
            <w:gridSpan w:val="2"/>
            <w:shd w:val="clear" w:color="auto" w:fill="D9D9D9" w:themeFill="background1" w:themeFillShade="D9"/>
            <w:hideMark/>
          </w:tcPr>
          <w:p w14:paraId="0C768AB2"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$46,932</w:t>
            </w:r>
          </w:p>
        </w:tc>
        <w:tc>
          <w:tcPr>
            <w:tcW w:w="1000" w:type="pct"/>
            <w:gridSpan w:val="2"/>
            <w:shd w:val="clear" w:color="auto" w:fill="D9D9D9" w:themeFill="background1" w:themeFillShade="D9"/>
            <w:hideMark/>
          </w:tcPr>
          <w:p w14:paraId="3AB3757A" w14:textId="02889B7D"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r w:rsidR="00D80F16" w:rsidRPr="00D80F16">
              <w:rPr>
                <w:rFonts w:ascii="Arial Narrow" w:eastAsia="Calibri" w:hAnsi="Arial Narrow" w:cs="Times New Roman"/>
                <w:color w:val="000000"/>
                <w:spacing w:val="9"/>
                <w:sz w:val="20"/>
                <w:szCs w:val="20"/>
                <w:shd w:val="solid" w:color="000000" w:fill="000000"/>
                <w:fitText w:val="310" w:id="-663974898"/>
                <w14:textFill>
                  <w14:solidFill>
                    <w14:srgbClr w14:val="000000">
                      <w14:alpha w14:val="100000"/>
                    </w14:srgbClr>
                  </w14:solidFill>
                </w14:textFill>
              </w:rPr>
              <w:t>||  |</w:t>
            </w:r>
            <w:r w:rsidR="00D80F16" w:rsidRPr="00D80F16">
              <w:rPr>
                <w:rFonts w:ascii="Arial Narrow" w:eastAsia="Calibri" w:hAnsi="Arial Narrow" w:cs="Times New Roman"/>
                <w:color w:val="000000"/>
                <w:spacing w:val="4"/>
                <w:sz w:val="20"/>
                <w:szCs w:val="20"/>
                <w:shd w:val="solid" w:color="000000" w:fill="000000"/>
                <w:fitText w:val="310" w:id="-663974898"/>
                <w14:textFill>
                  <w14:solidFill>
                    <w14:srgbClr w14:val="000000">
                      <w14:alpha w14:val="100000"/>
                    </w14:srgbClr>
                  </w14:solidFill>
                </w14:textFill>
              </w:rPr>
              <w:t>|</w:t>
            </w:r>
          </w:p>
        </w:tc>
        <w:tc>
          <w:tcPr>
            <w:tcW w:w="1000" w:type="pct"/>
            <w:shd w:val="clear" w:color="auto" w:fill="D9D9D9" w:themeFill="background1" w:themeFillShade="D9"/>
            <w:hideMark/>
          </w:tcPr>
          <w:p w14:paraId="11AEA69C"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p>
        </w:tc>
      </w:tr>
      <w:tr w:rsidR="00825672" w14:paraId="5DDB70CD" w14:textId="77777777" w:rsidTr="00374CB4">
        <w:trPr>
          <w:trHeight w:val="170"/>
        </w:trPr>
        <w:tc>
          <w:tcPr>
            <w:tcW w:w="1000" w:type="pct"/>
            <w:shd w:val="clear" w:color="auto" w:fill="D9D9D9" w:themeFill="background1" w:themeFillShade="D9"/>
            <w:hideMark/>
          </w:tcPr>
          <w:p w14:paraId="7FA5F408"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LYs</w:t>
            </w:r>
          </w:p>
        </w:tc>
        <w:tc>
          <w:tcPr>
            <w:tcW w:w="1000" w:type="pct"/>
            <w:gridSpan w:val="2"/>
            <w:shd w:val="clear" w:color="auto" w:fill="D9D9D9" w:themeFill="background1" w:themeFillShade="D9"/>
            <w:hideMark/>
          </w:tcPr>
          <w:p w14:paraId="1C8FDCCE"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16.13</w:t>
            </w:r>
          </w:p>
        </w:tc>
        <w:tc>
          <w:tcPr>
            <w:tcW w:w="1000" w:type="pct"/>
            <w:gridSpan w:val="2"/>
            <w:shd w:val="clear" w:color="auto" w:fill="D9D9D9" w:themeFill="background1" w:themeFillShade="D9"/>
            <w:hideMark/>
          </w:tcPr>
          <w:p w14:paraId="56169517"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16.13</w:t>
            </w:r>
          </w:p>
        </w:tc>
        <w:tc>
          <w:tcPr>
            <w:tcW w:w="1000" w:type="pct"/>
            <w:gridSpan w:val="2"/>
            <w:shd w:val="clear" w:color="auto" w:fill="D9D9D9" w:themeFill="background1" w:themeFillShade="D9"/>
            <w:hideMark/>
          </w:tcPr>
          <w:p w14:paraId="3B626D6B"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0.00</w:t>
            </w:r>
          </w:p>
        </w:tc>
        <w:tc>
          <w:tcPr>
            <w:tcW w:w="1000" w:type="pct"/>
            <w:shd w:val="clear" w:color="auto" w:fill="D9D9D9" w:themeFill="background1" w:themeFillShade="D9"/>
            <w:hideMark/>
          </w:tcPr>
          <w:p w14:paraId="4A0C8873"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p>
        </w:tc>
      </w:tr>
      <w:tr w:rsidR="00825672" w14:paraId="208C5257" w14:textId="77777777" w:rsidTr="00374CB4">
        <w:trPr>
          <w:trHeight w:val="170"/>
        </w:trPr>
        <w:tc>
          <w:tcPr>
            <w:tcW w:w="1000" w:type="pct"/>
            <w:shd w:val="clear" w:color="auto" w:fill="D9D9D9" w:themeFill="background1" w:themeFillShade="D9"/>
            <w:hideMark/>
          </w:tcPr>
          <w:p w14:paraId="46835E2F"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QALYs</w:t>
            </w:r>
          </w:p>
        </w:tc>
        <w:tc>
          <w:tcPr>
            <w:tcW w:w="1000" w:type="pct"/>
            <w:gridSpan w:val="2"/>
            <w:shd w:val="clear" w:color="auto" w:fill="D9D9D9" w:themeFill="background1" w:themeFillShade="D9"/>
            <w:hideMark/>
          </w:tcPr>
          <w:p w14:paraId="38C118A0"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8.10</w:t>
            </w:r>
          </w:p>
        </w:tc>
        <w:tc>
          <w:tcPr>
            <w:tcW w:w="1000" w:type="pct"/>
            <w:gridSpan w:val="2"/>
            <w:shd w:val="clear" w:color="auto" w:fill="D9D9D9" w:themeFill="background1" w:themeFillShade="D9"/>
            <w:hideMark/>
          </w:tcPr>
          <w:p w14:paraId="62DA8D03"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6.82</w:t>
            </w:r>
          </w:p>
        </w:tc>
        <w:tc>
          <w:tcPr>
            <w:tcW w:w="1000" w:type="pct"/>
            <w:gridSpan w:val="2"/>
            <w:shd w:val="clear" w:color="auto" w:fill="D9D9D9" w:themeFill="background1" w:themeFillShade="D9"/>
            <w:hideMark/>
          </w:tcPr>
          <w:p w14:paraId="75609297" w14:textId="77777777"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1.286</w:t>
            </w:r>
          </w:p>
        </w:tc>
        <w:tc>
          <w:tcPr>
            <w:tcW w:w="1000" w:type="pct"/>
            <w:shd w:val="clear" w:color="auto" w:fill="D9D9D9" w:themeFill="background1" w:themeFillShade="D9"/>
            <w:hideMark/>
          </w:tcPr>
          <w:p w14:paraId="14E49748" w14:textId="7C8F36B1" w:rsidR="00825672" w:rsidRDefault="00825672" w:rsidP="00374CB4">
            <w:pPr>
              <w:rPr>
                <w:rFonts w:ascii="Arial Narrow" w:eastAsia="Calibri" w:hAnsi="Arial Narrow" w:cs="Times New Roman"/>
                <w:sz w:val="20"/>
                <w:szCs w:val="20"/>
              </w:rPr>
            </w:pPr>
            <w:r>
              <w:rPr>
                <w:rFonts w:ascii="Arial Narrow" w:eastAsia="Calibri" w:hAnsi="Arial Narrow" w:cs="Times New Roman"/>
                <w:sz w:val="20"/>
                <w:szCs w:val="20"/>
              </w:rPr>
              <w:t>$</w:t>
            </w:r>
            <w:r w:rsidR="00D80F16" w:rsidRPr="00D80F16">
              <w:rPr>
                <w:rFonts w:ascii="Arial Narrow" w:eastAsia="Calibri" w:hAnsi="Arial Narrow" w:cs="Times New Roman"/>
                <w:color w:val="000000"/>
                <w:spacing w:val="9"/>
                <w:sz w:val="20"/>
                <w:szCs w:val="20"/>
                <w:shd w:val="solid" w:color="000000" w:fill="000000"/>
                <w:fitText w:val="310" w:id="-663974897"/>
                <w14:textFill>
                  <w14:solidFill>
                    <w14:srgbClr w14:val="000000">
                      <w14:alpha w14:val="100000"/>
                    </w14:srgbClr>
                  </w14:solidFill>
                </w14:textFill>
              </w:rPr>
              <w:t>||  |</w:t>
            </w:r>
            <w:r w:rsidR="00D80F16" w:rsidRPr="00D80F16">
              <w:rPr>
                <w:rFonts w:ascii="Arial Narrow" w:eastAsia="Calibri" w:hAnsi="Arial Narrow" w:cs="Times New Roman"/>
                <w:color w:val="000000"/>
                <w:spacing w:val="4"/>
                <w:sz w:val="20"/>
                <w:szCs w:val="20"/>
                <w:shd w:val="solid" w:color="000000" w:fill="000000"/>
                <w:fitText w:val="310" w:id="-663974897"/>
                <w14:textFill>
                  <w14:solidFill>
                    <w14:srgbClr w14:val="000000">
                      <w14:alpha w14:val="100000"/>
                    </w14:srgbClr>
                  </w14:solidFill>
                </w14:textFill>
              </w:rPr>
              <w:t>|</w:t>
            </w:r>
            <w:r w:rsidR="00CC4464">
              <w:rPr>
                <w:rFonts w:ascii="Arial Narrow" w:eastAsia="Calibri" w:hAnsi="Arial Narrow" w:cs="Times New Roman"/>
                <w:sz w:val="20"/>
                <w:szCs w:val="20"/>
              </w:rPr>
              <w:t xml:space="preserve"> </w:t>
            </w:r>
            <w:r w:rsidR="00CC4464">
              <w:rPr>
                <w:rFonts w:ascii="Arial Narrow" w:eastAsia="Calibri" w:hAnsi="Arial Narrow" w:cs="Times New Roman"/>
                <w:sz w:val="20"/>
                <w:szCs w:val="20"/>
                <w:vertAlign w:val="superscript"/>
              </w:rPr>
              <w:t>1</w:t>
            </w:r>
          </w:p>
        </w:tc>
      </w:tr>
    </w:tbl>
    <w:p w14:paraId="423F9B63" w14:textId="77777777" w:rsidR="00825672" w:rsidRDefault="00825672" w:rsidP="00CC4464">
      <w:pPr>
        <w:pStyle w:val="TableFooter"/>
      </w:pPr>
      <w:r>
        <w:t xml:space="preserve">Source: Resubmission, Table 15, p12; March 2025 </w:t>
      </w:r>
      <w:r w:rsidRPr="005E7233">
        <w:t>submission</w:t>
      </w:r>
      <w:r>
        <w:t xml:space="preserve">, </w:t>
      </w:r>
      <w:r w:rsidRPr="005E7233">
        <w:t>Table 3−38, p215</w:t>
      </w:r>
      <w:r>
        <w:t xml:space="preserve">, </w:t>
      </w:r>
      <w:r w:rsidRPr="00106619">
        <w:t>Attachment 17 Tepezza Economic model.xlsb</w:t>
      </w:r>
      <w:r w:rsidRPr="005E7233">
        <w:t xml:space="preserve"> </w:t>
      </w:r>
    </w:p>
    <w:p w14:paraId="59E8EE0D" w14:textId="77777777" w:rsidR="00CC4464" w:rsidRPr="009A6D58" w:rsidRDefault="00CC4464" w:rsidP="00CC446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B6D9806" w14:textId="6097AA4B" w:rsidR="00CC4464" w:rsidRPr="00E87DA3" w:rsidRDefault="00CC4464" w:rsidP="00CC4464">
      <w:pPr>
        <w:spacing w:after="120"/>
      </w:pPr>
      <w:r w:rsidRPr="009A6D58">
        <w:rPr>
          <w:rFonts w:ascii="Arial Narrow" w:hAnsi="Arial Narrow"/>
          <w:i/>
          <w:sz w:val="18"/>
          <w:szCs w:val="18"/>
          <w:vertAlign w:val="superscript"/>
        </w:rPr>
        <w:t>1</w:t>
      </w:r>
      <w:r>
        <w:rPr>
          <w:rFonts w:ascii="Arial Narrow" w:hAnsi="Arial Narrow"/>
          <w:i/>
          <w:sz w:val="18"/>
          <w:szCs w:val="18"/>
        </w:rPr>
        <w:t xml:space="preserve"> </w:t>
      </w:r>
      <w:r w:rsidRPr="004C4F96">
        <w:rPr>
          <w:rFonts w:ascii="Arial Narrow" w:hAnsi="Arial Narrow"/>
          <w:i/>
          <w:sz w:val="18"/>
          <w:szCs w:val="18"/>
        </w:rPr>
        <w:t>$55,000 to &lt; $75,000</w:t>
      </w:r>
    </w:p>
    <w:p w14:paraId="1D38FF42" w14:textId="2008DCA7" w:rsidR="00825672" w:rsidRPr="00FA3ACD" w:rsidRDefault="00825672" w:rsidP="00825672">
      <w:pPr>
        <w:spacing w:before="120"/>
        <w:ind w:left="720"/>
        <w:rPr>
          <w:i/>
          <w:iCs/>
          <w:lang w:val="en-US"/>
        </w:rPr>
      </w:pPr>
      <w:r w:rsidRPr="00FA3ACD">
        <w:rPr>
          <w:i/>
          <w:iCs/>
          <w:lang w:val="en-US"/>
        </w:rPr>
        <w:t>For more detail on PBAC’s view, see section 1</w:t>
      </w:r>
      <w:r w:rsidR="00220A6C">
        <w:rPr>
          <w:i/>
          <w:iCs/>
          <w:lang w:val="en-US"/>
        </w:rPr>
        <w:t>3</w:t>
      </w:r>
      <w:r w:rsidRPr="00FA3ACD">
        <w:rPr>
          <w:i/>
          <w:iCs/>
          <w:lang w:val="en-US"/>
        </w:rPr>
        <w:t xml:space="preserve"> PBAC outcome.</w:t>
      </w:r>
    </w:p>
    <w:p w14:paraId="2EA535BC" w14:textId="77777777" w:rsidR="00825672" w:rsidRPr="001C6CE5" w:rsidRDefault="00825672" w:rsidP="00321978">
      <w:pPr>
        <w:pStyle w:val="4-SubsectionHeading"/>
      </w:pPr>
      <w:r w:rsidRPr="001C6CE5">
        <w:t>Estimated PBS usage &amp; financial implications</w:t>
      </w:r>
    </w:p>
    <w:p w14:paraId="130B2DF7" w14:textId="77777777" w:rsidR="00825672" w:rsidRDefault="00825672" w:rsidP="00220A6C">
      <w:pPr>
        <w:pStyle w:val="3-BodyText"/>
        <w:numPr>
          <w:ilvl w:val="1"/>
          <w:numId w:val="1"/>
        </w:numPr>
        <w:rPr>
          <w:lang w:eastAsia="en-US"/>
        </w:rPr>
      </w:pPr>
      <w:r>
        <w:rPr>
          <w:lang w:eastAsia="en-US"/>
        </w:rPr>
        <w:t>As an early resolution, the estimated utilisation and financial implications have not been independently evaluated.</w:t>
      </w:r>
    </w:p>
    <w:p w14:paraId="2EEF06D7" w14:textId="624AF733" w:rsidR="00825672" w:rsidRDefault="00825672" w:rsidP="00220A6C">
      <w:pPr>
        <w:pStyle w:val="3-BodyText"/>
        <w:numPr>
          <w:ilvl w:val="1"/>
          <w:numId w:val="1"/>
        </w:numPr>
        <w:rPr>
          <w:lang w:eastAsia="en-US"/>
        </w:rPr>
      </w:pPr>
      <w:r>
        <w:rPr>
          <w:lang w:eastAsia="en-US"/>
        </w:rPr>
        <w:t>Aligned with PBAC advice from the March 2025 meeting (paragraph</w:t>
      </w:r>
      <w:r w:rsidR="008073BE">
        <w:rPr>
          <w:lang w:eastAsia="en-US"/>
        </w:rPr>
        <w:t xml:space="preserve"> </w:t>
      </w:r>
      <w:r w:rsidR="00316D70">
        <w:rPr>
          <w:lang w:eastAsia="en-US"/>
        </w:rPr>
        <w:fldChar w:fldCharType="begin"/>
      </w:r>
      <w:r w:rsidR="00316D70">
        <w:rPr>
          <w:lang w:eastAsia="en-US"/>
        </w:rPr>
        <w:instrText xml:space="preserve"> REF _Ref203122560 \r \h </w:instrText>
      </w:r>
      <w:r w:rsidR="00316D70">
        <w:rPr>
          <w:lang w:eastAsia="en-US"/>
        </w:rPr>
      </w:r>
      <w:r w:rsidR="00316D70">
        <w:rPr>
          <w:lang w:eastAsia="en-US"/>
        </w:rPr>
        <w:fldChar w:fldCharType="separate"/>
      </w:r>
      <w:r w:rsidR="0012101B">
        <w:rPr>
          <w:lang w:eastAsia="en-US"/>
        </w:rPr>
        <w:t>7.18</w:t>
      </w:r>
      <w:r w:rsidR="00316D70">
        <w:rPr>
          <w:lang w:eastAsia="en-US"/>
        </w:rPr>
        <w:fldChar w:fldCharType="end"/>
      </w:r>
      <w:r>
        <w:rPr>
          <w:lang w:eastAsia="en-US"/>
        </w:rPr>
        <w:t>), the resubmission:</w:t>
      </w:r>
    </w:p>
    <w:p w14:paraId="22E64318" w14:textId="138AE51F" w:rsidR="00825672" w:rsidRDefault="00825672" w:rsidP="00220A6C">
      <w:pPr>
        <w:pStyle w:val="3-BodyText"/>
        <w:numPr>
          <w:ilvl w:val="0"/>
          <w:numId w:val="29"/>
        </w:numPr>
        <w:ind w:left="1134"/>
        <w:rPr>
          <w:lang w:eastAsia="en-US"/>
        </w:rPr>
      </w:pPr>
      <w:r>
        <w:rPr>
          <w:lang w:eastAsia="en-US"/>
        </w:rPr>
        <w:t xml:space="preserve">reduced the estimated treatment uptake of teprotumumab to </w:t>
      </w:r>
      <w:r w:rsidRPr="009571FE">
        <w:rPr>
          <w:lang w:eastAsia="en-US"/>
        </w:rPr>
        <w:t xml:space="preserve">Y1: </w:t>
      </w:r>
      <w:r w:rsidR="00D80F16" w:rsidRPr="00D80F16">
        <w:rPr>
          <w:color w:val="000000"/>
          <w:w w:val="60"/>
          <w:shd w:val="solid" w:color="000000" w:fill="000000"/>
          <w:fitText w:val="470" w:id="-663974896"/>
          <w:lang w:eastAsia="en-US"/>
          <w14:textFill>
            <w14:solidFill>
              <w14:srgbClr w14:val="000000">
                <w14:alpha w14:val="100000"/>
              </w14:srgbClr>
            </w14:solidFill>
          </w14:textFill>
        </w:rPr>
        <w:t>|||  ||</w:t>
      </w:r>
      <w:r w:rsidR="00D80F16" w:rsidRPr="00D80F16">
        <w:rPr>
          <w:color w:val="000000"/>
          <w:spacing w:val="6"/>
          <w:w w:val="60"/>
          <w:shd w:val="solid" w:color="000000" w:fill="000000"/>
          <w:fitText w:val="470" w:id="-663974896"/>
          <w:lang w:eastAsia="en-US"/>
          <w14:textFill>
            <w14:solidFill>
              <w14:srgbClr w14:val="000000">
                <w14:alpha w14:val="100000"/>
              </w14:srgbClr>
            </w14:solidFill>
          </w14:textFill>
        </w:rPr>
        <w:t>|</w:t>
      </w:r>
      <w:r w:rsidRPr="009571FE">
        <w:rPr>
          <w:lang w:eastAsia="en-US"/>
        </w:rPr>
        <w:t xml:space="preserve">%, Y2: </w:t>
      </w:r>
      <w:r w:rsidR="00D80F16" w:rsidRPr="00D80F16">
        <w:rPr>
          <w:color w:val="000000"/>
          <w:w w:val="60"/>
          <w:shd w:val="solid" w:color="000000" w:fill="000000"/>
          <w:fitText w:val="470" w:id="-663974912"/>
          <w:lang w:eastAsia="en-US"/>
          <w14:textFill>
            <w14:solidFill>
              <w14:srgbClr w14:val="000000">
                <w14:alpha w14:val="100000"/>
              </w14:srgbClr>
            </w14:solidFill>
          </w14:textFill>
        </w:rPr>
        <w:t>|||  ||</w:t>
      </w:r>
      <w:r w:rsidR="00D80F16" w:rsidRPr="00D80F16">
        <w:rPr>
          <w:color w:val="000000"/>
          <w:spacing w:val="6"/>
          <w:w w:val="60"/>
          <w:shd w:val="solid" w:color="000000" w:fill="000000"/>
          <w:fitText w:val="470" w:id="-663974912"/>
          <w:lang w:eastAsia="en-US"/>
          <w14:textFill>
            <w14:solidFill>
              <w14:srgbClr w14:val="000000">
                <w14:alpha w14:val="100000"/>
              </w14:srgbClr>
            </w14:solidFill>
          </w14:textFill>
        </w:rPr>
        <w:t>|</w:t>
      </w:r>
      <w:r w:rsidRPr="009571FE">
        <w:rPr>
          <w:lang w:eastAsia="en-US"/>
        </w:rPr>
        <w:t xml:space="preserve">%; Y3: </w:t>
      </w:r>
      <w:r w:rsidR="00D80F16" w:rsidRPr="00D80F16">
        <w:rPr>
          <w:color w:val="000000"/>
          <w:w w:val="60"/>
          <w:shd w:val="solid" w:color="000000" w:fill="000000"/>
          <w:fitText w:val="470" w:id="-663974911"/>
          <w:lang w:eastAsia="en-US"/>
          <w14:textFill>
            <w14:solidFill>
              <w14:srgbClr w14:val="000000">
                <w14:alpha w14:val="100000"/>
              </w14:srgbClr>
            </w14:solidFill>
          </w14:textFill>
        </w:rPr>
        <w:t>|||  ||</w:t>
      </w:r>
      <w:r w:rsidR="00D80F16" w:rsidRPr="00D80F16">
        <w:rPr>
          <w:color w:val="000000"/>
          <w:spacing w:val="6"/>
          <w:w w:val="60"/>
          <w:shd w:val="solid" w:color="000000" w:fill="000000"/>
          <w:fitText w:val="470" w:id="-663974911"/>
          <w:lang w:eastAsia="en-US"/>
          <w14:textFill>
            <w14:solidFill>
              <w14:srgbClr w14:val="000000">
                <w14:alpha w14:val="100000"/>
              </w14:srgbClr>
            </w14:solidFill>
          </w14:textFill>
        </w:rPr>
        <w:t>|</w:t>
      </w:r>
      <w:r w:rsidRPr="009571FE">
        <w:rPr>
          <w:lang w:eastAsia="en-US"/>
        </w:rPr>
        <w:t xml:space="preserve">%; Y4: </w:t>
      </w:r>
      <w:r w:rsidR="00D80F16" w:rsidRPr="00D80F16">
        <w:rPr>
          <w:color w:val="000000"/>
          <w:w w:val="60"/>
          <w:shd w:val="solid" w:color="000000" w:fill="000000"/>
          <w:fitText w:val="470" w:id="-663974910"/>
          <w:lang w:eastAsia="en-US"/>
          <w14:textFill>
            <w14:solidFill>
              <w14:srgbClr w14:val="000000">
                <w14:alpha w14:val="100000"/>
              </w14:srgbClr>
            </w14:solidFill>
          </w14:textFill>
        </w:rPr>
        <w:t>|||  ||</w:t>
      </w:r>
      <w:r w:rsidR="00D80F16" w:rsidRPr="00D80F16">
        <w:rPr>
          <w:color w:val="000000"/>
          <w:spacing w:val="6"/>
          <w:w w:val="60"/>
          <w:shd w:val="solid" w:color="000000" w:fill="000000"/>
          <w:fitText w:val="470" w:id="-663974910"/>
          <w:lang w:eastAsia="en-US"/>
          <w14:textFill>
            <w14:solidFill>
              <w14:srgbClr w14:val="000000">
                <w14:alpha w14:val="100000"/>
              </w14:srgbClr>
            </w14:solidFill>
          </w14:textFill>
        </w:rPr>
        <w:t>|</w:t>
      </w:r>
      <w:r w:rsidRPr="009571FE">
        <w:rPr>
          <w:lang w:eastAsia="en-US"/>
        </w:rPr>
        <w:t xml:space="preserve">%, Y5: </w:t>
      </w:r>
      <w:r w:rsidR="00D80F16" w:rsidRPr="00D80F16">
        <w:rPr>
          <w:color w:val="000000"/>
          <w:w w:val="60"/>
          <w:shd w:val="solid" w:color="000000" w:fill="000000"/>
          <w:fitText w:val="470" w:id="-663974909"/>
          <w:lang w:eastAsia="en-US"/>
          <w14:textFill>
            <w14:solidFill>
              <w14:srgbClr w14:val="000000">
                <w14:alpha w14:val="100000"/>
              </w14:srgbClr>
            </w14:solidFill>
          </w14:textFill>
        </w:rPr>
        <w:t>|||  ||</w:t>
      </w:r>
      <w:r w:rsidR="00D80F16" w:rsidRPr="00D80F16">
        <w:rPr>
          <w:color w:val="000000"/>
          <w:spacing w:val="6"/>
          <w:w w:val="60"/>
          <w:shd w:val="solid" w:color="000000" w:fill="000000"/>
          <w:fitText w:val="470" w:id="-663974909"/>
          <w:lang w:eastAsia="en-US"/>
          <w14:textFill>
            <w14:solidFill>
              <w14:srgbClr w14:val="000000">
                <w14:alpha w14:val="100000"/>
              </w14:srgbClr>
            </w14:solidFill>
          </w14:textFill>
        </w:rPr>
        <w:t>|</w:t>
      </w:r>
      <w:r w:rsidRPr="009571FE">
        <w:rPr>
          <w:lang w:eastAsia="en-US"/>
        </w:rPr>
        <w:t xml:space="preserve">%; Y6: </w:t>
      </w:r>
      <w:r w:rsidR="00D80F16" w:rsidRPr="00702E51">
        <w:rPr>
          <w:color w:val="000000"/>
          <w:w w:val="62"/>
          <w:shd w:val="solid" w:color="000000" w:fill="000000"/>
          <w:fitText w:val="480" w:id="-663974908"/>
          <w:lang w:eastAsia="en-US"/>
          <w14:textFill>
            <w14:solidFill>
              <w14:srgbClr w14:val="000000">
                <w14:alpha w14:val="100000"/>
              </w14:srgbClr>
            </w14:solidFill>
          </w14:textFill>
        </w:rPr>
        <w:t>|||  ||</w:t>
      </w:r>
      <w:r w:rsidR="00D80F16" w:rsidRPr="00702E51">
        <w:rPr>
          <w:color w:val="000000"/>
          <w:spacing w:val="2"/>
          <w:w w:val="62"/>
          <w:shd w:val="solid" w:color="000000" w:fill="000000"/>
          <w:fitText w:val="480" w:id="-663974908"/>
          <w:lang w:eastAsia="en-US"/>
          <w14:textFill>
            <w14:solidFill>
              <w14:srgbClr w14:val="000000">
                <w14:alpha w14:val="100000"/>
              </w14:srgbClr>
            </w14:solidFill>
          </w14:textFill>
        </w:rPr>
        <w:t>|</w:t>
      </w:r>
      <w:r w:rsidRPr="009571FE">
        <w:rPr>
          <w:lang w:eastAsia="en-US"/>
        </w:rPr>
        <w:t>% (DUSC ADV, March 2025)</w:t>
      </w:r>
      <w:r>
        <w:rPr>
          <w:lang w:eastAsia="en-US"/>
        </w:rPr>
        <w:t>; and</w:t>
      </w:r>
    </w:p>
    <w:p w14:paraId="76A8B327" w14:textId="77777777" w:rsidR="00825672" w:rsidRDefault="00825672" w:rsidP="00220A6C">
      <w:pPr>
        <w:pStyle w:val="3-BodyText"/>
        <w:numPr>
          <w:ilvl w:val="0"/>
          <w:numId w:val="29"/>
        </w:numPr>
        <w:ind w:left="1134"/>
        <w:rPr>
          <w:lang w:eastAsia="en-US"/>
        </w:rPr>
      </w:pPr>
      <w:r>
        <w:rPr>
          <w:lang w:eastAsia="en-US"/>
        </w:rPr>
        <w:t>i</w:t>
      </w:r>
      <w:r w:rsidRPr="009571FE">
        <w:rPr>
          <w:lang w:eastAsia="en-US"/>
        </w:rPr>
        <w:t>nclude</w:t>
      </w:r>
      <w:r>
        <w:rPr>
          <w:lang w:eastAsia="en-US"/>
        </w:rPr>
        <w:t>d</w:t>
      </w:r>
      <w:r w:rsidRPr="009571FE">
        <w:rPr>
          <w:lang w:eastAsia="en-US"/>
        </w:rPr>
        <w:t xml:space="preserve"> MBS costs associated with administration, regular hearing tests, and the potential for a reduction in the use of orbital radiotherapy</w:t>
      </w:r>
      <w:r>
        <w:rPr>
          <w:lang w:eastAsia="en-US"/>
        </w:rPr>
        <w:t>.</w:t>
      </w:r>
    </w:p>
    <w:p w14:paraId="40EDCB4A" w14:textId="0533D316" w:rsidR="00825672" w:rsidRPr="007C1A3E" w:rsidRDefault="00825672" w:rsidP="00220A6C">
      <w:pPr>
        <w:pStyle w:val="3-BodyText"/>
        <w:numPr>
          <w:ilvl w:val="1"/>
          <w:numId w:val="1"/>
        </w:numPr>
        <w:rPr>
          <w:lang w:eastAsia="en-US"/>
        </w:rPr>
      </w:pPr>
      <w:r>
        <w:rPr>
          <w:lang w:eastAsia="en-US"/>
        </w:rPr>
        <w:t>The resubmission assumed p</w:t>
      </w:r>
      <w:r w:rsidRPr="00663F28">
        <w:rPr>
          <w:lang w:eastAsia="en-US"/>
        </w:rPr>
        <w:t xml:space="preserve">atients treated with teprotumumab would utilise </w:t>
      </w:r>
      <w:r>
        <w:rPr>
          <w:lang w:eastAsia="en-US"/>
        </w:rPr>
        <w:t>the</w:t>
      </w:r>
      <w:r w:rsidRPr="00663F28">
        <w:rPr>
          <w:lang w:eastAsia="en-US"/>
        </w:rPr>
        <w:t xml:space="preserve"> MBS item </w:t>
      </w:r>
      <w:r>
        <w:rPr>
          <w:lang w:eastAsia="en-US"/>
        </w:rPr>
        <w:t xml:space="preserve">14245 </w:t>
      </w:r>
      <w:r w:rsidRPr="00663F28">
        <w:rPr>
          <w:lang w:eastAsia="en-US"/>
        </w:rPr>
        <w:t xml:space="preserve">for each of the eight infusions required for a course of treatment. Patients treated with IVMP </w:t>
      </w:r>
      <w:r>
        <w:rPr>
          <w:lang w:eastAsia="en-US"/>
        </w:rPr>
        <w:t>were also assumed to</w:t>
      </w:r>
      <w:r w:rsidRPr="00663F28">
        <w:rPr>
          <w:lang w:eastAsia="en-US"/>
        </w:rPr>
        <w:t xml:space="preserve"> utilise this MBS item for each of the twelve infusions required for a course. A compliance rate of 100% was applied to the teprotumumab infusion utilisation and a compliance rate of 85% was applied to the IVMP infusion utilisation, in line with the compliance used in the economic model.</w:t>
      </w:r>
      <w:r>
        <w:rPr>
          <w:lang w:eastAsia="en-US"/>
        </w:rPr>
        <w:t xml:space="preserve"> </w:t>
      </w:r>
      <w:r>
        <w:rPr>
          <w:rFonts w:cstheme="minorHAnsi"/>
          <w:color w:val="000000" w:themeColor="text1"/>
        </w:rPr>
        <w:t>Substitution of IVMP by teprotumumab resulted in an estimated</w:t>
      </w:r>
      <w:r w:rsidR="00B578B8">
        <w:rPr>
          <w:rFonts w:cstheme="minorHAnsi"/>
          <w:color w:val="000000" w:themeColor="text1"/>
        </w:rPr>
        <w:t xml:space="preserve"> net</w:t>
      </w:r>
      <w:r>
        <w:rPr>
          <w:rFonts w:cstheme="minorHAnsi"/>
          <w:color w:val="000000" w:themeColor="text1"/>
        </w:rPr>
        <w:t xml:space="preserve"> cost-saving to the MBS per year.</w:t>
      </w:r>
    </w:p>
    <w:p w14:paraId="7D9CB3EA" w14:textId="5E7E123B" w:rsidR="00825672" w:rsidRDefault="00825672" w:rsidP="00220A6C">
      <w:pPr>
        <w:pStyle w:val="3-BodyText"/>
        <w:numPr>
          <w:ilvl w:val="1"/>
          <w:numId w:val="1"/>
        </w:numPr>
        <w:rPr>
          <w:lang w:eastAsia="en-US"/>
        </w:rPr>
      </w:pPr>
      <w:r w:rsidRPr="00DD27AE">
        <w:rPr>
          <w:lang w:eastAsia="en-US"/>
        </w:rPr>
        <w:lastRenderedPageBreak/>
        <w:t xml:space="preserve">The </w:t>
      </w:r>
      <w:r>
        <w:rPr>
          <w:lang w:eastAsia="en-US"/>
        </w:rPr>
        <w:t>resubmission</w:t>
      </w:r>
      <w:r w:rsidRPr="00EB26B8">
        <w:rPr>
          <w:lang w:eastAsia="en-US"/>
        </w:rPr>
        <w:t xml:space="preserve"> assumed that patients would require a hearing test </w:t>
      </w:r>
      <w:r>
        <w:rPr>
          <w:lang w:eastAsia="en-US"/>
        </w:rPr>
        <w:t>(</w:t>
      </w:r>
      <w:r w:rsidRPr="00DD27AE">
        <w:rPr>
          <w:lang w:eastAsia="en-US"/>
        </w:rPr>
        <w:t>MBS item</w:t>
      </w:r>
      <w:r>
        <w:rPr>
          <w:lang w:eastAsia="en-US"/>
        </w:rPr>
        <w:t xml:space="preserve"> </w:t>
      </w:r>
      <w:r w:rsidRPr="00DD27AE">
        <w:rPr>
          <w:lang w:eastAsia="en-US"/>
        </w:rPr>
        <w:t>82306</w:t>
      </w:r>
      <w:r>
        <w:rPr>
          <w:lang w:eastAsia="en-US"/>
        </w:rPr>
        <w:t xml:space="preserve">) </w:t>
      </w:r>
      <w:r w:rsidRPr="00EB26B8">
        <w:rPr>
          <w:lang w:eastAsia="en-US"/>
        </w:rPr>
        <w:t>prior to teprotumumab treatment, during treatment and after treatment (three tests in total). The inclusion of hearing tests for teprotumumab patients result</w:t>
      </w:r>
      <w:r>
        <w:rPr>
          <w:lang w:eastAsia="en-US"/>
        </w:rPr>
        <w:t>ed</w:t>
      </w:r>
      <w:r w:rsidRPr="00EB26B8">
        <w:rPr>
          <w:lang w:eastAsia="en-US"/>
        </w:rPr>
        <w:t xml:space="preserve"> in an estimated increase in the MBS budget of between </w:t>
      </w:r>
      <w:r w:rsidR="00300B02" w:rsidRPr="00300B02">
        <w:rPr>
          <w:lang w:eastAsia="en-US"/>
        </w:rPr>
        <w:t>$0 to &lt; $10 million</w:t>
      </w:r>
      <w:r w:rsidRPr="00EB26B8">
        <w:rPr>
          <w:lang w:eastAsia="en-US"/>
        </w:rPr>
        <w:t xml:space="preserve"> and </w:t>
      </w:r>
      <w:r w:rsidR="00300B02" w:rsidRPr="00300B02">
        <w:rPr>
          <w:lang w:eastAsia="en-US"/>
        </w:rPr>
        <w:t>$0 to &lt; $10 million</w:t>
      </w:r>
      <w:r w:rsidR="00300B02" w:rsidRPr="00300B02" w:rsidDel="00300B02">
        <w:rPr>
          <w:lang w:eastAsia="en-US"/>
        </w:rPr>
        <w:t xml:space="preserve"> </w:t>
      </w:r>
      <w:r w:rsidRPr="00EB26B8">
        <w:rPr>
          <w:lang w:eastAsia="en-US"/>
        </w:rPr>
        <w:t>per year.</w:t>
      </w:r>
    </w:p>
    <w:p w14:paraId="7FAF16A2" w14:textId="77777777" w:rsidR="00825672" w:rsidRPr="000B15BA" w:rsidRDefault="00825672" w:rsidP="00220A6C">
      <w:pPr>
        <w:pStyle w:val="3-BodyText"/>
        <w:numPr>
          <w:ilvl w:val="1"/>
          <w:numId w:val="1"/>
        </w:numPr>
        <w:rPr>
          <w:lang w:eastAsia="en-US"/>
        </w:rPr>
      </w:pPr>
      <w:r>
        <w:rPr>
          <w:lang w:eastAsia="en-US"/>
        </w:rPr>
        <w:t>T</w:t>
      </w:r>
      <w:r w:rsidRPr="00652E2D">
        <w:rPr>
          <w:lang w:eastAsia="en-US"/>
        </w:rPr>
        <w:t xml:space="preserve">o calculate the cost of orbital radiotherapy, </w:t>
      </w:r>
      <w:r>
        <w:rPr>
          <w:lang w:eastAsia="en-US"/>
        </w:rPr>
        <w:t>the resubmission</w:t>
      </w:r>
      <w:r w:rsidRPr="00652E2D">
        <w:rPr>
          <w:lang w:eastAsia="en-US"/>
        </w:rPr>
        <w:t xml:space="preserve"> assumed that for each patient a planning MBS item 15950 and 10 fractions of MBS item 15956 would be required</w:t>
      </w:r>
      <w:r>
        <w:rPr>
          <w:lang w:eastAsia="en-US"/>
        </w:rPr>
        <w:t xml:space="preserve">, based on </w:t>
      </w:r>
      <w:r>
        <w:rPr>
          <w:rFonts w:cstheme="minorHAnsi"/>
          <w:color w:val="000000" w:themeColor="text1"/>
        </w:rPr>
        <w:t>Bradley et al. 2008</w:t>
      </w:r>
      <w:r>
        <w:rPr>
          <w:rStyle w:val="FootnoteReference"/>
          <w:rFonts w:cstheme="minorHAnsi"/>
          <w:color w:val="000000" w:themeColor="text1"/>
        </w:rPr>
        <w:footnoteReference w:id="58"/>
      </w:r>
      <w:r>
        <w:rPr>
          <w:rFonts w:cstheme="minorHAnsi"/>
          <w:color w:val="000000" w:themeColor="text1"/>
        </w:rPr>
        <w:t xml:space="preserve">. </w:t>
      </w:r>
    </w:p>
    <w:p w14:paraId="7B044427" w14:textId="1B803553" w:rsidR="00825672" w:rsidRPr="001C3D9C" w:rsidRDefault="00825672" w:rsidP="00220A6C">
      <w:pPr>
        <w:pStyle w:val="3-BodyText"/>
        <w:numPr>
          <w:ilvl w:val="1"/>
          <w:numId w:val="1"/>
        </w:numPr>
        <w:rPr>
          <w:lang w:eastAsia="en-US"/>
        </w:rPr>
      </w:pPr>
      <w:r>
        <w:rPr>
          <w:rFonts w:cstheme="minorHAnsi"/>
          <w:color w:val="000000" w:themeColor="text1"/>
        </w:rPr>
        <w:t xml:space="preserve">Based on clinician input, it was assumed for </w:t>
      </w:r>
      <w:r w:rsidRPr="007B1AAE">
        <w:rPr>
          <w:rFonts w:cstheme="minorHAnsi"/>
          <w:color w:val="000000" w:themeColor="text1"/>
        </w:rPr>
        <w:t>patients that would have been treated with IVMP, 40% would have a partial or minimal response, and therefore require</w:t>
      </w:r>
      <w:r>
        <w:rPr>
          <w:rFonts w:cstheme="minorHAnsi"/>
          <w:color w:val="000000" w:themeColor="text1"/>
        </w:rPr>
        <w:t xml:space="preserve"> mycophenolate mofetil</w:t>
      </w:r>
      <w:r w:rsidRPr="007B1AAE">
        <w:rPr>
          <w:rFonts w:cstheme="minorHAnsi"/>
          <w:color w:val="000000" w:themeColor="text1"/>
        </w:rPr>
        <w:t xml:space="preserve"> </w:t>
      </w:r>
      <w:r>
        <w:rPr>
          <w:rFonts w:cstheme="minorHAnsi"/>
          <w:color w:val="000000" w:themeColor="text1"/>
        </w:rPr>
        <w:t>(</w:t>
      </w:r>
      <w:r w:rsidRPr="007B1AAE">
        <w:rPr>
          <w:rFonts w:cstheme="minorHAnsi"/>
          <w:color w:val="000000" w:themeColor="text1"/>
        </w:rPr>
        <w:t>MMF</w:t>
      </w:r>
      <w:r>
        <w:rPr>
          <w:rFonts w:cstheme="minorHAnsi"/>
          <w:color w:val="000000" w:themeColor="text1"/>
        </w:rPr>
        <w:t>)</w:t>
      </w:r>
      <w:r w:rsidRPr="007B1AAE">
        <w:rPr>
          <w:rFonts w:cstheme="minorHAnsi"/>
          <w:color w:val="000000" w:themeColor="text1"/>
        </w:rPr>
        <w:t xml:space="preserve">. Of patients who have partial/minimal response, 35% would </w:t>
      </w:r>
      <w:r>
        <w:rPr>
          <w:rFonts w:cstheme="minorHAnsi"/>
          <w:color w:val="000000" w:themeColor="text1"/>
        </w:rPr>
        <w:t>receive</w:t>
      </w:r>
      <w:r w:rsidRPr="007B1AAE">
        <w:rPr>
          <w:rFonts w:cstheme="minorHAnsi"/>
          <w:color w:val="000000" w:themeColor="text1"/>
        </w:rPr>
        <w:t xml:space="preserve"> orbital radiation. </w:t>
      </w:r>
      <w:r>
        <w:rPr>
          <w:rFonts w:cstheme="minorHAnsi"/>
          <w:color w:val="000000" w:themeColor="text1"/>
        </w:rPr>
        <w:t>Combining</w:t>
      </w:r>
      <w:r w:rsidRPr="007B1AAE">
        <w:rPr>
          <w:rFonts w:cstheme="minorHAnsi"/>
          <w:color w:val="000000" w:themeColor="text1"/>
        </w:rPr>
        <w:t xml:space="preserve"> these </w:t>
      </w:r>
      <w:r>
        <w:rPr>
          <w:rFonts w:cstheme="minorHAnsi"/>
          <w:color w:val="000000" w:themeColor="text1"/>
        </w:rPr>
        <w:t>percentages</w:t>
      </w:r>
      <w:r w:rsidRPr="007B1AAE">
        <w:rPr>
          <w:rFonts w:cstheme="minorHAnsi"/>
          <w:color w:val="000000" w:themeColor="text1"/>
        </w:rPr>
        <w:t xml:space="preserve">, the assumption </w:t>
      </w:r>
      <w:r>
        <w:rPr>
          <w:rFonts w:cstheme="minorHAnsi"/>
          <w:color w:val="000000" w:themeColor="text1"/>
        </w:rPr>
        <w:t>was</w:t>
      </w:r>
      <w:r w:rsidRPr="007B1AAE">
        <w:rPr>
          <w:rFonts w:cstheme="minorHAnsi"/>
          <w:color w:val="000000" w:themeColor="text1"/>
        </w:rPr>
        <w:t xml:space="preserve"> made that 14% (0.4 × 0.35) of the patient population each year treated with teprotumumab would no longer require orbital radiation.</w:t>
      </w:r>
      <w:r>
        <w:rPr>
          <w:rFonts w:cstheme="minorHAnsi"/>
          <w:color w:val="000000" w:themeColor="text1"/>
        </w:rPr>
        <w:t xml:space="preserve"> This assumption was applied to the cost of a course of radiotherapy to quantify the potential reduction in the use of radiotherapy with listing of teprotumumab. The </w:t>
      </w:r>
      <w:r w:rsidRPr="00E13F1D">
        <w:rPr>
          <w:rFonts w:cstheme="minorHAnsi"/>
          <w:color w:val="000000" w:themeColor="text1"/>
        </w:rPr>
        <w:t xml:space="preserve">PBS listing of teprotumumab </w:t>
      </w:r>
      <w:r>
        <w:rPr>
          <w:rFonts w:cstheme="minorHAnsi"/>
          <w:color w:val="000000" w:themeColor="text1"/>
        </w:rPr>
        <w:t>wa</w:t>
      </w:r>
      <w:r w:rsidRPr="00E13F1D">
        <w:rPr>
          <w:rFonts w:cstheme="minorHAnsi"/>
          <w:color w:val="000000" w:themeColor="text1"/>
        </w:rPr>
        <w:t xml:space="preserve">s estimated to result in between </w:t>
      </w:r>
      <w:r w:rsidR="00300B02">
        <w:rPr>
          <w:rFonts w:cstheme="minorHAnsi"/>
          <w:color w:val="000000" w:themeColor="text1"/>
        </w:rPr>
        <w:t>&lt; 500</w:t>
      </w:r>
      <w:r w:rsidR="00300B02" w:rsidRPr="00E13F1D">
        <w:rPr>
          <w:rFonts w:cstheme="minorHAnsi"/>
          <w:color w:val="000000" w:themeColor="text1"/>
        </w:rPr>
        <w:t xml:space="preserve"> </w:t>
      </w:r>
      <w:r w:rsidRPr="00E13F1D">
        <w:rPr>
          <w:rFonts w:cstheme="minorHAnsi"/>
          <w:color w:val="000000" w:themeColor="text1"/>
        </w:rPr>
        <w:t xml:space="preserve">and </w:t>
      </w:r>
      <w:r w:rsidR="00300B02">
        <w:rPr>
          <w:rFonts w:cstheme="minorHAnsi"/>
          <w:color w:val="000000" w:themeColor="text1"/>
        </w:rPr>
        <w:t>&lt; 500</w:t>
      </w:r>
      <w:r w:rsidR="00300B02" w:rsidRPr="00E13F1D">
        <w:rPr>
          <w:rFonts w:cstheme="minorHAnsi"/>
          <w:color w:val="000000" w:themeColor="text1"/>
        </w:rPr>
        <w:t xml:space="preserve"> </w:t>
      </w:r>
      <w:r w:rsidRPr="00E13F1D">
        <w:rPr>
          <w:rFonts w:cstheme="minorHAnsi"/>
          <w:color w:val="000000" w:themeColor="text1"/>
        </w:rPr>
        <w:t xml:space="preserve">radiotherapy planning MBS items avoided per year, and between </w:t>
      </w:r>
      <w:r w:rsidR="00300B02">
        <w:rPr>
          <w:rFonts w:cstheme="minorHAnsi"/>
          <w:color w:val="000000" w:themeColor="text1"/>
        </w:rPr>
        <w:t>500 to &lt; 5,000</w:t>
      </w:r>
      <w:r w:rsidR="00300B02" w:rsidRPr="00E13F1D">
        <w:rPr>
          <w:rFonts w:cstheme="minorHAnsi"/>
          <w:color w:val="000000" w:themeColor="text1"/>
        </w:rPr>
        <w:t xml:space="preserve"> </w:t>
      </w:r>
      <w:r w:rsidRPr="00E13F1D">
        <w:rPr>
          <w:rFonts w:cstheme="minorHAnsi"/>
          <w:color w:val="000000" w:themeColor="text1"/>
        </w:rPr>
        <w:t xml:space="preserve">and </w:t>
      </w:r>
      <w:r w:rsidR="00300B02">
        <w:rPr>
          <w:rFonts w:cstheme="minorHAnsi"/>
          <w:color w:val="000000" w:themeColor="text1"/>
        </w:rPr>
        <w:t>500 to &lt; 5,000</w:t>
      </w:r>
      <w:r w:rsidR="00300B02" w:rsidRPr="00E13F1D">
        <w:rPr>
          <w:rFonts w:cstheme="minorHAnsi"/>
          <w:color w:val="000000" w:themeColor="text1"/>
        </w:rPr>
        <w:t xml:space="preserve"> </w:t>
      </w:r>
      <w:r w:rsidRPr="00E13F1D">
        <w:rPr>
          <w:rFonts w:cstheme="minorHAnsi"/>
          <w:color w:val="000000" w:themeColor="text1"/>
        </w:rPr>
        <w:t xml:space="preserve">radiotherapy sessions avoided per year. These avoided sessions would translate to an estimated </w:t>
      </w:r>
      <w:r w:rsidR="00300B02">
        <w:rPr>
          <w:rFonts w:cstheme="minorHAnsi"/>
          <w:color w:val="000000" w:themeColor="text1"/>
        </w:rPr>
        <w:t xml:space="preserve">net cost </w:t>
      </w:r>
      <w:r w:rsidRPr="00E13F1D">
        <w:rPr>
          <w:rFonts w:cstheme="minorHAnsi"/>
          <w:color w:val="000000" w:themeColor="text1"/>
        </w:rPr>
        <w:t>saving per year to the MBS</w:t>
      </w:r>
      <w:r>
        <w:rPr>
          <w:rFonts w:cstheme="minorHAnsi"/>
          <w:color w:val="000000" w:themeColor="text1"/>
        </w:rPr>
        <w:t>.</w:t>
      </w:r>
    </w:p>
    <w:p w14:paraId="6DB77D62" w14:textId="7C535284" w:rsidR="00825672" w:rsidRDefault="00825672" w:rsidP="00220A6C">
      <w:pPr>
        <w:pStyle w:val="3-BodyText"/>
        <w:numPr>
          <w:ilvl w:val="1"/>
          <w:numId w:val="1"/>
        </w:numPr>
        <w:rPr>
          <w:lang w:eastAsia="en-US"/>
        </w:rPr>
      </w:pPr>
      <w:r>
        <w:rPr>
          <w:lang w:eastAsia="en-US"/>
        </w:rPr>
        <w:t xml:space="preserve">The revised estimated financial implications of listing teprotumumab are presented in </w:t>
      </w:r>
      <w:r>
        <w:rPr>
          <w:lang w:eastAsia="en-US"/>
        </w:rPr>
        <w:fldChar w:fldCharType="begin"/>
      </w:r>
      <w:r>
        <w:rPr>
          <w:lang w:eastAsia="en-US"/>
        </w:rPr>
        <w:instrText xml:space="preserve"> REF _Ref199147253 \h </w:instrText>
      </w:r>
      <w:r>
        <w:rPr>
          <w:lang w:eastAsia="en-US"/>
        </w:rPr>
      </w:r>
      <w:r>
        <w:rPr>
          <w:lang w:eastAsia="en-US"/>
        </w:rPr>
        <w:fldChar w:fldCharType="separate"/>
      </w:r>
      <w:r w:rsidR="0012101B" w:rsidRPr="00FB14AF">
        <w:t xml:space="preserve">Table </w:t>
      </w:r>
      <w:r w:rsidR="0012101B">
        <w:rPr>
          <w:noProof/>
        </w:rPr>
        <w:t>31</w:t>
      </w:r>
      <w:r>
        <w:rPr>
          <w:lang w:eastAsia="en-US"/>
        </w:rPr>
        <w:fldChar w:fldCharType="end"/>
      </w:r>
      <w:r>
        <w:rPr>
          <w:lang w:eastAsia="en-US"/>
        </w:rPr>
        <w:t>.</w:t>
      </w:r>
    </w:p>
    <w:p w14:paraId="33520420" w14:textId="77A5F632" w:rsidR="00825672" w:rsidRDefault="00825672" w:rsidP="00970974">
      <w:pPr>
        <w:pStyle w:val="TableFigureHeading"/>
        <w:keepLines/>
        <w:spacing w:before="120"/>
      </w:pPr>
      <w:bookmarkStart w:id="148" w:name="_Ref199147253"/>
      <w:r w:rsidRPr="00FB14AF">
        <w:lastRenderedPageBreak/>
        <w:t xml:space="preserve">Table </w:t>
      </w:r>
      <w:r w:rsidRPr="00FB14AF">
        <w:fldChar w:fldCharType="begin"/>
      </w:r>
      <w:r w:rsidRPr="00FB14AF">
        <w:instrText xml:space="preserve"> SEQ Table \* ARABIC </w:instrText>
      </w:r>
      <w:r w:rsidRPr="00FB14AF">
        <w:fldChar w:fldCharType="separate"/>
      </w:r>
      <w:r w:rsidR="0012101B">
        <w:rPr>
          <w:noProof/>
        </w:rPr>
        <w:t>31</w:t>
      </w:r>
      <w:r w:rsidRPr="00FB14AF">
        <w:fldChar w:fldCharType="end"/>
      </w:r>
      <w:bookmarkEnd w:id="148"/>
      <w:r>
        <w:t>: Estimated use and financial implications</w:t>
      </w:r>
    </w:p>
    <w:tbl>
      <w:tblPr>
        <w:tblStyle w:val="Submissionstandard"/>
        <w:tblW w:w="5000" w:type="pct"/>
        <w:shd w:val="clear" w:color="auto" w:fill="FFFFFF" w:themeFill="background1"/>
        <w:tblCellMar>
          <w:left w:w="57" w:type="dxa"/>
          <w:right w:w="57" w:type="dxa"/>
        </w:tblCellMar>
        <w:tblLook w:val="04A0" w:firstRow="1" w:lastRow="0" w:firstColumn="1" w:lastColumn="0" w:noHBand="0" w:noVBand="1"/>
      </w:tblPr>
      <w:tblGrid>
        <w:gridCol w:w="2243"/>
        <w:gridCol w:w="1129"/>
        <w:gridCol w:w="1129"/>
        <w:gridCol w:w="1129"/>
        <w:gridCol w:w="1129"/>
        <w:gridCol w:w="1129"/>
        <w:gridCol w:w="1129"/>
      </w:tblGrid>
      <w:tr w:rsidR="006C2DE7" w:rsidRPr="00E709AA" w14:paraId="298540EC" w14:textId="77777777" w:rsidTr="006C2DE7">
        <w:trPr>
          <w:cnfStyle w:val="100000000000" w:firstRow="1" w:lastRow="0" w:firstColumn="0" w:lastColumn="0" w:oddVBand="0" w:evenVBand="0" w:oddHBand="0" w:evenHBand="0" w:firstRowFirstColumn="0" w:firstRowLastColumn="0" w:lastRowFirstColumn="0" w:lastRowLastColumn="0"/>
          <w:trHeight w:val="170"/>
        </w:trPr>
        <w:tc>
          <w:tcPr>
            <w:tcW w:w="1244" w:type="pct"/>
            <w:noWrap/>
            <w:hideMark/>
          </w:tcPr>
          <w:p w14:paraId="6C750C46" w14:textId="77777777" w:rsidR="00825672" w:rsidRPr="00816417" w:rsidRDefault="00825672" w:rsidP="00970974">
            <w:pPr>
              <w:pStyle w:val="TableText0"/>
              <w:rPr>
                <w:b w:val="0"/>
                <w:sz w:val="20"/>
                <w:lang w:val="en-AU" w:eastAsia="en-AU" w:bidi="ar-SA"/>
              </w:rPr>
            </w:pPr>
          </w:p>
        </w:tc>
        <w:tc>
          <w:tcPr>
            <w:tcW w:w="626" w:type="pct"/>
            <w:noWrap/>
            <w:vAlign w:val="center"/>
            <w:hideMark/>
          </w:tcPr>
          <w:p w14:paraId="6164D2A9" w14:textId="77777777" w:rsidR="00825672" w:rsidRPr="00816417" w:rsidRDefault="00825672" w:rsidP="00970974">
            <w:pPr>
              <w:pStyle w:val="TableText0"/>
              <w:jc w:val="center"/>
              <w:rPr>
                <w:b w:val="0"/>
                <w:sz w:val="20"/>
                <w:lang w:val="en-AU" w:eastAsia="en-AU" w:bidi="ar-SA"/>
              </w:rPr>
            </w:pPr>
            <w:r w:rsidRPr="005E7233">
              <w:rPr>
                <w:rFonts w:cs="Times New Roman"/>
                <w:snapToGrid w:val="0"/>
                <w:sz w:val="20"/>
              </w:rPr>
              <w:t>Year 1</w:t>
            </w:r>
          </w:p>
        </w:tc>
        <w:tc>
          <w:tcPr>
            <w:tcW w:w="626" w:type="pct"/>
            <w:noWrap/>
            <w:vAlign w:val="center"/>
            <w:hideMark/>
          </w:tcPr>
          <w:p w14:paraId="73F299B3" w14:textId="77777777" w:rsidR="00825672" w:rsidRPr="00816417" w:rsidRDefault="00825672" w:rsidP="00970974">
            <w:pPr>
              <w:pStyle w:val="TableText0"/>
              <w:jc w:val="center"/>
              <w:rPr>
                <w:b w:val="0"/>
                <w:sz w:val="20"/>
                <w:lang w:val="en-AU" w:eastAsia="en-AU" w:bidi="ar-SA"/>
              </w:rPr>
            </w:pPr>
            <w:r w:rsidRPr="005E7233">
              <w:rPr>
                <w:rFonts w:cs="Times New Roman"/>
                <w:snapToGrid w:val="0"/>
                <w:sz w:val="20"/>
              </w:rPr>
              <w:t>Year 2</w:t>
            </w:r>
          </w:p>
        </w:tc>
        <w:tc>
          <w:tcPr>
            <w:tcW w:w="626" w:type="pct"/>
            <w:noWrap/>
            <w:vAlign w:val="center"/>
            <w:hideMark/>
          </w:tcPr>
          <w:p w14:paraId="3CFF4EFB" w14:textId="77777777" w:rsidR="00825672" w:rsidRPr="00816417" w:rsidRDefault="00825672" w:rsidP="00970974">
            <w:pPr>
              <w:pStyle w:val="TableText0"/>
              <w:jc w:val="center"/>
              <w:rPr>
                <w:b w:val="0"/>
                <w:sz w:val="20"/>
                <w:lang w:val="en-AU" w:eastAsia="en-AU" w:bidi="ar-SA"/>
              </w:rPr>
            </w:pPr>
            <w:r w:rsidRPr="005E7233">
              <w:rPr>
                <w:rFonts w:cs="Times New Roman"/>
                <w:snapToGrid w:val="0"/>
                <w:sz w:val="20"/>
              </w:rPr>
              <w:t>Year 3</w:t>
            </w:r>
          </w:p>
        </w:tc>
        <w:tc>
          <w:tcPr>
            <w:tcW w:w="626" w:type="pct"/>
            <w:noWrap/>
            <w:vAlign w:val="center"/>
            <w:hideMark/>
          </w:tcPr>
          <w:p w14:paraId="2985BCD7" w14:textId="77777777" w:rsidR="00825672" w:rsidRPr="00816417" w:rsidRDefault="00825672" w:rsidP="00970974">
            <w:pPr>
              <w:pStyle w:val="TableText0"/>
              <w:jc w:val="center"/>
              <w:rPr>
                <w:b w:val="0"/>
                <w:sz w:val="20"/>
                <w:lang w:val="en-AU" w:eastAsia="en-AU" w:bidi="ar-SA"/>
              </w:rPr>
            </w:pPr>
            <w:r w:rsidRPr="005E7233">
              <w:rPr>
                <w:rFonts w:cs="Times New Roman"/>
                <w:snapToGrid w:val="0"/>
                <w:sz w:val="20"/>
              </w:rPr>
              <w:t>Year 4</w:t>
            </w:r>
          </w:p>
        </w:tc>
        <w:tc>
          <w:tcPr>
            <w:tcW w:w="626" w:type="pct"/>
            <w:noWrap/>
            <w:vAlign w:val="center"/>
            <w:hideMark/>
          </w:tcPr>
          <w:p w14:paraId="0AAA4CCA" w14:textId="77777777" w:rsidR="00825672" w:rsidRPr="00816417" w:rsidRDefault="00825672" w:rsidP="00970974">
            <w:pPr>
              <w:pStyle w:val="TableText0"/>
              <w:jc w:val="center"/>
              <w:rPr>
                <w:b w:val="0"/>
                <w:sz w:val="20"/>
                <w:lang w:val="en-AU" w:eastAsia="en-AU" w:bidi="ar-SA"/>
              </w:rPr>
            </w:pPr>
            <w:r w:rsidRPr="005E7233">
              <w:rPr>
                <w:rFonts w:cs="Times New Roman"/>
                <w:snapToGrid w:val="0"/>
                <w:sz w:val="20"/>
              </w:rPr>
              <w:t>Year 5</w:t>
            </w:r>
          </w:p>
        </w:tc>
        <w:tc>
          <w:tcPr>
            <w:tcW w:w="626" w:type="pct"/>
            <w:noWrap/>
            <w:vAlign w:val="center"/>
            <w:hideMark/>
          </w:tcPr>
          <w:p w14:paraId="42509C34" w14:textId="77777777" w:rsidR="00825672" w:rsidRPr="00816417" w:rsidRDefault="00825672" w:rsidP="00970974">
            <w:pPr>
              <w:pStyle w:val="TableText0"/>
              <w:jc w:val="center"/>
              <w:rPr>
                <w:b w:val="0"/>
                <w:sz w:val="20"/>
                <w:lang w:val="en-AU" w:eastAsia="en-AU" w:bidi="ar-SA"/>
              </w:rPr>
            </w:pPr>
            <w:r w:rsidRPr="005E7233">
              <w:rPr>
                <w:rFonts w:cs="Times New Roman"/>
                <w:snapToGrid w:val="0"/>
                <w:sz w:val="20"/>
              </w:rPr>
              <w:t>Year 6</w:t>
            </w:r>
          </w:p>
        </w:tc>
      </w:tr>
      <w:tr w:rsidR="00825672" w:rsidRPr="00E709AA" w14:paraId="5A96B7C4" w14:textId="77777777" w:rsidTr="006C2DE7">
        <w:trPr>
          <w:trHeight w:val="170"/>
        </w:trPr>
        <w:tc>
          <w:tcPr>
            <w:tcW w:w="5000" w:type="pct"/>
            <w:gridSpan w:val="7"/>
          </w:tcPr>
          <w:p w14:paraId="781862E4" w14:textId="77777777" w:rsidR="00825672" w:rsidRPr="00060A73" w:rsidRDefault="00825672" w:rsidP="00970974">
            <w:pPr>
              <w:pStyle w:val="TableText0"/>
              <w:rPr>
                <w:b/>
                <w:bCs w:val="0"/>
                <w:sz w:val="20"/>
                <w:lang w:val="en-AU" w:eastAsia="en-AU" w:bidi="ar-SA"/>
              </w:rPr>
            </w:pPr>
            <w:r>
              <w:rPr>
                <w:b/>
                <w:bCs w:val="0"/>
                <w:sz w:val="20"/>
                <w:lang w:val="en-AU" w:eastAsia="en-AU" w:bidi="ar-SA"/>
              </w:rPr>
              <w:t>Resubmission revised estimates</w:t>
            </w:r>
          </w:p>
        </w:tc>
      </w:tr>
      <w:tr w:rsidR="00825672" w:rsidRPr="00887B43" w14:paraId="2FFAB140" w14:textId="77777777" w:rsidTr="006C2DE7">
        <w:trPr>
          <w:trHeight w:val="170"/>
        </w:trPr>
        <w:tc>
          <w:tcPr>
            <w:tcW w:w="5000" w:type="pct"/>
            <w:gridSpan w:val="7"/>
          </w:tcPr>
          <w:p w14:paraId="6314CC9E" w14:textId="77777777" w:rsidR="00825672" w:rsidRPr="00816417" w:rsidRDefault="00825672" w:rsidP="00970974">
            <w:pPr>
              <w:pStyle w:val="TableText0"/>
            </w:pPr>
            <w:r w:rsidRPr="0077715C">
              <w:rPr>
                <w:rFonts w:cs="Times New Roman"/>
                <w:b/>
                <w:snapToGrid w:val="0"/>
                <w:sz w:val="20"/>
              </w:rPr>
              <w:t>Estimated extent of use of teprotumumab</w:t>
            </w:r>
          </w:p>
        </w:tc>
      </w:tr>
      <w:tr w:rsidR="006C2DE7" w:rsidRPr="00887B43" w14:paraId="0377C1FC" w14:textId="77777777" w:rsidTr="006C2DE7">
        <w:trPr>
          <w:trHeight w:val="170"/>
        </w:trPr>
        <w:tc>
          <w:tcPr>
            <w:tcW w:w="1244" w:type="pct"/>
            <w:vAlign w:val="center"/>
          </w:tcPr>
          <w:p w14:paraId="3F6EB4A6" w14:textId="77777777" w:rsidR="00825672" w:rsidRPr="006C2DE7" w:rsidRDefault="00825672" w:rsidP="00970974">
            <w:pPr>
              <w:pStyle w:val="TableText0"/>
              <w:rPr>
                <w:sz w:val="20"/>
                <w:szCs w:val="20"/>
              </w:rPr>
            </w:pPr>
            <w:r w:rsidRPr="006C2DE7">
              <w:rPr>
                <w:snapToGrid w:val="0"/>
                <w:sz w:val="20"/>
                <w:szCs w:val="20"/>
              </w:rPr>
              <w:t>Number of patients treated</w:t>
            </w:r>
          </w:p>
        </w:tc>
        <w:tc>
          <w:tcPr>
            <w:tcW w:w="626" w:type="pct"/>
            <w:noWrap/>
            <w:vAlign w:val="center"/>
          </w:tcPr>
          <w:p w14:paraId="15151A53" w14:textId="5C214447" w:rsidR="00825672" w:rsidRPr="006C2DE7" w:rsidRDefault="00D80F16" w:rsidP="00970974">
            <w:pPr>
              <w:pStyle w:val="TableText0"/>
              <w:jc w:val="center"/>
              <w:rPr>
                <w:sz w:val="20"/>
                <w:szCs w:val="20"/>
                <w:vertAlign w:val="superscript"/>
              </w:rPr>
            </w:pPr>
            <w:r w:rsidRPr="00D80F16">
              <w:rPr>
                <w:color w:val="000000"/>
                <w:spacing w:val="49"/>
                <w:sz w:val="20"/>
                <w:szCs w:val="20"/>
                <w:shd w:val="solid" w:color="000000" w:fill="000000"/>
                <w:fitText w:val="320" w:id="-663974907"/>
                <w14:textFill>
                  <w14:solidFill>
                    <w14:srgbClr w14:val="000000">
                      <w14:alpha w14:val="100000"/>
                    </w14:srgbClr>
                  </w14:solidFill>
                </w14:textFill>
              </w:rPr>
              <w:t>|||</w:t>
            </w:r>
            <w:r w:rsidRPr="00D80F16">
              <w:rPr>
                <w:color w:val="000000"/>
                <w:spacing w:val="3"/>
                <w:sz w:val="20"/>
                <w:szCs w:val="20"/>
                <w:shd w:val="solid" w:color="000000" w:fill="000000"/>
                <w:fitText w:val="320" w:id="-663974907"/>
                <w14:textFill>
                  <w14:solidFill>
                    <w14:srgbClr w14:val="000000">
                      <w14:alpha w14:val="100000"/>
                    </w14:srgbClr>
                  </w14:solidFill>
                </w14:textFill>
              </w:rPr>
              <w:t>|</w:t>
            </w:r>
            <w:r w:rsidR="00825672" w:rsidRPr="006C2DE7">
              <w:rPr>
                <w:sz w:val="20"/>
                <w:szCs w:val="20"/>
              </w:rPr>
              <w:t xml:space="preserve"> </w:t>
            </w:r>
            <w:r w:rsidR="00300B02" w:rsidRPr="006C2DE7">
              <w:rPr>
                <w:sz w:val="20"/>
                <w:szCs w:val="20"/>
                <w:vertAlign w:val="superscript"/>
              </w:rPr>
              <w:t>1</w:t>
            </w:r>
          </w:p>
        </w:tc>
        <w:tc>
          <w:tcPr>
            <w:tcW w:w="626" w:type="pct"/>
            <w:noWrap/>
            <w:vAlign w:val="center"/>
          </w:tcPr>
          <w:p w14:paraId="659FA9B5" w14:textId="216550D3"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906"/>
                <w14:textFill>
                  <w14:solidFill>
                    <w14:srgbClr w14:val="000000">
                      <w14:alpha w14:val="100000"/>
                    </w14:srgbClr>
                  </w14:solidFill>
                </w14:textFill>
              </w:rPr>
              <w:t>|||</w:t>
            </w:r>
            <w:r w:rsidRPr="00D80F16">
              <w:rPr>
                <w:color w:val="000000"/>
                <w:spacing w:val="3"/>
                <w:sz w:val="20"/>
                <w:szCs w:val="20"/>
                <w:shd w:val="solid" w:color="000000" w:fill="000000"/>
                <w:fitText w:val="320" w:id="-663974906"/>
                <w14:textFill>
                  <w14:solidFill>
                    <w14:srgbClr w14:val="000000">
                      <w14:alpha w14:val="100000"/>
                    </w14:srgbClr>
                  </w14:solidFill>
                </w14:textFill>
              </w:rPr>
              <w:t>|</w:t>
            </w:r>
            <w:r w:rsidR="00300B02" w:rsidRPr="006C2DE7">
              <w:rPr>
                <w:sz w:val="20"/>
                <w:szCs w:val="20"/>
              </w:rPr>
              <w:t xml:space="preserve"> </w:t>
            </w:r>
            <w:r w:rsidR="00300B02" w:rsidRPr="006C2DE7">
              <w:rPr>
                <w:sz w:val="20"/>
                <w:szCs w:val="20"/>
                <w:vertAlign w:val="superscript"/>
              </w:rPr>
              <w:t>1</w:t>
            </w:r>
          </w:p>
        </w:tc>
        <w:tc>
          <w:tcPr>
            <w:tcW w:w="626" w:type="pct"/>
            <w:noWrap/>
            <w:vAlign w:val="center"/>
          </w:tcPr>
          <w:p w14:paraId="393E7080" w14:textId="06E3AEB4"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905"/>
                <w14:textFill>
                  <w14:solidFill>
                    <w14:srgbClr w14:val="000000">
                      <w14:alpha w14:val="100000"/>
                    </w14:srgbClr>
                  </w14:solidFill>
                </w14:textFill>
              </w:rPr>
              <w:t>|||</w:t>
            </w:r>
            <w:r w:rsidRPr="00D80F16">
              <w:rPr>
                <w:color w:val="000000"/>
                <w:spacing w:val="3"/>
                <w:sz w:val="20"/>
                <w:szCs w:val="20"/>
                <w:shd w:val="solid" w:color="000000" w:fill="000000"/>
                <w:fitText w:val="320" w:id="-663974905"/>
                <w14:textFill>
                  <w14:solidFill>
                    <w14:srgbClr w14:val="000000">
                      <w14:alpha w14:val="100000"/>
                    </w14:srgbClr>
                  </w14:solidFill>
                </w14:textFill>
              </w:rPr>
              <w:t>|</w:t>
            </w:r>
            <w:r w:rsidR="00300B02" w:rsidRPr="006C2DE7">
              <w:rPr>
                <w:sz w:val="20"/>
                <w:szCs w:val="20"/>
              </w:rPr>
              <w:t xml:space="preserve"> </w:t>
            </w:r>
            <w:r w:rsidR="00300B02" w:rsidRPr="006C2DE7">
              <w:rPr>
                <w:sz w:val="20"/>
                <w:szCs w:val="20"/>
                <w:vertAlign w:val="superscript"/>
              </w:rPr>
              <w:t>1</w:t>
            </w:r>
          </w:p>
        </w:tc>
        <w:tc>
          <w:tcPr>
            <w:tcW w:w="626" w:type="pct"/>
            <w:noWrap/>
            <w:vAlign w:val="center"/>
          </w:tcPr>
          <w:p w14:paraId="2B6EBFFC" w14:textId="2DD72506"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904"/>
                <w14:textFill>
                  <w14:solidFill>
                    <w14:srgbClr w14:val="000000">
                      <w14:alpha w14:val="100000"/>
                    </w14:srgbClr>
                  </w14:solidFill>
                </w14:textFill>
              </w:rPr>
              <w:t>|||</w:t>
            </w:r>
            <w:r w:rsidRPr="00D80F16">
              <w:rPr>
                <w:color w:val="000000"/>
                <w:spacing w:val="3"/>
                <w:sz w:val="20"/>
                <w:szCs w:val="20"/>
                <w:shd w:val="solid" w:color="000000" w:fill="000000"/>
                <w:fitText w:val="320" w:id="-663974904"/>
                <w14:textFill>
                  <w14:solidFill>
                    <w14:srgbClr w14:val="000000">
                      <w14:alpha w14:val="100000"/>
                    </w14:srgbClr>
                  </w14:solidFill>
                </w14:textFill>
              </w:rPr>
              <w:t>|</w:t>
            </w:r>
            <w:r w:rsidR="00300B02" w:rsidRPr="006C2DE7">
              <w:rPr>
                <w:sz w:val="20"/>
                <w:szCs w:val="20"/>
              </w:rPr>
              <w:t xml:space="preserve"> </w:t>
            </w:r>
            <w:r w:rsidR="00300B02" w:rsidRPr="006C2DE7">
              <w:rPr>
                <w:sz w:val="20"/>
                <w:szCs w:val="20"/>
                <w:vertAlign w:val="superscript"/>
              </w:rPr>
              <w:t>1</w:t>
            </w:r>
          </w:p>
        </w:tc>
        <w:tc>
          <w:tcPr>
            <w:tcW w:w="626" w:type="pct"/>
            <w:noWrap/>
            <w:vAlign w:val="center"/>
          </w:tcPr>
          <w:p w14:paraId="52C7E616" w14:textId="6E5C111B"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903"/>
                <w14:textFill>
                  <w14:solidFill>
                    <w14:srgbClr w14:val="000000">
                      <w14:alpha w14:val="100000"/>
                    </w14:srgbClr>
                  </w14:solidFill>
                </w14:textFill>
              </w:rPr>
              <w:t>|||</w:t>
            </w:r>
            <w:r w:rsidRPr="00D80F16">
              <w:rPr>
                <w:color w:val="000000"/>
                <w:spacing w:val="3"/>
                <w:sz w:val="20"/>
                <w:szCs w:val="20"/>
                <w:shd w:val="solid" w:color="000000" w:fill="000000"/>
                <w:fitText w:val="320" w:id="-663974903"/>
                <w14:textFill>
                  <w14:solidFill>
                    <w14:srgbClr w14:val="000000">
                      <w14:alpha w14:val="100000"/>
                    </w14:srgbClr>
                  </w14:solidFill>
                </w14:textFill>
              </w:rPr>
              <w:t>|</w:t>
            </w:r>
            <w:r w:rsidR="00300B02" w:rsidRPr="006C2DE7">
              <w:rPr>
                <w:sz w:val="20"/>
                <w:szCs w:val="20"/>
              </w:rPr>
              <w:t xml:space="preserve"> </w:t>
            </w:r>
            <w:r w:rsidR="00300B02" w:rsidRPr="006C2DE7">
              <w:rPr>
                <w:sz w:val="20"/>
                <w:szCs w:val="20"/>
                <w:vertAlign w:val="superscript"/>
              </w:rPr>
              <w:t>1</w:t>
            </w:r>
          </w:p>
        </w:tc>
        <w:tc>
          <w:tcPr>
            <w:tcW w:w="626" w:type="pct"/>
            <w:noWrap/>
            <w:vAlign w:val="center"/>
          </w:tcPr>
          <w:p w14:paraId="59D2B507" w14:textId="2377492A"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902"/>
                <w14:textFill>
                  <w14:solidFill>
                    <w14:srgbClr w14:val="000000">
                      <w14:alpha w14:val="100000"/>
                    </w14:srgbClr>
                  </w14:solidFill>
                </w14:textFill>
              </w:rPr>
              <w:t>|||</w:t>
            </w:r>
            <w:r w:rsidRPr="00D80F16">
              <w:rPr>
                <w:color w:val="000000"/>
                <w:spacing w:val="3"/>
                <w:sz w:val="20"/>
                <w:szCs w:val="20"/>
                <w:shd w:val="solid" w:color="000000" w:fill="000000"/>
                <w:fitText w:val="320" w:id="-663974902"/>
                <w14:textFill>
                  <w14:solidFill>
                    <w14:srgbClr w14:val="000000">
                      <w14:alpha w14:val="100000"/>
                    </w14:srgbClr>
                  </w14:solidFill>
                </w14:textFill>
              </w:rPr>
              <w:t>|</w:t>
            </w:r>
            <w:r w:rsidR="00300B02" w:rsidRPr="006C2DE7">
              <w:rPr>
                <w:sz w:val="20"/>
                <w:szCs w:val="20"/>
              </w:rPr>
              <w:t xml:space="preserve"> </w:t>
            </w:r>
            <w:r w:rsidR="00300B02" w:rsidRPr="006C2DE7">
              <w:rPr>
                <w:sz w:val="20"/>
                <w:szCs w:val="20"/>
                <w:vertAlign w:val="superscript"/>
              </w:rPr>
              <w:t>1</w:t>
            </w:r>
          </w:p>
        </w:tc>
      </w:tr>
      <w:tr w:rsidR="006C2DE7" w:rsidRPr="00887B43" w14:paraId="27DE3FAB" w14:textId="77777777" w:rsidTr="006C2DE7">
        <w:trPr>
          <w:trHeight w:val="170"/>
        </w:trPr>
        <w:tc>
          <w:tcPr>
            <w:tcW w:w="1244" w:type="pct"/>
            <w:vAlign w:val="center"/>
          </w:tcPr>
          <w:p w14:paraId="24599E5D" w14:textId="77777777" w:rsidR="00825672" w:rsidRPr="006C2DE7" w:rsidRDefault="00825672" w:rsidP="00970974">
            <w:pPr>
              <w:pStyle w:val="TableText0"/>
              <w:rPr>
                <w:sz w:val="20"/>
                <w:szCs w:val="20"/>
              </w:rPr>
            </w:pPr>
            <w:r w:rsidRPr="006C2DE7">
              <w:rPr>
                <w:snapToGrid w:val="0"/>
                <w:sz w:val="20"/>
                <w:szCs w:val="20"/>
              </w:rPr>
              <w:t>Total script numbers</w:t>
            </w:r>
          </w:p>
        </w:tc>
        <w:tc>
          <w:tcPr>
            <w:tcW w:w="626" w:type="pct"/>
            <w:noWrap/>
            <w:vAlign w:val="center"/>
          </w:tcPr>
          <w:p w14:paraId="1D1D2A02" w14:textId="57B41CB2"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901"/>
                <w14:textFill>
                  <w14:solidFill>
                    <w14:srgbClr w14:val="000000">
                      <w14:alpha w14:val="100000"/>
                    </w14:srgbClr>
                  </w14:solidFill>
                </w14:textFill>
              </w:rPr>
              <w:t>|||</w:t>
            </w:r>
            <w:r w:rsidRPr="00D80F16">
              <w:rPr>
                <w:color w:val="000000"/>
                <w:spacing w:val="3"/>
                <w:sz w:val="20"/>
                <w:szCs w:val="20"/>
                <w:shd w:val="solid" w:color="000000" w:fill="000000"/>
                <w:fitText w:val="320" w:id="-663974901"/>
                <w14:textFill>
                  <w14:solidFill>
                    <w14:srgbClr w14:val="000000">
                      <w14:alpha w14:val="100000"/>
                    </w14:srgbClr>
                  </w14:solidFill>
                </w14:textFill>
              </w:rPr>
              <w:t>|</w:t>
            </w:r>
            <w:r w:rsidR="00300B02" w:rsidRPr="006C2DE7">
              <w:rPr>
                <w:sz w:val="20"/>
                <w:szCs w:val="20"/>
              </w:rPr>
              <w:t xml:space="preserve"> </w:t>
            </w:r>
            <w:r w:rsidR="006C2DE7" w:rsidRPr="006C2DE7">
              <w:rPr>
                <w:sz w:val="20"/>
                <w:szCs w:val="20"/>
                <w:vertAlign w:val="superscript"/>
              </w:rPr>
              <w:t>2</w:t>
            </w:r>
          </w:p>
        </w:tc>
        <w:tc>
          <w:tcPr>
            <w:tcW w:w="626" w:type="pct"/>
            <w:noWrap/>
            <w:vAlign w:val="center"/>
          </w:tcPr>
          <w:p w14:paraId="02E14880" w14:textId="4553D540"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900"/>
                <w14:textFill>
                  <w14:solidFill>
                    <w14:srgbClr w14:val="000000">
                      <w14:alpha w14:val="100000"/>
                    </w14:srgbClr>
                  </w14:solidFill>
                </w14:textFill>
              </w:rPr>
              <w:t>|||</w:t>
            </w:r>
            <w:r w:rsidRPr="00D80F16">
              <w:rPr>
                <w:color w:val="000000"/>
                <w:spacing w:val="3"/>
                <w:sz w:val="20"/>
                <w:szCs w:val="20"/>
                <w:shd w:val="solid" w:color="000000" w:fill="000000"/>
                <w:fitText w:val="320" w:id="-663974900"/>
                <w14:textFill>
                  <w14:solidFill>
                    <w14:srgbClr w14:val="000000">
                      <w14:alpha w14:val="100000"/>
                    </w14:srgbClr>
                  </w14:solidFill>
                </w14:textFill>
              </w:rPr>
              <w:t>|</w:t>
            </w:r>
            <w:r w:rsidR="00825672" w:rsidRPr="006C2DE7">
              <w:rPr>
                <w:sz w:val="20"/>
                <w:szCs w:val="20"/>
              </w:rPr>
              <w:t xml:space="preserve"> </w:t>
            </w:r>
            <w:r w:rsidR="006C2DE7" w:rsidRPr="006C2DE7">
              <w:rPr>
                <w:sz w:val="20"/>
                <w:szCs w:val="20"/>
                <w:vertAlign w:val="superscript"/>
              </w:rPr>
              <w:t>2</w:t>
            </w:r>
          </w:p>
        </w:tc>
        <w:tc>
          <w:tcPr>
            <w:tcW w:w="626" w:type="pct"/>
            <w:noWrap/>
            <w:vAlign w:val="center"/>
          </w:tcPr>
          <w:p w14:paraId="17A70BB4" w14:textId="0C1C6FC9"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899"/>
                <w14:textFill>
                  <w14:solidFill>
                    <w14:srgbClr w14:val="000000">
                      <w14:alpha w14:val="100000"/>
                    </w14:srgbClr>
                  </w14:solidFill>
                </w14:textFill>
              </w:rPr>
              <w:t>|||</w:t>
            </w:r>
            <w:r w:rsidRPr="00D80F16">
              <w:rPr>
                <w:color w:val="000000"/>
                <w:spacing w:val="3"/>
                <w:sz w:val="20"/>
                <w:szCs w:val="20"/>
                <w:shd w:val="solid" w:color="000000" w:fill="000000"/>
                <w:fitText w:val="320" w:id="-663974899"/>
                <w14:textFill>
                  <w14:solidFill>
                    <w14:srgbClr w14:val="000000">
                      <w14:alpha w14:val="100000"/>
                    </w14:srgbClr>
                  </w14:solidFill>
                </w14:textFill>
              </w:rPr>
              <w:t>|</w:t>
            </w:r>
            <w:r w:rsidR="00825672" w:rsidRPr="006C2DE7">
              <w:rPr>
                <w:sz w:val="20"/>
                <w:szCs w:val="20"/>
              </w:rPr>
              <w:t xml:space="preserve"> </w:t>
            </w:r>
            <w:r w:rsidR="006C2DE7" w:rsidRPr="006C2DE7">
              <w:rPr>
                <w:sz w:val="20"/>
                <w:szCs w:val="20"/>
                <w:vertAlign w:val="superscript"/>
              </w:rPr>
              <w:t>2</w:t>
            </w:r>
          </w:p>
        </w:tc>
        <w:tc>
          <w:tcPr>
            <w:tcW w:w="626" w:type="pct"/>
            <w:noWrap/>
            <w:vAlign w:val="center"/>
          </w:tcPr>
          <w:p w14:paraId="7E78AA84" w14:textId="649DCC08"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898"/>
                <w14:textFill>
                  <w14:solidFill>
                    <w14:srgbClr w14:val="000000">
                      <w14:alpha w14:val="100000"/>
                    </w14:srgbClr>
                  </w14:solidFill>
                </w14:textFill>
              </w:rPr>
              <w:t>|||</w:t>
            </w:r>
            <w:r w:rsidRPr="00D80F16">
              <w:rPr>
                <w:color w:val="000000"/>
                <w:spacing w:val="3"/>
                <w:sz w:val="20"/>
                <w:szCs w:val="20"/>
                <w:shd w:val="solid" w:color="000000" w:fill="000000"/>
                <w:fitText w:val="320" w:id="-663974898"/>
                <w14:textFill>
                  <w14:solidFill>
                    <w14:srgbClr w14:val="000000">
                      <w14:alpha w14:val="100000"/>
                    </w14:srgbClr>
                  </w14:solidFill>
                </w14:textFill>
              </w:rPr>
              <w:t>|</w:t>
            </w:r>
            <w:r w:rsidR="00825672" w:rsidRPr="006C2DE7">
              <w:rPr>
                <w:sz w:val="20"/>
                <w:szCs w:val="20"/>
              </w:rPr>
              <w:t xml:space="preserve"> </w:t>
            </w:r>
            <w:r w:rsidR="006C2DE7" w:rsidRPr="006C2DE7">
              <w:rPr>
                <w:sz w:val="20"/>
                <w:szCs w:val="20"/>
                <w:vertAlign w:val="superscript"/>
              </w:rPr>
              <w:t>2</w:t>
            </w:r>
          </w:p>
        </w:tc>
        <w:tc>
          <w:tcPr>
            <w:tcW w:w="626" w:type="pct"/>
            <w:noWrap/>
            <w:vAlign w:val="center"/>
          </w:tcPr>
          <w:p w14:paraId="76328EA6" w14:textId="1141B09C"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897"/>
                <w14:textFill>
                  <w14:solidFill>
                    <w14:srgbClr w14:val="000000">
                      <w14:alpha w14:val="100000"/>
                    </w14:srgbClr>
                  </w14:solidFill>
                </w14:textFill>
              </w:rPr>
              <w:t>|||</w:t>
            </w:r>
            <w:r w:rsidRPr="00D80F16">
              <w:rPr>
                <w:color w:val="000000"/>
                <w:spacing w:val="3"/>
                <w:sz w:val="20"/>
                <w:szCs w:val="20"/>
                <w:shd w:val="solid" w:color="000000" w:fill="000000"/>
                <w:fitText w:val="320" w:id="-663974897"/>
                <w14:textFill>
                  <w14:solidFill>
                    <w14:srgbClr w14:val="000000">
                      <w14:alpha w14:val="100000"/>
                    </w14:srgbClr>
                  </w14:solidFill>
                </w14:textFill>
              </w:rPr>
              <w:t>|</w:t>
            </w:r>
            <w:r w:rsidR="00825672" w:rsidRPr="006C2DE7">
              <w:rPr>
                <w:sz w:val="20"/>
                <w:szCs w:val="20"/>
              </w:rPr>
              <w:t xml:space="preserve"> </w:t>
            </w:r>
            <w:r w:rsidR="006C2DE7" w:rsidRPr="006C2DE7">
              <w:rPr>
                <w:sz w:val="20"/>
                <w:szCs w:val="20"/>
                <w:vertAlign w:val="superscript"/>
              </w:rPr>
              <w:t>2</w:t>
            </w:r>
          </w:p>
        </w:tc>
        <w:tc>
          <w:tcPr>
            <w:tcW w:w="626" w:type="pct"/>
            <w:noWrap/>
            <w:vAlign w:val="center"/>
          </w:tcPr>
          <w:p w14:paraId="0C976A86" w14:textId="7E123488" w:rsidR="00825672" w:rsidRPr="006C2DE7" w:rsidRDefault="00D80F16" w:rsidP="00970974">
            <w:pPr>
              <w:pStyle w:val="TableText0"/>
              <w:jc w:val="center"/>
              <w:rPr>
                <w:sz w:val="20"/>
                <w:szCs w:val="20"/>
              </w:rPr>
            </w:pPr>
            <w:r w:rsidRPr="00D80F16">
              <w:rPr>
                <w:color w:val="000000"/>
                <w:spacing w:val="49"/>
                <w:sz w:val="20"/>
                <w:szCs w:val="20"/>
                <w:shd w:val="solid" w:color="000000" w:fill="000000"/>
                <w:fitText w:val="320" w:id="-663974896"/>
                <w14:textFill>
                  <w14:solidFill>
                    <w14:srgbClr w14:val="000000">
                      <w14:alpha w14:val="100000"/>
                    </w14:srgbClr>
                  </w14:solidFill>
                </w14:textFill>
              </w:rPr>
              <w:t>|||</w:t>
            </w:r>
            <w:r w:rsidRPr="00D80F16">
              <w:rPr>
                <w:color w:val="000000"/>
                <w:spacing w:val="3"/>
                <w:sz w:val="20"/>
                <w:szCs w:val="20"/>
                <w:shd w:val="solid" w:color="000000" w:fill="000000"/>
                <w:fitText w:val="320" w:id="-663974896"/>
                <w14:textFill>
                  <w14:solidFill>
                    <w14:srgbClr w14:val="000000">
                      <w14:alpha w14:val="100000"/>
                    </w14:srgbClr>
                  </w14:solidFill>
                </w14:textFill>
              </w:rPr>
              <w:t>|</w:t>
            </w:r>
            <w:r w:rsidR="00825672" w:rsidRPr="006C2DE7">
              <w:rPr>
                <w:sz w:val="20"/>
                <w:szCs w:val="20"/>
              </w:rPr>
              <w:t xml:space="preserve"> </w:t>
            </w:r>
            <w:r w:rsidR="006C2DE7" w:rsidRPr="006C2DE7">
              <w:rPr>
                <w:sz w:val="20"/>
                <w:szCs w:val="20"/>
                <w:vertAlign w:val="superscript"/>
              </w:rPr>
              <w:t>2</w:t>
            </w:r>
          </w:p>
        </w:tc>
      </w:tr>
      <w:tr w:rsidR="00825672" w:rsidRPr="00887B43" w14:paraId="0D726597" w14:textId="77777777" w:rsidTr="006C2DE7">
        <w:trPr>
          <w:trHeight w:val="170"/>
        </w:trPr>
        <w:tc>
          <w:tcPr>
            <w:tcW w:w="5000" w:type="pct"/>
            <w:gridSpan w:val="7"/>
          </w:tcPr>
          <w:p w14:paraId="143D4450" w14:textId="77777777" w:rsidR="00825672" w:rsidRPr="00816417" w:rsidRDefault="00825672" w:rsidP="00970974">
            <w:pPr>
              <w:pStyle w:val="TableText0"/>
            </w:pPr>
            <w:r w:rsidRPr="005E7233">
              <w:rPr>
                <w:rFonts w:cs="Times New Roman"/>
                <w:b/>
                <w:snapToGrid w:val="0"/>
                <w:sz w:val="20"/>
              </w:rPr>
              <w:t>Estimated financial implications of teprotumumab</w:t>
            </w:r>
          </w:p>
        </w:tc>
      </w:tr>
      <w:tr w:rsidR="006C2DE7" w:rsidRPr="00887B43" w14:paraId="35DDE3B2" w14:textId="77777777" w:rsidTr="006C2DE7">
        <w:trPr>
          <w:trHeight w:val="170"/>
        </w:trPr>
        <w:tc>
          <w:tcPr>
            <w:tcW w:w="1244" w:type="pct"/>
          </w:tcPr>
          <w:p w14:paraId="78B011FE" w14:textId="77777777" w:rsidR="00825672" w:rsidRPr="00816417" w:rsidRDefault="00825672" w:rsidP="00970974">
            <w:pPr>
              <w:pStyle w:val="TableText0"/>
              <w:rPr>
                <w:sz w:val="20"/>
                <w:lang w:val="en-AU" w:eastAsia="en-AU" w:bidi="ar-SA"/>
              </w:rPr>
            </w:pPr>
            <w:r>
              <w:rPr>
                <w:sz w:val="20"/>
                <w:lang w:val="en-AU" w:eastAsia="en-AU" w:bidi="ar-SA"/>
              </w:rPr>
              <w:t>C</w:t>
            </w:r>
            <w:r w:rsidRPr="00816417">
              <w:rPr>
                <w:sz w:val="20"/>
                <w:lang w:val="en-AU" w:eastAsia="en-AU" w:bidi="ar-SA"/>
              </w:rPr>
              <w:t>ost to PBS</w:t>
            </w:r>
            <w:r>
              <w:rPr>
                <w:sz w:val="20"/>
                <w:lang w:val="en-AU" w:eastAsia="en-AU" w:bidi="ar-SA"/>
              </w:rPr>
              <w:t xml:space="preserve"> less copayments</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F29B3" w14:textId="321DA834" w:rsidR="00825672" w:rsidRPr="006C2DE7" w:rsidRDefault="00825672" w:rsidP="00970974">
            <w:pPr>
              <w:pStyle w:val="TableText0"/>
              <w:jc w:val="center"/>
              <w:rPr>
                <w:sz w:val="20"/>
                <w:vertAlign w:val="superscript"/>
                <w:lang w:val="en-AU" w:eastAsia="en-AU" w:bidi="ar-SA"/>
              </w:rPr>
            </w:pPr>
            <w:r w:rsidRPr="008A2D3C">
              <w:rPr>
                <w:sz w:val="20"/>
                <w:lang w:val="en-AU" w:eastAsia="en-AU" w:bidi="ar-SA"/>
              </w:rPr>
              <w:t>$</w:t>
            </w:r>
            <w:r w:rsidR="00D80F16" w:rsidRPr="00D80F16">
              <w:rPr>
                <w:color w:val="000000"/>
                <w:spacing w:val="53"/>
                <w:sz w:val="20"/>
                <w:shd w:val="solid" w:color="000000" w:fill="000000"/>
                <w:fitText w:val="330" w:id="-663974912"/>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12"/>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BDF6535" w14:textId="3F24AC50" w:rsidR="00825672" w:rsidRPr="00816417" w:rsidRDefault="00825672" w:rsidP="00970974">
            <w:pPr>
              <w:pStyle w:val="TableText0"/>
              <w:jc w:val="center"/>
              <w:rPr>
                <w:sz w:val="20"/>
                <w:lang w:val="en-AU" w:eastAsia="en-AU" w:bidi="ar-SA"/>
              </w:rPr>
            </w:pPr>
            <w:r w:rsidRPr="008A2D3C">
              <w:rPr>
                <w:sz w:val="20"/>
                <w:lang w:val="en-AU" w:eastAsia="en-AU" w:bidi="ar-SA"/>
              </w:rPr>
              <w:t>$</w:t>
            </w:r>
            <w:r w:rsidR="00D80F16" w:rsidRPr="00D80F16">
              <w:rPr>
                <w:color w:val="000000"/>
                <w:spacing w:val="53"/>
                <w:sz w:val="20"/>
                <w:shd w:val="solid" w:color="000000" w:fill="000000"/>
                <w:fitText w:val="330" w:id="-663974911"/>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11"/>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443A9066" w14:textId="33AF7926" w:rsidR="00825672" w:rsidRPr="00816417" w:rsidRDefault="00825672" w:rsidP="00970974">
            <w:pPr>
              <w:pStyle w:val="TableText0"/>
              <w:jc w:val="center"/>
              <w:rPr>
                <w:sz w:val="20"/>
                <w:lang w:val="en-AU" w:eastAsia="en-AU" w:bidi="ar-SA"/>
              </w:rPr>
            </w:pPr>
            <w:r w:rsidRPr="008A2D3C">
              <w:rPr>
                <w:sz w:val="20"/>
                <w:lang w:val="en-AU" w:eastAsia="en-AU" w:bidi="ar-SA"/>
              </w:rPr>
              <w:t>$</w:t>
            </w:r>
            <w:r w:rsidR="00D80F16" w:rsidRPr="00D80F16">
              <w:rPr>
                <w:color w:val="000000"/>
                <w:spacing w:val="53"/>
                <w:sz w:val="20"/>
                <w:shd w:val="solid" w:color="000000" w:fill="000000"/>
                <w:fitText w:val="330" w:id="-663974910"/>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10"/>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15C2737F" w14:textId="4B37AD22" w:rsidR="00825672" w:rsidRPr="00816417" w:rsidRDefault="00825672" w:rsidP="00970974">
            <w:pPr>
              <w:pStyle w:val="TableText0"/>
              <w:jc w:val="center"/>
              <w:rPr>
                <w:sz w:val="20"/>
                <w:lang w:val="en-AU" w:eastAsia="en-AU" w:bidi="ar-SA"/>
              </w:rPr>
            </w:pPr>
            <w:r w:rsidRPr="008A2D3C">
              <w:rPr>
                <w:sz w:val="20"/>
                <w:lang w:val="en-AU" w:eastAsia="en-AU" w:bidi="ar-SA"/>
              </w:rPr>
              <w:t>$</w:t>
            </w:r>
            <w:r w:rsidR="00D80F16" w:rsidRPr="00D80F16">
              <w:rPr>
                <w:color w:val="000000"/>
                <w:spacing w:val="53"/>
                <w:sz w:val="20"/>
                <w:shd w:val="solid" w:color="000000" w:fill="000000"/>
                <w:fitText w:val="330" w:id="-663974909"/>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9"/>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5FD58BD4" w14:textId="1CC307AD" w:rsidR="00825672" w:rsidRPr="00816417" w:rsidRDefault="00825672" w:rsidP="00970974">
            <w:pPr>
              <w:pStyle w:val="TableText0"/>
              <w:jc w:val="center"/>
              <w:rPr>
                <w:sz w:val="20"/>
                <w:lang w:val="en-AU" w:eastAsia="en-AU" w:bidi="ar-SA"/>
              </w:rPr>
            </w:pPr>
            <w:r w:rsidRPr="008A2D3C">
              <w:rPr>
                <w:sz w:val="20"/>
                <w:lang w:val="en-AU" w:eastAsia="en-AU" w:bidi="ar-SA"/>
              </w:rPr>
              <w:t>$</w:t>
            </w:r>
            <w:r w:rsidR="00D80F16" w:rsidRPr="00D80F16">
              <w:rPr>
                <w:color w:val="000000"/>
                <w:spacing w:val="53"/>
                <w:sz w:val="20"/>
                <w:shd w:val="solid" w:color="000000" w:fill="000000"/>
                <w:fitText w:val="330" w:id="-663974908"/>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8"/>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4</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1E6222CD" w14:textId="08DAC50B" w:rsidR="00825672" w:rsidRPr="00816417" w:rsidRDefault="00825672" w:rsidP="00970974">
            <w:pPr>
              <w:pStyle w:val="TableText0"/>
              <w:jc w:val="center"/>
              <w:rPr>
                <w:sz w:val="20"/>
                <w:lang w:val="en-AU" w:eastAsia="en-AU" w:bidi="ar-SA"/>
              </w:rPr>
            </w:pPr>
            <w:r w:rsidRPr="008A2D3C">
              <w:rPr>
                <w:sz w:val="20"/>
                <w:lang w:val="en-AU" w:eastAsia="en-AU" w:bidi="ar-SA"/>
              </w:rPr>
              <w:t>$</w:t>
            </w:r>
            <w:r w:rsidR="00D80F16" w:rsidRPr="00D80F16">
              <w:rPr>
                <w:color w:val="000000"/>
                <w:spacing w:val="53"/>
                <w:sz w:val="20"/>
                <w:shd w:val="solid" w:color="000000" w:fill="000000"/>
                <w:fitText w:val="330" w:id="-663974907"/>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7"/>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4</w:t>
            </w:r>
          </w:p>
        </w:tc>
      </w:tr>
      <w:tr w:rsidR="006C2DE7" w:rsidRPr="00887B43" w14:paraId="7414A80F" w14:textId="77777777" w:rsidTr="006C2DE7">
        <w:trPr>
          <w:trHeight w:val="170"/>
        </w:trPr>
        <w:tc>
          <w:tcPr>
            <w:tcW w:w="1244" w:type="pct"/>
          </w:tcPr>
          <w:p w14:paraId="1C74F99C" w14:textId="77777777" w:rsidR="00825672" w:rsidRPr="00816417" w:rsidRDefault="00825672" w:rsidP="00970974">
            <w:pPr>
              <w:pStyle w:val="TableText0"/>
              <w:rPr>
                <w:sz w:val="20"/>
                <w:lang w:val="en-AU" w:eastAsia="en-AU" w:bidi="ar-SA"/>
              </w:rPr>
            </w:pPr>
            <w:r>
              <w:rPr>
                <w:sz w:val="20"/>
                <w:lang w:val="en-AU" w:eastAsia="en-AU" w:bidi="ar-SA"/>
              </w:rPr>
              <w:t>Co</w:t>
            </w:r>
            <w:r w:rsidRPr="00816417">
              <w:rPr>
                <w:sz w:val="20"/>
                <w:lang w:val="en-AU" w:eastAsia="en-AU" w:bidi="ar-SA"/>
              </w:rPr>
              <w:t>st to RPBS</w:t>
            </w:r>
            <w:r>
              <w:rPr>
                <w:sz w:val="20"/>
                <w:lang w:val="en-AU" w:eastAsia="en-AU" w:bidi="ar-SA"/>
              </w:rPr>
              <w:t xml:space="preserve"> less copayments</w:t>
            </w:r>
          </w:p>
        </w:tc>
        <w:tc>
          <w:tcPr>
            <w:tcW w:w="626" w:type="pct"/>
            <w:shd w:val="clear" w:color="auto" w:fill="auto"/>
            <w:noWrap/>
            <w:vAlign w:val="center"/>
          </w:tcPr>
          <w:p w14:paraId="4E989642" w14:textId="10E1882B" w:rsidR="00825672" w:rsidRPr="00816417" w:rsidRDefault="00825672" w:rsidP="00970974">
            <w:pPr>
              <w:pStyle w:val="TableText0"/>
              <w:jc w:val="center"/>
              <w:rPr>
                <w:sz w:val="20"/>
                <w:lang w:val="en-AU" w:eastAsia="en-AU" w:bidi="ar-SA"/>
              </w:rPr>
            </w:pPr>
            <w:r w:rsidRPr="004E7CEA">
              <w:rPr>
                <w:sz w:val="20"/>
                <w:lang w:val="en-AU" w:eastAsia="en-AU" w:bidi="ar-SA"/>
              </w:rPr>
              <w:t>$</w:t>
            </w:r>
            <w:r w:rsidR="00D80F16" w:rsidRPr="00D80F16">
              <w:rPr>
                <w:color w:val="000000"/>
                <w:spacing w:val="53"/>
                <w:sz w:val="20"/>
                <w:shd w:val="solid" w:color="000000" w:fill="000000"/>
                <w:fitText w:val="330" w:id="-663974906"/>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6"/>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5</w:t>
            </w:r>
          </w:p>
        </w:tc>
        <w:tc>
          <w:tcPr>
            <w:tcW w:w="626" w:type="pct"/>
            <w:shd w:val="clear" w:color="auto" w:fill="auto"/>
            <w:noWrap/>
            <w:vAlign w:val="center"/>
          </w:tcPr>
          <w:p w14:paraId="4EC951D8" w14:textId="03AAF8C0" w:rsidR="00825672" w:rsidRPr="00816417" w:rsidRDefault="00825672" w:rsidP="00970974">
            <w:pPr>
              <w:pStyle w:val="TableText0"/>
              <w:jc w:val="center"/>
              <w:rPr>
                <w:sz w:val="20"/>
                <w:lang w:val="en-AU" w:eastAsia="en-AU" w:bidi="ar-SA"/>
              </w:rPr>
            </w:pPr>
            <w:r w:rsidRPr="004E7CEA">
              <w:rPr>
                <w:sz w:val="20"/>
                <w:lang w:val="en-AU" w:eastAsia="en-AU" w:bidi="ar-SA"/>
              </w:rPr>
              <w:t>$</w:t>
            </w:r>
            <w:r w:rsidR="00D80F16" w:rsidRPr="00D80F16">
              <w:rPr>
                <w:color w:val="000000"/>
                <w:spacing w:val="53"/>
                <w:sz w:val="20"/>
                <w:shd w:val="solid" w:color="000000" w:fill="000000"/>
                <w:fitText w:val="330" w:id="-663974905"/>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5"/>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5</w:t>
            </w:r>
          </w:p>
        </w:tc>
        <w:tc>
          <w:tcPr>
            <w:tcW w:w="626" w:type="pct"/>
            <w:shd w:val="clear" w:color="auto" w:fill="auto"/>
            <w:noWrap/>
            <w:vAlign w:val="center"/>
          </w:tcPr>
          <w:p w14:paraId="1C55AC94" w14:textId="1ED96E92" w:rsidR="00825672" w:rsidRPr="00816417" w:rsidRDefault="00825672" w:rsidP="00970974">
            <w:pPr>
              <w:pStyle w:val="TableText0"/>
              <w:jc w:val="center"/>
              <w:rPr>
                <w:sz w:val="20"/>
                <w:lang w:val="en-AU" w:eastAsia="en-AU" w:bidi="ar-SA"/>
              </w:rPr>
            </w:pPr>
            <w:r w:rsidRPr="004E7CEA">
              <w:rPr>
                <w:sz w:val="20"/>
                <w:lang w:val="en-AU" w:eastAsia="en-AU" w:bidi="ar-SA"/>
              </w:rPr>
              <w:t>$</w:t>
            </w:r>
            <w:r w:rsidR="00D80F16" w:rsidRPr="00D80F16">
              <w:rPr>
                <w:color w:val="000000"/>
                <w:spacing w:val="53"/>
                <w:sz w:val="20"/>
                <w:shd w:val="solid" w:color="000000" w:fill="000000"/>
                <w:fitText w:val="330" w:id="-663974904"/>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4"/>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5</w:t>
            </w:r>
          </w:p>
        </w:tc>
        <w:tc>
          <w:tcPr>
            <w:tcW w:w="626" w:type="pct"/>
            <w:shd w:val="clear" w:color="auto" w:fill="auto"/>
            <w:noWrap/>
            <w:vAlign w:val="center"/>
          </w:tcPr>
          <w:p w14:paraId="1DCA6CD4" w14:textId="4CE6B6D9" w:rsidR="00825672" w:rsidRPr="00816417" w:rsidRDefault="00825672" w:rsidP="00970974">
            <w:pPr>
              <w:pStyle w:val="TableText0"/>
              <w:jc w:val="center"/>
              <w:rPr>
                <w:sz w:val="20"/>
                <w:lang w:val="en-AU" w:eastAsia="en-AU" w:bidi="ar-SA"/>
              </w:rPr>
            </w:pPr>
            <w:r w:rsidRPr="004E7CEA">
              <w:rPr>
                <w:sz w:val="20"/>
                <w:lang w:val="en-AU" w:eastAsia="en-AU" w:bidi="ar-SA"/>
              </w:rPr>
              <w:t>$</w:t>
            </w:r>
            <w:r w:rsidR="00D80F16" w:rsidRPr="00D80F16">
              <w:rPr>
                <w:color w:val="000000"/>
                <w:spacing w:val="53"/>
                <w:sz w:val="20"/>
                <w:shd w:val="solid" w:color="000000" w:fill="000000"/>
                <w:fitText w:val="330" w:id="-663974903"/>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3"/>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5</w:t>
            </w:r>
          </w:p>
        </w:tc>
        <w:tc>
          <w:tcPr>
            <w:tcW w:w="626" w:type="pct"/>
            <w:shd w:val="clear" w:color="auto" w:fill="auto"/>
            <w:noWrap/>
            <w:vAlign w:val="center"/>
          </w:tcPr>
          <w:p w14:paraId="79BDCA4B" w14:textId="078BC756" w:rsidR="00825672" w:rsidRPr="00816417" w:rsidRDefault="00825672" w:rsidP="00970974">
            <w:pPr>
              <w:pStyle w:val="TableText0"/>
              <w:jc w:val="center"/>
              <w:rPr>
                <w:sz w:val="20"/>
                <w:lang w:val="en-AU" w:eastAsia="en-AU" w:bidi="ar-SA"/>
              </w:rPr>
            </w:pPr>
            <w:r w:rsidRPr="004E7CEA">
              <w:rPr>
                <w:sz w:val="20"/>
                <w:lang w:val="en-AU" w:eastAsia="en-AU" w:bidi="ar-SA"/>
              </w:rPr>
              <w:t>$</w:t>
            </w:r>
            <w:r w:rsidR="00D80F16" w:rsidRPr="00D80F16">
              <w:rPr>
                <w:color w:val="000000"/>
                <w:spacing w:val="53"/>
                <w:sz w:val="20"/>
                <w:shd w:val="solid" w:color="000000" w:fill="000000"/>
                <w:fitText w:val="330" w:id="-663974902"/>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2"/>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5</w:t>
            </w:r>
          </w:p>
        </w:tc>
        <w:tc>
          <w:tcPr>
            <w:tcW w:w="626" w:type="pct"/>
            <w:shd w:val="clear" w:color="auto" w:fill="auto"/>
            <w:noWrap/>
            <w:vAlign w:val="center"/>
          </w:tcPr>
          <w:p w14:paraId="010691D1" w14:textId="3BEB1AD3" w:rsidR="00825672" w:rsidRPr="00816417" w:rsidRDefault="00825672" w:rsidP="00970974">
            <w:pPr>
              <w:pStyle w:val="TableText0"/>
              <w:jc w:val="center"/>
              <w:rPr>
                <w:sz w:val="20"/>
                <w:lang w:val="en-AU" w:eastAsia="en-AU" w:bidi="ar-SA"/>
              </w:rPr>
            </w:pPr>
            <w:r w:rsidRPr="004E7CEA">
              <w:rPr>
                <w:sz w:val="20"/>
                <w:lang w:val="en-AU" w:eastAsia="en-AU" w:bidi="ar-SA"/>
              </w:rPr>
              <w:t>$</w:t>
            </w:r>
            <w:r w:rsidR="00D80F16" w:rsidRPr="00D80F16">
              <w:rPr>
                <w:color w:val="000000"/>
                <w:spacing w:val="53"/>
                <w:sz w:val="20"/>
                <w:shd w:val="solid" w:color="000000" w:fill="000000"/>
                <w:fitText w:val="330" w:id="-663974901"/>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1"/>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5</w:t>
            </w:r>
          </w:p>
        </w:tc>
      </w:tr>
      <w:tr w:rsidR="006C2DE7" w:rsidRPr="00887B43" w14:paraId="4CCC96E3" w14:textId="77777777" w:rsidTr="006C2DE7">
        <w:trPr>
          <w:trHeight w:val="170"/>
        </w:trPr>
        <w:tc>
          <w:tcPr>
            <w:tcW w:w="1244" w:type="pct"/>
          </w:tcPr>
          <w:p w14:paraId="57803CF0" w14:textId="77777777" w:rsidR="00825672" w:rsidRPr="00925F0B" w:rsidRDefault="00825672" w:rsidP="00970974">
            <w:pPr>
              <w:pStyle w:val="TableText0"/>
            </w:pPr>
            <w:r w:rsidRPr="00D977D2">
              <w:rPr>
                <w:b/>
                <w:bCs w:val="0"/>
                <w:sz w:val="20"/>
                <w:lang w:val="en-AU" w:eastAsia="en-AU" w:bidi="ar-SA"/>
              </w:rPr>
              <w:t>Net cost PBS/RPBS</w:t>
            </w:r>
          </w:p>
        </w:tc>
        <w:tc>
          <w:tcPr>
            <w:tcW w:w="626" w:type="pct"/>
            <w:noWrap/>
            <w:vAlign w:val="center"/>
          </w:tcPr>
          <w:p w14:paraId="6DAEA15F" w14:textId="54E0EE82"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900"/>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900"/>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noWrap/>
            <w:vAlign w:val="center"/>
          </w:tcPr>
          <w:p w14:paraId="5F719FB6" w14:textId="1A7471A9"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899"/>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899"/>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noWrap/>
            <w:vAlign w:val="center"/>
          </w:tcPr>
          <w:p w14:paraId="25090008" w14:textId="5F3CA8CA"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898"/>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898"/>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noWrap/>
            <w:vAlign w:val="center"/>
          </w:tcPr>
          <w:p w14:paraId="6552F07F" w14:textId="6AA94608"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897"/>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897"/>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noWrap/>
            <w:vAlign w:val="center"/>
          </w:tcPr>
          <w:p w14:paraId="39E11DD1" w14:textId="12008993"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896"/>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896"/>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4</w:t>
            </w:r>
          </w:p>
        </w:tc>
        <w:tc>
          <w:tcPr>
            <w:tcW w:w="626" w:type="pct"/>
            <w:noWrap/>
            <w:vAlign w:val="center"/>
          </w:tcPr>
          <w:p w14:paraId="0C41A110" w14:textId="5E5D252D"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912"/>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912"/>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4</w:t>
            </w:r>
          </w:p>
        </w:tc>
      </w:tr>
      <w:tr w:rsidR="006C2DE7" w:rsidRPr="00887B43" w14:paraId="5224E758" w14:textId="77777777" w:rsidTr="006C2DE7">
        <w:trPr>
          <w:trHeight w:val="170"/>
        </w:trPr>
        <w:tc>
          <w:tcPr>
            <w:tcW w:w="1244" w:type="pct"/>
          </w:tcPr>
          <w:p w14:paraId="5FC56585" w14:textId="77777777" w:rsidR="00825672" w:rsidRPr="00925F0B" w:rsidRDefault="00825672" w:rsidP="00970974">
            <w:pPr>
              <w:pStyle w:val="TableText0"/>
              <w:rPr>
                <w:sz w:val="20"/>
                <w:lang w:val="en-AU" w:eastAsia="en-AU" w:bidi="ar-SA"/>
              </w:rPr>
            </w:pPr>
            <w:r w:rsidRPr="00925F0B">
              <w:rPr>
                <w:sz w:val="20"/>
                <w:lang w:val="en-AU" w:eastAsia="en-AU" w:bidi="ar-SA"/>
              </w:rPr>
              <w:t>Cost to MBS</w:t>
            </w:r>
          </w:p>
        </w:tc>
        <w:tc>
          <w:tcPr>
            <w:tcW w:w="626" w:type="pct"/>
            <w:noWrap/>
            <w:vAlign w:val="center"/>
          </w:tcPr>
          <w:p w14:paraId="32D47E1A" w14:textId="3820B00C" w:rsidR="00825672" w:rsidRPr="00925F0B" w:rsidRDefault="00825672" w:rsidP="00970974">
            <w:pPr>
              <w:pStyle w:val="TableText0"/>
              <w:jc w:val="center"/>
              <w:rPr>
                <w:sz w:val="20"/>
                <w:lang w:val="en-AU" w:eastAsia="en-AU" w:bidi="ar-SA"/>
              </w:rPr>
            </w:pPr>
            <w:r w:rsidRPr="00F73162">
              <w:rPr>
                <w:sz w:val="20"/>
                <w:lang w:val="en-AU" w:eastAsia="en-AU" w:bidi="ar-SA"/>
              </w:rPr>
              <w:t>-$</w:t>
            </w:r>
            <w:r w:rsidR="00D80F16" w:rsidRPr="00D80F16">
              <w:rPr>
                <w:color w:val="000000"/>
                <w:spacing w:val="53"/>
                <w:sz w:val="20"/>
                <w:shd w:val="solid" w:color="000000" w:fill="000000"/>
                <w:fitText w:val="330" w:id="-663974911"/>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11"/>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6</w:t>
            </w:r>
          </w:p>
        </w:tc>
        <w:tc>
          <w:tcPr>
            <w:tcW w:w="626" w:type="pct"/>
            <w:noWrap/>
            <w:vAlign w:val="center"/>
          </w:tcPr>
          <w:p w14:paraId="1CF67CAC" w14:textId="2CAD7674" w:rsidR="00825672" w:rsidRPr="00925F0B" w:rsidRDefault="00825672" w:rsidP="00970974">
            <w:pPr>
              <w:pStyle w:val="TableText0"/>
              <w:jc w:val="center"/>
              <w:rPr>
                <w:sz w:val="20"/>
                <w:lang w:val="en-AU" w:eastAsia="en-AU" w:bidi="ar-SA"/>
              </w:rPr>
            </w:pPr>
            <w:r w:rsidRPr="00F73162">
              <w:rPr>
                <w:sz w:val="20"/>
                <w:lang w:val="en-AU" w:eastAsia="en-AU" w:bidi="ar-SA"/>
              </w:rPr>
              <w:t>-$</w:t>
            </w:r>
            <w:r w:rsidR="00D80F16" w:rsidRPr="00D80F16">
              <w:rPr>
                <w:color w:val="000000"/>
                <w:spacing w:val="53"/>
                <w:sz w:val="20"/>
                <w:shd w:val="solid" w:color="000000" w:fill="000000"/>
                <w:fitText w:val="330" w:id="-663974910"/>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10"/>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6</w:t>
            </w:r>
          </w:p>
        </w:tc>
        <w:tc>
          <w:tcPr>
            <w:tcW w:w="626" w:type="pct"/>
            <w:noWrap/>
            <w:vAlign w:val="center"/>
          </w:tcPr>
          <w:p w14:paraId="37198211" w14:textId="5FA52DE0" w:rsidR="00825672" w:rsidRPr="00925F0B" w:rsidRDefault="00825672" w:rsidP="00970974">
            <w:pPr>
              <w:pStyle w:val="TableText0"/>
              <w:jc w:val="center"/>
              <w:rPr>
                <w:sz w:val="20"/>
                <w:lang w:val="en-AU" w:eastAsia="en-AU" w:bidi="ar-SA"/>
              </w:rPr>
            </w:pPr>
            <w:r w:rsidRPr="00F73162">
              <w:rPr>
                <w:sz w:val="20"/>
                <w:lang w:val="en-AU" w:eastAsia="en-AU" w:bidi="ar-SA"/>
              </w:rPr>
              <w:t>-$</w:t>
            </w:r>
            <w:r w:rsidR="00D80F16" w:rsidRPr="00D80F16">
              <w:rPr>
                <w:color w:val="000000"/>
                <w:spacing w:val="53"/>
                <w:sz w:val="20"/>
                <w:shd w:val="solid" w:color="000000" w:fill="000000"/>
                <w:fitText w:val="330" w:id="-663974909"/>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9"/>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6</w:t>
            </w:r>
          </w:p>
        </w:tc>
        <w:tc>
          <w:tcPr>
            <w:tcW w:w="626" w:type="pct"/>
            <w:noWrap/>
            <w:vAlign w:val="center"/>
          </w:tcPr>
          <w:p w14:paraId="689F86C3" w14:textId="72BF2D29" w:rsidR="00825672" w:rsidRPr="00925F0B" w:rsidRDefault="00825672" w:rsidP="00970974">
            <w:pPr>
              <w:pStyle w:val="TableText0"/>
              <w:jc w:val="center"/>
              <w:rPr>
                <w:sz w:val="20"/>
                <w:lang w:val="en-AU" w:eastAsia="en-AU" w:bidi="ar-SA"/>
              </w:rPr>
            </w:pPr>
            <w:r w:rsidRPr="00F73162">
              <w:rPr>
                <w:sz w:val="20"/>
                <w:lang w:val="en-AU" w:eastAsia="en-AU" w:bidi="ar-SA"/>
              </w:rPr>
              <w:t>-$</w:t>
            </w:r>
            <w:r w:rsidR="00D80F16" w:rsidRPr="00D80F16">
              <w:rPr>
                <w:color w:val="000000"/>
                <w:spacing w:val="53"/>
                <w:sz w:val="20"/>
                <w:shd w:val="solid" w:color="000000" w:fill="000000"/>
                <w:fitText w:val="330" w:id="-663974908"/>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8"/>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6</w:t>
            </w:r>
          </w:p>
        </w:tc>
        <w:tc>
          <w:tcPr>
            <w:tcW w:w="626" w:type="pct"/>
            <w:noWrap/>
            <w:vAlign w:val="center"/>
          </w:tcPr>
          <w:p w14:paraId="4B01D6B5" w14:textId="60149782" w:rsidR="00825672" w:rsidRPr="00925F0B" w:rsidRDefault="00825672" w:rsidP="00970974">
            <w:pPr>
              <w:pStyle w:val="TableText0"/>
              <w:jc w:val="center"/>
              <w:rPr>
                <w:sz w:val="20"/>
                <w:lang w:val="en-AU" w:eastAsia="en-AU" w:bidi="ar-SA"/>
              </w:rPr>
            </w:pPr>
            <w:r w:rsidRPr="00F73162">
              <w:rPr>
                <w:sz w:val="20"/>
                <w:lang w:val="en-AU" w:eastAsia="en-AU" w:bidi="ar-SA"/>
              </w:rPr>
              <w:t>-$</w:t>
            </w:r>
            <w:r w:rsidR="00D80F16" w:rsidRPr="00D80F16">
              <w:rPr>
                <w:color w:val="000000"/>
                <w:spacing w:val="53"/>
                <w:sz w:val="20"/>
                <w:shd w:val="solid" w:color="000000" w:fill="000000"/>
                <w:fitText w:val="330" w:id="-663974907"/>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7"/>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6</w:t>
            </w:r>
          </w:p>
        </w:tc>
        <w:tc>
          <w:tcPr>
            <w:tcW w:w="626" w:type="pct"/>
            <w:noWrap/>
            <w:vAlign w:val="center"/>
          </w:tcPr>
          <w:p w14:paraId="2096BEDD" w14:textId="1478F00C" w:rsidR="00825672" w:rsidRPr="00925F0B" w:rsidRDefault="00825672" w:rsidP="00970974">
            <w:pPr>
              <w:pStyle w:val="TableText0"/>
              <w:jc w:val="center"/>
              <w:rPr>
                <w:sz w:val="20"/>
                <w:lang w:val="en-AU" w:eastAsia="en-AU" w:bidi="ar-SA"/>
              </w:rPr>
            </w:pPr>
            <w:r w:rsidRPr="00F73162">
              <w:rPr>
                <w:sz w:val="20"/>
                <w:lang w:val="en-AU" w:eastAsia="en-AU" w:bidi="ar-SA"/>
              </w:rPr>
              <w:t>-$</w:t>
            </w:r>
            <w:r w:rsidR="00D80F16" w:rsidRPr="00D80F16">
              <w:rPr>
                <w:color w:val="000000"/>
                <w:spacing w:val="53"/>
                <w:sz w:val="20"/>
                <w:shd w:val="solid" w:color="000000" w:fill="000000"/>
                <w:fitText w:val="330" w:id="-663974906"/>
                <w:lang w:val="en-AU" w:eastAsia="en-AU" w:bidi="ar-SA"/>
                <w14:textFill>
                  <w14:solidFill>
                    <w14:srgbClr w14:val="000000">
                      <w14:alpha w14:val="100000"/>
                    </w14:srgbClr>
                  </w14:solidFill>
                </w14:textFill>
              </w:rPr>
              <w:t>|||</w:t>
            </w:r>
            <w:r w:rsidR="00D80F16" w:rsidRPr="00D80F16">
              <w:rPr>
                <w:color w:val="000000"/>
                <w:spacing w:val="1"/>
                <w:sz w:val="20"/>
                <w:shd w:val="solid" w:color="000000" w:fill="000000"/>
                <w:fitText w:val="330" w:id="-663974906"/>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6</w:t>
            </w:r>
          </w:p>
        </w:tc>
      </w:tr>
      <w:tr w:rsidR="006C2DE7" w:rsidRPr="00887B43" w14:paraId="60EEF6EA" w14:textId="77777777" w:rsidTr="006C2DE7">
        <w:trPr>
          <w:trHeight w:val="170"/>
        </w:trPr>
        <w:tc>
          <w:tcPr>
            <w:tcW w:w="1244" w:type="pct"/>
          </w:tcPr>
          <w:p w14:paraId="6CCC0A9C" w14:textId="77777777" w:rsidR="00825672" w:rsidRPr="00925F0B" w:rsidRDefault="00825672" w:rsidP="00970974">
            <w:pPr>
              <w:pStyle w:val="TableText0"/>
              <w:rPr>
                <w:b/>
                <w:bCs w:val="0"/>
                <w:sz w:val="20"/>
                <w:lang w:val="en-AU" w:eastAsia="en-AU" w:bidi="ar-SA"/>
              </w:rPr>
            </w:pPr>
            <w:r w:rsidRPr="00925F0B">
              <w:rPr>
                <w:b/>
                <w:bCs w:val="0"/>
                <w:sz w:val="20"/>
                <w:lang w:val="en-AU" w:eastAsia="en-AU" w:bidi="ar-SA"/>
              </w:rPr>
              <w:t>Net cost PBS/RPBS/MBS</w:t>
            </w:r>
          </w:p>
        </w:tc>
        <w:tc>
          <w:tcPr>
            <w:tcW w:w="626" w:type="pct"/>
            <w:noWrap/>
            <w:vAlign w:val="center"/>
          </w:tcPr>
          <w:p w14:paraId="6ABFF53C" w14:textId="7E8D4CDC"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905"/>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905"/>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noWrap/>
            <w:vAlign w:val="center"/>
          </w:tcPr>
          <w:p w14:paraId="612FF4A8" w14:textId="06125F79"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904"/>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904"/>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noWrap/>
            <w:vAlign w:val="center"/>
          </w:tcPr>
          <w:p w14:paraId="07C9C686" w14:textId="28FCC6B2"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903"/>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903"/>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noWrap/>
            <w:vAlign w:val="center"/>
          </w:tcPr>
          <w:p w14:paraId="62D1AEF6" w14:textId="1CDD1E17"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902"/>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902"/>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3</w:t>
            </w:r>
          </w:p>
        </w:tc>
        <w:tc>
          <w:tcPr>
            <w:tcW w:w="626" w:type="pct"/>
            <w:noWrap/>
            <w:vAlign w:val="center"/>
          </w:tcPr>
          <w:p w14:paraId="2131FA9F" w14:textId="2F2991F1"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901"/>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901"/>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4</w:t>
            </w:r>
          </w:p>
        </w:tc>
        <w:tc>
          <w:tcPr>
            <w:tcW w:w="626" w:type="pct"/>
            <w:noWrap/>
            <w:vAlign w:val="center"/>
          </w:tcPr>
          <w:p w14:paraId="156864C8" w14:textId="715364B2" w:rsidR="00825672" w:rsidRPr="00F73162" w:rsidRDefault="00825672" w:rsidP="00970974">
            <w:pPr>
              <w:pStyle w:val="TableText0"/>
              <w:jc w:val="center"/>
              <w:rPr>
                <w:b/>
                <w:bCs w:val="0"/>
                <w:sz w:val="20"/>
                <w:lang w:val="en-AU" w:eastAsia="en-AU" w:bidi="ar-SA"/>
              </w:rPr>
            </w:pPr>
            <w:r w:rsidRPr="00F73162">
              <w:rPr>
                <w:b/>
                <w:bCs w:val="0"/>
                <w:sz w:val="20"/>
                <w:lang w:val="en-AU" w:eastAsia="en-AU" w:bidi="ar-SA"/>
              </w:rPr>
              <w:t>$</w:t>
            </w:r>
            <w:r w:rsidR="00D80F16" w:rsidRPr="00D80F16">
              <w:rPr>
                <w:b/>
                <w:bCs w:val="0"/>
                <w:color w:val="000000"/>
                <w:spacing w:val="58"/>
                <w:sz w:val="20"/>
                <w:shd w:val="solid" w:color="000000" w:fill="000000"/>
                <w:fitText w:val="360" w:id="-663974900"/>
                <w:lang w:val="en-AU" w:eastAsia="en-AU" w:bidi="ar-SA"/>
                <w14:textFill>
                  <w14:solidFill>
                    <w14:srgbClr w14:val="000000">
                      <w14:alpha w14:val="100000"/>
                    </w14:srgbClr>
                  </w14:solidFill>
                </w14:textFill>
              </w:rPr>
              <w:t>|||</w:t>
            </w:r>
            <w:r w:rsidR="00D80F16" w:rsidRPr="00D80F16">
              <w:rPr>
                <w:b/>
                <w:bCs w:val="0"/>
                <w:color w:val="000000"/>
                <w:spacing w:val="3"/>
                <w:sz w:val="20"/>
                <w:shd w:val="solid" w:color="000000" w:fill="000000"/>
                <w:fitText w:val="360" w:id="-663974900"/>
                <w:lang w:val="en-AU" w:eastAsia="en-AU" w:bidi="ar-SA"/>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4</w:t>
            </w:r>
          </w:p>
        </w:tc>
      </w:tr>
      <w:tr w:rsidR="00825672" w:rsidRPr="00887B43" w14:paraId="2C1DE105" w14:textId="77777777" w:rsidTr="006C2DE7">
        <w:trPr>
          <w:trHeight w:val="170"/>
        </w:trPr>
        <w:tc>
          <w:tcPr>
            <w:tcW w:w="5000" w:type="pct"/>
            <w:gridSpan w:val="7"/>
            <w:shd w:val="clear" w:color="auto" w:fill="D9D9D9" w:themeFill="background1" w:themeFillShade="D9"/>
          </w:tcPr>
          <w:p w14:paraId="4A8359EE" w14:textId="77777777" w:rsidR="00825672" w:rsidRPr="00925F0B" w:rsidRDefault="00825672" w:rsidP="00970974">
            <w:pPr>
              <w:pStyle w:val="TableText0"/>
              <w:rPr>
                <w:b/>
                <w:bCs w:val="0"/>
              </w:rPr>
            </w:pPr>
            <w:r w:rsidRPr="00060A73">
              <w:rPr>
                <w:b/>
                <w:bCs w:val="0"/>
                <w:sz w:val="20"/>
                <w:lang w:val="en-AU" w:eastAsia="en-AU" w:bidi="ar-SA"/>
              </w:rPr>
              <w:t>March 2025</w:t>
            </w:r>
            <w:r w:rsidRPr="00843DCA">
              <w:rPr>
                <w:b/>
                <w:sz w:val="20"/>
                <w:szCs w:val="20"/>
                <w:lang w:val="en-AU" w:eastAsia="en-AU" w:bidi="ar-SA"/>
              </w:rPr>
              <w:t xml:space="preserve"> </w:t>
            </w:r>
            <w:r>
              <w:rPr>
                <w:b/>
                <w:sz w:val="20"/>
                <w:szCs w:val="20"/>
                <w:lang w:val="en-AU" w:eastAsia="en-AU" w:bidi="ar-SA"/>
              </w:rPr>
              <w:t>submission</w:t>
            </w:r>
          </w:p>
        </w:tc>
      </w:tr>
      <w:tr w:rsidR="006C2DE7" w:rsidRPr="00887B43" w14:paraId="7CD314C5" w14:textId="77777777" w:rsidTr="006C2DE7">
        <w:trPr>
          <w:trHeight w:val="170"/>
        </w:trPr>
        <w:tc>
          <w:tcPr>
            <w:tcW w:w="1244" w:type="pct"/>
            <w:shd w:val="clear" w:color="auto" w:fill="D9D9D9" w:themeFill="background1" w:themeFillShade="D9"/>
            <w:tcMar>
              <w:right w:w="0" w:type="dxa"/>
            </w:tcMar>
            <w:vAlign w:val="center"/>
          </w:tcPr>
          <w:p w14:paraId="114E4354" w14:textId="77777777" w:rsidR="00825672" w:rsidRPr="00925F0B" w:rsidRDefault="00825672" w:rsidP="00970974">
            <w:pPr>
              <w:pStyle w:val="TableText0"/>
              <w:rPr>
                <w:b/>
                <w:bCs w:val="0"/>
              </w:rPr>
            </w:pPr>
            <w:r w:rsidRPr="005E7233">
              <w:rPr>
                <w:b/>
                <w:snapToGrid w:val="0"/>
                <w:sz w:val="20"/>
              </w:rPr>
              <w:t>Net cost PBS/RPBS/MBS</w:t>
            </w:r>
          </w:p>
        </w:tc>
        <w:tc>
          <w:tcPr>
            <w:tcW w:w="626" w:type="pct"/>
            <w:shd w:val="clear" w:color="auto" w:fill="D9D9D9" w:themeFill="background1" w:themeFillShade="D9"/>
            <w:noWrap/>
            <w:vAlign w:val="center"/>
          </w:tcPr>
          <w:p w14:paraId="02799E13" w14:textId="4DFDA17A" w:rsidR="00825672" w:rsidRPr="00925F0B" w:rsidRDefault="00825672" w:rsidP="00970974">
            <w:pPr>
              <w:pStyle w:val="TableText0"/>
              <w:jc w:val="center"/>
              <w:rPr>
                <w:b/>
                <w:bCs w:val="0"/>
              </w:rPr>
            </w:pPr>
            <w:r w:rsidRPr="005E7233">
              <w:rPr>
                <w:b/>
                <w:snapToGrid w:val="0"/>
                <w:sz w:val="20"/>
              </w:rPr>
              <w:t>$</w:t>
            </w:r>
            <w:r w:rsidR="00D80F16" w:rsidRPr="00D80F16">
              <w:rPr>
                <w:b/>
                <w:snapToGrid w:val="0"/>
                <w:color w:val="000000"/>
                <w:spacing w:val="58"/>
                <w:sz w:val="20"/>
                <w:shd w:val="solid" w:color="000000" w:fill="000000"/>
                <w:fitText w:val="360" w:id="-663974899"/>
                <w14:textFill>
                  <w14:solidFill>
                    <w14:srgbClr w14:val="000000">
                      <w14:alpha w14:val="100000"/>
                    </w14:srgbClr>
                  </w14:solidFill>
                </w14:textFill>
              </w:rPr>
              <w:t>|||</w:t>
            </w:r>
            <w:r w:rsidR="00D80F16" w:rsidRPr="00D80F16">
              <w:rPr>
                <w:b/>
                <w:snapToGrid w:val="0"/>
                <w:color w:val="000000"/>
                <w:spacing w:val="3"/>
                <w:sz w:val="20"/>
                <w:shd w:val="solid" w:color="000000" w:fill="000000"/>
                <w:fitText w:val="360" w:id="-663974899"/>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7</w:t>
            </w:r>
          </w:p>
        </w:tc>
        <w:tc>
          <w:tcPr>
            <w:tcW w:w="626" w:type="pct"/>
            <w:shd w:val="clear" w:color="auto" w:fill="D9D9D9" w:themeFill="background1" w:themeFillShade="D9"/>
            <w:noWrap/>
            <w:vAlign w:val="center"/>
          </w:tcPr>
          <w:p w14:paraId="0EB1E6FE" w14:textId="42549F61" w:rsidR="00825672" w:rsidRPr="00925F0B" w:rsidRDefault="00825672" w:rsidP="00970974">
            <w:pPr>
              <w:pStyle w:val="TableText0"/>
              <w:jc w:val="center"/>
              <w:rPr>
                <w:b/>
                <w:bCs w:val="0"/>
              </w:rPr>
            </w:pPr>
            <w:r w:rsidRPr="005E7233">
              <w:rPr>
                <w:b/>
                <w:snapToGrid w:val="0"/>
                <w:sz w:val="20"/>
              </w:rPr>
              <w:t>$</w:t>
            </w:r>
            <w:r w:rsidR="00D80F16" w:rsidRPr="00D80F16">
              <w:rPr>
                <w:b/>
                <w:snapToGrid w:val="0"/>
                <w:color w:val="000000"/>
                <w:spacing w:val="58"/>
                <w:sz w:val="20"/>
                <w:shd w:val="solid" w:color="000000" w:fill="000000"/>
                <w:fitText w:val="360" w:id="-663974898"/>
                <w14:textFill>
                  <w14:solidFill>
                    <w14:srgbClr w14:val="000000">
                      <w14:alpha w14:val="100000"/>
                    </w14:srgbClr>
                  </w14:solidFill>
                </w14:textFill>
              </w:rPr>
              <w:t>|||</w:t>
            </w:r>
            <w:r w:rsidR="00D80F16" w:rsidRPr="00D80F16">
              <w:rPr>
                <w:b/>
                <w:snapToGrid w:val="0"/>
                <w:color w:val="000000"/>
                <w:spacing w:val="3"/>
                <w:sz w:val="20"/>
                <w:shd w:val="solid" w:color="000000" w:fill="000000"/>
                <w:fitText w:val="360" w:id="-663974898"/>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4</w:t>
            </w:r>
          </w:p>
        </w:tc>
        <w:tc>
          <w:tcPr>
            <w:tcW w:w="626" w:type="pct"/>
            <w:shd w:val="clear" w:color="auto" w:fill="D9D9D9" w:themeFill="background1" w:themeFillShade="D9"/>
            <w:noWrap/>
            <w:vAlign w:val="center"/>
          </w:tcPr>
          <w:p w14:paraId="59F75892" w14:textId="6ACD594F" w:rsidR="00825672" w:rsidRPr="00925F0B" w:rsidRDefault="00825672" w:rsidP="00970974">
            <w:pPr>
              <w:pStyle w:val="TableText0"/>
              <w:jc w:val="center"/>
              <w:rPr>
                <w:b/>
                <w:bCs w:val="0"/>
              </w:rPr>
            </w:pPr>
            <w:r w:rsidRPr="005E7233">
              <w:rPr>
                <w:b/>
                <w:snapToGrid w:val="0"/>
                <w:sz w:val="20"/>
              </w:rPr>
              <w:t>$</w:t>
            </w:r>
            <w:r w:rsidR="00D80F16" w:rsidRPr="00D80F16">
              <w:rPr>
                <w:b/>
                <w:snapToGrid w:val="0"/>
                <w:color w:val="000000"/>
                <w:spacing w:val="58"/>
                <w:sz w:val="20"/>
                <w:shd w:val="solid" w:color="000000" w:fill="000000"/>
                <w:fitText w:val="360" w:id="-663974897"/>
                <w14:textFill>
                  <w14:solidFill>
                    <w14:srgbClr w14:val="000000">
                      <w14:alpha w14:val="100000"/>
                    </w14:srgbClr>
                  </w14:solidFill>
                </w14:textFill>
              </w:rPr>
              <w:t>|||</w:t>
            </w:r>
            <w:r w:rsidR="00D80F16" w:rsidRPr="00D80F16">
              <w:rPr>
                <w:b/>
                <w:snapToGrid w:val="0"/>
                <w:color w:val="000000"/>
                <w:spacing w:val="3"/>
                <w:sz w:val="20"/>
                <w:shd w:val="solid" w:color="000000" w:fill="000000"/>
                <w:fitText w:val="360" w:id="-663974897"/>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8</w:t>
            </w:r>
          </w:p>
        </w:tc>
        <w:tc>
          <w:tcPr>
            <w:tcW w:w="626" w:type="pct"/>
            <w:shd w:val="clear" w:color="auto" w:fill="D9D9D9" w:themeFill="background1" w:themeFillShade="D9"/>
            <w:noWrap/>
            <w:vAlign w:val="center"/>
          </w:tcPr>
          <w:p w14:paraId="010DAFA9" w14:textId="6C0D0423" w:rsidR="00825672" w:rsidRPr="00925F0B" w:rsidRDefault="00825672" w:rsidP="00970974">
            <w:pPr>
              <w:pStyle w:val="TableText0"/>
              <w:jc w:val="center"/>
              <w:rPr>
                <w:b/>
                <w:bCs w:val="0"/>
              </w:rPr>
            </w:pPr>
            <w:r w:rsidRPr="005E7233">
              <w:rPr>
                <w:b/>
                <w:snapToGrid w:val="0"/>
                <w:sz w:val="20"/>
              </w:rPr>
              <w:t>$</w:t>
            </w:r>
            <w:r w:rsidR="00D80F16" w:rsidRPr="00D80F16">
              <w:rPr>
                <w:b/>
                <w:snapToGrid w:val="0"/>
                <w:color w:val="000000"/>
                <w:spacing w:val="58"/>
                <w:sz w:val="20"/>
                <w:shd w:val="solid" w:color="000000" w:fill="000000"/>
                <w:fitText w:val="360" w:id="-663974896"/>
                <w14:textFill>
                  <w14:solidFill>
                    <w14:srgbClr w14:val="000000">
                      <w14:alpha w14:val="100000"/>
                    </w14:srgbClr>
                  </w14:solidFill>
                </w14:textFill>
              </w:rPr>
              <w:t>|||</w:t>
            </w:r>
            <w:r w:rsidR="00D80F16" w:rsidRPr="00D80F16">
              <w:rPr>
                <w:b/>
                <w:snapToGrid w:val="0"/>
                <w:color w:val="000000"/>
                <w:spacing w:val="3"/>
                <w:sz w:val="20"/>
                <w:shd w:val="solid" w:color="000000" w:fill="000000"/>
                <w:fitText w:val="360" w:id="-663974896"/>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8</w:t>
            </w:r>
          </w:p>
        </w:tc>
        <w:tc>
          <w:tcPr>
            <w:tcW w:w="626" w:type="pct"/>
            <w:shd w:val="clear" w:color="auto" w:fill="D9D9D9" w:themeFill="background1" w:themeFillShade="D9"/>
            <w:noWrap/>
            <w:vAlign w:val="center"/>
          </w:tcPr>
          <w:p w14:paraId="051898FA" w14:textId="2BF0C3D5" w:rsidR="00825672" w:rsidRPr="00925F0B" w:rsidRDefault="00825672" w:rsidP="00970974">
            <w:pPr>
              <w:pStyle w:val="TableText0"/>
              <w:jc w:val="center"/>
              <w:rPr>
                <w:b/>
                <w:bCs w:val="0"/>
              </w:rPr>
            </w:pPr>
            <w:r w:rsidRPr="005E7233">
              <w:rPr>
                <w:b/>
                <w:snapToGrid w:val="0"/>
                <w:sz w:val="20"/>
              </w:rPr>
              <w:t>$</w:t>
            </w:r>
            <w:r w:rsidR="00D80F16" w:rsidRPr="00D80F16">
              <w:rPr>
                <w:b/>
                <w:snapToGrid w:val="0"/>
                <w:color w:val="000000"/>
                <w:spacing w:val="58"/>
                <w:sz w:val="20"/>
                <w:shd w:val="solid" w:color="000000" w:fill="000000"/>
                <w:fitText w:val="360" w:id="-663974912"/>
                <w14:textFill>
                  <w14:solidFill>
                    <w14:srgbClr w14:val="000000">
                      <w14:alpha w14:val="100000"/>
                    </w14:srgbClr>
                  </w14:solidFill>
                </w14:textFill>
              </w:rPr>
              <w:t>|||</w:t>
            </w:r>
            <w:r w:rsidR="00D80F16" w:rsidRPr="00D80F16">
              <w:rPr>
                <w:b/>
                <w:snapToGrid w:val="0"/>
                <w:color w:val="000000"/>
                <w:spacing w:val="3"/>
                <w:sz w:val="20"/>
                <w:shd w:val="solid" w:color="000000" w:fill="000000"/>
                <w:fitText w:val="360" w:id="-663974912"/>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8</w:t>
            </w:r>
          </w:p>
        </w:tc>
        <w:tc>
          <w:tcPr>
            <w:tcW w:w="626" w:type="pct"/>
            <w:shd w:val="clear" w:color="auto" w:fill="D9D9D9" w:themeFill="background1" w:themeFillShade="D9"/>
            <w:noWrap/>
            <w:vAlign w:val="center"/>
          </w:tcPr>
          <w:p w14:paraId="1BB1533D" w14:textId="35E96F54" w:rsidR="00825672" w:rsidRPr="00925F0B" w:rsidRDefault="00825672" w:rsidP="00970974">
            <w:pPr>
              <w:pStyle w:val="TableText0"/>
              <w:jc w:val="center"/>
              <w:rPr>
                <w:b/>
                <w:bCs w:val="0"/>
              </w:rPr>
            </w:pPr>
            <w:r w:rsidRPr="005E7233">
              <w:rPr>
                <w:b/>
                <w:snapToGrid w:val="0"/>
                <w:sz w:val="20"/>
              </w:rPr>
              <w:t>$</w:t>
            </w:r>
            <w:r w:rsidR="00D80F16" w:rsidRPr="00D80F16">
              <w:rPr>
                <w:b/>
                <w:snapToGrid w:val="0"/>
                <w:color w:val="000000"/>
                <w:spacing w:val="58"/>
                <w:sz w:val="20"/>
                <w:shd w:val="solid" w:color="000000" w:fill="000000"/>
                <w:fitText w:val="360" w:id="-663974911"/>
                <w14:textFill>
                  <w14:solidFill>
                    <w14:srgbClr w14:val="000000">
                      <w14:alpha w14:val="100000"/>
                    </w14:srgbClr>
                  </w14:solidFill>
                </w14:textFill>
              </w:rPr>
              <w:t>|||</w:t>
            </w:r>
            <w:r w:rsidR="00D80F16" w:rsidRPr="00D80F16">
              <w:rPr>
                <w:b/>
                <w:snapToGrid w:val="0"/>
                <w:color w:val="000000"/>
                <w:spacing w:val="3"/>
                <w:sz w:val="20"/>
                <w:shd w:val="solid" w:color="000000" w:fill="000000"/>
                <w:fitText w:val="360" w:id="-663974911"/>
                <w14:textFill>
                  <w14:solidFill>
                    <w14:srgbClr w14:val="000000">
                      <w14:alpha w14:val="100000"/>
                    </w14:srgbClr>
                  </w14:solidFill>
                </w14:textFill>
              </w:rPr>
              <w:t>|</w:t>
            </w:r>
            <w:r w:rsidR="006C2DE7">
              <w:rPr>
                <w:sz w:val="20"/>
                <w:lang w:val="en-AU" w:eastAsia="en-AU" w:bidi="ar-SA"/>
              </w:rPr>
              <w:t xml:space="preserve"> </w:t>
            </w:r>
            <w:r w:rsidR="006C2DE7">
              <w:rPr>
                <w:sz w:val="20"/>
                <w:vertAlign w:val="superscript"/>
                <w:lang w:val="en-AU" w:eastAsia="en-AU" w:bidi="ar-SA"/>
              </w:rPr>
              <w:t>8</w:t>
            </w:r>
          </w:p>
        </w:tc>
      </w:tr>
    </w:tbl>
    <w:p w14:paraId="48D0C0AA" w14:textId="77777777" w:rsidR="00825672" w:rsidRDefault="00825672" w:rsidP="00970974">
      <w:pPr>
        <w:pStyle w:val="TableFooter"/>
        <w:keepNext/>
        <w:keepLines/>
      </w:pPr>
      <w:r>
        <w:t xml:space="preserve">Source: Resubmission, </w:t>
      </w:r>
      <w:r w:rsidRPr="008D55E9">
        <w:t>Attachment 2 - Tepezza TED Financial Model resub</w:t>
      </w:r>
      <w:r>
        <w:t xml:space="preserve">.xlsx; March 2025 submission, </w:t>
      </w:r>
      <w:r w:rsidRPr="003F3E38">
        <w:t>Attachment 19 – Tepezza TED Financial Model</w:t>
      </w:r>
      <w:r>
        <w:t>.xlsx</w:t>
      </w:r>
    </w:p>
    <w:p w14:paraId="58BE74E2" w14:textId="77777777" w:rsidR="00F71D45" w:rsidRPr="009A6D58" w:rsidRDefault="00F71D45" w:rsidP="00970974">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D96F2F2" w14:textId="2E7CA959" w:rsidR="00F71D45" w:rsidRPr="009A6D58" w:rsidRDefault="00F71D45" w:rsidP="00970974">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 500</w:t>
      </w:r>
    </w:p>
    <w:p w14:paraId="42F2F685" w14:textId="776D5528" w:rsidR="00F71D45" w:rsidRPr="009A6D58" w:rsidRDefault="00F71D45" w:rsidP="00970974">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500 to &lt; 5,000</w:t>
      </w:r>
    </w:p>
    <w:p w14:paraId="7DE82687" w14:textId="4B884333" w:rsidR="00F71D45" w:rsidRDefault="00F71D45" w:rsidP="00970974">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A2CD9" w:rsidRPr="007A2CD9">
        <w:rPr>
          <w:rFonts w:ascii="Arial Narrow" w:hAnsi="Arial Narrow"/>
          <w:i/>
          <w:sz w:val="18"/>
          <w:szCs w:val="18"/>
        </w:rPr>
        <w:t>$30 million to &lt; $40 million</w:t>
      </w:r>
    </w:p>
    <w:p w14:paraId="4E1AFD8E" w14:textId="6D7F2E00" w:rsidR="00F71D45" w:rsidRDefault="00F71D45" w:rsidP="00970974">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8C6586" w:rsidRPr="008C6586">
        <w:rPr>
          <w:rFonts w:ascii="Arial Narrow" w:hAnsi="Arial Narrow"/>
          <w:i/>
          <w:sz w:val="18"/>
          <w:szCs w:val="18"/>
        </w:rPr>
        <w:t>$40 million to &lt; $50 million</w:t>
      </w:r>
    </w:p>
    <w:p w14:paraId="7C7E1BCE" w14:textId="0AC6C31B" w:rsidR="00F71D45" w:rsidRDefault="00F71D45" w:rsidP="00970974">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502AE8" w:rsidRPr="00502AE8">
        <w:rPr>
          <w:rFonts w:ascii="Arial Narrow" w:hAnsi="Arial Narrow"/>
          <w:i/>
          <w:sz w:val="18"/>
          <w:szCs w:val="18"/>
        </w:rPr>
        <w:t>$0 to &lt; $10 million</w:t>
      </w:r>
    </w:p>
    <w:p w14:paraId="0CFDAB45" w14:textId="0B6867FE" w:rsidR="00F71D45" w:rsidRDefault="00F71D45" w:rsidP="00970974">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F328E6" w:rsidRPr="00F328E6">
        <w:rPr>
          <w:rFonts w:ascii="Arial Narrow" w:hAnsi="Arial Narrow"/>
          <w:i/>
          <w:sz w:val="18"/>
          <w:szCs w:val="18"/>
        </w:rPr>
        <w:t>net cost saving</w:t>
      </w:r>
    </w:p>
    <w:p w14:paraId="7AA02C3C" w14:textId="4837C0F0" w:rsidR="00F71D45" w:rsidRPr="009A6D58" w:rsidRDefault="00F71D45" w:rsidP="00970974">
      <w:pPr>
        <w:keepNext/>
        <w:keepLines/>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8F3627" w:rsidRPr="008F3627">
        <w:rPr>
          <w:rFonts w:ascii="Arial Narrow" w:hAnsi="Arial Narrow"/>
          <w:i/>
          <w:sz w:val="18"/>
          <w:szCs w:val="18"/>
        </w:rPr>
        <w:t>$60 million to &lt; $70 million</w:t>
      </w:r>
    </w:p>
    <w:p w14:paraId="59B6C595" w14:textId="48B6250C" w:rsidR="00F71D45" w:rsidRPr="00F71D45" w:rsidRDefault="00F71D45" w:rsidP="00F71D45">
      <w:pPr>
        <w:spacing w:after="120"/>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2D6F98" w:rsidRPr="002D6F98">
        <w:rPr>
          <w:rFonts w:ascii="Arial Narrow" w:hAnsi="Arial Narrow"/>
          <w:i/>
          <w:sz w:val="18"/>
          <w:szCs w:val="18"/>
        </w:rPr>
        <w:t>$50 million to &lt; $60 million</w:t>
      </w:r>
    </w:p>
    <w:p w14:paraId="0B7C1BFE" w14:textId="500B7286" w:rsidR="00825672" w:rsidRDefault="00825672" w:rsidP="00220A6C">
      <w:pPr>
        <w:pStyle w:val="3-BodyText"/>
        <w:numPr>
          <w:ilvl w:val="0"/>
          <w:numId w:val="0"/>
        </w:numPr>
        <w:ind w:left="720"/>
        <w:rPr>
          <w:lang w:eastAsia="en-US"/>
        </w:rPr>
      </w:pPr>
      <w:r w:rsidRPr="00652E2D">
        <w:rPr>
          <w:i/>
          <w:iCs/>
          <w:lang w:val="en-US"/>
        </w:rPr>
        <w:t>For more detail on PBAC’s view, see section 1</w:t>
      </w:r>
      <w:r w:rsidR="00220A6C">
        <w:rPr>
          <w:i/>
          <w:iCs/>
          <w:lang w:val="en-US"/>
        </w:rPr>
        <w:t>3</w:t>
      </w:r>
      <w:r w:rsidRPr="00652E2D">
        <w:rPr>
          <w:i/>
          <w:iCs/>
          <w:lang w:val="en-US"/>
        </w:rPr>
        <w:t xml:space="preserve"> PBAC outcome.</w:t>
      </w:r>
    </w:p>
    <w:p w14:paraId="334A97C5" w14:textId="77777777" w:rsidR="00825672" w:rsidRDefault="00825672" w:rsidP="00825672">
      <w:pPr>
        <w:pStyle w:val="3-SubsectionHeading"/>
      </w:pPr>
      <w:r w:rsidRPr="00F422E4">
        <w:t>Financial Management – Risk Sharing Arrangements</w:t>
      </w:r>
    </w:p>
    <w:p w14:paraId="4FAD38C2" w14:textId="22675CDE" w:rsidR="00825672" w:rsidRDefault="00825672" w:rsidP="00220A6C">
      <w:pPr>
        <w:pStyle w:val="COMexecsumnumberedpara"/>
        <w:numPr>
          <w:ilvl w:val="1"/>
          <w:numId w:val="1"/>
        </w:numPr>
        <w:spacing w:before="120"/>
        <w:rPr>
          <w:lang w:eastAsia="en-US"/>
        </w:rPr>
      </w:pPr>
      <w:r>
        <w:rPr>
          <w:lang w:eastAsia="en-US"/>
        </w:rPr>
        <w:t>At the March 2025 meeting, the PBAC considered that</w:t>
      </w:r>
      <w:r>
        <w:t xml:space="preserve"> an RSA, with a rebate of </w:t>
      </w:r>
      <w:r w:rsidR="00D80F16" w:rsidRPr="00D80F16">
        <w:rPr>
          <w:color w:val="000000"/>
          <w:w w:val="60"/>
          <w:shd w:val="solid" w:color="000000" w:fill="000000"/>
          <w:fitText w:val="470" w:id="-663974910"/>
          <w14:textFill>
            <w14:solidFill>
              <w14:srgbClr w14:val="000000">
                <w14:alpha w14:val="100000"/>
              </w14:srgbClr>
            </w14:solidFill>
          </w14:textFill>
        </w:rPr>
        <w:t>|||  ||</w:t>
      </w:r>
      <w:r w:rsidR="00D80F16" w:rsidRPr="00D80F16">
        <w:rPr>
          <w:color w:val="000000"/>
          <w:spacing w:val="6"/>
          <w:w w:val="60"/>
          <w:shd w:val="solid" w:color="000000" w:fill="000000"/>
          <w:fitText w:val="470" w:id="-663974910"/>
          <w14:textFill>
            <w14:solidFill>
              <w14:srgbClr w14:val="000000">
                <w14:alpha w14:val="100000"/>
              </w14:srgbClr>
            </w14:solidFill>
          </w14:textFill>
        </w:rPr>
        <w:t>|</w:t>
      </w:r>
      <w:r>
        <w:t xml:space="preserve">% for use above the expenditure caps would be required to mitigate risk of use in chronic (inactive) and less severe disease (paragraph </w:t>
      </w:r>
      <w:r>
        <w:fldChar w:fldCharType="begin"/>
      </w:r>
      <w:r>
        <w:instrText xml:space="preserve"> REF _Ref195450590 \r \h </w:instrText>
      </w:r>
      <w:r>
        <w:fldChar w:fldCharType="separate"/>
      </w:r>
      <w:r w:rsidR="0012101B">
        <w:t>7.19</w:t>
      </w:r>
      <w:r>
        <w:fldChar w:fldCharType="end"/>
      </w:r>
      <w:r>
        <w:t>).</w:t>
      </w:r>
    </w:p>
    <w:p w14:paraId="43673C4C" w14:textId="18FF16B8" w:rsidR="00825672" w:rsidRDefault="00825672" w:rsidP="00220A6C">
      <w:pPr>
        <w:pStyle w:val="3-BodyText"/>
        <w:numPr>
          <w:ilvl w:val="1"/>
          <w:numId w:val="1"/>
        </w:numPr>
        <w:rPr>
          <w:rFonts w:eastAsia="Times New Roman" w:cs="Arial"/>
          <w:snapToGrid w:val="0"/>
          <w:szCs w:val="24"/>
        </w:rPr>
      </w:pPr>
      <w:r>
        <w:t>The resubmission noted that</w:t>
      </w:r>
      <w:r w:rsidRPr="00953460">
        <w:rPr>
          <w:rFonts w:eastAsia="Times New Roman" w:cs="Arial"/>
          <w:snapToGrid w:val="0"/>
          <w:szCs w:val="24"/>
        </w:rPr>
        <w:t xml:space="preserve"> </w:t>
      </w:r>
      <w:r>
        <w:rPr>
          <w:rFonts w:eastAsia="Times New Roman" w:cs="Arial"/>
          <w:snapToGrid w:val="0"/>
          <w:szCs w:val="24"/>
        </w:rPr>
        <w:t xml:space="preserve">the proposed restriction allows patients to be </w:t>
      </w:r>
      <w:r w:rsidRPr="00953460">
        <w:rPr>
          <w:rFonts w:eastAsia="Times New Roman" w:cs="Arial"/>
          <w:snapToGrid w:val="0"/>
          <w:szCs w:val="24"/>
        </w:rPr>
        <w:t>retreat</w:t>
      </w:r>
      <w:r>
        <w:rPr>
          <w:rFonts w:eastAsia="Times New Roman" w:cs="Arial"/>
          <w:snapToGrid w:val="0"/>
          <w:szCs w:val="24"/>
        </w:rPr>
        <w:t>ed with teprotumumab, however this usage wa</w:t>
      </w:r>
      <w:r w:rsidRPr="00953460">
        <w:rPr>
          <w:rFonts w:eastAsia="Times New Roman" w:cs="Arial"/>
          <w:snapToGrid w:val="0"/>
          <w:szCs w:val="24"/>
        </w:rPr>
        <w:t>s not included in the financial analysis</w:t>
      </w:r>
      <w:r>
        <w:rPr>
          <w:rFonts w:eastAsia="Times New Roman" w:cs="Arial"/>
          <w:snapToGrid w:val="0"/>
          <w:szCs w:val="24"/>
        </w:rPr>
        <w:t xml:space="preserve">. Therefore, the resubmission proposed a </w:t>
      </w:r>
      <w:r w:rsidRPr="00953460">
        <w:rPr>
          <w:rFonts w:eastAsia="Times New Roman" w:cs="Arial"/>
          <w:snapToGrid w:val="0"/>
          <w:szCs w:val="24"/>
        </w:rPr>
        <w:t>tiered RSA</w:t>
      </w:r>
      <w:r>
        <w:rPr>
          <w:rFonts w:eastAsia="Times New Roman" w:cs="Arial"/>
          <w:snapToGrid w:val="0"/>
          <w:szCs w:val="24"/>
        </w:rPr>
        <w:t xml:space="preserve"> (</w:t>
      </w:r>
      <w:r>
        <w:rPr>
          <w:rFonts w:eastAsia="Times New Roman" w:cs="Arial"/>
          <w:snapToGrid w:val="0"/>
          <w:szCs w:val="24"/>
        </w:rPr>
        <w:fldChar w:fldCharType="begin"/>
      </w:r>
      <w:r>
        <w:rPr>
          <w:rFonts w:eastAsia="Times New Roman" w:cs="Arial"/>
          <w:snapToGrid w:val="0"/>
          <w:szCs w:val="24"/>
        </w:rPr>
        <w:instrText xml:space="preserve"> REF _Ref199149864 \h </w:instrText>
      </w:r>
      <w:r>
        <w:rPr>
          <w:rFonts w:eastAsia="Times New Roman" w:cs="Arial"/>
          <w:snapToGrid w:val="0"/>
          <w:szCs w:val="24"/>
        </w:rPr>
      </w:r>
      <w:r>
        <w:rPr>
          <w:rFonts w:eastAsia="Times New Roman" w:cs="Arial"/>
          <w:snapToGrid w:val="0"/>
          <w:szCs w:val="24"/>
        </w:rPr>
        <w:fldChar w:fldCharType="separate"/>
      </w:r>
      <w:r w:rsidR="0012101B" w:rsidRPr="00522C92">
        <w:t xml:space="preserve">Table </w:t>
      </w:r>
      <w:r w:rsidR="0012101B">
        <w:rPr>
          <w:noProof/>
        </w:rPr>
        <w:t>32</w:t>
      </w:r>
      <w:r>
        <w:rPr>
          <w:rFonts w:eastAsia="Times New Roman" w:cs="Arial"/>
          <w:snapToGrid w:val="0"/>
          <w:szCs w:val="24"/>
        </w:rPr>
        <w:fldChar w:fldCharType="end"/>
      </w:r>
      <w:r>
        <w:rPr>
          <w:rFonts w:eastAsia="Times New Roman" w:cs="Arial"/>
          <w:snapToGrid w:val="0"/>
          <w:szCs w:val="24"/>
        </w:rPr>
        <w:t xml:space="preserve">) in which </w:t>
      </w:r>
      <w:r w:rsidRPr="00953460">
        <w:rPr>
          <w:rFonts w:eastAsia="Times New Roman" w:cs="Arial"/>
          <w:snapToGrid w:val="0"/>
          <w:szCs w:val="24"/>
        </w:rPr>
        <w:t xml:space="preserve">a </w:t>
      </w:r>
      <w:r w:rsidR="00D80F16" w:rsidRPr="00D80F16">
        <w:rPr>
          <w:rFonts w:eastAsia="Times New Roman" w:cs="Arial"/>
          <w:snapToGrid w:val="0"/>
          <w:color w:val="000000"/>
          <w:w w:val="62"/>
          <w:szCs w:val="24"/>
          <w:shd w:val="solid" w:color="000000" w:fill="000000"/>
          <w:fitText w:val="480" w:id="-663974909"/>
          <w14:textFill>
            <w14:solidFill>
              <w14:srgbClr w14:val="000000">
                <w14:alpha w14:val="100000"/>
              </w14:srgbClr>
            </w14:solidFill>
          </w14:textFill>
        </w:rPr>
        <w:t>|||  ||</w:t>
      </w:r>
      <w:r w:rsidR="00D80F16" w:rsidRPr="00D80F16">
        <w:rPr>
          <w:rFonts w:eastAsia="Times New Roman" w:cs="Arial"/>
          <w:snapToGrid w:val="0"/>
          <w:color w:val="000000"/>
          <w:spacing w:val="2"/>
          <w:w w:val="62"/>
          <w:szCs w:val="24"/>
          <w:shd w:val="solid" w:color="000000" w:fill="000000"/>
          <w:fitText w:val="480" w:id="-663974909"/>
          <w14:textFill>
            <w14:solidFill>
              <w14:srgbClr w14:val="000000">
                <w14:alpha w14:val="100000"/>
              </w14:srgbClr>
            </w14:solidFill>
          </w14:textFill>
        </w:rPr>
        <w:t>|</w:t>
      </w:r>
      <w:r w:rsidRPr="00953460">
        <w:rPr>
          <w:rFonts w:eastAsia="Times New Roman" w:cs="Arial"/>
          <w:snapToGrid w:val="0"/>
          <w:szCs w:val="24"/>
        </w:rPr>
        <w:t xml:space="preserve">% rebate would apply between tiers 1 and 2 and </w:t>
      </w:r>
      <w:r>
        <w:rPr>
          <w:rFonts w:eastAsia="Times New Roman" w:cs="Arial"/>
          <w:snapToGrid w:val="0"/>
          <w:szCs w:val="24"/>
        </w:rPr>
        <w:t xml:space="preserve">a </w:t>
      </w:r>
      <w:r w:rsidR="00D80F16" w:rsidRPr="00D80F16">
        <w:rPr>
          <w:rFonts w:eastAsia="Times New Roman" w:cs="Arial"/>
          <w:snapToGrid w:val="0"/>
          <w:color w:val="000000"/>
          <w:w w:val="60"/>
          <w:szCs w:val="24"/>
          <w:shd w:val="solid" w:color="000000" w:fill="000000"/>
          <w:fitText w:val="470" w:id="-663974908"/>
          <w14:textFill>
            <w14:solidFill>
              <w14:srgbClr w14:val="000000">
                <w14:alpha w14:val="100000"/>
              </w14:srgbClr>
            </w14:solidFill>
          </w14:textFill>
        </w:rPr>
        <w:t>|||  ||</w:t>
      </w:r>
      <w:r w:rsidR="00D80F16" w:rsidRPr="00D80F16">
        <w:rPr>
          <w:rFonts w:eastAsia="Times New Roman" w:cs="Arial"/>
          <w:snapToGrid w:val="0"/>
          <w:color w:val="000000"/>
          <w:spacing w:val="6"/>
          <w:w w:val="60"/>
          <w:szCs w:val="24"/>
          <w:shd w:val="solid" w:color="000000" w:fill="000000"/>
          <w:fitText w:val="470" w:id="-663974908"/>
          <w14:textFill>
            <w14:solidFill>
              <w14:srgbClr w14:val="000000">
                <w14:alpha w14:val="100000"/>
              </w14:srgbClr>
            </w14:solidFill>
          </w14:textFill>
        </w:rPr>
        <w:t>|</w:t>
      </w:r>
      <w:r w:rsidRPr="00953460">
        <w:rPr>
          <w:rFonts w:eastAsia="Times New Roman" w:cs="Arial"/>
          <w:snapToGrid w:val="0"/>
          <w:szCs w:val="24"/>
        </w:rPr>
        <w:t>% rebate would apply above tier 2. The</w:t>
      </w:r>
      <w:r>
        <w:rPr>
          <w:rFonts w:eastAsia="Times New Roman" w:cs="Arial"/>
          <w:snapToGrid w:val="0"/>
          <w:szCs w:val="24"/>
        </w:rPr>
        <w:t xml:space="preserve"> submission stated that the</w:t>
      </w:r>
      <w:r w:rsidRPr="00953460">
        <w:rPr>
          <w:rFonts w:eastAsia="Times New Roman" w:cs="Arial"/>
          <w:snapToGrid w:val="0"/>
          <w:szCs w:val="24"/>
        </w:rPr>
        <w:t xml:space="preserve"> financial estimates for tier 2 </w:t>
      </w:r>
      <w:r>
        <w:rPr>
          <w:rFonts w:eastAsia="Times New Roman" w:cs="Arial"/>
          <w:snapToGrid w:val="0"/>
          <w:szCs w:val="24"/>
        </w:rPr>
        <w:t>was</w:t>
      </w:r>
      <w:r w:rsidRPr="00953460">
        <w:rPr>
          <w:rFonts w:eastAsia="Times New Roman" w:cs="Arial"/>
          <w:snapToGrid w:val="0"/>
          <w:szCs w:val="24"/>
        </w:rPr>
        <w:t xml:space="preserve"> based on the DUSC’s consideration that up</w:t>
      </w:r>
      <w:r>
        <w:rPr>
          <w:rFonts w:eastAsia="Times New Roman" w:cs="Arial"/>
          <w:snapToGrid w:val="0"/>
          <w:szCs w:val="24"/>
        </w:rPr>
        <w:t xml:space="preserve"> to</w:t>
      </w:r>
      <w:r w:rsidRPr="00953460">
        <w:rPr>
          <w:rFonts w:eastAsia="Times New Roman" w:cs="Arial"/>
          <w:snapToGrid w:val="0"/>
          <w:szCs w:val="24"/>
        </w:rPr>
        <w:t xml:space="preserve"> 24% of patients may require retreatment</w:t>
      </w:r>
      <w:r>
        <w:rPr>
          <w:rFonts w:eastAsia="Times New Roman" w:cs="Arial"/>
          <w:snapToGrid w:val="0"/>
          <w:szCs w:val="24"/>
        </w:rPr>
        <w:t>. The DUSC advice included a sensitivity analysis with retreatment applied in years 2</w:t>
      </w:r>
      <w:r>
        <w:rPr>
          <w:rFonts w:eastAsia="Times New Roman" w:cstheme="minorHAnsi"/>
          <w:snapToGrid w:val="0"/>
          <w:szCs w:val="24"/>
        </w:rPr>
        <w:t>−</w:t>
      </w:r>
      <w:r>
        <w:rPr>
          <w:rFonts w:eastAsia="Times New Roman" w:cs="Arial"/>
          <w:snapToGrid w:val="0"/>
          <w:szCs w:val="24"/>
        </w:rPr>
        <w:t xml:space="preserve">6 of listing </w:t>
      </w:r>
      <w:r>
        <w:rPr>
          <w:bCs/>
          <w:snapToGrid w:val="0"/>
        </w:rPr>
        <w:t>(</w:t>
      </w:r>
      <w:r w:rsidR="00970974">
        <w:rPr>
          <w:bCs/>
          <w:snapToGrid w:val="0"/>
        </w:rPr>
        <w:t>March </w:t>
      </w:r>
      <w:r>
        <w:rPr>
          <w:bCs/>
          <w:snapToGrid w:val="0"/>
        </w:rPr>
        <w:t>2025 DUSC advice) based on Ugradar et al 2025</w:t>
      </w:r>
      <w:r>
        <w:rPr>
          <w:rStyle w:val="FootnoteReference"/>
          <w:bCs/>
          <w:snapToGrid w:val="0"/>
        </w:rPr>
        <w:footnoteReference w:id="59"/>
      </w:r>
      <w:r>
        <w:rPr>
          <w:bCs/>
          <w:snapToGrid w:val="0"/>
        </w:rPr>
        <w:t>.</w:t>
      </w:r>
    </w:p>
    <w:p w14:paraId="6A8116EF" w14:textId="104C2126" w:rsidR="00825672" w:rsidRDefault="00825672" w:rsidP="00825672">
      <w:pPr>
        <w:pStyle w:val="TableFigureHeading"/>
        <w:spacing w:before="120"/>
      </w:pPr>
      <w:bookmarkStart w:id="149" w:name="_Ref199149864"/>
      <w:bookmarkStart w:id="150" w:name="_Toc197087517"/>
      <w:r w:rsidRPr="00522C92">
        <w:lastRenderedPageBreak/>
        <w:t xml:space="preserve">Table </w:t>
      </w:r>
      <w:r w:rsidRPr="00522C92">
        <w:fldChar w:fldCharType="begin"/>
      </w:r>
      <w:r w:rsidRPr="00522C92">
        <w:instrText xml:space="preserve"> SEQ Table \* ARABIC </w:instrText>
      </w:r>
      <w:r w:rsidRPr="00522C92">
        <w:fldChar w:fldCharType="separate"/>
      </w:r>
      <w:r w:rsidR="0012101B">
        <w:rPr>
          <w:noProof/>
        </w:rPr>
        <w:t>32</w:t>
      </w:r>
      <w:r w:rsidRPr="00522C92">
        <w:fldChar w:fldCharType="end"/>
      </w:r>
      <w:bookmarkEnd w:id="149"/>
      <w:r>
        <w:t>:</w:t>
      </w:r>
      <w:r w:rsidRPr="00522C92">
        <w:t xml:space="preserve"> </w:t>
      </w:r>
      <w:r>
        <w:t xml:space="preserve">Proposed </w:t>
      </w:r>
      <w:bookmarkEnd w:id="150"/>
      <w:r>
        <w:t>risk-sharing arrangement</w:t>
      </w:r>
    </w:p>
    <w:tbl>
      <w:tblPr>
        <w:tblStyle w:val="TableGrid"/>
        <w:tblW w:w="0" w:type="auto"/>
        <w:tblLook w:val="04A0" w:firstRow="1" w:lastRow="0" w:firstColumn="1" w:lastColumn="0" w:noHBand="0" w:noVBand="1"/>
      </w:tblPr>
      <w:tblGrid>
        <w:gridCol w:w="1409"/>
        <w:gridCol w:w="1520"/>
        <w:gridCol w:w="1522"/>
        <w:gridCol w:w="1522"/>
        <w:gridCol w:w="1522"/>
        <w:gridCol w:w="1522"/>
      </w:tblGrid>
      <w:tr w:rsidR="00825672" w14:paraId="5A96DE5E" w14:textId="77777777" w:rsidTr="00374CB4">
        <w:tc>
          <w:tcPr>
            <w:tcW w:w="1409" w:type="dxa"/>
          </w:tcPr>
          <w:p w14:paraId="7559BB2B" w14:textId="77777777" w:rsidR="00825672" w:rsidRDefault="00825672" w:rsidP="00374CB4">
            <w:pPr>
              <w:pStyle w:val="TableText0"/>
              <w:contextualSpacing/>
            </w:pPr>
          </w:p>
        </w:tc>
        <w:tc>
          <w:tcPr>
            <w:tcW w:w="1520" w:type="dxa"/>
          </w:tcPr>
          <w:p w14:paraId="0E6E537D" w14:textId="77777777" w:rsidR="00825672" w:rsidRPr="008C7E6D" w:rsidRDefault="00825672" w:rsidP="00374CB4">
            <w:pPr>
              <w:pStyle w:val="TableText0"/>
              <w:contextualSpacing/>
              <w:rPr>
                <w:b/>
                <w:bCs w:val="0"/>
              </w:rPr>
            </w:pPr>
            <w:r w:rsidRPr="008C7E6D">
              <w:rPr>
                <w:b/>
                <w:bCs w:val="0"/>
              </w:rPr>
              <w:t>Year 1</w:t>
            </w:r>
          </w:p>
        </w:tc>
        <w:tc>
          <w:tcPr>
            <w:tcW w:w="1522" w:type="dxa"/>
          </w:tcPr>
          <w:p w14:paraId="3985A76B" w14:textId="77777777" w:rsidR="00825672" w:rsidRPr="008C7E6D" w:rsidRDefault="00825672" w:rsidP="00374CB4">
            <w:pPr>
              <w:pStyle w:val="TableText0"/>
              <w:contextualSpacing/>
              <w:rPr>
                <w:b/>
                <w:bCs w:val="0"/>
              </w:rPr>
            </w:pPr>
            <w:r w:rsidRPr="008C7E6D">
              <w:rPr>
                <w:b/>
                <w:bCs w:val="0"/>
              </w:rPr>
              <w:t>Year 2</w:t>
            </w:r>
          </w:p>
        </w:tc>
        <w:tc>
          <w:tcPr>
            <w:tcW w:w="1522" w:type="dxa"/>
          </w:tcPr>
          <w:p w14:paraId="577498E0" w14:textId="77777777" w:rsidR="00825672" w:rsidRPr="008C7E6D" w:rsidRDefault="00825672" w:rsidP="00374CB4">
            <w:pPr>
              <w:pStyle w:val="TableText0"/>
              <w:contextualSpacing/>
              <w:rPr>
                <w:b/>
                <w:bCs w:val="0"/>
              </w:rPr>
            </w:pPr>
            <w:r w:rsidRPr="008C7E6D">
              <w:rPr>
                <w:b/>
                <w:bCs w:val="0"/>
              </w:rPr>
              <w:t>Year 3</w:t>
            </w:r>
          </w:p>
        </w:tc>
        <w:tc>
          <w:tcPr>
            <w:tcW w:w="1522" w:type="dxa"/>
          </w:tcPr>
          <w:p w14:paraId="2F199D85" w14:textId="77777777" w:rsidR="00825672" w:rsidRPr="008C7E6D" w:rsidRDefault="00825672" w:rsidP="00374CB4">
            <w:pPr>
              <w:pStyle w:val="TableText0"/>
              <w:contextualSpacing/>
              <w:rPr>
                <w:b/>
                <w:bCs w:val="0"/>
              </w:rPr>
            </w:pPr>
            <w:r w:rsidRPr="008C7E6D">
              <w:rPr>
                <w:b/>
                <w:bCs w:val="0"/>
              </w:rPr>
              <w:t>Year 4</w:t>
            </w:r>
          </w:p>
        </w:tc>
        <w:tc>
          <w:tcPr>
            <w:tcW w:w="1522" w:type="dxa"/>
          </w:tcPr>
          <w:p w14:paraId="04BCD07C" w14:textId="77777777" w:rsidR="00825672" w:rsidRPr="008C7E6D" w:rsidRDefault="00825672" w:rsidP="00374CB4">
            <w:pPr>
              <w:pStyle w:val="TableText0"/>
              <w:contextualSpacing/>
              <w:rPr>
                <w:b/>
                <w:bCs w:val="0"/>
              </w:rPr>
            </w:pPr>
            <w:r w:rsidRPr="008C7E6D">
              <w:rPr>
                <w:b/>
                <w:bCs w:val="0"/>
              </w:rPr>
              <w:t>Year 5</w:t>
            </w:r>
          </w:p>
        </w:tc>
      </w:tr>
      <w:tr w:rsidR="00825672" w14:paraId="6CE7FA66" w14:textId="77777777" w:rsidTr="00374CB4">
        <w:tc>
          <w:tcPr>
            <w:tcW w:w="1409" w:type="dxa"/>
          </w:tcPr>
          <w:p w14:paraId="68DD9443" w14:textId="77777777" w:rsidR="00825672" w:rsidRDefault="00825672" w:rsidP="00374CB4">
            <w:pPr>
              <w:pStyle w:val="TableText0"/>
              <w:contextualSpacing/>
            </w:pPr>
            <w:r>
              <w:t>Tier 1</w:t>
            </w:r>
          </w:p>
        </w:tc>
        <w:tc>
          <w:tcPr>
            <w:tcW w:w="1520" w:type="dxa"/>
            <w:vAlign w:val="center"/>
          </w:tcPr>
          <w:p w14:paraId="178DBF8F" w14:textId="1CDA8419" w:rsidR="00825672" w:rsidRDefault="00825672" w:rsidP="00374CB4">
            <w:pPr>
              <w:pStyle w:val="TableText0"/>
              <w:contextualSpacing/>
            </w:pPr>
            <w:r w:rsidRPr="00370DA2">
              <w:t>$</w:t>
            </w:r>
            <w:r w:rsidR="00D80F16" w:rsidRPr="00D80F16">
              <w:rPr>
                <w:color w:val="000000"/>
                <w:spacing w:val="53"/>
                <w:shd w:val="solid" w:color="000000" w:fill="000000"/>
                <w:fitText w:val="330" w:id="-663974907"/>
                <w14:textFill>
                  <w14:solidFill>
                    <w14:srgbClr w14:val="000000">
                      <w14:alpha w14:val="100000"/>
                    </w14:srgbClr>
                  </w14:solidFill>
                </w14:textFill>
              </w:rPr>
              <w:t>|||</w:t>
            </w:r>
            <w:r w:rsidR="00D80F16" w:rsidRPr="00D80F16">
              <w:rPr>
                <w:color w:val="000000"/>
                <w:spacing w:val="1"/>
                <w:shd w:val="solid" w:color="000000" w:fill="000000"/>
                <w:fitText w:val="330" w:id="-663974907"/>
                <w14:textFill>
                  <w14:solidFill>
                    <w14:srgbClr w14:val="000000">
                      <w14:alpha w14:val="100000"/>
                    </w14:srgbClr>
                  </w14:solidFill>
                </w14:textFill>
              </w:rPr>
              <w:t>|</w:t>
            </w:r>
          </w:p>
        </w:tc>
        <w:tc>
          <w:tcPr>
            <w:tcW w:w="1522" w:type="dxa"/>
            <w:vAlign w:val="center"/>
          </w:tcPr>
          <w:p w14:paraId="33FA9609" w14:textId="2CD850F2" w:rsidR="00825672" w:rsidRDefault="00825672" w:rsidP="00374CB4">
            <w:pPr>
              <w:pStyle w:val="TableText0"/>
              <w:contextualSpacing/>
            </w:pPr>
            <w:r w:rsidRPr="00370DA2">
              <w:t>$</w:t>
            </w:r>
            <w:r w:rsidR="00D80F16" w:rsidRPr="00D80F16">
              <w:rPr>
                <w:color w:val="000000"/>
                <w:spacing w:val="53"/>
                <w:shd w:val="solid" w:color="000000" w:fill="000000"/>
                <w:fitText w:val="330" w:id="-663974906"/>
                <w14:textFill>
                  <w14:solidFill>
                    <w14:srgbClr w14:val="000000">
                      <w14:alpha w14:val="100000"/>
                    </w14:srgbClr>
                  </w14:solidFill>
                </w14:textFill>
              </w:rPr>
              <w:t>|||</w:t>
            </w:r>
            <w:r w:rsidR="00D80F16" w:rsidRPr="00D80F16">
              <w:rPr>
                <w:color w:val="000000"/>
                <w:spacing w:val="1"/>
                <w:shd w:val="solid" w:color="000000" w:fill="000000"/>
                <w:fitText w:val="330" w:id="-663974906"/>
                <w14:textFill>
                  <w14:solidFill>
                    <w14:srgbClr w14:val="000000">
                      <w14:alpha w14:val="100000"/>
                    </w14:srgbClr>
                  </w14:solidFill>
                </w14:textFill>
              </w:rPr>
              <w:t>|</w:t>
            </w:r>
          </w:p>
        </w:tc>
        <w:tc>
          <w:tcPr>
            <w:tcW w:w="1522" w:type="dxa"/>
            <w:vAlign w:val="center"/>
          </w:tcPr>
          <w:p w14:paraId="2F5A9CE1" w14:textId="531CF155" w:rsidR="00825672" w:rsidRDefault="00825672" w:rsidP="00374CB4">
            <w:pPr>
              <w:pStyle w:val="TableText0"/>
              <w:contextualSpacing/>
            </w:pPr>
            <w:r w:rsidRPr="00370DA2">
              <w:t>$</w:t>
            </w:r>
            <w:r w:rsidR="00D80F16" w:rsidRPr="00D80F16">
              <w:rPr>
                <w:color w:val="000000"/>
                <w:spacing w:val="53"/>
                <w:shd w:val="solid" w:color="000000" w:fill="000000"/>
                <w:fitText w:val="330" w:id="-663974905"/>
                <w14:textFill>
                  <w14:solidFill>
                    <w14:srgbClr w14:val="000000">
                      <w14:alpha w14:val="100000"/>
                    </w14:srgbClr>
                  </w14:solidFill>
                </w14:textFill>
              </w:rPr>
              <w:t>|||</w:t>
            </w:r>
            <w:r w:rsidR="00D80F16" w:rsidRPr="00D80F16">
              <w:rPr>
                <w:color w:val="000000"/>
                <w:spacing w:val="1"/>
                <w:shd w:val="solid" w:color="000000" w:fill="000000"/>
                <w:fitText w:val="330" w:id="-663974905"/>
                <w14:textFill>
                  <w14:solidFill>
                    <w14:srgbClr w14:val="000000">
                      <w14:alpha w14:val="100000"/>
                    </w14:srgbClr>
                  </w14:solidFill>
                </w14:textFill>
              </w:rPr>
              <w:t>|</w:t>
            </w:r>
          </w:p>
        </w:tc>
        <w:tc>
          <w:tcPr>
            <w:tcW w:w="1522" w:type="dxa"/>
            <w:vAlign w:val="center"/>
          </w:tcPr>
          <w:p w14:paraId="424133C3" w14:textId="20ADE598" w:rsidR="00825672" w:rsidRDefault="00825672" w:rsidP="00374CB4">
            <w:pPr>
              <w:pStyle w:val="TableText0"/>
              <w:contextualSpacing/>
            </w:pPr>
            <w:r w:rsidRPr="00370DA2">
              <w:t>$</w:t>
            </w:r>
            <w:r w:rsidR="00D80F16" w:rsidRPr="00D80F16">
              <w:rPr>
                <w:color w:val="000000"/>
                <w:spacing w:val="53"/>
                <w:shd w:val="solid" w:color="000000" w:fill="000000"/>
                <w:fitText w:val="330" w:id="-663974904"/>
                <w14:textFill>
                  <w14:solidFill>
                    <w14:srgbClr w14:val="000000">
                      <w14:alpha w14:val="100000"/>
                    </w14:srgbClr>
                  </w14:solidFill>
                </w14:textFill>
              </w:rPr>
              <w:t>|||</w:t>
            </w:r>
            <w:r w:rsidR="00D80F16" w:rsidRPr="00D80F16">
              <w:rPr>
                <w:color w:val="000000"/>
                <w:spacing w:val="1"/>
                <w:shd w:val="solid" w:color="000000" w:fill="000000"/>
                <w:fitText w:val="330" w:id="-663974904"/>
                <w14:textFill>
                  <w14:solidFill>
                    <w14:srgbClr w14:val="000000">
                      <w14:alpha w14:val="100000"/>
                    </w14:srgbClr>
                  </w14:solidFill>
                </w14:textFill>
              </w:rPr>
              <w:t>|</w:t>
            </w:r>
          </w:p>
        </w:tc>
        <w:tc>
          <w:tcPr>
            <w:tcW w:w="1522" w:type="dxa"/>
            <w:vAlign w:val="center"/>
          </w:tcPr>
          <w:p w14:paraId="5A6B9961" w14:textId="14B27DB0" w:rsidR="00825672" w:rsidRPr="00970974" w:rsidRDefault="00825672" w:rsidP="00374CB4">
            <w:pPr>
              <w:pStyle w:val="TableText0"/>
              <w:contextualSpacing/>
              <w:rPr>
                <w:highlight w:val="darkGray"/>
              </w:rPr>
            </w:pPr>
            <w:r w:rsidRPr="00970974">
              <w:t>$</w:t>
            </w:r>
            <w:r w:rsidR="00D80F16" w:rsidRPr="00D80F16">
              <w:rPr>
                <w:color w:val="000000"/>
                <w:spacing w:val="53"/>
                <w:shd w:val="solid" w:color="000000" w:fill="000000"/>
                <w:fitText w:val="330" w:id="-663974903"/>
                <w14:textFill>
                  <w14:solidFill>
                    <w14:srgbClr w14:val="000000">
                      <w14:alpha w14:val="100000"/>
                    </w14:srgbClr>
                  </w14:solidFill>
                </w14:textFill>
              </w:rPr>
              <w:t>|||</w:t>
            </w:r>
            <w:r w:rsidR="00D80F16" w:rsidRPr="00D80F16">
              <w:rPr>
                <w:color w:val="000000"/>
                <w:spacing w:val="1"/>
                <w:shd w:val="solid" w:color="000000" w:fill="000000"/>
                <w:fitText w:val="330" w:id="-663974903"/>
                <w14:textFill>
                  <w14:solidFill>
                    <w14:srgbClr w14:val="000000">
                      <w14:alpha w14:val="100000"/>
                    </w14:srgbClr>
                  </w14:solidFill>
                </w14:textFill>
              </w:rPr>
              <w:t>|</w:t>
            </w:r>
          </w:p>
        </w:tc>
      </w:tr>
      <w:tr w:rsidR="00825672" w14:paraId="6A185075" w14:textId="77777777" w:rsidTr="00374CB4">
        <w:tc>
          <w:tcPr>
            <w:tcW w:w="1409" w:type="dxa"/>
          </w:tcPr>
          <w:p w14:paraId="1A7E04EE" w14:textId="77777777" w:rsidR="00825672" w:rsidRDefault="00825672" w:rsidP="00374CB4">
            <w:pPr>
              <w:pStyle w:val="TableText0"/>
              <w:contextualSpacing/>
            </w:pPr>
            <w:r>
              <w:t>Tier 2</w:t>
            </w:r>
          </w:p>
        </w:tc>
        <w:tc>
          <w:tcPr>
            <w:tcW w:w="1520" w:type="dxa"/>
          </w:tcPr>
          <w:p w14:paraId="6F8FEB43" w14:textId="7EB40154" w:rsidR="00825672" w:rsidRDefault="00825672" w:rsidP="00374CB4">
            <w:pPr>
              <w:pStyle w:val="TableText0"/>
              <w:contextualSpacing/>
            </w:pPr>
            <w:r w:rsidRPr="009700F2">
              <w:t>$</w:t>
            </w:r>
            <w:r w:rsidR="00D80F16" w:rsidRPr="00D80F16">
              <w:rPr>
                <w:color w:val="000000"/>
                <w:spacing w:val="53"/>
                <w:shd w:val="solid" w:color="000000" w:fill="000000"/>
                <w:fitText w:val="330" w:id="-663974902"/>
                <w14:textFill>
                  <w14:solidFill>
                    <w14:srgbClr w14:val="000000">
                      <w14:alpha w14:val="100000"/>
                    </w14:srgbClr>
                  </w14:solidFill>
                </w14:textFill>
              </w:rPr>
              <w:t>|||</w:t>
            </w:r>
            <w:r w:rsidR="00D80F16" w:rsidRPr="00D80F16">
              <w:rPr>
                <w:color w:val="000000"/>
                <w:spacing w:val="1"/>
                <w:shd w:val="solid" w:color="000000" w:fill="000000"/>
                <w:fitText w:val="330" w:id="-663974902"/>
                <w14:textFill>
                  <w14:solidFill>
                    <w14:srgbClr w14:val="000000">
                      <w14:alpha w14:val="100000"/>
                    </w14:srgbClr>
                  </w14:solidFill>
                </w14:textFill>
              </w:rPr>
              <w:t>|</w:t>
            </w:r>
          </w:p>
        </w:tc>
        <w:tc>
          <w:tcPr>
            <w:tcW w:w="1522" w:type="dxa"/>
          </w:tcPr>
          <w:p w14:paraId="7F414A25" w14:textId="4170872F" w:rsidR="00825672" w:rsidRDefault="00825672" w:rsidP="00374CB4">
            <w:pPr>
              <w:pStyle w:val="TableText0"/>
              <w:contextualSpacing/>
            </w:pPr>
            <w:r w:rsidRPr="009700F2">
              <w:t>$</w:t>
            </w:r>
            <w:r w:rsidR="00D80F16" w:rsidRPr="00D80F16">
              <w:rPr>
                <w:color w:val="000000"/>
                <w:spacing w:val="53"/>
                <w:shd w:val="solid" w:color="000000" w:fill="000000"/>
                <w:fitText w:val="330" w:id="-663974901"/>
                <w14:textFill>
                  <w14:solidFill>
                    <w14:srgbClr w14:val="000000">
                      <w14:alpha w14:val="100000"/>
                    </w14:srgbClr>
                  </w14:solidFill>
                </w14:textFill>
              </w:rPr>
              <w:t>|||</w:t>
            </w:r>
            <w:r w:rsidR="00D80F16" w:rsidRPr="00D80F16">
              <w:rPr>
                <w:color w:val="000000"/>
                <w:spacing w:val="1"/>
                <w:shd w:val="solid" w:color="000000" w:fill="000000"/>
                <w:fitText w:val="330" w:id="-663974901"/>
                <w14:textFill>
                  <w14:solidFill>
                    <w14:srgbClr w14:val="000000">
                      <w14:alpha w14:val="100000"/>
                    </w14:srgbClr>
                  </w14:solidFill>
                </w14:textFill>
              </w:rPr>
              <w:t>|</w:t>
            </w:r>
          </w:p>
        </w:tc>
        <w:tc>
          <w:tcPr>
            <w:tcW w:w="1522" w:type="dxa"/>
          </w:tcPr>
          <w:p w14:paraId="06C6615C" w14:textId="0CF02562" w:rsidR="00825672" w:rsidRDefault="00825672" w:rsidP="00374CB4">
            <w:pPr>
              <w:pStyle w:val="TableText0"/>
              <w:contextualSpacing/>
            </w:pPr>
            <w:r w:rsidRPr="009700F2">
              <w:t>$</w:t>
            </w:r>
            <w:r w:rsidR="00D80F16" w:rsidRPr="00D80F16">
              <w:rPr>
                <w:color w:val="000000"/>
                <w:spacing w:val="53"/>
                <w:shd w:val="solid" w:color="000000" w:fill="000000"/>
                <w:fitText w:val="330" w:id="-663974900"/>
                <w14:textFill>
                  <w14:solidFill>
                    <w14:srgbClr w14:val="000000">
                      <w14:alpha w14:val="100000"/>
                    </w14:srgbClr>
                  </w14:solidFill>
                </w14:textFill>
              </w:rPr>
              <w:t>|||</w:t>
            </w:r>
            <w:r w:rsidR="00D80F16" w:rsidRPr="00D80F16">
              <w:rPr>
                <w:color w:val="000000"/>
                <w:spacing w:val="1"/>
                <w:shd w:val="solid" w:color="000000" w:fill="000000"/>
                <w:fitText w:val="330" w:id="-663974900"/>
                <w14:textFill>
                  <w14:solidFill>
                    <w14:srgbClr w14:val="000000">
                      <w14:alpha w14:val="100000"/>
                    </w14:srgbClr>
                  </w14:solidFill>
                </w14:textFill>
              </w:rPr>
              <w:t>|</w:t>
            </w:r>
          </w:p>
        </w:tc>
        <w:tc>
          <w:tcPr>
            <w:tcW w:w="1522" w:type="dxa"/>
          </w:tcPr>
          <w:p w14:paraId="0391B9E7" w14:textId="1A8AAAC1" w:rsidR="00825672" w:rsidRDefault="00825672" w:rsidP="00374CB4">
            <w:pPr>
              <w:pStyle w:val="TableText0"/>
              <w:contextualSpacing/>
            </w:pPr>
            <w:r w:rsidRPr="009700F2">
              <w:t>$</w:t>
            </w:r>
            <w:r w:rsidR="00D80F16" w:rsidRPr="00D80F16">
              <w:rPr>
                <w:color w:val="000000"/>
                <w:spacing w:val="53"/>
                <w:shd w:val="solid" w:color="000000" w:fill="000000"/>
                <w:fitText w:val="330" w:id="-663974899"/>
                <w14:textFill>
                  <w14:solidFill>
                    <w14:srgbClr w14:val="000000">
                      <w14:alpha w14:val="100000"/>
                    </w14:srgbClr>
                  </w14:solidFill>
                </w14:textFill>
              </w:rPr>
              <w:t>|||</w:t>
            </w:r>
            <w:r w:rsidR="00D80F16" w:rsidRPr="00D80F16">
              <w:rPr>
                <w:color w:val="000000"/>
                <w:spacing w:val="1"/>
                <w:shd w:val="solid" w:color="000000" w:fill="000000"/>
                <w:fitText w:val="330" w:id="-663974899"/>
                <w14:textFill>
                  <w14:solidFill>
                    <w14:srgbClr w14:val="000000">
                      <w14:alpha w14:val="100000"/>
                    </w14:srgbClr>
                  </w14:solidFill>
                </w14:textFill>
              </w:rPr>
              <w:t>|</w:t>
            </w:r>
          </w:p>
        </w:tc>
        <w:tc>
          <w:tcPr>
            <w:tcW w:w="1522" w:type="dxa"/>
          </w:tcPr>
          <w:p w14:paraId="08957E3B" w14:textId="22093F6A" w:rsidR="00825672" w:rsidRDefault="00825672" w:rsidP="00374CB4">
            <w:pPr>
              <w:pStyle w:val="TableText0"/>
              <w:contextualSpacing/>
            </w:pPr>
            <w:r w:rsidRPr="009700F2">
              <w:t>$</w:t>
            </w:r>
            <w:r w:rsidR="00D80F16" w:rsidRPr="00702E51">
              <w:rPr>
                <w:color w:val="000000"/>
                <w:spacing w:val="53"/>
                <w:shd w:val="solid" w:color="000000" w:fill="000000"/>
                <w:fitText w:val="330" w:id="-663974898"/>
                <w14:textFill>
                  <w14:solidFill>
                    <w14:srgbClr w14:val="000000">
                      <w14:alpha w14:val="100000"/>
                    </w14:srgbClr>
                  </w14:solidFill>
                </w14:textFill>
              </w:rPr>
              <w:t>|||</w:t>
            </w:r>
            <w:r w:rsidR="00D80F16" w:rsidRPr="00702E51">
              <w:rPr>
                <w:color w:val="000000"/>
                <w:spacing w:val="1"/>
                <w:shd w:val="solid" w:color="000000" w:fill="000000"/>
                <w:fitText w:val="330" w:id="-663974898"/>
                <w14:textFill>
                  <w14:solidFill>
                    <w14:srgbClr w14:val="000000">
                      <w14:alpha w14:val="100000"/>
                    </w14:srgbClr>
                  </w14:solidFill>
                </w14:textFill>
              </w:rPr>
              <w:t>|</w:t>
            </w:r>
          </w:p>
        </w:tc>
      </w:tr>
    </w:tbl>
    <w:p w14:paraId="41D38D18" w14:textId="77777777" w:rsidR="00825672" w:rsidRPr="003F3E38" w:rsidRDefault="00825672" w:rsidP="00220A6C">
      <w:pPr>
        <w:pStyle w:val="TableFooter"/>
        <w:spacing w:after="120"/>
      </w:pPr>
      <w:r>
        <w:t>Source: Resubmission, Table 30, p20</w:t>
      </w:r>
    </w:p>
    <w:p w14:paraId="6BD89D78" w14:textId="3585E17D" w:rsidR="00825672" w:rsidRPr="00E06444" w:rsidRDefault="00825672" w:rsidP="00220A6C">
      <w:pPr>
        <w:spacing w:before="120"/>
        <w:ind w:firstLine="720"/>
        <w:rPr>
          <w:lang w:eastAsia="en-US"/>
        </w:rPr>
      </w:pPr>
      <w:r w:rsidRPr="00FA3ACD">
        <w:rPr>
          <w:i/>
          <w:iCs/>
          <w:lang w:val="en-US"/>
        </w:rPr>
        <w:t>For more detail on PBAC’s view, see section 1</w:t>
      </w:r>
      <w:r w:rsidR="00220A6C">
        <w:rPr>
          <w:i/>
          <w:iCs/>
          <w:lang w:val="en-US"/>
        </w:rPr>
        <w:t>3</w:t>
      </w:r>
      <w:r w:rsidRPr="00FA3ACD">
        <w:rPr>
          <w:i/>
          <w:iCs/>
          <w:lang w:val="en-US"/>
        </w:rPr>
        <w:t xml:space="preserve"> PBAC outcome.</w:t>
      </w:r>
    </w:p>
    <w:p w14:paraId="701DF6EF" w14:textId="77777777" w:rsidR="00825672" w:rsidRPr="006B57D5" w:rsidRDefault="00825672" w:rsidP="00825672">
      <w:pPr>
        <w:pStyle w:val="2-SectionHeading"/>
        <w:numPr>
          <w:ilvl w:val="0"/>
          <w:numId w:val="1"/>
        </w:numPr>
      </w:pPr>
      <w:r w:rsidRPr="006B57D5">
        <w:t>PBAC Outcome</w:t>
      </w:r>
    </w:p>
    <w:bookmarkEnd w:id="138"/>
    <w:p w14:paraId="48970FDB" w14:textId="77777777" w:rsidR="00825672" w:rsidRPr="00CA0178" w:rsidRDefault="00825672" w:rsidP="00E176DF">
      <w:pPr>
        <w:pStyle w:val="3-BodyText"/>
        <w:numPr>
          <w:ilvl w:val="1"/>
          <w:numId w:val="1"/>
        </w:numPr>
        <w:rPr>
          <w:snapToGrid w:val="0"/>
        </w:rPr>
      </w:pPr>
      <w:r w:rsidRPr="00CA0178">
        <w:rPr>
          <w:snapToGrid w:val="0"/>
        </w:rPr>
        <w:t xml:space="preserve">The PBAC recommended the listing of teprotumumab for the treatment of active, moderate-to-severe </w:t>
      </w:r>
      <w:r>
        <w:rPr>
          <w:snapToGrid w:val="0"/>
        </w:rPr>
        <w:t xml:space="preserve">(MS) </w:t>
      </w:r>
      <w:r w:rsidRPr="00CA0178">
        <w:rPr>
          <w:snapToGrid w:val="0"/>
        </w:rPr>
        <w:t>thyroid eye disease</w:t>
      </w:r>
      <w:r>
        <w:rPr>
          <w:snapToGrid w:val="0"/>
        </w:rPr>
        <w:t xml:space="preserve"> (TED)</w:t>
      </w:r>
      <w:r w:rsidRPr="00CA0178">
        <w:rPr>
          <w:snapToGrid w:val="0"/>
        </w:rPr>
        <w:t xml:space="preserve">. The PBAC reaffirmed its previous view that there is a high clinical need in the requested patient population, and that the evidence demonstrated that teprotumumab is more effective in </w:t>
      </w:r>
      <w:r>
        <w:rPr>
          <w:snapToGrid w:val="0"/>
        </w:rPr>
        <w:t>improving</w:t>
      </w:r>
      <w:r w:rsidRPr="00CA0178">
        <w:rPr>
          <w:snapToGrid w:val="0"/>
        </w:rPr>
        <w:t xml:space="preserve"> proptosis and diplopia compared to current standard of care, which may also lead to a reduced utilisation of eye surgery. The PBAC considered that there remained uncertainty related to the structure and the data informing the economic model. However, the PBAC noted that changes to the economic evaluation and financial estimates had reduced uncertainty and addressed the Committee’s concerns. The PBAC considered that teprotumumab would be cost-effective at the price proposed in the </w:t>
      </w:r>
      <w:r w:rsidRPr="008D5B80">
        <w:rPr>
          <w:snapToGrid w:val="0"/>
        </w:rPr>
        <w:t xml:space="preserve">resubmission. The PBAC noted that the resubmission proposed a Risk Sharing Arrangement (RSA) and considered that the approach taken was reasonable, however required further revision. </w:t>
      </w:r>
      <w:r w:rsidRPr="008D5B80">
        <w:rPr>
          <w:rFonts w:eastAsia="Times New Roman" w:cs="Arial"/>
          <w:snapToGrid w:val="0"/>
          <w:szCs w:val="24"/>
        </w:rPr>
        <w:t>Overall, the PBAC considered that the resubmission had addressed the outstanding issues</w:t>
      </w:r>
      <w:r w:rsidRPr="00CA0178">
        <w:rPr>
          <w:rFonts w:eastAsia="Times New Roman" w:cs="Arial"/>
          <w:snapToGrid w:val="0"/>
          <w:szCs w:val="24"/>
        </w:rPr>
        <w:t xml:space="preserve"> identified at the March 2025 PBAC meeting</w:t>
      </w:r>
      <w:r>
        <w:rPr>
          <w:rFonts w:eastAsia="Times New Roman" w:cs="Arial"/>
          <w:snapToGrid w:val="0"/>
          <w:szCs w:val="24"/>
        </w:rPr>
        <w:t>.</w:t>
      </w:r>
    </w:p>
    <w:p w14:paraId="66482716" w14:textId="77777777" w:rsidR="00825672" w:rsidRPr="000418D5" w:rsidRDefault="00825672" w:rsidP="00E176DF">
      <w:pPr>
        <w:widowControl w:val="0"/>
        <w:numPr>
          <w:ilvl w:val="1"/>
          <w:numId w:val="1"/>
        </w:numPr>
        <w:spacing w:before="120" w:after="120"/>
        <w:rPr>
          <w:rFonts w:asciiTheme="minorHAnsi" w:hAnsiTheme="minorHAnsi" w:cstheme="minorHAnsi"/>
          <w:snapToGrid w:val="0"/>
          <w:lang w:val="en-GB"/>
        </w:rPr>
      </w:pPr>
      <w:r>
        <w:rPr>
          <w:rFonts w:asciiTheme="minorHAnsi" w:hAnsiTheme="minorHAnsi" w:cstheme="minorHAnsi"/>
          <w:lang w:val="en-GB"/>
        </w:rPr>
        <w:t>The PBAC noted that the restriction proposed in the resubmission aligned with a number of changes recommended at the March 2025 meeting. The PBAC noted that:</w:t>
      </w:r>
    </w:p>
    <w:p w14:paraId="791071B9" w14:textId="77777777" w:rsidR="00825672" w:rsidRPr="00F25E0E" w:rsidRDefault="00825672" w:rsidP="00FF57DA">
      <w:pPr>
        <w:pStyle w:val="ListParagraph"/>
        <w:spacing w:before="120"/>
        <w:ind w:left="1134"/>
        <w:jc w:val="both"/>
        <w:rPr>
          <w:rFonts w:cstheme="minorHAnsi"/>
          <w:lang w:val="en-GB"/>
        </w:rPr>
      </w:pPr>
      <w:r>
        <w:t>the resubmission p</w:t>
      </w:r>
      <w:r w:rsidRPr="00E93656">
        <w:t xml:space="preserve">roposed </w:t>
      </w:r>
      <w:r>
        <w:t xml:space="preserve">a </w:t>
      </w:r>
      <w:r w:rsidRPr="00E93656">
        <w:t>clinical criterion for the initial treatment phase limit</w:t>
      </w:r>
      <w:r>
        <w:t>ing</w:t>
      </w:r>
      <w:r w:rsidRPr="00E93656">
        <w:t xml:space="preserve"> retreatment to prior responders</w:t>
      </w:r>
      <w:r>
        <w:t xml:space="preserve">. The PBAC considered that this was appropriate, however noted further revision was required so that </w:t>
      </w:r>
      <w:r w:rsidRPr="006B7F12">
        <w:t xml:space="preserve">retreatment </w:t>
      </w:r>
      <w:r>
        <w:t>was not</w:t>
      </w:r>
      <w:r w:rsidRPr="006B7F12">
        <w:t xml:space="preserve"> mistakenly initiated through the proposed continuing treatment phase and bypass the activity (</w:t>
      </w:r>
      <w:r>
        <w:t>clinical activity score [</w:t>
      </w:r>
      <w:r w:rsidRPr="006B7F12">
        <w:t>CAS</w:t>
      </w:r>
      <w:r>
        <w:t>]</w:t>
      </w:r>
      <w:r w:rsidRPr="006B7F12">
        <w:t xml:space="preserve"> of ≥ 3) and severity criteria (2021 European Group on Graves' Orbitopathy [EUGOGO] guidelines) for retreatment</w:t>
      </w:r>
      <w:r>
        <w:t xml:space="preserve">. </w:t>
      </w:r>
    </w:p>
    <w:p w14:paraId="06E7B448" w14:textId="77777777" w:rsidR="00825672" w:rsidRPr="00F8670D" w:rsidRDefault="00825672" w:rsidP="00FF57DA">
      <w:pPr>
        <w:pStyle w:val="ListParagraph"/>
        <w:spacing w:before="120"/>
        <w:ind w:left="1134"/>
        <w:jc w:val="both"/>
        <w:rPr>
          <w:rFonts w:cstheme="minorHAnsi"/>
          <w:lang w:val="en-GB"/>
        </w:rPr>
      </w:pPr>
      <w:r>
        <w:t>t</w:t>
      </w:r>
      <w:r w:rsidRPr="00824FEE">
        <w:t>he resubmission proposed cautions, rather than a stopping rule related to pregnancy and audiology monitorin</w:t>
      </w:r>
      <w:r>
        <w:t>g. The PBAC considered that this was likely reasonable.</w:t>
      </w:r>
    </w:p>
    <w:p w14:paraId="01FBDB31" w14:textId="77777777" w:rsidR="00825672" w:rsidRPr="00B621F6" w:rsidRDefault="00825672" w:rsidP="00FF57DA">
      <w:pPr>
        <w:pStyle w:val="ListParagraph"/>
        <w:spacing w:before="120"/>
        <w:ind w:left="1134"/>
        <w:jc w:val="both"/>
        <w:rPr>
          <w:rFonts w:cstheme="minorHAnsi"/>
          <w:lang w:val="en-GB"/>
        </w:rPr>
      </w:pPr>
      <w:r>
        <w:t xml:space="preserve">a </w:t>
      </w:r>
      <w:r w:rsidRPr="003958C3">
        <w:t>stopping rule for efficacy was not proposed</w:t>
      </w:r>
      <w:r>
        <w:t xml:space="preserve">. </w:t>
      </w:r>
      <w:r>
        <w:rPr>
          <w:rFonts w:cstheme="minorHAnsi"/>
          <w:lang w:val="en-GB"/>
        </w:rPr>
        <w:t>The PBAC considered that this was likely reasonable, noting the justifications made by the resubmission, and agreed that</w:t>
      </w:r>
      <w:r w:rsidRPr="00B621F6">
        <w:rPr>
          <w:rFonts w:cstheme="minorHAnsi"/>
          <w:lang w:val="en-GB"/>
        </w:rPr>
        <w:t xml:space="preserve"> </w:t>
      </w:r>
      <w:r>
        <w:rPr>
          <w:rFonts w:cstheme="minorHAnsi"/>
          <w:lang w:val="en-GB"/>
        </w:rPr>
        <w:t xml:space="preserve">given </w:t>
      </w:r>
      <w:r w:rsidRPr="00B621F6">
        <w:rPr>
          <w:rFonts w:cstheme="minorHAnsi"/>
          <w:lang w:val="en-GB"/>
        </w:rPr>
        <w:t xml:space="preserve">response to teprotumumab continues to increase over </w:t>
      </w:r>
      <w:r>
        <w:rPr>
          <w:rFonts w:cstheme="minorHAnsi"/>
          <w:lang w:val="en-GB"/>
        </w:rPr>
        <w:t xml:space="preserve">time, </w:t>
      </w:r>
      <w:r w:rsidRPr="00B621F6">
        <w:rPr>
          <w:rFonts w:cstheme="minorHAnsi"/>
          <w:lang w:val="en-GB"/>
        </w:rPr>
        <w:t>a pre-defined point to assess response may not be clinically appropriate</w:t>
      </w:r>
      <w:r>
        <w:rPr>
          <w:rFonts w:cstheme="minorHAnsi"/>
          <w:lang w:val="en-GB"/>
        </w:rPr>
        <w:t xml:space="preserve">. </w:t>
      </w:r>
      <w:r>
        <w:t xml:space="preserve">The PBAC also noted that </w:t>
      </w:r>
      <w:r>
        <w:rPr>
          <w:lang w:val="en-GB"/>
        </w:rPr>
        <w:t>i</w:t>
      </w:r>
      <w:r w:rsidRPr="00F25E0E">
        <w:rPr>
          <w:rFonts w:cstheme="minorHAnsi"/>
          <w:lang w:val="en-GB"/>
        </w:rPr>
        <w:t xml:space="preserve">n urgent vision threatening cases, if a patient is not responding to teprotumumab, clinicians </w:t>
      </w:r>
      <w:r>
        <w:rPr>
          <w:rFonts w:cstheme="minorHAnsi"/>
          <w:lang w:val="en-GB"/>
        </w:rPr>
        <w:t>were</w:t>
      </w:r>
      <w:r w:rsidRPr="00F25E0E">
        <w:rPr>
          <w:rFonts w:cstheme="minorHAnsi"/>
          <w:lang w:val="en-GB"/>
        </w:rPr>
        <w:t xml:space="preserve"> likely to cease treatment and consider surgery</w:t>
      </w:r>
      <w:r>
        <w:rPr>
          <w:rFonts w:cstheme="minorHAnsi"/>
          <w:lang w:val="en-GB"/>
        </w:rPr>
        <w:t>.</w:t>
      </w:r>
    </w:p>
    <w:p w14:paraId="3614A0A5" w14:textId="6031B63B" w:rsidR="00825672" w:rsidRPr="009B1EF8" w:rsidRDefault="00825672" w:rsidP="00E176DF">
      <w:pPr>
        <w:pStyle w:val="3-BodyText"/>
        <w:numPr>
          <w:ilvl w:val="1"/>
          <w:numId w:val="1"/>
        </w:numPr>
        <w:rPr>
          <w:snapToGrid w:val="0"/>
        </w:rPr>
      </w:pPr>
      <w:r w:rsidRPr="008F2E45">
        <w:rPr>
          <w:lang w:val="en-GB"/>
        </w:rPr>
        <w:lastRenderedPageBreak/>
        <w:t xml:space="preserve">The PBAC recalled that at the March 2025 PBAC meeting, </w:t>
      </w:r>
      <w:r>
        <w:rPr>
          <w:lang w:val="en-GB"/>
        </w:rPr>
        <w:t>it considered</w:t>
      </w:r>
      <w:r w:rsidRPr="00734BAE">
        <w:rPr>
          <w:lang w:val="en-GB"/>
        </w:rPr>
        <w:t xml:space="preserve"> t</w:t>
      </w:r>
      <w:r>
        <w:rPr>
          <w:lang w:val="en-GB"/>
        </w:rPr>
        <w:t xml:space="preserve">hat the </w:t>
      </w:r>
      <w:r w:rsidRPr="00734BAE">
        <w:rPr>
          <w:lang w:val="en-GB"/>
        </w:rPr>
        <w:t>economic model was associated with a high level of uncertainty</w:t>
      </w:r>
      <w:r>
        <w:rPr>
          <w:lang w:val="en-GB"/>
        </w:rPr>
        <w:t>. The PBAC reiterated that the</w:t>
      </w:r>
      <w:r>
        <w:t xml:space="preserve"> complexity of the model </w:t>
      </w:r>
      <w:r w:rsidRPr="00531883">
        <w:t xml:space="preserve">led to a high degree of uncertainty due to </w:t>
      </w:r>
      <w:r w:rsidRPr="005E7233">
        <w:t>insufficient data to reliably inform a model with numerous transition probabilities</w:t>
      </w:r>
      <w:r>
        <w:t xml:space="preserve"> with projected long-term outcomes. The PBAC emphasised that the structure of the economic model remained a significant limitation for the consideration of the cost-effectiveness of teprotumumab. </w:t>
      </w:r>
      <w:r>
        <w:rPr>
          <w:snapToGrid w:val="0"/>
        </w:rPr>
        <w:t>To address the uncertainty in the model, the</w:t>
      </w:r>
      <w:r w:rsidRPr="009B1EF8">
        <w:rPr>
          <w:snapToGrid w:val="0"/>
        </w:rPr>
        <w:t xml:space="preserve"> PBAC noted that the resubmission proposed a re-specified base case with revised inputs. The PBAC noted that the changes to the model aligned with </w:t>
      </w:r>
      <w:r>
        <w:rPr>
          <w:snapToGrid w:val="0"/>
        </w:rPr>
        <w:t xml:space="preserve">its </w:t>
      </w:r>
      <w:r w:rsidRPr="009B1EF8">
        <w:rPr>
          <w:snapToGrid w:val="0"/>
        </w:rPr>
        <w:t xml:space="preserve">previous advice (paragraphs 7.14 to 7.17). The PBAC noted that significant revision had been made to the utility weights in the economic model (paragraphs </w:t>
      </w:r>
      <w:r w:rsidRPr="009B1EF8">
        <w:rPr>
          <w:snapToGrid w:val="0"/>
        </w:rPr>
        <w:fldChar w:fldCharType="begin"/>
      </w:r>
      <w:r w:rsidRPr="009B1EF8">
        <w:rPr>
          <w:snapToGrid w:val="0"/>
        </w:rPr>
        <w:instrText xml:space="preserve"> REF _Ref199218789 \r \h </w:instrText>
      </w:r>
      <w:r w:rsidRPr="009B1EF8">
        <w:rPr>
          <w:snapToGrid w:val="0"/>
        </w:rPr>
      </w:r>
      <w:r w:rsidRPr="009B1EF8">
        <w:rPr>
          <w:snapToGrid w:val="0"/>
        </w:rPr>
        <w:fldChar w:fldCharType="separate"/>
      </w:r>
      <w:r w:rsidR="0012101B">
        <w:rPr>
          <w:snapToGrid w:val="0"/>
        </w:rPr>
        <w:t>12.4</w:t>
      </w:r>
      <w:r w:rsidRPr="009B1EF8">
        <w:rPr>
          <w:snapToGrid w:val="0"/>
        </w:rPr>
        <w:fldChar w:fldCharType="end"/>
      </w:r>
      <w:r w:rsidRPr="009B1EF8">
        <w:rPr>
          <w:rFonts w:cstheme="minorHAnsi"/>
          <w:snapToGrid w:val="0"/>
        </w:rPr>
        <w:t>−</w:t>
      </w:r>
      <w:r w:rsidRPr="009B1EF8">
        <w:rPr>
          <w:rFonts w:cstheme="minorHAnsi"/>
          <w:snapToGrid w:val="0"/>
        </w:rPr>
        <w:fldChar w:fldCharType="begin"/>
      </w:r>
      <w:r w:rsidRPr="009B1EF8">
        <w:rPr>
          <w:rFonts w:cstheme="minorHAnsi"/>
          <w:snapToGrid w:val="0"/>
        </w:rPr>
        <w:instrText xml:space="preserve"> REF _Ref199218810 \r \h </w:instrText>
      </w:r>
      <w:r w:rsidRPr="009B1EF8">
        <w:rPr>
          <w:rFonts w:cstheme="minorHAnsi"/>
          <w:snapToGrid w:val="0"/>
        </w:rPr>
      </w:r>
      <w:r w:rsidRPr="009B1EF8">
        <w:rPr>
          <w:rFonts w:cstheme="minorHAnsi"/>
          <w:snapToGrid w:val="0"/>
        </w:rPr>
        <w:fldChar w:fldCharType="separate"/>
      </w:r>
      <w:r w:rsidR="0012101B">
        <w:rPr>
          <w:rFonts w:cstheme="minorHAnsi"/>
          <w:snapToGrid w:val="0"/>
        </w:rPr>
        <w:t>12.11</w:t>
      </w:r>
      <w:r w:rsidRPr="009B1EF8">
        <w:rPr>
          <w:rFonts w:cstheme="minorHAnsi"/>
          <w:snapToGrid w:val="0"/>
        </w:rPr>
        <w:fldChar w:fldCharType="end"/>
      </w:r>
      <w:r w:rsidRPr="009B1EF8">
        <w:rPr>
          <w:rFonts w:cstheme="minorHAnsi"/>
          <w:snapToGrid w:val="0"/>
        </w:rPr>
        <w:t>).</w:t>
      </w:r>
      <w:r w:rsidRPr="009B1EF8">
        <w:rPr>
          <w:snapToGrid w:val="0"/>
        </w:rPr>
        <w:t xml:space="preserve"> The PBAC consider</w:t>
      </w:r>
      <w:r>
        <w:rPr>
          <w:snapToGrid w:val="0"/>
        </w:rPr>
        <w:t>ed</w:t>
      </w:r>
      <w:r w:rsidRPr="009B1EF8">
        <w:rPr>
          <w:snapToGrid w:val="0"/>
        </w:rPr>
        <w:t xml:space="preserve"> that while the revised utility weights were subject to some uncertainty, </w:t>
      </w:r>
      <w:r>
        <w:rPr>
          <w:snapToGrid w:val="0"/>
        </w:rPr>
        <w:t>due to</w:t>
      </w:r>
      <w:r w:rsidRPr="009B1EF8">
        <w:rPr>
          <w:snapToGrid w:val="0"/>
        </w:rPr>
        <w:t xml:space="preserve"> values primarily </w:t>
      </w:r>
      <w:r>
        <w:rPr>
          <w:snapToGrid w:val="0"/>
        </w:rPr>
        <w:t xml:space="preserve">being </w:t>
      </w:r>
      <w:r w:rsidRPr="009B1EF8">
        <w:rPr>
          <w:snapToGrid w:val="0"/>
        </w:rPr>
        <w:t>based on assumptions and not measured outcomes from empirical research</w:t>
      </w:r>
      <w:r>
        <w:rPr>
          <w:snapToGrid w:val="0"/>
        </w:rPr>
        <w:t>, that</w:t>
      </w:r>
      <w:r w:rsidRPr="009B1EF8">
        <w:rPr>
          <w:snapToGrid w:val="0"/>
        </w:rPr>
        <w:t xml:space="preserve"> the revised utility weights appeared to have greater face validity compared to the values applied to the economic model in the March 2025 submission. The PBAC also noted that a price reduction had been proposed which aligned with an incremental cost-effectiveness ratio (ICER) of less than $75,000 per quality adjusted life year (QALY) gained. </w:t>
      </w:r>
      <w:r w:rsidRPr="009B1EF8">
        <w:rPr>
          <w:bCs/>
          <w:snapToGrid w:val="0"/>
        </w:rPr>
        <w:t xml:space="preserve">Overall, the PBAC considered that while uncertainty remained related to the structure and the data informing the economic model, that the changes made had reduced uncertainty, and in the context of a rare disease with a high and unmet clinical need, the ICER of </w:t>
      </w:r>
      <w:r w:rsidR="00570EA3" w:rsidRPr="00570EA3">
        <w:rPr>
          <w:bCs/>
          <w:snapToGrid w:val="0"/>
        </w:rPr>
        <w:t>$55,000 to &lt; $75,000</w:t>
      </w:r>
      <w:r w:rsidRPr="009B1EF8">
        <w:rPr>
          <w:bCs/>
          <w:snapToGrid w:val="0"/>
        </w:rPr>
        <w:t xml:space="preserve"> per </w:t>
      </w:r>
      <w:r>
        <w:rPr>
          <w:bCs/>
          <w:snapToGrid w:val="0"/>
        </w:rPr>
        <w:t>QALY</w:t>
      </w:r>
      <w:r w:rsidRPr="009B1EF8">
        <w:rPr>
          <w:bCs/>
          <w:snapToGrid w:val="0"/>
        </w:rPr>
        <w:t xml:space="preserve"> gained based on the revised model was acceptable. </w:t>
      </w:r>
    </w:p>
    <w:p w14:paraId="5063BC79" w14:textId="77777777" w:rsidR="00825672" w:rsidRPr="00561A98" w:rsidRDefault="00825672" w:rsidP="00E176DF">
      <w:pPr>
        <w:widowControl w:val="0"/>
        <w:numPr>
          <w:ilvl w:val="1"/>
          <w:numId w:val="1"/>
        </w:numPr>
        <w:spacing w:before="120" w:after="120"/>
      </w:pPr>
      <w:r>
        <w:rPr>
          <w:rFonts w:asciiTheme="minorHAnsi" w:hAnsiTheme="minorHAnsi"/>
          <w:snapToGrid w:val="0"/>
          <w:lang w:val="en-GB"/>
        </w:rPr>
        <w:t xml:space="preserve">The PBAC accepted that the resubmission largely addressed its concerns related to the financial estimates raised at the March 2025 consideration in terms of revising the uptake rate, the inclusion of MBS costs, and a price reduction (paragraph 7.18). The PBAC considered that the revised financial estimates were reasonable. </w:t>
      </w:r>
    </w:p>
    <w:p w14:paraId="1D425955" w14:textId="6BC826C6" w:rsidR="00825672" w:rsidRPr="008D5B80" w:rsidRDefault="00825672" w:rsidP="00E176DF">
      <w:pPr>
        <w:pStyle w:val="3-BodyText"/>
        <w:numPr>
          <w:ilvl w:val="1"/>
          <w:numId w:val="1"/>
        </w:numPr>
        <w:rPr>
          <w:snapToGrid w:val="0"/>
        </w:rPr>
      </w:pPr>
      <w:r>
        <w:rPr>
          <w:snapToGrid w:val="0"/>
          <w:lang w:val="en-GB"/>
        </w:rPr>
        <w:t xml:space="preserve">The PBAC recalled it had considered that an RSA, with a rebate of </w:t>
      </w:r>
      <w:r w:rsidR="00D80F16" w:rsidRPr="00D80F16">
        <w:rPr>
          <w:snapToGrid w:val="0"/>
          <w:color w:val="000000"/>
          <w:w w:val="60"/>
          <w:shd w:val="solid" w:color="000000" w:fill="000000"/>
          <w:fitText w:val="470" w:id="-663974897"/>
          <w:lang w:val="en-GB"/>
          <w14:textFill>
            <w14:solidFill>
              <w14:srgbClr w14:val="000000">
                <w14:alpha w14:val="100000"/>
              </w14:srgbClr>
            </w14:solidFill>
          </w14:textFill>
        </w:rPr>
        <w:t>|||  ||</w:t>
      </w:r>
      <w:r w:rsidR="00D80F16" w:rsidRPr="00D80F16">
        <w:rPr>
          <w:snapToGrid w:val="0"/>
          <w:color w:val="000000"/>
          <w:spacing w:val="6"/>
          <w:w w:val="60"/>
          <w:shd w:val="solid" w:color="000000" w:fill="000000"/>
          <w:fitText w:val="470" w:id="-663974897"/>
          <w:lang w:val="en-GB"/>
          <w14:textFill>
            <w14:solidFill>
              <w14:srgbClr w14:val="000000">
                <w14:alpha w14:val="100000"/>
              </w14:srgbClr>
            </w14:solidFill>
          </w14:textFill>
        </w:rPr>
        <w:t>|</w:t>
      </w:r>
      <w:r>
        <w:rPr>
          <w:snapToGrid w:val="0"/>
          <w:lang w:val="en-GB"/>
        </w:rPr>
        <w:t xml:space="preserve">% for use above the expenditure caps, would be required to mitigate the use in chronic (inactive) and less severe </w:t>
      </w:r>
      <w:r w:rsidRPr="008D5B80">
        <w:rPr>
          <w:snapToGrid w:val="0"/>
          <w:lang w:val="en-GB"/>
        </w:rPr>
        <w:t xml:space="preserve">disease (paragraph 7.19) and noted that the resubmission had proposed a </w:t>
      </w:r>
      <w:r w:rsidRPr="008D5B80">
        <w:rPr>
          <w:bCs/>
          <w:snapToGrid w:val="0"/>
        </w:rPr>
        <w:t>2-tier RSA with the second tier allowing for 24% of patients who may be retreated with teprotumumab (</w:t>
      </w:r>
      <w:r w:rsidRPr="008D5B80">
        <w:rPr>
          <w:bCs/>
          <w:snapToGrid w:val="0"/>
        </w:rPr>
        <w:fldChar w:fldCharType="begin"/>
      </w:r>
      <w:r w:rsidRPr="008D5B80">
        <w:rPr>
          <w:bCs/>
          <w:snapToGrid w:val="0"/>
        </w:rPr>
        <w:instrText xml:space="preserve"> REF _Ref199149864 \h </w:instrText>
      </w:r>
      <w:r>
        <w:rPr>
          <w:bCs/>
          <w:snapToGrid w:val="0"/>
        </w:rPr>
        <w:instrText xml:space="preserve"> \* MERGEFORMAT </w:instrText>
      </w:r>
      <w:r w:rsidRPr="008D5B80">
        <w:rPr>
          <w:bCs/>
          <w:snapToGrid w:val="0"/>
        </w:rPr>
      </w:r>
      <w:r w:rsidRPr="008D5B80">
        <w:rPr>
          <w:bCs/>
          <w:snapToGrid w:val="0"/>
        </w:rPr>
        <w:fldChar w:fldCharType="separate"/>
      </w:r>
      <w:r w:rsidR="0012101B" w:rsidRPr="00522C92">
        <w:t xml:space="preserve">Table </w:t>
      </w:r>
      <w:r w:rsidR="0012101B">
        <w:rPr>
          <w:noProof/>
        </w:rPr>
        <w:t>32</w:t>
      </w:r>
      <w:r w:rsidRPr="008D5B80">
        <w:rPr>
          <w:bCs/>
          <w:snapToGrid w:val="0"/>
        </w:rPr>
        <w:fldChar w:fldCharType="end"/>
      </w:r>
      <w:r w:rsidRPr="008D5B80">
        <w:rPr>
          <w:bCs/>
          <w:snapToGrid w:val="0"/>
        </w:rPr>
        <w:t>). The PBAC noted that this percentage was aligned with previous DUSC advice (March 2025 DUSC advice) and Ugradar et al 2025</w:t>
      </w:r>
      <w:r w:rsidRPr="008D5B80">
        <w:rPr>
          <w:rStyle w:val="FootnoteReference"/>
          <w:bCs/>
          <w:snapToGrid w:val="0"/>
        </w:rPr>
        <w:footnoteReference w:id="60"/>
      </w:r>
      <w:r w:rsidRPr="008D5B80">
        <w:rPr>
          <w:bCs/>
          <w:snapToGrid w:val="0"/>
        </w:rPr>
        <w:t xml:space="preserve">. The PBAC considered that this percentage was reasonable. However, the PBAC considered that there was likely to be a delay between the listing of teprotumumab and the onset of retreatment and therefore considered that the incorporation of retreatment in the RSA should start from the second year of listing. The PBAC therefore considered that a </w:t>
      </w:r>
      <w:r w:rsidR="00D80F16" w:rsidRPr="00D80F16">
        <w:rPr>
          <w:bCs/>
          <w:snapToGrid w:val="0"/>
          <w:color w:val="000000"/>
          <w:w w:val="60"/>
          <w:shd w:val="solid" w:color="000000" w:fill="000000"/>
          <w:fitText w:val="470" w:id="-663974896"/>
          <w14:textFill>
            <w14:solidFill>
              <w14:srgbClr w14:val="000000">
                <w14:alpha w14:val="100000"/>
              </w14:srgbClr>
            </w14:solidFill>
          </w14:textFill>
        </w:rPr>
        <w:t>|||  ||</w:t>
      </w:r>
      <w:r w:rsidR="00D80F16" w:rsidRPr="00D80F16">
        <w:rPr>
          <w:bCs/>
          <w:snapToGrid w:val="0"/>
          <w:color w:val="000000"/>
          <w:spacing w:val="6"/>
          <w:w w:val="60"/>
          <w:shd w:val="solid" w:color="000000" w:fill="000000"/>
          <w:fitText w:val="470" w:id="-663974896"/>
          <w14:textFill>
            <w14:solidFill>
              <w14:srgbClr w14:val="000000">
                <w14:alpha w14:val="100000"/>
              </w14:srgbClr>
            </w14:solidFill>
          </w14:textFill>
        </w:rPr>
        <w:t>|</w:t>
      </w:r>
      <w:r w:rsidRPr="008D5B80">
        <w:rPr>
          <w:bCs/>
          <w:snapToGrid w:val="0"/>
        </w:rPr>
        <w:t xml:space="preserve">% rebate for use above tier 1 should apply to the first year of listing and the resubmission’s proposal for a </w:t>
      </w:r>
      <w:r w:rsidR="00D80F16" w:rsidRPr="00D80F16">
        <w:rPr>
          <w:bCs/>
          <w:snapToGrid w:val="0"/>
          <w:color w:val="000000"/>
          <w:w w:val="60"/>
          <w:shd w:val="solid" w:color="000000" w:fill="000000"/>
          <w:fitText w:val="470" w:id="-663974912"/>
          <w14:textFill>
            <w14:solidFill>
              <w14:srgbClr w14:val="000000">
                <w14:alpha w14:val="100000"/>
              </w14:srgbClr>
            </w14:solidFill>
          </w14:textFill>
        </w:rPr>
        <w:t>|||  ||</w:t>
      </w:r>
      <w:r w:rsidR="00D80F16" w:rsidRPr="00D80F16">
        <w:rPr>
          <w:bCs/>
          <w:snapToGrid w:val="0"/>
          <w:color w:val="000000"/>
          <w:spacing w:val="6"/>
          <w:w w:val="60"/>
          <w:shd w:val="solid" w:color="000000" w:fill="000000"/>
          <w:fitText w:val="470" w:id="-663974912"/>
          <w14:textFill>
            <w14:solidFill>
              <w14:srgbClr w14:val="000000">
                <w14:alpha w14:val="100000"/>
              </w14:srgbClr>
            </w14:solidFill>
          </w14:textFill>
        </w:rPr>
        <w:t>|</w:t>
      </w:r>
      <w:r w:rsidRPr="008D5B80">
        <w:rPr>
          <w:bCs/>
          <w:snapToGrid w:val="0"/>
        </w:rPr>
        <w:t xml:space="preserve">% rebate for use above the tier 1 expenditure cap </w:t>
      </w:r>
      <w:r w:rsidRPr="008D5B80">
        <w:rPr>
          <w:bCs/>
          <w:snapToGrid w:val="0"/>
        </w:rPr>
        <w:lastRenderedPageBreak/>
        <w:t xml:space="preserve">and a </w:t>
      </w:r>
      <w:r w:rsidR="00D80F16" w:rsidRPr="00702E51">
        <w:rPr>
          <w:bCs/>
          <w:snapToGrid w:val="0"/>
          <w:color w:val="000000"/>
          <w:w w:val="60"/>
          <w:shd w:val="solid" w:color="000000" w:fill="000000"/>
          <w:fitText w:val="470" w:id="-663974911"/>
          <w14:textFill>
            <w14:solidFill>
              <w14:srgbClr w14:val="000000">
                <w14:alpha w14:val="100000"/>
              </w14:srgbClr>
            </w14:solidFill>
          </w14:textFill>
        </w:rPr>
        <w:t>|||  ||</w:t>
      </w:r>
      <w:r w:rsidR="00D80F16" w:rsidRPr="00702E51">
        <w:rPr>
          <w:bCs/>
          <w:snapToGrid w:val="0"/>
          <w:color w:val="000000"/>
          <w:spacing w:val="6"/>
          <w:w w:val="60"/>
          <w:shd w:val="solid" w:color="000000" w:fill="000000"/>
          <w:fitText w:val="470" w:id="-663974911"/>
          <w14:textFill>
            <w14:solidFill>
              <w14:srgbClr w14:val="000000">
                <w14:alpha w14:val="100000"/>
              </w14:srgbClr>
            </w14:solidFill>
          </w14:textFill>
        </w:rPr>
        <w:t>|</w:t>
      </w:r>
      <w:r w:rsidRPr="008D5B80">
        <w:rPr>
          <w:bCs/>
          <w:snapToGrid w:val="0"/>
        </w:rPr>
        <w:t>% rebate for use above the tier 2 expenditure cap should apply from the second year of listing.</w:t>
      </w:r>
    </w:p>
    <w:p w14:paraId="1569D086" w14:textId="77777777" w:rsidR="00825672" w:rsidRDefault="00825672" w:rsidP="00E176DF">
      <w:pPr>
        <w:widowControl w:val="0"/>
        <w:numPr>
          <w:ilvl w:val="1"/>
          <w:numId w:val="1"/>
        </w:numPr>
        <w:spacing w:before="120" w:after="120"/>
        <w:rPr>
          <w:rFonts w:asciiTheme="minorHAnsi" w:hAnsiTheme="minorHAnsi"/>
          <w:bCs/>
          <w:snapToGrid w:val="0"/>
          <w:lang w:val="en-GB"/>
        </w:rPr>
      </w:pPr>
      <w:r w:rsidRPr="008D5B80">
        <w:rPr>
          <w:lang w:val="en-GB"/>
        </w:rPr>
        <w:t>The PBAC recommended that teprotumumab should not be treated as interchangeable with any other</w:t>
      </w:r>
      <w:r w:rsidRPr="00525B39">
        <w:rPr>
          <w:lang w:val="en-GB"/>
        </w:rPr>
        <w:t xml:space="preserve"> drugs</w:t>
      </w:r>
      <w:r>
        <w:rPr>
          <w:lang w:val="en-GB"/>
        </w:rPr>
        <w:t xml:space="preserve"> </w:t>
      </w:r>
      <w:r w:rsidRPr="001C25C2">
        <w:rPr>
          <w:rFonts w:eastAsiaTheme="minorHAnsi" w:cstheme="minorBidi"/>
          <w:color w:val="000000" w:themeColor="text1"/>
        </w:rPr>
        <w:t xml:space="preserve">under Section 101 (3BA) of the </w:t>
      </w:r>
      <w:r w:rsidRPr="001C25C2">
        <w:rPr>
          <w:rFonts w:eastAsiaTheme="minorHAnsi" w:cstheme="minorBidi"/>
          <w:i/>
          <w:color w:val="000000" w:themeColor="text1"/>
        </w:rPr>
        <w:t>National Health Act 1953</w:t>
      </w:r>
      <w:r w:rsidRPr="006E0938">
        <w:rPr>
          <w:bCs/>
          <w:lang w:val="en-GB"/>
        </w:rPr>
        <w:t>.</w:t>
      </w:r>
    </w:p>
    <w:p w14:paraId="17715277" w14:textId="77777777" w:rsidR="00825672" w:rsidRDefault="00825672" w:rsidP="00E176DF">
      <w:pPr>
        <w:widowControl w:val="0"/>
        <w:numPr>
          <w:ilvl w:val="1"/>
          <w:numId w:val="1"/>
        </w:numPr>
        <w:spacing w:before="120"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Pr>
          <w:rFonts w:asciiTheme="minorHAnsi" w:hAnsiTheme="minorHAnsi"/>
          <w:bCs/>
          <w:snapToGrid w:val="0"/>
          <w:lang w:val="en-GB"/>
        </w:rPr>
        <w:t>teprotumumab</w:t>
      </w:r>
      <w:r w:rsidRPr="00525B39">
        <w:rPr>
          <w:rFonts w:asciiTheme="minorHAnsi" w:hAnsiTheme="minorHAnsi"/>
          <w:bCs/>
          <w:snapToGrid w:val="0"/>
          <w:lang w:val="en-GB"/>
        </w:rPr>
        <w:t xml:space="preserve"> is not suitable for presc</w:t>
      </w:r>
      <w:r>
        <w:rPr>
          <w:rFonts w:asciiTheme="minorHAnsi" w:hAnsiTheme="minorHAnsi"/>
          <w:bCs/>
          <w:snapToGrid w:val="0"/>
          <w:lang w:val="en-GB"/>
        </w:rPr>
        <w:t>ribing by nurse practitioners. The PBAC advised that teprotumumab is suitable for prescribing by medical practitioners only.</w:t>
      </w:r>
    </w:p>
    <w:p w14:paraId="71755207" w14:textId="77777777" w:rsidR="00825672" w:rsidRPr="00525B39" w:rsidRDefault="00825672" w:rsidP="00E176DF">
      <w:pPr>
        <w:widowControl w:val="0"/>
        <w:numPr>
          <w:ilvl w:val="1"/>
          <w:numId w:val="1"/>
        </w:numPr>
        <w:spacing w:before="120" w:after="120"/>
        <w:rPr>
          <w:rFonts w:asciiTheme="minorHAnsi" w:hAnsiTheme="minorHAnsi"/>
          <w:bCs/>
          <w:snapToGrid w:val="0"/>
          <w:lang w:val="en-GB"/>
        </w:rPr>
      </w:pPr>
      <w:r>
        <w:rPr>
          <w:rFonts w:asciiTheme="minorHAnsi" w:hAnsiTheme="minorHAnsi"/>
          <w:bCs/>
          <w:snapToGrid w:val="0"/>
          <w:lang w:val="en-GB"/>
        </w:rPr>
        <w:t>T</w:t>
      </w:r>
      <w:r w:rsidRPr="002A109B">
        <w:rPr>
          <w:rFonts w:asciiTheme="minorHAnsi" w:hAnsiTheme="minorHAnsi"/>
          <w:bCs/>
          <w:snapToGrid w:val="0"/>
          <w:lang w:val="en-GB"/>
        </w:rPr>
        <w:t xml:space="preserve">he </w:t>
      </w:r>
      <w:r>
        <w:rPr>
          <w:rFonts w:asciiTheme="minorHAnsi" w:hAnsiTheme="minorHAnsi"/>
          <w:bCs/>
          <w:snapToGrid w:val="0"/>
          <w:lang w:val="en-GB"/>
        </w:rPr>
        <w:t xml:space="preserve">PBAC advised the </w:t>
      </w:r>
      <w:r w:rsidRPr="002A109B">
        <w:rPr>
          <w:rFonts w:asciiTheme="minorHAnsi" w:hAnsiTheme="minorHAnsi"/>
          <w:bCs/>
          <w:snapToGrid w:val="0"/>
          <w:lang w:val="en-GB"/>
        </w:rPr>
        <w:t>Early Supply Rule should not apply.</w:t>
      </w:r>
    </w:p>
    <w:p w14:paraId="3CD8DC97" w14:textId="77777777" w:rsidR="00825672" w:rsidRPr="007A666B" w:rsidRDefault="00825672" w:rsidP="00E176DF">
      <w:pPr>
        <w:widowControl w:val="0"/>
        <w:numPr>
          <w:ilvl w:val="1"/>
          <w:numId w:val="1"/>
        </w:numPr>
        <w:spacing w:before="120" w:after="120"/>
        <w:rPr>
          <w:rFonts w:asciiTheme="minorHAnsi" w:hAnsiTheme="minorHAnsi" w:cstheme="minorHAnsi"/>
          <w:b/>
          <w:lang w:val="en-GB"/>
        </w:rPr>
      </w:pPr>
      <w:r w:rsidRPr="007A666B">
        <w:rPr>
          <w:rFonts w:asciiTheme="minorHAnsi" w:hAnsiTheme="minorHAnsi" w:cstheme="minorHAnsi"/>
          <w:lang w:val="en-GB"/>
        </w:rPr>
        <w:t xml:space="preserve">The PBAC found that the criteria prescribed by the </w:t>
      </w:r>
      <w:r w:rsidRPr="007A666B">
        <w:rPr>
          <w:rFonts w:asciiTheme="minorHAnsi" w:hAnsiTheme="minorHAnsi" w:cstheme="minorHAnsi"/>
          <w:i/>
          <w:lang w:val="en-GB"/>
        </w:rPr>
        <w:t>National Health (Pharmaceuticals and Vaccines – Cost Recovery) Regulations 2022</w:t>
      </w:r>
      <w:r w:rsidRPr="007A666B">
        <w:rPr>
          <w:rFonts w:asciiTheme="minorHAnsi" w:hAnsiTheme="minorHAnsi" w:cstheme="minorHAnsi"/>
          <w:lang w:val="en-GB"/>
        </w:rPr>
        <w:t xml:space="preserve"> for Pricing Pathway A were met. Specifically</w:t>
      </w:r>
      <w:r>
        <w:rPr>
          <w:rFonts w:asciiTheme="minorHAnsi" w:hAnsiTheme="minorHAnsi" w:cstheme="minorHAnsi"/>
          <w:lang w:val="en-GB"/>
        </w:rPr>
        <w:t>,</w:t>
      </w:r>
      <w:r w:rsidRPr="007A666B">
        <w:rPr>
          <w:rFonts w:asciiTheme="minorHAnsi" w:hAnsiTheme="minorHAnsi" w:cstheme="minorHAnsi"/>
          <w:lang w:val="en-GB"/>
        </w:rPr>
        <w:t xml:space="preserve"> the PBAC found that in the circumstances of its recommendation for </w:t>
      </w:r>
      <w:r>
        <w:rPr>
          <w:rFonts w:asciiTheme="minorHAnsi" w:hAnsiTheme="minorHAnsi" w:cstheme="minorHAnsi"/>
          <w:lang w:val="en-GB"/>
        </w:rPr>
        <w:t>teprotumumab</w:t>
      </w:r>
      <w:r w:rsidRPr="007A666B">
        <w:rPr>
          <w:rFonts w:asciiTheme="minorHAnsi" w:hAnsiTheme="minorHAnsi" w:cstheme="minorHAnsi"/>
          <w:lang w:val="en-GB"/>
        </w:rPr>
        <w:t>:</w:t>
      </w:r>
    </w:p>
    <w:p w14:paraId="6693650B" w14:textId="77777777" w:rsidR="00825672" w:rsidRPr="00763DFB" w:rsidRDefault="00825672" w:rsidP="00E176DF">
      <w:pPr>
        <w:widowControl w:val="0"/>
        <w:numPr>
          <w:ilvl w:val="1"/>
          <w:numId w:val="21"/>
        </w:numPr>
        <w:spacing w:before="120" w:after="120"/>
        <w:ind w:left="1134"/>
        <w:rPr>
          <w:rFonts w:asciiTheme="minorHAnsi" w:hAnsiTheme="minorHAnsi" w:cstheme="minorHAnsi"/>
          <w:lang w:val="en-GB"/>
        </w:rPr>
      </w:pPr>
      <w:r w:rsidRPr="00763DFB">
        <w:rPr>
          <w:rFonts w:asciiTheme="minorHAnsi" w:hAnsiTheme="minorHAnsi" w:cstheme="minorHAnsi"/>
          <w:lang w:val="en-GB"/>
        </w:rPr>
        <w:t>T</w:t>
      </w:r>
      <w:r>
        <w:rPr>
          <w:rFonts w:asciiTheme="minorHAnsi" w:hAnsiTheme="minorHAnsi" w:cstheme="minorHAnsi"/>
          <w:lang w:val="en-GB"/>
        </w:rPr>
        <w:t>he treatment i</w:t>
      </w:r>
      <w:r w:rsidRPr="00763DFB">
        <w:rPr>
          <w:rFonts w:asciiTheme="minorHAnsi" w:hAnsiTheme="minorHAnsi" w:cstheme="minorHAnsi"/>
          <w:lang w:val="en-GB"/>
        </w:rPr>
        <w:t>s expected to provide a substantial and clinically relevant improvement in efficacy</w:t>
      </w:r>
      <w:r>
        <w:rPr>
          <w:rFonts w:asciiTheme="minorHAnsi" w:hAnsiTheme="minorHAnsi" w:cstheme="minorHAnsi"/>
          <w:lang w:val="en-GB"/>
        </w:rPr>
        <w:t xml:space="preserve"> over alternative therapies on the basis of superior comparative effectiveness to standard of care; </w:t>
      </w:r>
      <w:r w:rsidRPr="00763DFB">
        <w:rPr>
          <w:rFonts w:asciiTheme="minorHAnsi" w:hAnsiTheme="minorHAnsi" w:cstheme="minorHAnsi"/>
          <w:lang w:val="en-GB"/>
        </w:rPr>
        <w:t xml:space="preserve"> </w:t>
      </w:r>
    </w:p>
    <w:p w14:paraId="3F984F2E" w14:textId="77777777" w:rsidR="00825672" w:rsidRPr="00763DFB" w:rsidRDefault="00825672" w:rsidP="00E176DF">
      <w:pPr>
        <w:widowControl w:val="0"/>
        <w:numPr>
          <w:ilvl w:val="1"/>
          <w:numId w:val="21"/>
        </w:numPr>
        <w:spacing w:before="120" w:after="120"/>
        <w:ind w:left="1134"/>
        <w:rPr>
          <w:rFonts w:asciiTheme="minorHAnsi" w:hAnsiTheme="minorHAnsi" w:cstheme="minorHAnsi"/>
          <w:lang w:val="en-GB"/>
        </w:rPr>
      </w:pPr>
      <w:r w:rsidRPr="00763DFB">
        <w:rPr>
          <w:rFonts w:asciiTheme="minorHAnsi" w:hAnsiTheme="minorHAnsi" w:cstheme="minorHAnsi"/>
          <w:lang w:val="en-GB"/>
        </w:rPr>
        <w:t>T</w:t>
      </w:r>
      <w:r>
        <w:rPr>
          <w:rFonts w:asciiTheme="minorHAnsi" w:hAnsiTheme="minorHAnsi" w:cstheme="minorHAnsi"/>
          <w:lang w:val="en-GB"/>
        </w:rPr>
        <w:t xml:space="preserve">he treatment </w:t>
      </w:r>
      <w:r w:rsidRPr="00763DFB">
        <w:rPr>
          <w:rFonts w:asciiTheme="minorHAnsi" w:hAnsiTheme="minorHAnsi" w:cstheme="minorHAnsi"/>
          <w:lang w:val="en-GB"/>
        </w:rPr>
        <w:t>is expected to address a high and urgent unmet clinical need</w:t>
      </w:r>
      <w:r>
        <w:rPr>
          <w:rFonts w:asciiTheme="minorHAnsi" w:hAnsiTheme="minorHAnsi" w:cstheme="minorHAnsi"/>
          <w:lang w:val="en-GB"/>
        </w:rPr>
        <w:t xml:space="preserve"> due to the lack of treatment options for patients with active MS TED</w:t>
      </w:r>
      <w:r w:rsidRPr="00763DFB">
        <w:rPr>
          <w:rFonts w:asciiTheme="minorHAnsi" w:hAnsiTheme="minorHAnsi" w:cstheme="minorHAnsi"/>
          <w:lang w:val="en-GB"/>
        </w:rPr>
        <w:t>;</w:t>
      </w:r>
    </w:p>
    <w:p w14:paraId="51227F09" w14:textId="77777777" w:rsidR="00825672" w:rsidRPr="00763DFB" w:rsidRDefault="00825672" w:rsidP="00E176DF">
      <w:pPr>
        <w:widowControl w:val="0"/>
        <w:numPr>
          <w:ilvl w:val="1"/>
          <w:numId w:val="21"/>
        </w:numPr>
        <w:spacing w:before="120" w:after="120"/>
        <w:ind w:left="1134"/>
        <w:rPr>
          <w:rFonts w:asciiTheme="minorHAnsi" w:hAnsiTheme="minorHAnsi" w:cstheme="minorHAnsi"/>
          <w:lang w:val="en-GB"/>
        </w:rPr>
      </w:pPr>
      <w:r w:rsidRPr="00763DFB">
        <w:rPr>
          <w:rFonts w:asciiTheme="minorHAnsi" w:hAnsiTheme="minorHAnsi" w:cstheme="minorHAnsi"/>
          <w:lang w:val="en-GB"/>
        </w:rPr>
        <w:t>It would be in the public interest for the subsequent pricing application to be progressed under Pricing Pathway A on the basis of the preceding findings</w:t>
      </w:r>
      <w:r>
        <w:rPr>
          <w:rFonts w:asciiTheme="minorHAnsi" w:hAnsiTheme="minorHAnsi" w:cstheme="minorHAnsi"/>
          <w:lang w:val="en-GB"/>
        </w:rPr>
        <w:t>.</w:t>
      </w:r>
    </w:p>
    <w:p w14:paraId="3370689E" w14:textId="77777777" w:rsidR="00825672" w:rsidRPr="00AF437B" w:rsidRDefault="00825672" w:rsidP="00E176DF">
      <w:pPr>
        <w:pStyle w:val="3-BodyText"/>
        <w:numPr>
          <w:ilvl w:val="1"/>
          <w:numId w:val="1"/>
        </w:numPr>
      </w:pPr>
      <w:r w:rsidRPr="00AF437B">
        <w:t>The PBAC noted that this submission is not eligible for an Independent Review because it received a positive recommendation.</w:t>
      </w:r>
    </w:p>
    <w:p w14:paraId="7A6A41E6" w14:textId="77777777" w:rsidR="00825672" w:rsidRDefault="00825672" w:rsidP="00825672">
      <w:pPr>
        <w:rPr>
          <w:b/>
          <w:bCs/>
        </w:rPr>
      </w:pPr>
      <w:r w:rsidRPr="000B7186">
        <w:rPr>
          <w:b/>
          <w:bCs/>
        </w:rPr>
        <w:t>Outcome:</w:t>
      </w:r>
      <w:r>
        <w:rPr>
          <w:b/>
          <w:bCs/>
        </w:rPr>
        <w:t xml:space="preserve"> </w:t>
      </w:r>
    </w:p>
    <w:p w14:paraId="596EFFDA" w14:textId="77777777" w:rsidR="00825672" w:rsidRDefault="00825672" w:rsidP="00825672">
      <w:r w:rsidRPr="00BD301F">
        <w:t>Recommended</w:t>
      </w:r>
    </w:p>
    <w:p w14:paraId="125A2C3C" w14:textId="77777777" w:rsidR="00825672" w:rsidRPr="007561F4" w:rsidRDefault="00825672" w:rsidP="00825672">
      <w:pPr>
        <w:pStyle w:val="2-SectionHeading"/>
        <w:numPr>
          <w:ilvl w:val="0"/>
          <w:numId w:val="1"/>
        </w:numPr>
      </w:pPr>
      <w:r>
        <w:t>Recommended listing</w:t>
      </w:r>
    </w:p>
    <w:p w14:paraId="285FABB3" w14:textId="77777777" w:rsidR="00825672" w:rsidRPr="002F43CE" w:rsidRDefault="00825672" w:rsidP="00825672">
      <w:pPr>
        <w:pStyle w:val="3-BodyText"/>
        <w:keepNext/>
        <w:keepLines/>
        <w:widowControl w:val="0"/>
        <w:numPr>
          <w:ilvl w:val="0"/>
          <w:numId w:val="0"/>
        </w:numPr>
        <w:contextualSpacing/>
        <w:rPr>
          <w:bCs/>
          <w:snapToGrid w:val="0"/>
        </w:rPr>
      </w:pPr>
      <w:r w:rsidRPr="002F43CE">
        <w:rPr>
          <w:snapToGrid w:val="0"/>
        </w:rPr>
        <w:t>Add new item:</w:t>
      </w:r>
    </w:p>
    <w:p w14:paraId="45539721" w14:textId="77777777" w:rsidR="00825672" w:rsidRPr="002F43CE" w:rsidRDefault="00825672" w:rsidP="00825672">
      <w:pPr>
        <w:keepNext/>
        <w:keepLines/>
        <w:ind w:left="720" w:hanging="720"/>
        <w:rPr>
          <w:rFonts w:asciiTheme="minorHAnsi" w:hAnsiTheme="minorHAnsi"/>
          <w:b/>
          <w:bCs/>
          <w:snapToGrid w:val="0"/>
        </w:rPr>
      </w:pPr>
      <w:r w:rsidRPr="002F43CE">
        <w:rPr>
          <w:rFonts w:asciiTheme="minorHAnsi" w:hAnsiTheme="minorHAnsi"/>
          <w:b/>
          <w:bCs/>
          <w:snapToGrid w:val="0"/>
        </w:rPr>
        <w:t>Initial Restriction</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2"/>
        <w:gridCol w:w="1499"/>
        <w:gridCol w:w="735"/>
        <w:gridCol w:w="795"/>
        <w:gridCol w:w="795"/>
        <w:gridCol w:w="1814"/>
      </w:tblGrid>
      <w:tr w:rsidR="00825672" w:rsidRPr="005406FA" w14:paraId="34D5C4CE" w14:textId="77777777" w:rsidTr="00374CB4">
        <w:trPr>
          <w:trHeight w:val="300"/>
        </w:trPr>
        <w:tc>
          <w:tcPr>
            <w:tcW w:w="3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9B9B6"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MEDICINAL PRODUCT</w:t>
            </w:r>
            <w:r w:rsidRPr="005406FA">
              <w:rPr>
                <w:rFonts w:ascii="Arial Narrow" w:hAnsi="Arial Narrow"/>
                <w:sz w:val="20"/>
                <w:szCs w:val="20"/>
              </w:rPr>
              <w:t> </w:t>
            </w:r>
          </w:p>
          <w:p w14:paraId="65B64418"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medicinal product pack</w:t>
            </w:r>
            <w:r w:rsidRPr="005406FA">
              <w:rPr>
                <w:rFonts w:ascii="Arial Narrow" w:hAnsi="Arial Narrow"/>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F49C7"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PBS item code</w:t>
            </w:r>
            <w:r w:rsidRPr="005406FA">
              <w:rPr>
                <w:rFonts w:ascii="Arial Narrow" w:hAnsi="Arial Narrow"/>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E10D7"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Max. qty packs</w:t>
            </w:r>
            <w:r w:rsidRPr="005406FA">
              <w:rPr>
                <w:rFonts w:ascii="Arial Narrow" w:hAnsi="Arial Narrow"/>
                <w:sz w:val="20"/>
                <w:szCs w:val="20"/>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8CEC3"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Max. qty units</w:t>
            </w:r>
            <w:r w:rsidRPr="005406FA">
              <w:rPr>
                <w:rFonts w:ascii="Arial Narrow" w:hAnsi="Arial Narrow"/>
                <w:sz w:val="20"/>
                <w:szCs w:val="20"/>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0F3B2"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№.of</w:t>
            </w:r>
            <w:r w:rsidRPr="005406FA">
              <w:rPr>
                <w:rFonts w:ascii="Arial Narrow" w:hAnsi="Arial Narrow"/>
                <w:sz w:val="20"/>
                <w:szCs w:val="20"/>
              </w:rPr>
              <w:t> </w:t>
            </w:r>
          </w:p>
          <w:p w14:paraId="3F31B9DF"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Rpts</w:t>
            </w:r>
            <w:r w:rsidRPr="005406FA">
              <w:rPr>
                <w:rFonts w:ascii="Arial Narrow" w:hAnsi="Arial Narrow"/>
                <w:sz w:val="20"/>
                <w:szCs w:val="20"/>
              </w:rPr>
              <w:t> </w:t>
            </w:r>
          </w:p>
        </w:tc>
        <w:tc>
          <w:tcPr>
            <w:tcW w:w="18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4816A"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Available brands</w:t>
            </w:r>
            <w:r w:rsidRPr="005406FA">
              <w:rPr>
                <w:rFonts w:ascii="Arial Narrow" w:hAnsi="Arial Narrow"/>
                <w:sz w:val="20"/>
                <w:szCs w:val="20"/>
              </w:rPr>
              <w:t> </w:t>
            </w:r>
          </w:p>
        </w:tc>
      </w:tr>
      <w:tr w:rsidR="00825672" w:rsidRPr="005406FA" w14:paraId="01B27136" w14:textId="77777777" w:rsidTr="00374CB4">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7EBF213" w14:textId="77777777" w:rsidR="00825672" w:rsidRPr="005406FA" w:rsidRDefault="00825672" w:rsidP="00374CB4">
            <w:pPr>
              <w:rPr>
                <w:rFonts w:ascii="Arial Narrow" w:hAnsi="Arial Narrow"/>
                <w:sz w:val="20"/>
                <w:szCs w:val="20"/>
              </w:rPr>
            </w:pPr>
            <w:r w:rsidRPr="005406FA">
              <w:rPr>
                <w:rFonts w:ascii="Arial Narrow" w:hAnsi="Arial Narrow"/>
                <w:sz w:val="20"/>
                <w:szCs w:val="20"/>
              </w:rPr>
              <w:t>TEPROTUMUMAB </w:t>
            </w:r>
          </w:p>
        </w:tc>
      </w:tr>
      <w:tr w:rsidR="00825672" w:rsidRPr="005406FA" w14:paraId="601B0CA7" w14:textId="77777777" w:rsidTr="00374CB4">
        <w:trPr>
          <w:trHeight w:val="300"/>
        </w:trPr>
        <w:tc>
          <w:tcPr>
            <w:tcW w:w="3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D9194" w14:textId="375FF07E" w:rsidR="00825672" w:rsidRPr="005406FA" w:rsidRDefault="00825672" w:rsidP="00374CB4">
            <w:pPr>
              <w:rPr>
                <w:rFonts w:ascii="Arial Narrow" w:hAnsi="Arial Narrow"/>
                <w:sz w:val="20"/>
                <w:szCs w:val="20"/>
              </w:rPr>
            </w:pPr>
            <w:r w:rsidRPr="005406FA">
              <w:rPr>
                <w:rFonts w:ascii="Arial Narrow" w:hAnsi="Arial Narrow"/>
                <w:sz w:val="20"/>
                <w:szCs w:val="20"/>
              </w:rPr>
              <w:t>Teprotumumab 500 mg injection, 1 vial </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6CC83"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NEW (public)</w:t>
            </w:r>
          </w:p>
          <w:p w14:paraId="1F6066BA"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NEW (private)</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1BCB2"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3</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C0CB4F"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3</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47CF4"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0</w:t>
            </w:r>
          </w:p>
        </w:tc>
        <w:tc>
          <w:tcPr>
            <w:tcW w:w="18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A5BA8"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Tepezza</w:t>
            </w:r>
          </w:p>
        </w:tc>
      </w:tr>
      <w:tr w:rsidR="00825672" w:rsidRPr="005406FA" w14:paraId="7C82479F" w14:textId="77777777" w:rsidTr="00374CB4">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8C1590F" w14:textId="77777777" w:rsidR="00825672" w:rsidRPr="005406FA" w:rsidRDefault="00825672" w:rsidP="00374CB4">
            <w:pPr>
              <w:rPr>
                <w:rFonts w:ascii="Arial Narrow" w:hAnsi="Arial Narrow"/>
                <w:sz w:val="20"/>
                <w:szCs w:val="20"/>
              </w:rPr>
            </w:pPr>
          </w:p>
        </w:tc>
      </w:tr>
      <w:tr w:rsidR="00825672" w:rsidRPr="005406FA" w14:paraId="58F2578B" w14:textId="77777777" w:rsidTr="00374CB4">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D02A14A" w14:textId="224966DD" w:rsidR="00825672" w:rsidRPr="005406FA" w:rsidRDefault="00825672" w:rsidP="00374CB4">
            <w:pPr>
              <w:rPr>
                <w:rFonts w:ascii="Arial Narrow" w:hAnsi="Arial Narrow"/>
                <w:sz w:val="20"/>
                <w:szCs w:val="20"/>
              </w:rPr>
            </w:pPr>
            <w:r w:rsidRPr="005406FA">
              <w:rPr>
                <w:rFonts w:ascii="Arial Narrow" w:hAnsi="Arial Narrow"/>
                <w:b/>
                <w:bCs/>
                <w:sz w:val="20"/>
                <w:szCs w:val="20"/>
              </w:rPr>
              <w:t xml:space="preserve">Restriction Summary / Treatment of Concept: </w:t>
            </w:r>
          </w:p>
        </w:tc>
      </w:tr>
      <w:tr w:rsidR="008E601B" w:rsidRPr="005406FA" w14:paraId="0A0C4C84"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3E02C32" w14:textId="77777777" w:rsidR="008E601B" w:rsidRPr="0000023F" w:rsidRDefault="008E601B" w:rsidP="00374CB4">
            <w:pPr>
              <w:rPr>
                <w:rFonts w:ascii="Arial Narrow" w:hAnsi="Arial Narrow"/>
                <w:sz w:val="20"/>
                <w:szCs w:val="20"/>
              </w:rPr>
            </w:pPr>
            <w:r w:rsidRPr="0000023F">
              <w:rPr>
                <w:rFonts w:ascii="Arial Narrow" w:hAnsi="Arial Narrow"/>
                <w:b/>
                <w:bCs/>
                <w:sz w:val="20"/>
                <w:szCs w:val="20"/>
              </w:rPr>
              <w:t>Category / Program:</w:t>
            </w:r>
            <w:r w:rsidRPr="0000023F">
              <w:rPr>
                <w:rFonts w:ascii="Arial Narrow" w:hAnsi="Arial Narrow"/>
                <w:sz w:val="20"/>
                <w:szCs w:val="20"/>
              </w:rPr>
              <w:t xml:space="preserve"> </w:t>
            </w:r>
            <w:r w:rsidRPr="0000023F">
              <w:rPr>
                <w:rFonts w:ascii="Arial Narrow" w:eastAsia="Calibri" w:hAnsi="Arial Narrow"/>
                <w:sz w:val="20"/>
                <w:szCs w:val="20"/>
              </w:rPr>
              <w:fldChar w:fldCharType="begin">
                <w:ffData>
                  <w:name w:val=""/>
                  <w:enabled/>
                  <w:calcOnExit w:val="0"/>
                  <w:checkBox>
                    <w:sizeAuto/>
                    <w:default w:val="1"/>
                  </w:checkBox>
                </w:ffData>
              </w:fldChar>
            </w:r>
            <w:r w:rsidRPr="0000023F">
              <w:rPr>
                <w:rFonts w:ascii="Arial Narrow" w:eastAsia="Calibri" w:hAnsi="Arial Narrow"/>
                <w:sz w:val="20"/>
                <w:szCs w:val="20"/>
              </w:rPr>
              <w:instrText xml:space="preserve"> FORMCHECKBOX </w:instrText>
            </w:r>
            <w:r w:rsidRPr="0000023F">
              <w:rPr>
                <w:rFonts w:ascii="Arial Narrow" w:eastAsia="Calibri" w:hAnsi="Arial Narrow"/>
                <w:sz w:val="20"/>
                <w:szCs w:val="20"/>
              </w:rPr>
            </w:r>
            <w:r w:rsidRPr="0000023F">
              <w:rPr>
                <w:rFonts w:ascii="Arial Narrow" w:eastAsia="Calibri" w:hAnsi="Arial Narrow"/>
                <w:sz w:val="20"/>
                <w:szCs w:val="20"/>
              </w:rPr>
              <w:fldChar w:fldCharType="separate"/>
            </w:r>
            <w:r w:rsidRPr="0000023F">
              <w:rPr>
                <w:rFonts w:ascii="Arial Narrow" w:eastAsia="Calibri" w:hAnsi="Arial Narrow"/>
                <w:sz w:val="20"/>
                <w:szCs w:val="20"/>
              </w:rPr>
              <w:fldChar w:fldCharType="end"/>
            </w:r>
            <w:r w:rsidRPr="0000023F">
              <w:rPr>
                <w:rFonts w:ascii="Arial Narrow" w:eastAsia="Calibri" w:hAnsi="Arial Narrow"/>
                <w:sz w:val="20"/>
                <w:szCs w:val="20"/>
              </w:rPr>
              <w:t xml:space="preserve"> </w:t>
            </w:r>
            <w:r w:rsidRPr="0000023F">
              <w:rPr>
                <w:rFonts w:ascii="Arial Narrow" w:hAnsi="Arial Narrow"/>
                <w:sz w:val="20"/>
                <w:szCs w:val="20"/>
              </w:rPr>
              <w:t>Section 100 – Highly Specialised Drugs Program – Public (Code HB) / Private (Code HS) </w:t>
            </w:r>
          </w:p>
        </w:tc>
      </w:tr>
      <w:tr w:rsidR="008E601B" w:rsidRPr="005406FA" w14:paraId="290F5358"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1C4E197" w14:textId="77777777" w:rsidR="008E601B" w:rsidRPr="0000023F" w:rsidRDefault="008E601B" w:rsidP="00374CB4">
            <w:pPr>
              <w:rPr>
                <w:rFonts w:ascii="Arial Narrow" w:hAnsi="Arial Narrow"/>
                <w:sz w:val="20"/>
                <w:szCs w:val="20"/>
              </w:rPr>
            </w:pPr>
            <w:r w:rsidRPr="0000023F">
              <w:rPr>
                <w:rFonts w:ascii="Arial Narrow" w:hAnsi="Arial Narrow"/>
                <w:b/>
                <w:bCs/>
                <w:sz w:val="20"/>
                <w:szCs w:val="20"/>
              </w:rPr>
              <w:t xml:space="preserve">Prescriber type: </w:t>
            </w:r>
            <w:r w:rsidRPr="0000023F">
              <w:rPr>
                <w:rFonts w:ascii="Arial Narrow" w:eastAsia="Calibri" w:hAnsi="Arial Narrow"/>
                <w:sz w:val="20"/>
                <w:szCs w:val="20"/>
              </w:rPr>
              <w:fldChar w:fldCharType="begin">
                <w:ffData>
                  <w:name w:val=""/>
                  <w:enabled/>
                  <w:calcOnExit w:val="0"/>
                  <w:checkBox>
                    <w:sizeAuto/>
                    <w:default w:val="1"/>
                  </w:checkBox>
                </w:ffData>
              </w:fldChar>
            </w:r>
            <w:r w:rsidRPr="0000023F">
              <w:rPr>
                <w:rFonts w:ascii="Arial Narrow" w:eastAsia="Calibri" w:hAnsi="Arial Narrow"/>
                <w:sz w:val="20"/>
                <w:szCs w:val="20"/>
              </w:rPr>
              <w:instrText xml:space="preserve"> FORMCHECKBOX </w:instrText>
            </w:r>
            <w:r w:rsidRPr="0000023F">
              <w:rPr>
                <w:rFonts w:ascii="Arial Narrow" w:eastAsia="Calibri" w:hAnsi="Arial Narrow"/>
                <w:sz w:val="20"/>
                <w:szCs w:val="20"/>
              </w:rPr>
            </w:r>
            <w:r w:rsidRPr="0000023F">
              <w:rPr>
                <w:rFonts w:ascii="Arial Narrow" w:eastAsia="Calibri" w:hAnsi="Arial Narrow"/>
                <w:sz w:val="20"/>
                <w:szCs w:val="20"/>
              </w:rPr>
              <w:fldChar w:fldCharType="separate"/>
            </w:r>
            <w:r w:rsidRPr="0000023F">
              <w:rPr>
                <w:rFonts w:ascii="Arial Narrow" w:eastAsia="Calibri" w:hAnsi="Arial Narrow"/>
                <w:sz w:val="20"/>
                <w:szCs w:val="20"/>
              </w:rPr>
              <w:fldChar w:fldCharType="end"/>
            </w:r>
            <w:r w:rsidRPr="0000023F">
              <w:rPr>
                <w:rFonts w:ascii="Arial Narrow" w:eastAsia="Calibri" w:hAnsi="Arial Narrow"/>
                <w:sz w:val="20"/>
                <w:szCs w:val="20"/>
              </w:rPr>
              <w:t xml:space="preserve"> </w:t>
            </w:r>
            <w:r w:rsidRPr="0000023F">
              <w:rPr>
                <w:rFonts w:ascii="Arial Narrow" w:hAnsi="Arial Narrow"/>
                <w:sz w:val="20"/>
                <w:szCs w:val="20"/>
              </w:rPr>
              <w:t>Medical Practitioners  </w:t>
            </w:r>
          </w:p>
        </w:tc>
      </w:tr>
      <w:tr w:rsidR="008E601B" w:rsidRPr="005406FA" w14:paraId="07B1FCE7"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A325349" w14:textId="77777777" w:rsidR="008E601B" w:rsidRPr="0000023F" w:rsidRDefault="008E601B" w:rsidP="00374CB4">
            <w:pPr>
              <w:rPr>
                <w:rFonts w:ascii="Arial Narrow" w:hAnsi="Arial Narrow"/>
                <w:sz w:val="20"/>
                <w:szCs w:val="20"/>
              </w:rPr>
            </w:pPr>
            <w:r w:rsidRPr="0000023F">
              <w:rPr>
                <w:rFonts w:ascii="Arial Narrow" w:hAnsi="Arial Narrow"/>
                <w:b/>
                <w:bCs/>
                <w:sz w:val="20"/>
                <w:szCs w:val="20"/>
              </w:rPr>
              <w:t xml:space="preserve">Restriction type: </w:t>
            </w:r>
            <w:r w:rsidRPr="0000023F">
              <w:rPr>
                <w:rFonts w:ascii="Arial Narrow" w:eastAsia="Calibri" w:hAnsi="Arial Narrow"/>
                <w:sz w:val="20"/>
                <w:szCs w:val="20"/>
              </w:rPr>
              <w:fldChar w:fldCharType="begin">
                <w:ffData>
                  <w:name w:val=""/>
                  <w:enabled/>
                  <w:calcOnExit w:val="0"/>
                  <w:checkBox>
                    <w:sizeAuto/>
                    <w:default w:val="1"/>
                  </w:checkBox>
                </w:ffData>
              </w:fldChar>
            </w:r>
            <w:r w:rsidRPr="0000023F">
              <w:rPr>
                <w:rFonts w:ascii="Arial Narrow" w:eastAsia="Calibri" w:hAnsi="Arial Narrow"/>
                <w:sz w:val="20"/>
                <w:szCs w:val="20"/>
              </w:rPr>
              <w:instrText xml:space="preserve"> FORMCHECKBOX </w:instrText>
            </w:r>
            <w:r w:rsidRPr="0000023F">
              <w:rPr>
                <w:rFonts w:ascii="Arial Narrow" w:eastAsia="Calibri" w:hAnsi="Arial Narrow"/>
                <w:sz w:val="20"/>
                <w:szCs w:val="20"/>
              </w:rPr>
            </w:r>
            <w:r w:rsidRPr="0000023F">
              <w:rPr>
                <w:rFonts w:ascii="Arial Narrow" w:eastAsia="Calibri" w:hAnsi="Arial Narrow"/>
                <w:sz w:val="20"/>
                <w:szCs w:val="20"/>
              </w:rPr>
              <w:fldChar w:fldCharType="separate"/>
            </w:r>
            <w:r w:rsidRPr="0000023F">
              <w:rPr>
                <w:rFonts w:ascii="Arial Narrow" w:eastAsia="Calibri" w:hAnsi="Arial Narrow"/>
                <w:sz w:val="20"/>
                <w:szCs w:val="20"/>
              </w:rPr>
              <w:fldChar w:fldCharType="end"/>
            </w:r>
            <w:r w:rsidRPr="0000023F">
              <w:rPr>
                <w:rFonts w:ascii="Arial Narrow" w:eastAsia="Calibri" w:hAnsi="Arial Narrow"/>
                <w:sz w:val="20"/>
                <w:szCs w:val="20"/>
              </w:rPr>
              <w:t xml:space="preserve"> </w:t>
            </w:r>
            <w:r w:rsidRPr="0000023F">
              <w:rPr>
                <w:rFonts w:ascii="Arial Narrow" w:hAnsi="Arial Narrow"/>
                <w:sz w:val="20"/>
                <w:szCs w:val="20"/>
              </w:rPr>
              <w:t>Authority Required (telephone/electronic) </w:t>
            </w:r>
            <w:r w:rsidRPr="0000023F">
              <w:rPr>
                <w:rFonts w:ascii="Arial Narrow" w:eastAsia="Calibri" w:hAnsi="Arial Narrow"/>
                <w:sz w:val="20"/>
                <w:szCs w:val="20"/>
              </w:rPr>
              <w:t>[new listing]</w:t>
            </w:r>
          </w:p>
        </w:tc>
      </w:tr>
      <w:tr w:rsidR="008E601B" w:rsidRPr="00ED65DB" w14:paraId="3BF311A0"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5BBAD44" w14:textId="77777777" w:rsidR="008E601B" w:rsidRPr="0000023F" w:rsidRDefault="008E601B" w:rsidP="00374CB4">
            <w:pPr>
              <w:rPr>
                <w:rFonts w:ascii="Arial Narrow" w:hAnsi="Arial Narrow"/>
                <w:b/>
                <w:bCs/>
                <w:sz w:val="20"/>
                <w:szCs w:val="20"/>
              </w:rPr>
            </w:pPr>
            <w:r w:rsidRPr="0000023F">
              <w:rPr>
                <w:rFonts w:ascii="Arial Narrow" w:hAnsi="Arial Narrow"/>
                <w:b/>
                <w:sz w:val="20"/>
                <w:szCs w:val="20"/>
              </w:rPr>
              <w:t xml:space="preserve">Authority type: </w:t>
            </w:r>
            <w:r w:rsidRPr="0000023F">
              <w:rPr>
                <w:rFonts w:ascii="Arial Narrow" w:eastAsia="Calibri" w:hAnsi="Arial Narrow"/>
                <w:sz w:val="20"/>
                <w:szCs w:val="20"/>
              </w:rPr>
              <w:fldChar w:fldCharType="begin">
                <w:ffData>
                  <w:name w:val="Check1"/>
                  <w:enabled/>
                  <w:calcOnExit w:val="0"/>
                  <w:checkBox>
                    <w:sizeAuto/>
                    <w:default w:val="1"/>
                  </w:checkBox>
                </w:ffData>
              </w:fldChar>
            </w:r>
            <w:bookmarkStart w:id="151" w:name="Check1"/>
            <w:r w:rsidRPr="0000023F">
              <w:rPr>
                <w:rFonts w:ascii="Arial Narrow" w:eastAsia="Calibri" w:hAnsi="Arial Narrow"/>
                <w:sz w:val="20"/>
                <w:szCs w:val="20"/>
              </w:rPr>
              <w:instrText xml:space="preserve"> FORMCHECKBOX </w:instrText>
            </w:r>
            <w:r w:rsidRPr="0000023F">
              <w:rPr>
                <w:rFonts w:ascii="Arial Narrow" w:eastAsia="Calibri" w:hAnsi="Arial Narrow"/>
                <w:sz w:val="20"/>
                <w:szCs w:val="20"/>
              </w:rPr>
            </w:r>
            <w:r w:rsidRPr="0000023F">
              <w:rPr>
                <w:rFonts w:ascii="Arial Narrow" w:eastAsia="Calibri" w:hAnsi="Arial Narrow"/>
                <w:sz w:val="20"/>
                <w:szCs w:val="20"/>
              </w:rPr>
              <w:fldChar w:fldCharType="separate"/>
            </w:r>
            <w:r w:rsidRPr="0000023F">
              <w:rPr>
                <w:rFonts w:ascii="Arial Narrow" w:eastAsia="Calibri" w:hAnsi="Arial Narrow"/>
                <w:sz w:val="20"/>
                <w:szCs w:val="20"/>
              </w:rPr>
              <w:fldChar w:fldCharType="end"/>
            </w:r>
            <w:bookmarkEnd w:id="151"/>
            <w:r w:rsidRPr="0000023F">
              <w:rPr>
                <w:rFonts w:ascii="Arial Narrow" w:eastAsia="Calibri" w:hAnsi="Arial Narrow"/>
                <w:sz w:val="20"/>
                <w:szCs w:val="20"/>
              </w:rPr>
              <w:t xml:space="preserve"> Non-complex Authority Required (non-CAR)</w:t>
            </w:r>
          </w:p>
        </w:tc>
      </w:tr>
      <w:tr w:rsidR="008E601B" w:rsidRPr="00ED65DB" w14:paraId="7D10C441"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C22C5F3" w14:textId="77777777" w:rsidR="008E601B" w:rsidRPr="0000023F" w:rsidRDefault="008E601B" w:rsidP="00374CB4">
            <w:pPr>
              <w:rPr>
                <w:rFonts w:ascii="Arial Narrow" w:hAnsi="Arial Narrow"/>
                <w:sz w:val="20"/>
                <w:szCs w:val="20"/>
              </w:rPr>
            </w:pPr>
            <w:r w:rsidRPr="0000023F">
              <w:rPr>
                <w:rFonts w:ascii="Arial Narrow" w:hAnsi="Arial Narrow"/>
                <w:b/>
                <w:bCs/>
                <w:sz w:val="20"/>
                <w:szCs w:val="20"/>
              </w:rPr>
              <w:lastRenderedPageBreak/>
              <w:t xml:space="preserve">Administrative Advice: </w:t>
            </w:r>
            <w:r w:rsidRPr="0000023F">
              <w:rPr>
                <w:rFonts w:ascii="Arial Narrow" w:hAnsi="Arial Narrow"/>
                <w:sz w:val="20"/>
                <w:szCs w:val="20"/>
              </w:rPr>
              <w:t>No increase in the maximum number of repeats may be authorised.</w:t>
            </w:r>
          </w:p>
        </w:tc>
      </w:tr>
      <w:tr w:rsidR="008E601B" w:rsidRPr="00ED65DB" w14:paraId="1E7A7E0F"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tcPr>
          <w:p w14:paraId="17AB3770" w14:textId="77777777" w:rsidR="008E601B" w:rsidRPr="0000023F" w:rsidRDefault="008E601B" w:rsidP="00374CB4">
            <w:pPr>
              <w:rPr>
                <w:rFonts w:ascii="Arial Narrow" w:hAnsi="Arial Narrow"/>
                <w:sz w:val="20"/>
                <w:szCs w:val="20"/>
              </w:rPr>
            </w:pPr>
            <w:r w:rsidRPr="0000023F">
              <w:rPr>
                <w:rFonts w:ascii="Arial Narrow" w:hAnsi="Arial Narrow"/>
                <w:sz w:val="20"/>
                <w:szCs w:val="20"/>
              </w:rPr>
              <w:t>Special Pricing Arrangements apply</w:t>
            </w:r>
          </w:p>
        </w:tc>
      </w:tr>
      <w:tr w:rsidR="008E601B" w:rsidRPr="00ED65DB" w14:paraId="144EE3F0"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tcPr>
          <w:p w14:paraId="7AB53212" w14:textId="77777777" w:rsidR="008E601B" w:rsidRPr="0000023F" w:rsidRDefault="008E601B" w:rsidP="00374CB4">
            <w:pPr>
              <w:rPr>
                <w:rFonts w:ascii="Arial Narrow" w:hAnsi="Arial Narrow"/>
                <w:sz w:val="20"/>
                <w:szCs w:val="20"/>
              </w:rPr>
            </w:pPr>
            <w:r w:rsidRPr="0000023F">
              <w:rPr>
                <w:rFonts w:ascii="Arial Narrow" w:hAnsi="Arial Narrow"/>
                <w:sz w:val="20"/>
                <w:szCs w:val="20"/>
              </w:rPr>
              <w:t>Administrative Advice: Applications for authorisation under this restriction may be made in real time using the Online PBS Authorities system (see www.servicesaustralia.gov.au/HPOS) or by telephone by contacting Services Australia on 1800 888 333.</w:t>
            </w:r>
          </w:p>
        </w:tc>
      </w:tr>
      <w:tr w:rsidR="008E601B" w:rsidRPr="005406FA" w14:paraId="5BAA78AA"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2E4B96E"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 xml:space="preserve">Severity: </w:t>
            </w:r>
            <w:r w:rsidRPr="005406FA">
              <w:rPr>
                <w:rFonts w:ascii="Arial Narrow" w:hAnsi="Arial Narrow"/>
                <w:sz w:val="20"/>
                <w:szCs w:val="20"/>
              </w:rPr>
              <w:t>Moderate-to-severe</w:t>
            </w:r>
            <w:r w:rsidRPr="005406FA">
              <w:rPr>
                <w:rFonts w:ascii="Arial Narrow" w:hAnsi="Arial Narrow"/>
                <w:b/>
                <w:bCs/>
                <w:sz w:val="20"/>
                <w:szCs w:val="20"/>
              </w:rPr>
              <w:t> </w:t>
            </w:r>
            <w:r w:rsidRPr="005406FA">
              <w:rPr>
                <w:rFonts w:ascii="Arial Narrow" w:hAnsi="Arial Narrow"/>
                <w:sz w:val="20"/>
                <w:szCs w:val="20"/>
              </w:rPr>
              <w:t> </w:t>
            </w:r>
          </w:p>
        </w:tc>
      </w:tr>
      <w:tr w:rsidR="008E601B" w:rsidRPr="005406FA" w14:paraId="41C54889"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897C74B"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 xml:space="preserve">Condition: </w:t>
            </w:r>
            <w:r w:rsidRPr="005406FA">
              <w:rPr>
                <w:rFonts w:ascii="Arial Narrow" w:hAnsi="Arial Narrow"/>
                <w:sz w:val="20"/>
                <w:szCs w:val="20"/>
              </w:rPr>
              <w:t>Thyroid eye disease</w:t>
            </w:r>
            <w:r w:rsidRPr="005406FA">
              <w:rPr>
                <w:rFonts w:ascii="Arial Narrow" w:hAnsi="Arial Narrow"/>
                <w:b/>
                <w:bCs/>
                <w:sz w:val="20"/>
                <w:szCs w:val="20"/>
              </w:rPr>
              <w:t> </w:t>
            </w:r>
            <w:r w:rsidRPr="005406FA">
              <w:rPr>
                <w:rFonts w:ascii="Arial Narrow" w:hAnsi="Arial Narrow"/>
                <w:sz w:val="20"/>
                <w:szCs w:val="20"/>
              </w:rPr>
              <w:t> </w:t>
            </w:r>
          </w:p>
        </w:tc>
      </w:tr>
      <w:tr w:rsidR="008E601B" w:rsidRPr="005406FA" w14:paraId="4F2480E3"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BD7C16E"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Indication:</w:t>
            </w:r>
            <w:r w:rsidRPr="005406FA">
              <w:rPr>
                <w:rFonts w:ascii="Arial Narrow" w:hAnsi="Arial Narrow"/>
                <w:sz w:val="20"/>
                <w:szCs w:val="20"/>
              </w:rPr>
              <w:t xml:space="preserve"> Active Moderate-to-severe thyroid eye disease  </w:t>
            </w:r>
          </w:p>
        </w:tc>
      </w:tr>
      <w:tr w:rsidR="008E601B" w:rsidRPr="005406FA" w14:paraId="70DBF19D"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5DFAC26"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Treatment Phase:</w:t>
            </w:r>
            <w:r w:rsidRPr="005406FA">
              <w:rPr>
                <w:rFonts w:ascii="Arial Narrow" w:hAnsi="Arial Narrow"/>
                <w:sz w:val="20"/>
                <w:szCs w:val="20"/>
              </w:rPr>
              <w:t xml:space="preserve"> Initial treatment </w:t>
            </w:r>
          </w:p>
        </w:tc>
      </w:tr>
      <w:tr w:rsidR="008E601B" w:rsidRPr="00740C21" w14:paraId="2FCD2E36"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C78C292" w14:textId="77777777" w:rsidR="008E601B" w:rsidRPr="00740C21" w:rsidRDefault="008E601B" w:rsidP="00374CB4">
            <w:pPr>
              <w:rPr>
                <w:rFonts w:ascii="Arial Narrow" w:hAnsi="Arial Narrow"/>
                <w:i/>
                <w:iCs/>
                <w:sz w:val="20"/>
                <w:szCs w:val="20"/>
              </w:rPr>
            </w:pPr>
            <w:r w:rsidRPr="00740C21">
              <w:rPr>
                <w:rFonts w:ascii="Arial Narrow" w:hAnsi="Arial Narrow"/>
                <w:b/>
                <w:bCs/>
                <w:i/>
                <w:iCs/>
                <w:sz w:val="20"/>
                <w:szCs w:val="20"/>
              </w:rPr>
              <w:t>Clinical criteria: </w:t>
            </w:r>
            <w:r w:rsidRPr="00740C21">
              <w:rPr>
                <w:rFonts w:ascii="Arial Narrow" w:hAnsi="Arial Narrow"/>
                <w:i/>
                <w:iCs/>
                <w:sz w:val="20"/>
                <w:szCs w:val="20"/>
              </w:rPr>
              <w:t> </w:t>
            </w:r>
          </w:p>
        </w:tc>
      </w:tr>
      <w:tr w:rsidR="008E601B" w:rsidRPr="00740C21" w14:paraId="126A29F4"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0615E43" w14:textId="77777777" w:rsidR="008E601B" w:rsidRPr="00740C21" w:rsidRDefault="008E601B" w:rsidP="00374CB4">
            <w:pPr>
              <w:rPr>
                <w:rFonts w:ascii="Arial Narrow" w:hAnsi="Arial Narrow"/>
                <w:i/>
                <w:iCs/>
                <w:sz w:val="20"/>
                <w:szCs w:val="20"/>
              </w:rPr>
            </w:pPr>
            <w:r w:rsidRPr="00740C21">
              <w:rPr>
                <w:rFonts w:ascii="Arial Narrow" w:hAnsi="Arial Narrow"/>
                <w:i/>
                <w:iCs/>
                <w:sz w:val="20"/>
                <w:szCs w:val="20"/>
              </w:rPr>
              <w:t xml:space="preserve">Patient must not have previously received PBS-subsidised treatment with this drug for this condition; OR </w:t>
            </w:r>
          </w:p>
        </w:tc>
      </w:tr>
      <w:tr w:rsidR="008E601B" w:rsidRPr="00740C21" w14:paraId="0C82347A"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78BE2A2" w14:textId="77777777" w:rsidR="008E601B" w:rsidRPr="00740C21" w:rsidRDefault="008E601B" w:rsidP="00374CB4">
            <w:pPr>
              <w:rPr>
                <w:rFonts w:ascii="Arial Narrow" w:hAnsi="Arial Narrow"/>
                <w:i/>
                <w:iCs/>
                <w:sz w:val="20"/>
                <w:szCs w:val="20"/>
              </w:rPr>
            </w:pPr>
            <w:r w:rsidRPr="00740C21">
              <w:rPr>
                <w:rFonts w:ascii="Arial Narrow" w:hAnsi="Arial Narrow"/>
                <w:i/>
                <w:iCs/>
                <w:sz w:val="20"/>
                <w:szCs w:val="20"/>
              </w:rPr>
              <w:t>Patient must be both: (i) undergoing re-treatment with this drug for this condition (ii) have demonstrated response to previous PBS-subsidised treatment with this drug for this condition.</w:t>
            </w:r>
          </w:p>
        </w:tc>
      </w:tr>
      <w:tr w:rsidR="008E601B" w:rsidRPr="005406FA" w14:paraId="6CB7A860"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BA3F9EC" w14:textId="77777777" w:rsidR="008E601B" w:rsidRPr="005406FA" w:rsidRDefault="008E601B" w:rsidP="00374CB4">
            <w:pPr>
              <w:rPr>
                <w:rFonts w:ascii="Arial Narrow" w:hAnsi="Arial Narrow"/>
                <w:b/>
                <w:bCs/>
                <w:sz w:val="20"/>
                <w:szCs w:val="20"/>
              </w:rPr>
            </w:pPr>
            <w:r>
              <w:rPr>
                <w:rFonts w:ascii="Arial Narrow" w:hAnsi="Arial Narrow"/>
                <w:b/>
                <w:bCs/>
                <w:sz w:val="20"/>
                <w:szCs w:val="20"/>
              </w:rPr>
              <w:t>AND</w:t>
            </w:r>
          </w:p>
        </w:tc>
      </w:tr>
      <w:tr w:rsidR="008E601B" w:rsidRPr="005406FA" w14:paraId="5D13A6DB"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DB96990" w14:textId="77777777" w:rsidR="008E601B" w:rsidRPr="005406FA" w:rsidRDefault="008E601B" w:rsidP="00374CB4">
            <w:pPr>
              <w:rPr>
                <w:rFonts w:ascii="Arial Narrow" w:hAnsi="Arial Narrow"/>
                <w:b/>
                <w:bCs/>
                <w:sz w:val="20"/>
                <w:szCs w:val="20"/>
              </w:rPr>
            </w:pPr>
            <w:r>
              <w:rPr>
                <w:rFonts w:ascii="Arial Narrow" w:hAnsi="Arial Narrow"/>
                <w:b/>
                <w:bCs/>
                <w:sz w:val="20"/>
                <w:szCs w:val="20"/>
              </w:rPr>
              <w:t xml:space="preserve">Clinical criteria: </w:t>
            </w:r>
          </w:p>
        </w:tc>
      </w:tr>
      <w:tr w:rsidR="008E601B" w:rsidRPr="005406FA" w14:paraId="7310F8B0"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546AABE" w14:textId="77777777" w:rsidR="008E601B" w:rsidRPr="005406FA" w:rsidRDefault="008E601B" w:rsidP="00374CB4">
            <w:pPr>
              <w:rPr>
                <w:rFonts w:ascii="Arial Narrow" w:hAnsi="Arial Narrow"/>
                <w:sz w:val="20"/>
                <w:szCs w:val="20"/>
              </w:rPr>
            </w:pPr>
            <w:r w:rsidRPr="005406FA">
              <w:rPr>
                <w:rFonts w:ascii="Arial Narrow" w:hAnsi="Arial Narrow"/>
                <w:sz w:val="20"/>
                <w:szCs w:val="20"/>
              </w:rPr>
              <w:t>Patient must have a clinical activity score (CAS) of three or more for the most severely affected eye, </w:t>
            </w:r>
          </w:p>
        </w:tc>
      </w:tr>
      <w:tr w:rsidR="008E601B" w:rsidRPr="005406FA" w14:paraId="23E63F7F"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51C90A8"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AND</w:t>
            </w:r>
            <w:r w:rsidRPr="005406FA">
              <w:rPr>
                <w:rFonts w:ascii="Arial Narrow" w:hAnsi="Arial Narrow"/>
                <w:sz w:val="20"/>
                <w:szCs w:val="20"/>
              </w:rPr>
              <w:t> </w:t>
            </w:r>
          </w:p>
        </w:tc>
      </w:tr>
      <w:tr w:rsidR="008E601B" w:rsidRPr="005406FA" w14:paraId="065666B2"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9615713"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Clinical criteria:</w:t>
            </w:r>
            <w:r w:rsidRPr="005406FA">
              <w:rPr>
                <w:rFonts w:ascii="Arial Narrow" w:hAnsi="Arial Narrow"/>
                <w:sz w:val="20"/>
                <w:szCs w:val="20"/>
              </w:rPr>
              <w:t> </w:t>
            </w:r>
          </w:p>
        </w:tc>
      </w:tr>
      <w:tr w:rsidR="008E601B" w:rsidRPr="005406FA" w14:paraId="287783D6"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F569AA5" w14:textId="77777777" w:rsidR="008E601B" w:rsidRPr="005406FA" w:rsidRDefault="008E601B" w:rsidP="00374CB4">
            <w:pPr>
              <w:rPr>
                <w:rFonts w:ascii="Arial Narrow" w:hAnsi="Arial Narrow"/>
                <w:sz w:val="20"/>
                <w:szCs w:val="20"/>
              </w:rPr>
            </w:pPr>
            <w:r w:rsidRPr="005406FA">
              <w:rPr>
                <w:rFonts w:ascii="Arial Narrow" w:hAnsi="Arial Narrow"/>
                <w:sz w:val="20"/>
                <w:szCs w:val="20"/>
              </w:rPr>
              <w:t>Patient must have two or more of the following: (i) Proptosis ≥3 mm above normal for race and gender, (ii) Lid retraction ≥2mm, (iii) Moderate to severe soft-tissue involvement, (iv) inconstant or constant diplopia </w:t>
            </w:r>
          </w:p>
        </w:tc>
      </w:tr>
      <w:tr w:rsidR="008E601B" w:rsidRPr="005406FA" w14:paraId="4F1EF33C"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E827DBF" w14:textId="77777777" w:rsidR="008E601B" w:rsidRPr="00471259" w:rsidRDefault="008E601B" w:rsidP="00374CB4">
            <w:pPr>
              <w:rPr>
                <w:rFonts w:ascii="Arial Narrow" w:hAnsi="Arial Narrow"/>
                <w:b/>
                <w:bCs/>
                <w:sz w:val="20"/>
                <w:szCs w:val="20"/>
              </w:rPr>
            </w:pPr>
            <w:r w:rsidRPr="00471259">
              <w:rPr>
                <w:rFonts w:ascii="Arial Narrow" w:hAnsi="Arial Narrow"/>
                <w:b/>
                <w:bCs/>
                <w:sz w:val="20"/>
                <w:szCs w:val="20"/>
              </w:rPr>
              <w:t>AND</w:t>
            </w:r>
          </w:p>
        </w:tc>
      </w:tr>
      <w:tr w:rsidR="008E601B" w:rsidRPr="005406FA" w14:paraId="1CFE14C3"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5CEE397"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Clinical criteria:</w:t>
            </w:r>
            <w:r w:rsidRPr="005406FA">
              <w:rPr>
                <w:rFonts w:ascii="Arial Narrow" w:hAnsi="Arial Narrow"/>
                <w:sz w:val="20"/>
                <w:szCs w:val="20"/>
              </w:rPr>
              <w:t> </w:t>
            </w:r>
          </w:p>
        </w:tc>
      </w:tr>
      <w:tr w:rsidR="008E601B" w:rsidRPr="005406FA" w14:paraId="4F750CDD"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B323054" w14:textId="77777777" w:rsidR="008E601B" w:rsidRPr="005406FA" w:rsidRDefault="008E601B" w:rsidP="00374CB4">
            <w:pPr>
              <w:rPr>
                <w:rFonts w:ascii="Arial Narrow" w:hAnsi="Arial Narrow"/>
                <w:sz w:val="20"/>
                <w:szCs w:val="20"/>
              </w:rPr>
            </w:pPr>
            <w:r w:rsidRPr="005406FA">
              <w:rPr>
                <w:rFonts w:ascii="Arial Narrow" w:hAnsi="Arial Narrow"/>
                <w:sz w:val="20"/>
                <w:szCs w:val="20"/>
              </w:rPr>
              <w:t>Patient must be at least 18 years of age </w:t>
            </w:r>
          </w:p>
        </w:tc>
      </w:tr>
      <w:tr w:rsidR="008E601B" w:rsidRPr="005406FA" w14:paraId="771637B5"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C857640" w14:textId="77777777" w:rsidR="008E601B" w:rsidRPr="00C44AAC" w:rsidRDefault="008E601B" w:rsidP="00374CB4">
            <w:pPr>
              <w:rPr>
                <w:rFonts w:ascii="Arial Narrow" w:hAnsi="Arial Narrow"/>
                <w:strike/>
                <w:sz w:val="20"/>
                <w:szCs w:val="20"/>
              </w:rPr>
            </w:pPr>
            <w:r w:rsidRPr="00C44AAC">
              <w:rPr>
                <w:rFonts w:ascii="Arial Narrow" w:hAnsi="Arial Narrow"/>
                <w:b/>
                <w:bCs/>
                <w:strike/>
                <w:sz w:val="20"/>
                <w:szCs w:val="20"/>
              </w:rPr>
              <w:t>Clinical criteria:</w:t>
            </w:r>
            <w:r w:rsidRPr="00C44AAC">
              <w:rPr>
                <w:rFonts w:ascii="Arial Narrow" w:hAnsi="Arial Narrow"/>
                <w:strike/>
                <w:sz w:val="20"/>
                <w:szCs w:val="20"/>
              </w:rPr>
              <w:t> </w:t>
            </w:r>
          </w:p>
        </w:tc>
      </w:tr>
      <w:tr w:rsidR="008E601B" w:rsidRPr="005406FA" w14:paraId="565FBF87"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E149332" w14:textId="77777777" w:rsidR="008E601B" w:rsidRPr="00C44AAC" w:rsidRDefault="008E601B" w:rsidP="00374CB4">
            <w:pPr>
              <w:rPr>
                <w:rFonts w:ascii="Arial Narrow" w:hAnsi="Arial Narrow"/>
                <w:strike/>
                <w:sz w:val="20"/>
                <w:szCs w:val="20"/>
              </w:rPr>
            </w:pPr>
            <w:r w:rsidRPr="00C44AAC">
              <w:rPr>
                <w:rFonts w:ascii="Arial Narrow" w:hAnsi="Arial Narrow"/>
                <w:strike/>
                <w:sz w:val="20"/>
                <w:szCs w:val="20"/>
              </w:rPr>
              <w:t>Patient must not have previously failed PBS-subsidised therapy with this drug for this condition </w:t>
            </w:r>
          </w:p>
        </w:tc>
      </w:tr>
      <w:tr w:rsidR="008E601B" w:rsidRPr="005406FA" w14:paraId="642DF00A"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1B126E4"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Treatment criteria:</w:t>
            </w:r>
            <w:r w:rsidRPr="005406FA">
              <w:rPr>
                <w:rFonts w:ascii="Arial Narrow" w:hAnsi="Arial Narrow"/>
                <w:sz w:val="20"/>
                <w:szCs w:val="20"/>
              </w:rPr>
              <w:t> </w:t>
            </w:r>
          </w:p>
        </w:tc>
      </w:tr>
      <w:tr w:rsidR="008E601B" w:rsidRPr="005406FA" w14:paraId="4B73C06D"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2BE5947" w14:textId="77777777" w:rsidR="008E601B" w:rsidRPr="005406FA" w:rsidRDefault="008E601B" w:rsidP="00374CB4">
            <w:pPr>
              <w:rPr>
                <w:rFonts w:ascii="Arial Narrow" w:hAnsi="Arial Narrow"/>
                <w:sz w:val="20"/>
                <w:szCs w:val="20"/>
              </w:rPr>
            </w:pPr>
            <w:r w:rsidRPr="005406FA">
              <w:rPr>
                <w:rFonts w:ascii="Arial Narrow" w:hAnsi="Arial Narrow"/>
                <w:sz w:val="20"/>
                <w:szCs w:val="20"/>
              </w:rPr>
              <w:t>Must be treated by a specialist physician experienced in the treatment of thyroid eye disease </w:t>
            </w:r>
          </w:p>
        </w:tc>
      </w:tr>
      <w:tr w:rsidR="008E601B" w:rsidRPr="005406FA" w14:paraId="53BECB6F"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A4E04A3" w14:textId="77777777" w:rsidR="008E601B" w:rsidRPr="00740C21" w:rsidRDefault="008E601B" w:rsidP="00374CB4">
            <w:pPr>
              <w:rPr>
                <w:rFonts w:ascii="Arial Narrow" w:hAnsi="Arial Narrow"/>
                <w:b/>
                <w:bCs/>
                <w:sz w:val="20"/>
                <w:szCs w:val="20"/>
              </w:rPr>
            </w:pPr>
            <w:r w:rsidRPr="00740C21">
              <w:rPr>
                <w:rFonts w:ascii="Arial Narrow" w:hAnsi="Arial Narrow"/>
                <w:b/>
                <w:bCs/>
                <w:sz w:val="20"/>
                <w:szCs w:val="20"/>
              </w:rPr>
              <w:t xml:space="preserve">Prescribing Instructions: </w:t>
            </w:r>
            <w:r w:rsidRPr="00740C21">
              <w:rPr>
                <w:rFonts w:ascii="Arial Narrow" w:hAnsi="Arial Narrow"/>
                <w:sz w:val="20"/>
                <w:szCs w:val="20"/>
              </w:rPr>
              <w:t>The following must be provided at the time of application and documented in the patient's medical records for the first prescription only:</w:t>
            </w:r>
            <w:r w:rsidRPr="00740C21">
              <w:rPr>
                <w:rFonts w:cs="Calibri"/>
              </w:rPr>
              <w:t>’</w:t>
            </w:r>
          </w:p>
          <w:p w14:paraId="5E14C77E" w14:textId="77777777" w:rsidR="008E601B" w:rsidRPr="00740C21" w:rsidRDefault="008E601B" w:rsidP="00825672">
            <w:pPr>
              <w:pStyle w:val="ListParagraph"/>
              <w:numPr>
                <w:ilvl w:val="0"/>
                <w:numId w:val="19"/>
              </w:numPr>
              <w:spacing w:after="0"/>
              <w:contextualSpacing/>
              <w:rPr>
                <w:rFonts w:ascii="Arial Narrow" w:hAnsi="Arial Narrow"/>
                <w:sz w:val="20"/>
                <w:szCs w:val="20"/>
              </w:rPr>
            </w:pPr>
            <w:r w:rsidRPr="00740C21">
              <w:rPr>
                <w:rFonts w:ascii="Arial Narrow" w:hAnsi="Arial Narrow"/>
                <w:sz w:val="20"/>
                <w:szCs w:val="20"/>
              </w:rPr>
              <w:t>Baseline clinical activity score (CAS)</w:t>
            </w:r>
          </w:p>
          <w:p w14:paraId="5E36044A" w14:textId="77777777" w:rsidR="008E601B" w:rsidRPr="00740C21" w:rsidRDefault="008E601B" w:rsidP="00825672">
            <w:pPr>
              <w:pStyle w:val="ListParagraph"/>
              <w:numPr>
                <w:ilvl w:val="0"/>
                <w:numId w:val="19"/>
              </w:numPr>
              <w:spacing w:after="0"/>
              <w:contextualSpacing/>
              <w:rPr>
                <w:rFonts w:ascii="Arial Narrow" w:hAnsi="Arial Narrow"/>
                <w:sz w:val="20"/>
                <w:szCs w:val="20"/>
              </w:rPr>
            </w:pPr>
            <w:r w:rsidRPr="00740C21">
              <w:rPr>
                <w:rFonts w:ascii="Arial Narrow" w:hAnsi="Arial Narrow"/>
                <w:i/>
                <w:iCs/>
                <w:sz w:val="20"/>
                <w:szCs w:val="20"/>
              </w:rPr>
              <w:t>Confirmation</w:t>
            </w:r>
            <w:r w:rsidRPr="00740C21">
              <w:rPr>
                <w:rFonts w:ascii="Arial Narrow" w:hAnsi="Arial Narrow"/>
                <w:sz w:val="20"/>
                <w:szCs w:val="20"/>
              </w:rPr>
              <w:t xml:space="preserve"> of the presence of Thyroid Eye Disease (this includes evidence of two or more of the following: </w:t>
            </w:r>
          </w:p>
          <w:p w14:paraId="594F6AB7" w14:textId="77777777" w:rsidR="008E601B" w:rsidRPr="00740C21" w:rsidRDefault="008E601B" w:rsidP="00825672">
            <w:pPr>
              <w:pStyle w:val="ListParagraph"/>
              <w:numPr>
                <w:ilvl w:val="0"/>
                <w:numId w:val="20"/>
              </w:numPr>
              <w:spacing w:after="0"/>
              <w:contextualSpacing/>
              <w:rPr>
                <w:rFonts w:ascii="Arial Narrow" w:hAnsi="Arial Narrow"/>
                <w:sz w:val="20"/>
                <w:szCs w:val="20"/>
              </w:rPr>
            </w:pPr>
            <w:r w:rsidRPr="00740C21">
              <w:rPr>
                <w:rFonts w:ascii="Arial Narrow" w:hAnsi="Arial Narrow"/>
                <w:sz w:val="20"/>
                <w:szCs w:val="20"/>
              </w:rPr>
              <w:t xml:space="preserve">Proptosis ≥3mm above normal for race and gender, </w:t>
            </w:r>
          </w:p>
          <w:p w14:paraId="56BDD488" w14:textId="77777777" w:rsidR="008E601B" w:rsidRPr="00740C21" w:rsidRDefault="008E601B" w:rsidP="00825672">
            <w:pPr>
              <w:pStyle w:val="ListParagraph"/>
              <w:numPr>
                <w:ilvl w:val="0"/>
                <w:numId w:val="20"/>
              </w:numPr>
              <w:spacing w:after="0"/>
              <w:contextualSpacing/>
              <w:rPr>
                <w:rFonts w:ascii="Arial Narrow" w:hAnsi="Arial Narrow"/>
                <w:sz w:val="20"/>
                <w:szCs w:val="20"/>
              </w:rPr>
            </w:pPr>
            <w:r w:rsidRPr="00740C21">
              <w:rPr>
                <w:rFonts w:ascii="Arial Narrow" w:hAnsi="Arial Narrow"/>
                <w:sz w:val="20"/>
                <w:szCs w:val="20"/>
              </w:rPr>
              <w:t xml:space="preserve">Lid retraction ≥2mm, </w:t>
            </w:r>
          </w:p>
          <w:p w14:paraId="4B8F4E61" w14:textId="77777777" w:rsidR="008E601B" w:rsidRPr="00740C21" w:rsidRDefault="008E601B" w:rsidP="00825672">
            <w:pPr>
              <w:pStyle w:val="ListParagraph"/>
              <w:numPr>
                <w:ilvl w:val="0"/>
                <w:numId w:val="20"/>
              </w:numPr>
              <w:spacing w:after="0"/>
              <w:contextualSpacing/>
              <w:rPr>
                <w:rFonts w:ascii="Arial Narrow" w:hAnsi="Arial Narrow"/>
                <w:sz w:val="20"/>
                <w:szCs w:val="20"/>
              </w:rPr>
            </w:pPr>
            <w:r w:rsidRPr="00740C21">
              <w:rPr>
                <w:rFonts w:ascii="Arial Narrow" w:hAnsi="Arial Narrow"/>
                <w:sz w:val="20"/>
                <w:szCs w:val="20"/>
              </w:rPr>
              <w:t>Moderate to severe soft-tissue involvement, (iv) Inconstant or constant diplopia)</w:t>
            </w:r>
          </w:p>
        </w:tc>
      </w:tr>
      <w:tr w:rsidR="008E601B" w:rsidRPr="005406FA" w14:paraId="1FEE916F"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D033AAC" w14:textId="77777777" w:rsidR="008E601B" w:rsidRPr="00740C21" w:rsidRDefault="008E601B" w:rsidP="00374CB4">
            <w:pPr>
              <w:rPr>
                <w:rFonts w:ascii="Arial Narrow" w:hAnsi="Arial Narrow"/>
                <w:b/>
                <w:bCs/>
                <w:sz w:val="20"/>
                <w:szCs w:val="20"/>
              </w:rPr>
            </w:pPr>
            <w:r w:rsidRPr="00740C21">
              <w:rPr>
                <w:rFonts w:ascii="Arial Narrow" w:hAnsi="Arial Narrow"/>
                <w:b/>
                <w:bCs/>
                <w:sz w:val="20"/>
                <w:szCs w:val="20"/>
              </w:rPr>
              <w:t xml:space="preserve">Prescribing Instructions: </w:t>
            </w:r>
            <w:r w:rsidRPr="00740C21">
              <w:rPr>
                <w:rFonts w:ascii="Arial Narrow" w:hAnsi="Arial Narrow"/>
                <w:sz w:val="20"/>
                <w:szCs w:val="20"/>
              </w:rPr>
              <w:t>Increased maximum amounts may only be authorised where a patient's weight is greater than 150 kg.</w:t>
            </w:r>
          </w:p>
        </w:tc>
      </w:tr>
      <w:tr w:rsidR="008E601B" w:rsidRPr="005406FA" w14:paraId="1A01F679"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7B30635" w14:textId="77777777" w:rsidR="008E601B" w:rsidRPr="00813818" w:rsidRDefault="008E601B" w:rsidP="00374CB4">
            <w:pPr>
              <w:rPr>
                <w:rFonts w:ascii="Arial Narrow" w:hAnsi="Arial Narrow"/>
                <w:b/>
                <w:bCs/>
                <w:i/>
                <w:iCs/>
                <w:sz w:val="20"/>
                <w:szCs w:val="20"/>
              </w:rPr>
            </w:pPr>
            <w:r w:rsidRPr="00813818">
              <w:rPr>
                <w:rFonts w:ascii="Arial Narrow" w:hAnsi="Arial Narrow"/>
                <w:b/>
                <w:bCs/>
                <w:i/>
                <w:iCs/>
                <w:sz w:val="20"/>
                <w:szCs w:val="20"/>
              </w:rPr>
              <w:t xml:space="preserve">Prescribing Instructions: </w:t>
            </w:r>
            <w:r w:rsidRPr="00813818">
              <w:rPr>
                <w:rFonts w:ascii="Arial Narrow" w:hAnsi="Arial Narrow"/>
                <w:i/>
                <w:iCs/>
                <w:sz w:val="20"/>
                <w:szCs w:val="20"/>
              </w:rPr>
              <w:t>After completing 8 doses in total of PBS subsidised treatment with teprotumumab, a patient may be eligible for re-treatment through the initial treatment phase only, if a response to treatment was previously demonstrated.</w:t>
            </w:r>
          </w:p>
        </w:tc>
      </w:tr>
      <w:tr w:rsidR="008E601B" w:rsidRPr="005406FA" w14:paraId="6474EA5E"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38F5E8B" w14:textId="77777777" w:rsidR="008E601B" w:rsidRPr="001B1E26" w:rsidRDefault="008E601B" w:rsidP="00374CB4">
            <w:pPr>
              <w:rPr>
                <w:rFonts w:ascii="Arial Narrow" w:hAnsi="Arial Narrow"/>
                <w:i/>
                <w:iCs/>
                <w:sz w:val="20"/>
                <w:szCs w:val="20"/>
              </w:rPr>
            </w:pPr>
            <w:r w:rsidRPr="001B1E26">
              <w:rPr>
                <w:rFonts w:ascii="Arial Narrow" w:hAnsi="Arial Narrow"/>
                <w:b/>
                <w:bCs/>
                <w:i/>
                <w:iCs/>
                <w:sz w:val="20"/>
                <w:szCs w:val="20"/>
              </w:rPr>
              <w:t>Caution:</w:t>
            </w:r>
            <w:r w:rsidRPr="001B1E26">
              <w:rPr>
                <w:rFonts w:ascii="Arial Narrow" w:hAnsi="Arial Narrow"/>
                <w:i/>
                <w:iCs/>
                <w:sz w:val="20"/>
                <w:szCs w:val="20"/>
              </w:rPr>
              <w:t xml:space="preserve"> </w:t>
            </w:r>
            <w:r w:rsidRPr="00A3484E">
              <w:rPr>
                <w:rFonts w:ascii="Arial Narrow" w:hAnsi="Arial Narrow"/>
                <w:sz w:val="20"/>
                <w:szCs w:val="20"/>
              </w:rPr>
              <w:t>Assess patients’ hearing before, and routinely during and after treatment, including use of audiograms where clinically warranted.</w:t>
            </w:r>
            <w:r w:rsidRPr="001B1E26">
              <w:rPr>
                <w:rFonts w:ascii="Arial Narrow" w:hAnsi="Arial Narrow"/>
                <w:i/>
                <w:iCs/>
                <w:sz w:val="20"/>
                <w:szCs w:val="20"/>
              </w:rPr>
              <w:t> </w:t>
            </w:r>
          </w:p>
          <w:p w14:paraId="5E2AE1F8" w14:textId="77777777" w:rsidR="008E601B" w:rsidRPr="001B1E26" w:rsidRDefault="008E601B" w:rsidP="00374CB4">
            <w:pPr>
              <w:rPr>
                <w:rFonts w:ascii="Arial Narrow" w:hAnsi="Arial Narrow"/>
                <w:i/>
                <w:iCs/>
                <w:sz w:val="20"/>
                <w:szCs w:val="20"/>
              </w:rPr>
            </w:pPr>
          </w:p>
          <w:p w14:paraId="2E2BE174" w14:textId="77777777" w:rsidR="008E601B" w:rsidRPr="001B1E26" w:rsidRDefault="008E601B" w:rsidP="00374CB4">
            <w:pPr>
              <w:rPr>
                <w:rFonts w:ascii="Arial Narrow" w:hAnsi="Arial Narrow"/>
                <w:i/>
                <w:iCs/>
                <w:sz w:val="20"/>
                <w:szCs w:val="20"/>
              </w:rPr>
            </w:pPr>
            <w:r w:rsidRPr="001B1E26">
              <w:rPr>
                <w:rFonts w:ascii="Arial Narrow" w:hAnsi="Arial Narrow"/>
                <w:i/>
                <w:iCs/>
                <w:sz w:val="20"/>
                <w:szCs w:val="20"/>
              </w:rPr>
              <w:t>If significant hearing loss is experienced while receiving treatment with this drug for this condition, treatment discontinuation is advised. See also TGA approved Product Information</w:t>
            </w:r>
          </w:p>
        </w:tc>
      </w:tr>
      <w:tr w:rsidR="008E601B" w:rsidRPr="005406FA" w14:paraId="26BA191D"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C1FB045" w14:textId="77777777" w:rsidR="008E601B" w:rsidRPr="00740C21" w:rsidRDefault="008E601B" w:rsidP="00374CB4">
            <w:pPr>
              <w:rPr>
                <w:rFonts w:ascii="Arial Narrow" w:hAnsi="Arial Narrow"/>
                <w:sz w:val="20"/>
                <w:szCs w:val="20"/>
              </w:rPr>
            </w:pPr>
            <w:r w:rsidRPr="00740C21">
              <w:rPr>
                <w:rFonts w:ascii="Arial Narrow" w:hAnsi="Arial Narrow"/>
                <w:b/>
                <w:bCs/>
                <w:i/>
                <w:iCs/>
                <w:sz w:val="20"/>
                <w:szCs w:val="20"/>
              </w:rPr>
              <w:t>Caution:</w:t>
            </w:r>
            <w:r w:rsidRPr="00740C21">
              <w:rPr>
                <w:rFonts w:ascii="Arial Narrow" w:hAnsi="Arial Narrow"/>
                <w:sz w:val="20"/>
                <w:szCs w:val="20"/>
              </w:rPr>
              <w:t xml:space="preserve"> Teprotumumab is contraindicated in pregnancy. Women of childbearing potential should have a negative pregnancy test before starting treatment with</w:t>
            </w:r>
            <w:r>
              <w:rPr>
                <w:rFonts w:ascii="Arial Narrow" w:hAnsi="Arial Narrow"/>
                <w:sz w:val="20"/>
                <w:szCs w:val="20"/>
              </w:rPr>
              <w:t xml:space="preserve"> </w:t>
            </w:r>
            <w:r w:rsidRPr="008D0575">
              <w:rPr>
                <w:rFonts w:ascii="Arial Narrow" w:hAnsi="Arial Narrow"/>
                <w:i/>
                <w:iCs/>
                <w:sz w:val="20"/>
                <w:szCs w:val="20"/>
              </w:rPr>
              <w:t>teprotumumab</w:t>
            </w:r>
            <w:r w:rsidRPr="008D0575">
              <w:rPr>
                <w:rFonts w:ascii="Arial Narrow" w:hAnsi="Arial Narrow"/>
                <w:i/>
                <w:iCs/>
                <w:strike/>
                <w:sz w:val="20"/>
                <w:szCs w:val="20"/>
              </w:rPr>
              <w:t>TEPEZZA</w:t>
            </w:r>
            <w:r w:rsidRPr="00740C21">
              <w:rPr>
                <w:rFonts w:ascii="Arial Narrow" w:hAnsi="Arial Narrow"/>
                <w:sz w:val="20"/>
                <w:szCs w:val="20"/>
              </w:rPr>
              <w:t xml:space="preserve">, and monthly during treatment and for 6 months after cessation of treatment. If the patient becomes pregnant during treatment </w:t>
            </w:r>
            <w:r w:rsidRPr="008D0575">
              <w:rPr>
                <w:rFonts w:ascii="Arial Narrow" w:hAnsi="Arial Narrow"/>
                <w:i/>
                <w:iCs/>
                <w:sz w:val="20"/>
                <w:szCs w:val="20"/>
              </w:rPr>
              <w:t>teprotumumab</w:t>
            </w:r>
            <w:r w:rsidRPr="008D0575">
              <w:rPr>
                <w:rFonts w:ascii="Arial Narrow" w:hAnsi="Arial Narrow"/>
                <w:strike/>
                <w:sz w:val="20"/>
                <w:szCs w:val="20"/>
              </w:rPr>
              <w:t>TEPEZZA</w:t>
            </w:r>
            <w:r w:rsidRPr="00740C21">
              <w:rPr>
                <w:rFonts w:ascii="Arial Narrow" w:hAnsi="Arial Narrow"/>
                <w:sz w:val="20"/>
                <w:szCs w:val="20"/>
              </w:rPr>
              <w:t xml:space="preserve"> should be discontinued. See also </w:t>
            </w:r>
            <w:r w:rsidRPr="00740C21">
              <w:rPr>
                <w:rFonts w:ascii="Arial Narrow" w:hAnsi="Arial Narrow"/>
                <w:i/>
                <w:iCs/>
                <w:sz w:val="20"/>
                <w:szCs w:val="20"/>
              </w:rPr>
              <w:t>TGA approved</w:t>
            </w:r>
            <w:r w:rsidRPr="00740C21">
              <w:rPr>
                <w:rFonts w:ascii="Arial Narrow" w:hAnsi="Arial Narrow"/>
                <w:sz w:val="20"/>
                <w:szCs w:val="20"/>
              </w:rPr>
              <w:t xml:space="preserve"> Product Information. </w:t>
            </w:r>
          </w:p>
        </w:tc>
      </w:tr>
    </w:tbl>
    <w:p w14:paraId="4C624367" w14:textId="77777777" w:rsidR="00825672" w:rsidRDefault="00825672" w:rsidP="00825672">
      <w:pPr>
        <w:rPr>
          <w:rFonts w:ascii="Arial Narrow" w:hAnsi="Arial Narrow"/>
          <w:sz w:val="20"/>
          <w:szCs w:val="20"/>
        </w:rPr>
      </w:pPr>
      <w:r w:rsidRPr="005406FA">
        <w:rPr>
          <w:rFonts w:ascii="Arial Narrow" w:hAnsi="Arial Narrow"/>
          <w:sz w:val="20"/>
          <w:szCs w:val="20"/>
        </w:rPr>
        <w:lastRenderedPageBreak/>
        <w:t> </w:t>
      </w:r>
    </w:p>
    <w:p w14:paraId="70C0A666" w14:textId="77777777" w:rsidR="00825672" w:rsidRPr="002F43CE" w:rsidRDefault="00825672" w:rsidP="00825672">
      <w:pPr>
        <w:keepNext/>
        <w:keepLines/>
        <w:ind w:left="720" w:hanging="720"/>
        <w:rPr>
          <w:rFonts w:asciiTheme="minorHAnsi" w:hAnsiTheme="minorHAnsi"/>
          <w:b/>
          <w:bCs/>
          <w:snapToGrid w:val="0"/>
        </w:rPr>
      </w:pPr>
      <w:r>
        <w:rPr>
          <w:rFonts w:asciiTheme="minorHAnsi" w:hAnsiTheme="minorHAnsi"/>
          <w:b/>
          <w:bCs/>
          <w:snapToGrid w:val="0"/>
        </w:rPr>
        <w:t>Continuing</w:t>
      </w:r>
      <w:r w:rsidRPr="002F43CE">
        <w:rPr>
          <w:rFonts w:asciiTheme="minorHAnsi" w:hAnsiTheme="minorHAnsi"/>
          <w:b/>
          <w:bCs/>
          <w:snapToGrid w:val="0"/>
        </w:rPr>
        <w:t xml:space="preserve"> Restriction</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7"/>
        <w:gridCol w:w="1634"/>
        <w:gridCol w:w="735"/>
        <w:gridCol w:w="795"/>
        <w:gridCol w:w="795"/>
        <w:gridCol w:w="1814"/>
      </w:tblGrid>
      <w:tr w:rsidR="00825672" w:rsidRPr="005406FA" w14:paraId="5E1703A0" w14:textId="77777777" w:rsidTr="00374CB4">
        <w:trPr>
          <w:trHeight w:val="300"/>
        </w:trPr>
        <w:tc>
          <w:tcPr>
            <w:tcW w:w="3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C8B0C"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MEDICINAL PRODUCT</w:t>
            </w:r>
            <w:r w:rsidRPr="005406FA">
              <w:rPr>
                <w:rFonts w:ascii="Arial Narrow" w:hAnsi="Arial Narrow"/>
                <w:sz w:val="20"/>
                <w:szCs w:val="20"/>
              </w:rPr>
              <w:t> </w:t>
            </w:r>
          </w:p>
          <w:p w14:paraId="412F05BB"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medicinal product pack</w:t>
            </w:r>
            <w:r w:rsidRPr="005406FA">
              <w:rPr>
                <w:rFonts w:ascii="Arial Narrow" w:hAnsi="Arial Narrow"/>
                <w:sz w:val="20"/>
                <w:szCs w:val="20"/>
              </w:rPr>
              <w:t> </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B9D84"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PBS item code</w:t>
            </w:r>
            <w:r w:rsidRPr="005406FA">
              <w:rPr>
                <w:rFonts w:ascii="Arial Narrow" w:hAnsi="Arial Narrow"/>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6AED7"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Max. qty packs</w:t>
            </w:r>
            <w:r w:rsidRPr="005406FA">
              <w:rPr>
                <w:rFonts w:ascii="Arial Narrow" w:hAnsi="Arial Narrow"/>
                <w:sz w:val="20"/>
                <w:szCs w:val="20"/>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E3870"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Max. qty units</w:t>
            </w:r>
            <w:r w:rsidRPr="005406FA">
              <w:rPr>
                <w:rFonts w:ascii="Arial Narrow" w:hAnsi="Arial Narrow"/>
                <w:sz w:val="20"/>
                <w:szCs w:val="20"/>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C7DB5A"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№.of</w:t>
            </w:r>
            <w:r w:rsidRPr="005406FA">
              <w:rPr>
                <w:rFonts w:ascii="Arial Narrow" w:hAnsi="Arial Narrow"/>
                <w:sz w:val="20"/>
                <w:szCs w:val="20"/>
              </w:rPr>
              <w:t> </w:t>
            </w:r>
          </w:p>
          <w:p w14:paraId="49371484"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Rpts</w:t>
            </w:r>
            <w:r w:rsidRPr="005406FA">
              <w:rPr>
                <w:rFonts w:ascii="Arial Narrow" w:hAnsi="Arial Narrow"/>
                <w:sz w:val="20"/>
                <w:szCs w:val="20"/>
              </w:rPr>
              <w:t> </w:t>
            </w:r>
          </w:p>
        </w:tc>
        <w:tc>
          <w:tcPr>
            <w:tcW w:w="18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AD981" w14:textId="77777777" w:rsidR="00825672" w:rsidRPr="005406FA" w:rsidRDefault="00825672" w:rsidP="00374CB4">
            <w:pPr>
              <w:rPr>
                <w:rFonts w:ascii="Arial Narrow" w:hAnsi="Arial Narrow"/>
                <w:sz w:val="20"/>
                <w:szCs w:val="20"/>
              </w:rPr>
            </w:pPr>
            <w:r w:rsidRPr="005406FA">
              <w:rPr>
                <w:rFonts w:ascii="Arial Narrow" w:hAnsi="Arial Narrow"/>
                <w:b/>
                <w:bCs/>
                <w:sz w:val="20"/>
                <w:szCs w:val="20"/>
              </w:rPr>
              <w:t>Available brands</w:t>
            </w:r>
            <w:r w:rsidRPr="005406FA">
              <w:rPr>
                <w:rFonts w:ascii="Arial Narrow" w:hAnsi="Arial Narrow"/>
                <w:sz w:val="20"/>
                <w:szCs w:val="20"/>
              </w:rPr>
              <w:t> </w:t>
            </w:r>
          </w:p>
        </w:tc>
      </w:tr>
      <w:tr w:rsidR="00825672" w:rsidRPr="005406FA" w14:paraId="0CA7EF51" w14:textId="77777777" w:rsidTr="00374CB4">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3F30231" w14:textId="77777777" w:rsidR="00825672" w:rsidRPr="005406FA" w:rsidRDefault="00825672" w:rsidP="00374CB4">
            <w:pPr>
              <w:rPr>
                <w:rFonts w:ascii="Arial Narrow" w:hAnsi="Arial Narrow"/>
                <w:sz w:val="20"/>
                <w:szCs w:val="20"/>
              </w:rPr>
            </w:pPr>
            <w:r w:rsidRPr="005406FA">
              <w:rPr>
                <w:rFonts w:ascii="Arial Narrow" w:hAnsi="Arial Narrow"/>
                <w:sz w:val="20"/>
                <w:szCs w:val="20"/>
              </w:rPr>
              <w:t>TEPROTUMUMAB </w:t>
            </w:r>
          </w:p>
        </w:tc>
      </w:tr>
      <w:tr w:rsidR="00825672" w:rsidRPr="005406FA" w14:paraId="728ABC8C" w14:textId="77777777" w:rsidTr="00374CB4">
        <w:trPr>
          <w:trHeight w:val="300"/>
        </w:trPr>
        <w:tc>
          <w:tcPr>
            <w:tcW w:w="3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49DEA" w14:textId="77777777" w:rsidR="00825672" w:rsidRPr="005406FA" w:rsidRDefault="00825672" w:rsidP="00374CB4">
            <w:pPr>
              <w:rPr>
                <w:rFonts w:ascii="Arial Narrow" w:hAnsi="Arial Narrow"/>
                <w:sz w:val="20"/>
                <w:szCs w:val="20"/>
              </w:rPr>
            </w:pPr>
            <w:r w:rsidRPr="005406FA">
              <w:rPr>
                <w:rFonts w:ascii="Arial Narrow" w:hAnsi="Arial Narrow"/>
                <w:sz w:val="20"/>
                <w:szCs w:val="20"/>
              </w:rPr>
              <w:t>Teprotumumab 500 mg injection, 1 vial </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AE948"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NEW (public)</w:t>
            </w:r>
          </w:p>
          <w:p w14:paraId="4F544FBD"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NEW (private)</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3E4AB"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6</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85A40"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6</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B12E9"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6</w:t>
            </w:r>
          </w:p>
        </w:tc>
        <w:tc>
          <w:tcPr>
            <w:tcW w:w="18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116F7" w14:textId="77777777" w:rsidR="00825672" w:rsidRPr="005406FA" w:rsidRDefault="00825672" w:rsidP="00374CB4">
            <w:pPr>
              <w:jc w:val="center"/>
              <w:rPr>
                <w:rFonts w:ascii="Arial Narrow" w:hAnsi="Arial Narrow"/>
                <w:sz w:val="20"/>
                <w:szCs w:val="20"/>
              </w:rPr>
            </w:pPr>
            <w:r w:rsidRPr="005406FA">
              <w:rPr>
                <w:rFonts w:ascii="Arial Narrow" w:hAnsi="Arial Narrow"/>
                <w:sz w:val="20"/>
                <w:szCs w:val="20"/>
              </w:rPr>
              <w:t>Tepezza</w:t>
            </w:r>
          </w:p>
        </w:tc>
      </w:tr>
      <w:tr w:rsidR="00825672" w:rsidRPr="005406FA" w14:paraId="2276F625" w14:textId="77777777" w:rsidTr="00374CB4">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F704E41" w14:textId="77777777" w:rsidR="00825672" w:rsidRPr="005406FA" w:rsidRDefault="00825672" w:rsidP="00374CB4">
            <w:pPr>
              <w:rPr>
                <w:rFonts w:ascii="Arial Narrow" w:hAnsi="Arial Narrow"/>
                <w:sz w:val="20"/>
                <w:szCs w:val="20"/>
              </w:rPr>
            </w:pPr>
            <w:r w:rsidRPr="005406FA">
              <w:rPr>
                <w:rFonts w:ascii="Arial Narrow" w:hAnsi="Arial Narrow"/>
                <w:sz w:val="20"/>
                <w:szCs w:val="20"/>
              </w:rPr>
              <w:t> </w:t>
            </w:r>
          </w:p>
        </w:tc>
      </w:tr>
      <w:tr w:rsidR="00825672" w:rsidRPr="005406FA" w14:paraId="17F79C46" w14:textId="77777777" w:rsidTr="00374CB4">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8CDBDCF" w14:textId="533FFA8A" w:rsidR="00825672" w:rsidRPr="005406FA" w:rsidRDefault="00825672" w:rsidP="00374CB4">
            <w:pPr>
              <w:rPr>
                <w:rFonts w:ascii="Arial Narrow" w:hAnsi="Arial Narrow"/>
                <w:sz w:val="20"/>
                <w:szCs w:val="20"/>
              </w:rPr>
            </w:pPr>
            <w:r w:rsidRPr="005406FA">
              <w:rPr>
                <w:rFonts w:ascii="Arial Narrow" w:hAnsi="Arial Narrow"/>
                <w:b/>
                <w:bCs/>
                <w:sz w:val="20"/>
                <w:szCs w:val="20"/>
              </w:rPr>
              <w:t xml:space="preserve">Restriction Summary  / Treatment of Concept: </w:t>
            </w:r>
          </w:p>
        </w:tc>
      </w:tr>
      <w:tr w:rsidR="008E601B" w:rsidRPr="005406FA" w14:paraId="43054A8B"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6576D34"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Category / Program:</w:t>
            </w:r>
            <w:r w:rsidRPr="005406FA">
              <w:rPr>
                <w:rFonts w:ascii="Arial Narrow" w:hAnsi="Arial Narrow"/>
                <w:sz w:val="20"/>
                <w:szCs w:val="20"/>
              </w:rPr>
              <w:t xml:space="preserv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5406FA">
              <w:rPr>
                <w:rFonts w:ascii="Arial Narrow" w:hAnsi="Arial Narrow"/>
                <w:sz w:val="20"/>
                <w:szCs w:val="20"/>
              </w:rPr>
              <w:t>Section 100 – Highly Specialised Drugs Program – Public (Code HB) / Private (Code HS) </w:t>
            </w:r>
          </w:p>
        </w:tc>
      </w:tr>
      <w:tr w:rsidR="008E601B" w:rsidRPr="005406FA" w14:paraId="169C1AEE"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212CF01"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 xml:space="preserve">Prescriber type: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5406FA">
              <w:rPr>
                <w:rFonts w:ascii="Arial Narrow" w:hAnsi="Arial Narrow"/>
                <w:sz w:val="20"/>
                <w:szCs w:val="20"/>
              </w:rPr>
              <w:t>Medical Practitioners  </w:t>
            </w:r>
          </w:p>
        </w:tc>
      </w:tr>
      <w:tr w:rsidR="008E601B" w:rsidRPr="005406FA" w14:paraId="468159FF"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EF42021"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 xml:space="preserve">Restriction type: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5406FA">
              <w:rPr>
                <w:rFonts w:ascii="Arial Narrow" w:hAnsi="Arial Narrow"/>
                <w:sz w:val="20"/>
                <w:szCs w:val="20"/>
              </w:rPr>
              <w:t>Authority Required (Streamlined) [new code]  </w:t>
            </w:r>
          </w:p>
        </w:tc>
      </w:tr>
      <w:tr w:rsidR="008E601B" w:rsidRPr="005406FA" w14:paraId="11BB668F"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FC34859" w14:textId="77777777" w:rsidR="008E601B" w:rsidRPr="006100A2" w:rsidRDefault="008E601B" w:rsidP="00374CB4">
            <w:pPr>
              <w:rPr>
                <w:rFonts w:ascii="Arial Narrow" w:hAnsi="Arial Narrow"/>
                <w:b/>
                <w:bCs/>
                <w:sz w:val="20"/>
                <w:szCs w:val="20"/>
              </w:rPr>
            </w:pPr>
            <w:r w:rsidRPr="006100A2">
              <w:rPr>
                <w:rFonts w:ascii="Arial Narrow" w:hAnsi="Arial Narrow"/>
                <w:b/>
                <w:sz w:val="20"/>
                <w:szCs w:val="20"/>
              </w:rPr>
              <w:t xml:space="preserve">Authority type: </w:t>
            </w:r>
            <w:r w:rsidRPr="006100A2">
              <w:rPr>
                <w:rFonts w:ascii="Arial Narrow" w:eastAsia="Calibri" w:hAnsi="Arial Narrow"/>
                <w:sz w:val="20"/>
                <w:szCs w:val="20"/>
              </w:rPr>
              <w:fldChar w:fldCharType="begin">
                <w:ffData>
                  <w:name w:val="Check1"/>
                  <w:enabled/>
                  <w:calcOnExit w:val="0"/>
                  <w:checkBox>
                    <w:sizeAuto/>
                    <w:default w:val="1"/>
                  </w:checkBox>
                </w:ffData>
              </w:fldChar>
            </w:r>
            <w:r w:rsidRPr="006100A2">
              <w:rPr>
                <w:rFonts w:ascii="Arial Narrow" w:eastAsia="Calibri" w:hAnsi="Arial Narrow"/>
                <w:sz w:val="20"/>
                <w:szCs w:val="20"/>
              </w:rPr>
              <w:instrText xml:space="preserve"> FORMCHECKBOX </w:instrText>
            </w:r>
            <w:r w:rsidRPr="006100A2">
              <w:rPr>
                <w:rFonts w:ascii="Arial Narrow" w:eastAsia="Calibri" w:hAnsi="Arial Narrow"/>
                <w:sz w:val="20"/>
                <w:szCs w:val="20"/>
              </w:rPr>
            </w:r>
            <w:r w:rsidRPr="006100A2">
              <w:rPr>
                <w:rFonts w:ascii="Arial Narrow" w:eastAsia="Calibri" w:hAnsi="Arial Narrow"/>
                <w:sz w:val="20"/>
                <w:szCs w:val="20"/>
              </w:rPr>
              <w:fldChar w:fldCharType="separate"/>
            </w:r>
            <w:r w:rsidRPr="006100A2">
              <w:rPr>
                <w:rFonts w:ascii="Arial Narrow" w:eastAsia="Calibri" w:hAnsi="Arial Narrow"/>
                <w:sz w:val="20"/>
                <w:szCs w:val="20"/>
              </w:rPr>
              <w:fldChar w:fldCharType="end"/>
            </w:r>
            <w:r w:rsidRPr="006100A2">
              <w:rPr>
                <w:rFonts w:ascii="Arial Narrow" w:eastAsia="Calibri" w:hAnsi="Arial Narrow"/>
                <w:sz w:val="20"/>
                <w:szCs w:val="20"/>
              </w:rPr>
              <w:t xml:space="preserve"> Non-complex Authority Required (non-CAR)</w:t>
            </w:r>
          </w:p>
        </w:tc>
      </w:tr>
      <w:tr w:rsidR="008E601B" w:rsidRPr="005406FA" w14:paraId="2EE28578" w14:textId="77777777" w:rsidTr="008E601B">
        <w:trPr>
          <w:trHeight w:val="743"/>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1387B64" w14:textId="77777777" w:rsidR="008E601B" w:rsidRPr="006100A2" w:rsidRDefault="008E601B" w:rsidP="00374CB4">
            <w:pPr>
              <w:rPr>
                <w:rFonts w:ascii="Arial Narrow" w:hAnsi="Arial Narrow"/>
                <w:b/>
                <w:bCs/>
                <w:sz w:val="20"/>
                <w:szCs w:val="20"/>
              </w:rPr>
            </w:pPr>
            <w:r w:rsidRPr="006100A2">
              <w:rPr>
                <w:rFonts w:ascii="Arial Narrow" w:hAnsi="Arial Narrow"/>
                <w:b/>
                <w:bCs/>
                <w:sz w:val="20"/>
                <w:szCs w:val="20"/>
              </w:rPr>
              <w:t xml:space="preserve">Administrative Advice: </w:t>
            </w:r>
            <w:r w:rsidRPr="006100A2">
              <w:rPr>
                <w:rFonts w:ascii="Arial Narrow" w:hAnsi="Arial Narrow"/>
                <w:sz w:val="20"/>
                <w:szCs w:val="20"/>
              </w:rPr>
              <w:t>No increase in the maximum number of repeats may be authorised.</w:t>
            </w:r>
          </w:p>
        </w:tc>
      </w:tr>
      <w:tr w:rsidR="008E601B" w:rsidRPr="005406FA" w14:paraId="683AB147" w14:textId="77777777" w:rsidTr="008E601B">
        <w:trPr>
          <w:trHeight w:val="399"/>
        </w:trPr>
        <w:tc>
          <w:tcPr>
            <w:tcW w:w="9007" w:type="dxa"/>
            <w:gridSpan w:val="6"/>
            <w:tcBorders>
              <w:top w:val="single" w:sz="6" w:space="0" w:color="auto"/>
              <w:left w:val="single" w:sz="6" w:space="0" w:color="auto"/>
              <w:bottom w:val="single" w:sz="6" w:space="0" w:color="auto"/>
              <w:right w:val="single" w:sz="6" w:space="0" w:color="auto"/>
            </w:tcBorders>
            <w:shd w:val="clear" w:color="auto" w:fill="auto"/>
          </w:tcPr>
          <w:p w14:paraId="0C45AE41" w14:textId="77777777" w:rsidR="008E601B" w:rsidRPr="006100A2" w:rsidRDefault="008E601B" w:rsidP="00374CB4">
            <w:pPr>
              <w:rPr>
                <w:rFonts w:ascii="Arial Narrow" w:hAnsi="Arial Narrow"/>
                <w:b/>
                <w:bCs/>
                <w:sz w:val="20"/>
                <w:szCs w:val="20"/>
              </w:rPr>
            </w:pPr>
            <w:r w:rsidRPr="006100A2">
              <w:rPr>
                <w:rFonts w:ascii="Arial Narrow" w:hAnsi="Arial Narrow"/>
                <w:sz w:val="20"/>
                <w:szCs w:val="20"/>
              </w:rPr>
              <w:t>Special Pricing Arrangements apply</w:t>
            </w:r>
          </w:p>
        </w:tc>
      </w:tr>
      <w:tr w:rsidR="008E601B" w:rsidRPr="005406FA" w14:paraId="3E5C12A0"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BCEFA10"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Indication:</w:t>
            </w:r>
            <w:r w:rsidRPr="005406FA">
              <w:rPr>
                <w:rFonts w:ascii="Arial Narrow" w:hAnsi="Arial Narrow"/>
                <w:sz w:val="20"/>
                <w:szCs w:val="20"/>
              </w:rPr>
              <w:t xml:space="preserve"> Active Moderate-to-severe thyroid eye disease </w:t>
            </w:r>
          </w:p>
        </w:tc>
      </w:tr>
      <w:tr w:rsidR="008E601B" w:rsidRPr="005406FA" w14:paraId="07491EA7"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D531493"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Treatment Phase:</w:t>
            </w:r>
            <w:r w:rsidRPr="005406FA">
              <w:rPr>
                <w:rFonts w:ascii="Arial Narrow" w:hAnsi="Arial Narrow"/>
                <w:sz w:val="20"/>
                <w:szCs w:val="20"/>
              </w:rPr>
              <w:t xml:space="preserve"> Continuing treatment </w:t>
            </w:r>
          </w:p>
        </w:tc>
      </w:tr>
      <w:tr w:rsidR="008E601B" w:rsidRPr="005406FA" w14:paraId="1791D3F8"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5CF2A2D"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Clinical criteria: </w:t>
            </w:r>
            <w:r w:rsidRPr="005406FA">
              <w:rPr>
                <w:rFonts w:ascii="Arial Narrow" w:hAnsi="Arial Narrow"/>
                <w:sz w:val="20"/>
                <w:szCs w:val="20"/>
              </w:rPr>
              <w:t> </w:t>
            </w:r>
          </w:p>
        </w:tc>
      </w:tr>
      <w:tr w:rsidR="008E601B" w:rsidRPr="005406FA" w14:paraId="424DFDB5"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E69F7A2" w14:textId="77777777" w:rsidR="008E601B" w:rsidRPr="005406FA" w:rsidRDefault="008E601B" w:rsidP="00374CB4">
            <w:pPr>
              <w:rPr>
                <w:rFonts w:ascii="Arial Narrow" w:hAnsi="Arial Narrow"/>
                <w:sz w:val="20"/>
                <w:szCs w:val="20"/>
              </w:rPr>
            </w:pPr>
            <w:r w:rsidRPr="005406FA">
              <w:rPr>
                <w:rFonts w:ascii="Arial Narrow" w:hAnsi="Arial Narrow"/>
                <w:sz w:val="20"/>
                <w:szCs w:val="20"/>
              </w:rPr>
              <w:t>Patient must have previously received PBS-subsidised treatment with this drug for this condition </w:t>
            </w:r>
          </w:p>
        </w:tc>
      </w:tr>
      <w:tr w:rsidR="008E601B" w:rsidRPr="005406FA" w14:paraId="1BD47402"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F196214"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Treatment criteria:</w:t>
            </w:r>
            <w:r w:rsidRPr="005406FA">
              <w:rPr>
                <w:rFonts w:ascii="Arial Narrow" w:hAnsi="Arial Narrow"/>
                <w:sz w:val="20"/>
                <w:szCs w:val="20"/>
              </w:rPr>
              <w:t> </w:t>
            </w:r>
          </w:p>
        </w:tc>
      </w:tr>
      <w:tr w:rsidR="008E601B" w:rsidRPr="005406FA" w14:paraId="26155590"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C0FD2C3" w14:textId="77777777" w:rsidR="008E601B" w:rsidRPr="005406FA" w:rsidRDefault="008E601B" w:rsidP="00374CB4">
            <w:pPr>
              <w:rPr>
                <w:rFonts w:ascii="Arial Narrow" w:hAnsi="Arial Narrow"/>
                <w:sz w:val="20"/>
                <w:szCs w:val="20"/>
              </w:rPr>
            </w:pPr>
            <w:r w:rsidRPr="005406FA">
              <w:rPr>
                <w:rFonts w:ascii="Arial Narrow" w:hAnsi="Arial Narrow"/>
                <w:sz w:val="20"/>
                <w:szCs w:val="20"/>
              </w:rPr>
              <w:t>Must be treated by a specialist physician experienced in the management of thyroid eye disease; or  </w:t>
            </w:r>
          </w:p>
        </w:tc>
      </w:tr>
      <w:tr w:rsidR="008E601B" w:rsidRPr="005406FA" w14:paraId="171837BD"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1B77BE1" w14:textId="77777777" w:rsidR="008E601B" w:rsidRPr="005406FA" w:rsidRDefault="008E601B" w:rsidP="00374CB4">
            <w:pPr>
              <w:rPr>
                <w:rFonts w:ascii="Arial Narrow" w:hAnsi="Arial Narrow"/>
                <w:sz w:val="20"/>
                <w:szCs w:val="20"/>
              </w:rPr>
            </w:pPr>
            <w:r w:rsidRPr="005406FA">
              <w:rPr>
                <w:rFonts w:ascii="Arial Narrow" w:hAnsi="Arial Narrow"/>
                <w:sz w:val="20"/>
                <w:szCs w:val="20"/>
              </w:rPr>
              <w:t>Must be treated by a medical practitioner in consultation with a specialist physician experienced in the management of thyroid eye disease </w:t>
            </w:r>
          </w:p>
        </w:tc>
      </w:tr>
      <w:tr w:rsidR="008E601B" w:rsidRPr="005406FA" w14:paraId="27B19710"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0E92690" w14:textId="77777777" w:rsidR="008E601B" w:rsidRPr="005406FA" w:rsidRDefault="008E601B" w:rsidP="00374CB4">
            <w:pPr>
              <w:rPr>
                <w:rFonts w:ascii="Arial Narrow" w:hAnsi="Arial Narrow"/>
                <w:sz w:val="20"/>
                <w:szCs w:val="20"/>
              </w:rPr>
            </w:pPr>
            <w:r w:rsidRPr="005406FA">
              <w:rPr>
                <w:rFonts w:ascii="Arial Narrow" w:hAnsi="Arial Narrow"/>
                <w:b/>
                <w:bCs/>
                <w:sz w:val="20"/>
                <w:szCs w:val="20"/>
              </w:rPr>
              <w:t>Prescribing Instructions:</w:t>
            </w:r>
            <w:r w:rsidRPr="005406FA">
              <w:rPr>
                <w:rFonts w:ascii="Arial Narrow" w:hAnsi="Arial Narrow"/>
                <w:sz w:val="20"/>
                <w:szCs w:val="20"/>
              </w:rPr>
              <w:t> </w:t>
            </w:r>
          </w:p>
          <w:p w14:paraId="6B794DFB" w14:textId="77777777" w:rsidR="008E601B" w:rsidRPr="005406FA" w:rsidRDefault="008E601B" w:rsidP="00374CB4">
            <w:pPr>
              <w:rPr>
                <w:rFonts w:ascii="Arial Narrow" w:hAnsi="Arial Narrow"/>
                <w:sz w:val="20"/>
                <w:szCs w:val="20"/>
              </w:rPr>
            </w:pPr>
            <w:r w:rsidRPr="005406FA">
              <w:rPr>
                <w:rFonts w:ascii="Arial Narrow" w:hAnsi="Arial Narrow"/>
                <w:sz w:val="20"/>
                <w:szCs w:val="20"/>
              </w:rPr>
              <w:t>Increased maximum amounts may only be authorised where a patient's weight is greater than 150 kg. </w:t>
            </w:r>
          </w:p>
        </w:tc>
      </w:tr>
      <w:tr w:rsidR="008E601B" w:rsidRPr="005406FA" w14:paraId="7D597CD7"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F6A555D" w14:textId="77777777" w:rsidR="008E601B" w:rsidRPr="00A81B4F" w:rsidRDefault="008E601B" w:rsidP="00374CB4">
            <w:pPr>
              <w:rPr>
                <w:rFonts w:ascii="Arial Narrow" w:hAnsi="Arial Narrow"/>
                <w:sz w:val="20"/>
                <w:szCs w:val="20"/>
              </w:rPr>
            </w:pPr>
            <w:r w:rsidRPr="00813818">
              <w:rPr>
                <w:rFonts w:ascii="Arial Narrow" w:hAnsi="Arial Narrow"/>
                <w:b/>
                <w:bCs/>
                <w:i/>
                <w:iCs/>
                <w:sz w:val="20"/>
                <w:szCs w:val="20"/>
              </w:rPr>
              <w:t xml:space="preserve">Prescribing Instructions: </w:t>
            </w:r>
            <w:r w:rsidRPr="00813818">
              <w:rPr>
                <w:rFonts w:ascii="Arial Narrow" w:hAnsi="Arial Narrow"/>
                <w:i/>
                <w:iCs/>
                <w:sz w:val="20"/>
                <w:szCs w:val="20"/>
              </w:rPr>
              <w:t>After completing 8 doses in total of PBS subsidised treatment with teprotumumab, a patient may be eligible for re-treatment through the initial treatment phase only, if a response to treatment was previously demonstrated.</w:t>
            </w:r>
          </w:p>
        </w:tc>
      </w:tr>
      <w:tr w:rsidR="008E601B" w:rsidRPr="005406FA" w14:paraId="00ED7564"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F84E961" w14:textId="77777777" w:rsidR="008E601B" w:rsidRPr="00A81B4F" w:rsidRDefault="008E601B" w:rsidP="00374CB4">
            <w:pPr>
              <w:rPr>
                <w:rFonts w:ascii="Arial Narrow" w:hAnsi="Arial Narrow"/>
                <w:sz w:val="20"/>
                <w:szCs w:val="20"/>
              </w:rPr>
            </w:pPr>
            <w:r w:rsidRPr="00A81B4F">
              <w:rPr>
                <w:rFonts w:ascii="Arial Narrow" w:hAnsi="Arial Narrow"/>
                <w:sz w:val="20"/>
                <w:szCs w:val="20"/>
              </w:rPr>
              <w:t>Assess patients’ hearing before, and routinely during and after treatment, including use of audiograms where clinically warranted. </w:t>
            </w:r>
          </w:p>
          <w:p w14:paraId="18FA04C8" w14:textId="77777777" w:rsidR="008E601B" w:rsidRPr="00A81B4F" w:rsidRDefault="008E601B" w:rsidP="00374CB4">
            <w:pPr>
              <w:rPr>
                <w:rFonts w:ascii="Arial Narrow" w:hAnsi="Arial Narrow"/>
                <w:sz w:val="20"/>
                <w:szCs w:val="20"/>
              </w:rPr>
            </w:pPr>
          </w:p>
          <w:p w14:paraId="4A963EA1" w14:textId="77777777" w:rsidR="008E601B" w:rsidRPr="00C35160" w:rsidRDefault="008E601B" w:rsidP="00374CB4">
            <w:pPr>
              <w:rPr>
                <w:rFonts w:ascii="Arial Narrow" w:hAnsi="Arial Narrow"/>
                <w:i/>
                <w:iCs/>
                <w:sz w:val="20"/>
                <w:szCs w:val="20"/>
              </w:rPr>
            </w:pPr>
            <w:r w:rsidRPr="00C35160">
              <w:rPr>
                <w:rFonts w:ascii="Arial Narrow" w:hAnsi="Arial Narrow"/>
                <w:i/>
                <w:iCs/>
                <w:sz w:val="20"/>
                <w:szCs w:val="20"/>
              </w:rPr>
              <w:t>If significant hearing loss is experienced while receiving treatment with this drug for this condition, treatment discontinuation is advised. See also TGA approved Product Information</w:t>
            </w:r>
          </w:p>
        </w:tc>
      </w:tr>
      <w:tr w:rsidR="008E601B" w:rsidRPr="005406FA" w14:paraId="3AC8AB24" w14:textId="77777777" w:rsidTr="008E601B">
        <w:trPr>
          <w:trHeight w:val="300"/>
        </w:trPr>
        <w:tc>
          <w:tcPr>
            <w:tcW w:w="900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68FEECA" w14:textId="77777777" w:rsidR="008E601B" w:rsidRPr="00A81B4F" w:rsidRDefault="008E601B" w:rsidP="00374CB4">
            <w:pPr>
              <w:rPr>
                <w:rFonts w:ascii="Arial Narrow" w:hAnsi="Arial Narrow"/>
                <w:sz w:val="20"/>
                <w:szCs w:val="20"/>
              </w:rPr>
            </w:pPr>
            <w:r w:rsidRPr="00A81B4F">
              <w:rPr>
                <w:rFonts w:ascii="Arial Narrow" w:hAnsi="Arial Narrow"/>
                <w:sz w:val="20"/>
                <w:szCs w:val="20"/>
              </w:rPr>
              <w:t xml:space="preserve">Teprotumumab is contraindicated in pregnancy. Women of childbearing potential should have a negative pregnancy test before starting treatment with </w:t>
            </w:r>
            <w:r w:rsidRPr="00491C21">
              <w:rPr>
                <w:rFonts w:ascii="Arial Narrow" w:hAnsi="Arial Narrow"/>
                <w:i/>
                <w:iCs/>
                <w:sz w:val="20"/>
                <w:szCs w:val="20"/>
              </w:rPr>
              <w:t>teprotumumab</w:t>
            </w:r>
            <w:r w:rsidRPr="00491C21">
              <w:rPr>
                <w:rFonts w:ascii="Arial Narrow" w:hAnsi="Arial Narrow"/>
                <w:strike/>
                <w:sz w:val="20"/>
                <w:szCs w:val="20"/>
              </w:rPr>
              <w:t>TEPEZZA</w:t>
            </w:r>
            <w:r w:rsidRPr="00A81B4F">
              <w:rPr>
                <w:rFonts w:ascii="Arial Narrow" w:hAnsi="Arial Narrow"/>
                <w:sz w:val="20"/>
                <w:szCs w:val="20"/>
              </w:rPr>
              <w:t xml:space="preserve">, and monthly during treatment and for 6 months after cessation of treatment. If the patient becomes pregnant during treatment </w:t>
            </w:r>
            <w:r w:rsidRPr="00491C21">
              <w:rPr>
                <w:rFonts w:ascii="Arial Narrow" w:hAnsi="Arial Narrow"/>
                <w:i/>
                <w:iCs/>
                <w:sz w:val="20"/>
                <w:szCs w:val="20"/>
              </w:rPr>
              <w:t>teprotumumab</w:t>
            </w:r>
            <w:r w:rsidRPr="00491C21">
              <w:rPr>
                <w:rFonts w:ascii="Arial Narrow" w:hAnsi="Arial Narrow"/>
                <w:strike/>
                <w:sz w:val="20"/>
                <w:szCs w:val="20"/>
              </w:rPr>
              <w:t>TEPEZZA</w:t>
            </w:r>
            <w:r w:rsidRPr="00A81B4F">
              <w:rPr>
                <w:rFonts w:ascii="Arial Narrow" w:hAnsi="Arial Narrow"/>
                <w:sz w:val="20"/>
                <w:szCs w:val="20"/>
              </w:rPr>
              <w:t xml:space="preserve"> should be discontinued. See also </w:t>
            </w:r>
            <w:r w:rsidRPr="00A81B4F">
              <w:rPr>
                <w:rFonts w:ascii="Arial Narrow" w:hAnsi="Arial Narrow"/>
                <w:i/>
                <w:iCs/>
                <w:sz w:val="20"/>
                <w:szCs w:val="20"/>
              </w:rPr>
              <w:t>TGA approved</w:t>
            </w:r>
            <w:r w:rsidRPr="00A81B4F">
              <w:rPr>
                <w:rFonts w:ascii="Arial Narrow" w:hAnsi="Arial Narrow"/>
                <w:sz w:val="20"/>
                <w:szCs w:val="20"/>
              </w:rPr>
              <w:t xml:space="preserve"> Product Information. </w:t>
            </w:r>
          </w:p>
        </w:tc>
      </w:tr>
    </w:tbl>
    <w:p w14:paraId="057658B7" w14:textId="77777777" w:rsidR="00825672" w:rsidRDefault="00825672" w:rsidP="00825672">
      <w:pPr>
        <w:jc w:val="left"/>
        <w:rPr>
          <w:rFonts w:asciiTheme="minorHAnsi" w:hAnsiTheme="minorHAnsi"/>
          <w:b/>
          <w:i/>
          <w:iCs/>
          <w:snapToGrid w:val="0"/>
          <w:lang w:val="en-GB"/>
        </w:rPr>
      </w:pPr>
    </w:p>
    <w:p w14:paraId="28361C14" w14:textId="77777777" w:rsidR="00825672" w:rsidRDefault="00825672" w:rsidP="00825672">
      <w:pPr>
        <w:jc w:val="left"/>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w:t>
      </w:r>
      <w:r>
        <w:rPr>
          <w:rFonts w:asciiTheme="minorHAnsi" w:hAnsiTheme="minorHAnsi"/>
          <w:b/>
          <w:i/>
          <w:iCs/>
          <w:snapToGrid w:val="0"/>
          <w:lang w:val="en-GB"/>
        </w:rPr>
        <w:t>s</w:t>
      </w:r>
      <w:r w:rsidRPr="00907671">
        <w:rPr>
          <w:rFonts w:asciiTheme="minorHAnsi" w:hAnsiTheme="minorHAnsi"/>
          <w:b/>
          <w:i/>
          <w:iCs/>
          <w:snapToGrid w:val="0"/>
          <w:lang w:val="en-GB"/>
        </w:rPr>
        <w:t xml:space="preserve"> the sponsor will be informed.</w:t>
      </w:r>
    </w:p>
    <w:p w14:paraId="7D5B6F8C" w14:textId="77777777" w:rsidR="0023108D" w:rsidRPr="0023108D" w:rsidRDefault="0023108D" w:rsidP="0023108D">
      <w:pPr>
        <w:pStyle w:val="2-SectionHeading"/>
      </w:pPr>
      <w:r w:rsidRPr="0023108D">
        <w:t>Context for Decision</w:t>
      </w:r>
    </w:p>
    <w:p w14:paraId="37D33F60" w14:textId="77777777" w:rsidR="0023108D" w:rsidRPr="00061CBE" w:rsidRDefault="0023108D" w:rsidP="0023108D">
      <w:pPr>
        <w:pStyle w:val="3-BodyText"/>
        <w:numPr>
          <w:ilvl w:val="0"/>
          <w:numId w:val="0"/>
        </w:numPr>
        <w:ind w:left="720"/>
        <w:rPr>
          <w:lang w:val="en-GB"/>
        </w:rPr>
      </w:pPr>
      <w:r w:rsidRPr="00061CBE">
        <w:rPr>
          <w:lang w:val="en-GB"/>
        </w:rPr>
        <w:t xml:space="preserve">The PBAC helps decide whether and, if so, how medicines should be subsidised through the Pharmaceutical Benefits Scheme (PBS) in Australia. It considers applications regarding the listing of medicines on the PBS and provides advice about </w:t>
      </w:r>
      <w:r w:rsidRPr="00061CBE">
        <w:rPr>
          <w:lang w:val="en-GB"/>
        </w:rPr>
        <w:lastRenderedPageBreak/>
        <w:t>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E3326E8" w14:textId="1E13CA6C" w:rsidR="0023108D" w:rsidRPr="0023108D" w:rsidRDefault="0023108D" w:rsidP="0023108D">
      <w:pPr>
        <w:pStyle w:val="2-SectionHeading"/>
      </w:pPr>
      <w:r w:rsidRPr="0023108D">
        <w:t>Sponsor’s Comment</w:t>
      </w:r>
    </w:p>
    <w:p w14:paraId="0C26F6ED" w14:textId="06ACB2E5" w:rsidR="00F958F4" w:rsidRPr="006C5350" w:rsidRDefault="0023108D" w:rsidP="006C5350">
      <w:pPr>
        <w:pStyle w:val="3-BodyText"/>
        <w:numPr>
          <w:ilvl w:val="0"/>
          <w:numId w:val="0"/>
        </w:numPr>
        <w:ind w:left="720"/>
        <w:rPr>
          <w:b/>
          <w:i/>
          <w:iCs/>
          <w:snapToGrid w:val="0"/>
          <w:lang w:eastAsia="en-US"/>
        </w:rPr>
      </w:pPr>
      <w:r w:rsidRPr="00061CBE">
        <w:t>The sponsor had no comment</w:t>
      </w:r>
      <w:r w:rsidR="006C5350">
        <w:t>.</w:t>
      </w:r>
    </w:p>
    <w:sectPr w:rsidR="00F958F4" w:rsidRPr="006C5350" w:rsidSect="00251006">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4693" w14:textId="77777777" w:rsidR="00A02D8F" w:rsidRDefault="00A02D8F" w:rsidP="00124A51">
      <w:r>
        <w:separator/>
      </w:r>
    </w:p>
    <w:p w14:paraId="222E4D12" w14:textId="77777777" w:rsidR="00A02D8F" w:rsidRDefault="00A02D8F"/>
  </w:endnote>
  <w:endnote w:type="continuationSeparator" w:id="0">
    <w:p w14:paraId="33F98BBA" w14:textId="77777777" w:rsidR="00A02D8F" w:rsidRDefault="00A02D8F" w:rsidP="00124A51">
      <w:r>
        <w:continuationSeparator/>
      </w:r>
    </w:p>
    <w:p w14:paraId="077221EF" w14:textId="77777777" w:rsidR="00A02D8F" w:rsidRDefault="00A02D8F"/>
  </w:endnote>
  <w:endnote w:type="continuationNotice" w:id="1">
    <w:p w14:paraId="6AFB451D" w14:textId="77777777" w:rsidR="00A02D8F" w:rsidRDefault="00A02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charset w:val="00"/>
    <w:family w:val="roman"/>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3E" w14:textId="13F7B5E7" w:rsidR="001612F5" w:rsidRDefault="00436577">
    <w:pPr>
      <w:pStyle w:val="Footer"/>
    </w:pPr>
    <w:r>
      <w:rPr>
        <w:noProof/>
      </w:rPr>
      <mc:AlternateContent>
        <mc:Choice Requires="wps">
          <w:drawing>
            <wp:anchor distT="0" distB="0" distL="0" distR="0" simplePos="0" relativeHeight="251670528" behindDoc="0" locked="0" layoutInCell="1" allowOverlap="1" wp14:anchorId="210A219B" wp14:editId="4D576C80">
              <wp:simplePos x="635" y="635"/>
              <wp:positionH relativeFrom="page">
                <wp:align>center</wp:align>
              </wp:positionH>
              <wp:positionV relativeFrom="page">
                <wp:align>bottom</wp:align>
              </wp:positionV>
              <wp:extent cx="551815" cy="376555"/>
              <wp:effectExtent l="0" t="0" r="635" b="0"/>
              <wp:wrapNone/>
              <wp:docPr id="31449960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8286FA" w14:textId="5C8118BC" w:rsidR="00436577" w:rsidRPr="00436577" w:rsidRDefault="00436577" w:rsidP="00436577">
                          <w:pPr>
                            <w:rPr>
                              <w:rFonts w:eastAsia="Calibri" w:cs="Calibri"/>
                              <w:noProof/>
                              <w:color w:val="FF0000"/>
                            </w:rPr>
                          </w:pPr>
                          <w:r w:rsidRPr="00436577">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A219B"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A8286FA" w14:textId="5C8118BC" w:rsidR="00436577" w:rsidRPr="00436577" w:rsidRDefault="00436577" w:rsidP="00436577">
                    <w:pPr>
                      <w:rPr>
                        <w:rFonts w:eastAsia="Calibri" w:cs="Calibri"/>
                        <w:noProof/>
                        <w:color w:val="FF0000"/>
                      </w:rPr>
                    </w:pPr>
                    <w:r w:rsidRPr="00436577">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07D7" w14:textId="1012E65B" w:rsidR="00DD234B" w:rsidRDefault="00436577">
    <w:pPr>
      <w:pStyle w:val="Footer"/>
      <w:jc w:val="center"/>
    </w:pPr>
    <w:r>
      <w:rPr>
        <w:noProof/>
      </w:rPr>
      <mc:AlternateContent>
        <mc:Choice Requires="wps">
          <w:drawing>
            <wp:anchor distT="0" distB="0" distL="0" distR="0" simplePos="0" relativeHeight="251671552" behindDoc="0" locked="0" layoutInCell="1" allowOverlap="1" wp14:anchorId="401BFAA3" wp14:editId="0CB0DBD4">
              <wp:simplePos x="635" y="635"/>
              <wp:positionH relativeFrom="page">
                <wp:align>center</wp:align>
              </wp:positionH>
              <wp:positionV relativeFrom="page">
                <wp:align>bottom</wp:align>
              </wp:positionV>
              <wp:extent cx="551815" cy="376555"/>
              <wp:effectExtent l="0" t="0" r="635" b="0"/>
              <wp:wrapNone/>
              <wp:docPr id="79247430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CF2731" w14:textId="771F2617" w:rsidR="00436577" w:rsidRPr="00436577" w:rsidRDefault="00436577" w:rsidP="00436577">
                          <w:pPr>
                            <w:rPr>
                              <w:rFonts w:eastAsia="Calibri" w:cs="Calibri"/>
                              <w:noProof/>
                              <w:color w:val="FF0000"/>
                            </w:rPr>
                          </w:pPr>
                          <w:r w:rsidRPr="00436577">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BFAA3"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fill o:detectmouseclick="t"/>
              <v:textbox style="mso-fit-shape-to-text:t" inset="0,0,0,15pt">
                <w:txbxContent>
                  <w:p w14:paraId="05CF2731" w14:textId="771F2617" w:rsidR="00436577" w:rsidRPr="00436577" w:rsidRDefault="00436577" w:rsidP="00436577">
                    <w:pPr>
                      <w:rPr>
                        <w:rFonts w:eastAsia="Calibri" w:cs="Calibri"/>
                        <w:noProof/>
                        <w:color w:val="FF0000"/>
                      </w:rPr>
                    </w:pPr>
                    <w:r w:rsidRPr="00436577">
                      <w:rPr>
                        <w:rFonts w:eastAsia="Calibri" w:cs="Calibri"/>
                        <w:noProof/>
                        <w:color w:val="FF0000"/>
                      </w:rPr>
                      <w:t>OFFICIAL</w:t>
                    </w:r>
                  </w:p>
                </w:txbxContent>
              </v:textbox>
              <w10:wrap anchorx="page" anchory="page"/>
            </v:shape>
          </w:pict>
        </mc:Fallback>
      </mc:AlternateContent>
    </w:r>
  </w:p>
  <w:sdt>
    <w:sdtPr>
      <w:id w:val="1382978909"/>
      <w:docPartObj>
        <w:docPartGallery w:val="Page Numbers (Bottom of Page)"/>
        <w:docPartUnique/>
      </w:docPartObj>
    </w:sdtPr>
    <w:sdtEndPr>
      <w:rPr>
        <w:b/>
        <w:bCs/>
        <w:noProof/>
      </w:rPr>
    </w:sdtEndPr>
    <w:sdtContent>
      <w:p w14:paraId="37484CD3" w14:textId="665A86F5" w:rsidR="00D843F2" w:rsidRPr="00DD234B" w:rsidRDefault="00DD234B" w:rsidP="00DD234B">
        <w:pPr>
          <w:pStyle w:val="Footer"/>
          <w:jc w:val="center"/>
          <w:rPr>
            <w:b/>
            <w:bCs/>
          </w:rPr>
        </w:pPr>
        <w:r w:rsidRPr="00DD234B">
          <w:rPr>
            <w:b/>
            <w:bCs/>
          </w:rPr>
          <w:fldChar w:fldCharType="begin"/>
        </w:r>
        <w:r w:rsidRPr="00DD234B">
          <w:rPr>
            <w:b/>
            <w:bCs/>
          </w:rPr>
          <w:instrText xml:space="preserve"> PAGE   \* MERGEFORMAT </w:instrText>
        </w:r>
        <w:r w:rsidRPr="00DD234B">
          <w:rPr>
            <w:b/>
            <w:bCs/>
          </w:rPr>
          <w:fldChar w:fldCharType="separate"/>
        </w:r>
        <w:r w:rsidRPr="00DD234B">
          <w:rPr>
            <w:b/>
            <w:bCs/>
            <w:noProof/>
          </w:rPr>
          <w:t>2</w:t>
        </w:r>
        <w:r w:rsidRPr="00DD234B">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54BF" w14:textId="21109354" w:rsidR="001612F5" w:rsidRDefault="00436577">
    <w:pPr>
      <w:pStyle w:val="Footer"/>
    </w:pPr>
    <w:r>
      <w:rPr>
        <w:noProof/>
      </w:rPr>
      <mc:AlternateContent>
        <mc:Choice Requires="wps">
          <w:drawing>
            <wp:anchor distT="0" distB="0" distL="0" distR="0" simplePos="0" relativeHeight="251669504" behindDoc="0" locked="0" layoutInCell="1" allowOverlap="1" wp14:anchorId="13F0B963" wp14:editId="71EFDD50">
              <wp:simplePos x="635" y="635"/>
              <wp:positionH relativeFrom="page">
                <wp:align>center</wp:align>
              </wp:positionH>
              <wp:positionV relativeFrom="page">
                <wp:align>bottom</wp:align>
              </wp:positionV>
              <wp:extent cx="551815" cy="376555"/>
              <wp:effectExtent l="0" t="0" r="635" b="0"/>
              <wp:wrapNone/>
              <wp:docPr id="100666344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CB5E0E" w14:textId="7EE43744" w:rsidR="00436577" w:rsidRPr="00436577" w:rsidRDefault="00436577" w:rsidP="00436577">
                          <w:pPr>
                            <w:rPr>
                              <w:rFonts w:eastAsia="Calibri" w:cs="Calibri"/>
                              <w:noProof/>
                              <w:color w:val="FF0000"/>
                            </w:rPr>
                          </w:pPr>
                          <w:r w:rsidRPr="00436577">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0B963"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fill o:detectmouseclick="t"/>
              <v:textbox style="mso-fit-shape-to-text:t" inset="0,0,0,15pt">
                <w:txbxContent>
                  <w:p w14:paraId="72CB5E0E" w14:textId="7EE43744" w:rsidR="00436577" w:rsidRPr="00436577" w:rsidRDefault="00436577" w:rsidP="00436577">
                    <w:pPr>
                      <w:rPr>
                        <w:rFonts w:eastAsia="Calibri" w:cs="Calibri"/>
                        <w:noProof/>
                        <w:color w:val="FF0000"/>
                      </w:rPr>
                    </w:pPr>
                    <w:r w:rsidRPr="00436577">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19CDC" w14:textId="77777777" w:rsidR="00A02D8F" w:rsidRDefault="00A02D8F" w:rsidP="00124A51">
      <w:r>
        <w:separator/>
      </w:r>
    </w:p>
    <w:p w14:paraId="053B9AFD" w14:textId="77777777" w:rsidR="00A02D8F" w:rsidRDefault="00A02D8F"/>
  </w:footnote>
  <w:footnote w:type="continuationSeparator" w:id="0">
    <w:p w14:paraId="00287336" w14:textId="77777777" w:rsidR="00A02D8F" w:rsidRDefault="00A02D8F" w:rsidP="00124A51">
      <w:r>
        <w:continuationSeparator/>
      </w:r>
    </w:p>
    <w:p w14:paraId="2AD8A161" w14:textId="77777777" w:rsidR="00A02D8F" w:rsidRDefault="00A02D8F"/>
  </w:footnote>
  <w:footnote w:type="continuationNotice" w:id="1">
    <w:p w14:paraId="35BF69CD" w14:textId="77777777" w:rsidR="00A02D8F" w:rsidRDefault="00A02D8F"/>
  </w:footnote>
  <w:footnote w:id="2">
    <w:p w14:paraId="6730B9CE" w14:textId="77777777" w:rsidR="00A30BD2" w:rsidRPr="004834F6" w:rsidRDefault="00A30BD2" w:rsidP="00A30BD2">
      <w:pPr>
        <w:pStyle w:val="FootnoteText"/>
        <w:rPr>
          <w:rFonts w:asciiTheme="minorHAnsi" w:hAnsiTheme="minorHAnsi" w:cstheme="minorHAnsi"/>
          <w:sz w:val="18"/>
          <w:szCs w:val="18"/>
        </w:rPr>
      </w:pPr>
      <w:r w:rsidRPr="004834F6">
        <w:rPr>
          <w:rStyle w:val="FootnoteReference"/>
          <w:rFonts w:asciiTheme="minorHAnsi" w:hAnsiTheme="minorHAnsi" w:cstheme="minorHAnsi"/>
          <w:sz w:val="18"/>
          <w:szCs w:val="18"/>
        </w:rPr>
        <w:footnoteRef/>
      </w:r>
      <w:r w:rsidRPr="004834F6">
        <w:rPr>
          <w:rFonts w:asciiTheme="minorHAnsi" w:hAnsiTheme="minorHAnsi" w:cstheme="minorHAnsi"/>
          <w:sz w:val="18"/>
          <w:szCs w:val="18"/>
        </w:rPr>
        <w:t xml:space="preserve"> T</w:t>
      </w:r>
      <w:r w:rsidRPr="004834F6">
        <w:rPr>
          <w:rFonts w:asciiTheme="minorHAnsi" w:hAnsiTheme="minorHAnsi" w:cstheme="minorHAnsi"/>
          <w:noProof/>
          <w:sz w:val="18"/>
          <w:szCs w:val="18"/>
        </w:rPr>
        <w:t xml:space="preserve">oro-Tobon D, Rachmasari KN, Bradley EA, Wagner LH, Tooley AA, Stokken JK, Stan MN. Medical Therapy in Patients with Moderate to Severe, Steroid-Resistant, Thyroid Eye Disease. </w:t>
      </w:r>
      <w:r w:rsidRPr="004834F6">
        <w:rPr>
          <w:rFonts w:asciiTheme="minorHAnsi" w:hAnsiTheme="minorHAnsi" w:cstheme="minorHAnsi"/>
          <w:i/>
          <w:noProof/>
          <w:sz w:val="18"/>
          <w:szCs w:val="18"/>
        </w:rPr>
        <w:t>Thyroid</w:t>
      </w:r>
      <w:r w:rsidRPr="004834F6">
        <w:rPr>
          <w:rFonts w:asciiTheme="minorHAnsi" w:hAnsiTheme="minorHAnsi" w:cstheme="minorHAnsi"/>
          <w:noProof/>
          <w:sz w:val="18"/>
          <w:szCs w:val="18"/>
        </w:rPr>
        <w:t>. 2023 Oct;33(10):1237-44.</w:t>
      </w:r>
    </w:p>
  </w:footnote>
  <w:footnote w:id="3">
    <w:p w14:paraId="4228E2FE" w14:textId="45C83A9C" w:rsidR="00D52457" w:rsidRPr="00B34920" w:rsidRDefault="00D52457" w:rsidP="00D52457">
      <w:pPr>
        <w:pStyle w:val="FootnoteText"/>
        <w:rPr>
          <w:sz w:val="18"/>
          <w:szCs w:val="18"/>
        </w:rPr>
      </w:pPr>
      <w:r w:rsidRPr="00B34920">
        <w:rPr>
          <w:rStyle w:val="FootnoteReference"/>
          <w:sz w:val="18"/>
          <w:szCs w:val="18"/>
        </w:rPr>
        <w:footnoteRef/>
      </w:r>
      <w:r w:rsidRPr="00B34920">
        <w:rPr>
          <w:sz w:val="18"/>
          <w:szCs w:val="18"/>
        </w:rPr>
        <w:t xml:space="preserve"> </w:t>
      </w:r>
      <w:r w:rsidR="004834F6" w:rsidRPr="00B34920">
        <w:rPr>
          <w:sz w:val="18"/>
          <w:szCs w:val="18"/>
        </w:rPr>
        <w:t xml:space="preserve">Men, C. J., Amarikwa, L., Sears, C., Shinder, R., Clauss, K., Ugradar, S., Cockerham, K., Wester, S., Douglas, R., &amp; Kossler, A. (2024) </w:t>
      </w:r>
      <w:r w:rsidR="00FE5151" w:rsidRPr="00B34920">
        <w:rPr>
          <w:sz w:val="18"/>
          <w:szCs w:val="18"/>
        </w:rPr>
        <w:t xml:space="preserve">Teprotumumab for the Treatment of Recalcitrant Thyroid Eye Disease. </w:t>
      </w:r>
      <w:r w:rsidR="00FE5151" w:rsidRPr="00B34920">
        <w:rPr>
          <w:i/>
          <w:sz w:val="18"/>
          <w:szCs w:val="18"/>
        </w:rPr>
        <w:t>Ophthalmic Plast Reconstr Surg</w:t>
      </w:r>
      <w:r w:rsidR="00FE5151" w:rsidRPr="00B34920">
        <w:rPr>
          <w:sz w:val="18"/>
          <w:szCs w:val="18"/>
        </w:rPr>
        <w:t xml:space="preserve"> 40</w:t>
      </w:r>
      <w:r w:rsidR="004834F6" w:rsidRPr="00B34920">
        <w:rPr>
          <w:sz w:val="18"/>
          <w:szCs w:val="18"/>
        </w:rPr>
        <w:t>(4)</w:t>
      </w:r>
      <w:r w:rsidR="00FE5151" w:rsidRPr="00B34920">
        <w:rPr>
          <w:sz w:val="18"/>
          <w:szCs w:val="18"/>
        </w:rPr>
        <w:t>, 276-285</w:t>
      </w:r>
      <w:r w:rsidR="004834F6" w:rsidRPr="00B34920">
        <w:rPr>
          <w:sz w:val="18"/>
          <w:szCs w:val="18"/>
        </w:rPr>
        <w:t>.</w:t>
      </w:r>
    </w:p>
  </w:footnote>
  <w:footnote w:id="4">
    <w:p w14:paraId="65CB9B3B" w14:textId="77777777" w:rsidR="00ED4A7B" w:rsidRPr="00B34920" w:rsidRDefault="00ED4A7B" w:rsidP="00ED4A7B">
      <w:pPr>
        <w:pStyle w:val="FootnoteText"/>
        <w:rPr>
          <w:rFonts w:asciiTheme="minorHAnsi" w:hAnsiTheme="minorHAnsi" w:cstheme="minorHAnsi"/>
          <w:sz w:val="18"/>
          <w:szCs w:val="18"/>
        </w:rPr>
      </w:pPr>
      <w:r w:rsidRPr="00B34920">
        <w:rPr>
          <w:rStyle w:val="FootnoteReference"/>
          <w:rFonts w:asciiTheme="minorHAnsi" w:hAnsiTheme="minorHAnsi" w:cstheme="minorHAnsi"/>
          <w:sz w:val="18"/>
          <w:szCs w:val="18"/>
        </w:rPr>
        <w:footnoteRef/>
      </w:r>
      <w:r w:rsidRPr="00B34920">
        <w:rPr>
          <w:rFonts w:asciiTheme="minorHAnsi" w:hAnsiTheme="minorHAnsi" w:cstheme="minorHAnsi"/>
          <w:sz w:val="18"/>
          <w:szCs w:val="18"/>
        </w:rPr>
        <w:t xml:space="preserve"> </w:t>
      </w:r>
      <w:r w:rsidRPr="00B34920">
        <w:rPr>
          <w:rFonts w:asciiTheme="minorHAnsi" w:hAnsiTheme="minorHAnsi" w:cstheme="minorHAnsi"/>
          <w:noProof/>
          <w:sz w:val="18"/>
          <w:szCs w:val="18"/>
        </w:rPr>
        <w:t xml:space="preserve">Weiler DL. Thyroid eye disease: a review. </w:t>
      </w:r>
      <w:r w:rsidRPr="00B34920">
        <w:rPr>
          <w:rFonts w:asciiTheme="minorHAnsi" w:hAnsiTheme="minorHAnsi" w:cstheme="minorHAnsi"/>
          <w:i/>
          <w:noProof/>
          <w:sz w:val="18"/>
          <w:szCs w:val="18"/>
        </w:rPr>
        <w:t>Clin Exp Optom</w:t>
      </w:r>
      <w:r w:rsidRPr="00B34920">
        <w:rPr>
          <w:rFonts w:asciiTheme="minorHAnsi" w:hAnsiTheme="minorHAnsi" w:cstheme="minorHAnsi"/>
          <w:noProof/>
          <w:sz w:val="18"/>
          <w:szCs w:val="18"/>
        </w:rPr>
        <w:t>. 2017 Jan;100(1):20-5.</w:t>
      </w:r>
    </w:p>
  </w:footnote>
  <w:footnote w:id="5">
    <w:p w14:paraId="4F0F1C5F" w14:textId="77777777" w:rsidR="00ED4A7B" w:rsidRPr="009916C3" w:rsidRDefault="00ED4A7B" w:rsidP="00ED4A7B">
      <w:pPr>
        <w:pStyle w:val="FootnoteText"/>
        <w:rPr>
          <w:rFonts w:asciiTheme="minorHAnsi" w:hAnsiTheme="minorHAnsi" w:cstheme="minorHAnsi"/>
        </w:rPr>
      </w:pPr>
      <w:r w:rsidRPr="00B34920">
        <w:rPr>
          <w:rStyle w:val="FootnoteReference"/>
          <w:rFonts w:asciiTheme="minorHAnsi" w:hAnsiTheme="minorHAnsi" w:cstheme="minorHAnsi"/>
          <w:sz w:val="18"/>
          <w:szCs w:val="18"/>
        </w:rPr>
        <w:footnoteRef/>
      </w:r>
      <w:r w:rsidRPr="00B34920">
        <w:rPr>
          <w:rFonts w:asciiTheme="minorHAnsi" w:hAnsiTheme="minorHAnsi" w:cstheme="minorHAnsi"/>
          <w:sz w:val="18"/>
          <w:szCs w:val="18"/>
        </w:rPr>
        <w:t xml:space="preserve"> </w:t>
      </w:r>
      <w:r w:rsidRPr="00B34920">
        <w:rPr>
          <w:rFonts w:asciiTheme="minorHAnsi" w:hAnsiTheme="minorHAnsi" w:cstheme="minorHAnsi"/>
          <w:noProof/>
          <w:sz w:val="18"/>
          <w:szCs w:val="18"/>
        </w:rPr>
        <w:t xml:space="preserve">Rashad R, Pinto R, Li E, Sohrab M, Distefano AG. Thyroid Eye Disease. </w:t>
      </w:r>
      <w:r w:rsidRPr="00B34920">
        <w:rPr>
          <w:rFonts w:asciiTheme="minorHAnsi" w:hAnsiTheme="minorHAnsi" w:cstheme="minorHAnsi"/>
          <w:i/>
          <w:noProof/>
          <w:sz w:val="18"/>
          <w:szCs w:val="18"/>
        </w:rPr>
        <w:t>Life (Basel)</w:t>
      </w:r>
      <w:r w:rsidRPr="00B34920">
        <w:rPr>
          <w:rFonts w:asciiTheme="minorHAnsi" w:hAnsiTheme="minorHAnsi" w:cstheme="minorHAnsi"/>
          <w:noProof/>
          <w:sz w:val="18"/>
          <w:szCs w:val="18"/>
        </w:rPr>
        <w:t>. 2022 Dec 12;12(12)</w:t>
      </w:r>
    </w:p>
  </w:footnote>
  <w:footnote w:id="6">
    <w:p w14:paraId="11C03E9C" w14:textId="77777777" w:rsidR="00ED4A7B" w:rsidRPr="00ED4AFA" w:rsidRDefault="00ED4A7B" w:rsidP="00ED4A7B">
      <w:pPr>
        <w:pStyle w:val="FootnoteText"/>
        <w:rPr>
          <w:rFonts w:asciiTheme="minorHAnsi" w:hAnsiTheme="minorHAnsi"/>
          <w:sz w:val="18"/>
        </w:rPr>
      </w:pPr>
      <w:r w:rsidRPr="009916C3">
        <w:rPr>
          <w:rStyle w:val="FootnoteReference"/>
          <w:rFonts w:asciiTheme="minorHAnsi" w:hAnsiTheme="minorHAnsi" w:cstheme="minorHAnsi"/>
        </w:rPr>
        <w:footnoteRef/>
      </w:r>
      <w:r w:rsidRPr="009916C3">
        <w:rPr>
          <w:rFonts w:asciiTheme="minorHAnsi" w:hAnsiTheme="minorHAnsi" w:cstheme="minorHAnsi"/>
        </w:rPr>
        <w:t xml:space="preserve"> </w:t>
      </w:r>
      <w:r w:rsidRPr="00ED4AFA">
        <w:rPr>
          <w:rFonts w:asciiTheme="minorHAnsi" w:hAnsiTheme="minorHAnsi"/>
          <w:sz w:val="18"/>
        </w:rPr>
        <w:t xml:space="preserve">Cockerham KP, Padnick-Silver L, Stuertz N, Francis-Sedlak M, Holt RJ. Quality of Life in Patients with Chronic Thyroid Eye Disease in the United States. </w:t>
      </w:r>
      <w:r w:rsidRPr="00ED4AFA">
        <w:rPr>
          <w:rFonts w:asciiTheme="minorHAnsi" w:hAnsiTheme="minorHAnsi"/>
          <w:i/>
          <w:sz w:val="18"/>
        </w:rPr>
        <w:t>Ophthalmol Ther</w:t>
      </w:r>
      <w:r w:rsidRPr="00ED4AFA">
        <w:rPr>
          <w:rFonts w:asciiTheme="minorHAnsi" w:hAnsiTheme="minorHAnsi"/>
          <w:sz w:val="18"/>
        </w:rPr>
        <w:t>. 2021 Dec;10(4):975-87</w:t>
      </w:r>
    </w:p>
  </w:footnote>
  <w:footnote w:id="7">
    <w:p w14:paraId="172E8ED6" w14:textId="77777777" w:rsidR="00ED4A7B" w:rsidRPr="009A1C1A" w:rsidRDefault="00ED4A7B" w:rsidP="00ED4A7B">
      <w:pPr>
        <w:pStyle w:val="FootnoteText"/>
        <w:rPr>
          <w:rFonts w:asciiTheme="minorHAnsi" w:hAnsiTheme="minorHAnsi" w:cstheme="minorHAnsi"/>
        </w:rPr>
      </w:pPr>
      <w:r w:rsidRPr="009916C3">
        <w:rPr>
          <w:rStyle w:val="FootnoteReference"/>
          <w:rFonts w:asciiTheme="minorHAnsi" w:hAnsiTheme="minorHAnsi" w:cstheme="minorHAnsi"/>
        </w:rPr>
        <w:footnoteRef/>
      </w:r>
      <w:r w:rsidRPr="009916C3">
        <w:rPr>
          <w:rFonts w:asciiTheme="minorHAnsi" w:hAnsiTheme="minorHAnsi" w:cstheme="minorHAnsi"/>
        </w:rPr>
        <w:t xml:space="preserve"> </w:t>
      </w:r>
      <w:r w:rsidRPr="00ED4AFA">
        <w:rPr>
          <w:rFonts w:asciiTheme="minorHAnsi" w:hAnsiTheme="minorHAnsi"/>
          <w:sz w:val="18"/>
        </w:rPr>
        <w:t>Burch HB, Perros P, Bednarczuk T, Cooper DS, Dolman PJ, Leung AM, et al. Management of thyroid eye disease: a Consensus Statement by the American Thyroid Association and the European Thyroid Association. Eur Thyroid J. 2022 Dec 1;11(6)</w:t>
      </w:r>
    </w:p>
  </w:footnote>
  <w:footnote w:id="8">
    <w:p w14:paraId="702A6901" w14:textId="77777777" w:rsidR="00ED4A7B" w:rsidRPr="00ED4AFA" w:rsidRDefault="00ED4A7B" w:rsidP="00ED4A7B">
      <w:pPr>
        <w:pStyle w:val="FootnoteText"/>
        <w:rPr>
          <w:rFonts w:asciiTheme="minorHAnsi" w:hAnsiTheme="minorHAnsi"/>
          <w:sz w:val="18"/>
        </w:rPr>
      </w:pPr>
      <w:r w:rsidRPr="00ED4AFA">
        <w:rPr>
          <w:rStyle w:val="FootnoteReference"/>
          <w:rFonts w:asciiTheme="minorHAnsi" w:hAnsiTheme="minorHAnsi"/>
          <w:sz w:val="18"/>
        </w:rPr>
        <w:footnoteRef/>
      </w:r>
      <w:r w:rsidRPr="00ED4AFA">
        <w:rPr>
          <w:rFonts w:asciiTheme="minorHAnsi" w:hAnsiTheme="minorHAnsi"/>
          <w:sz w:val="18"/>
        </w:rPr>
        <w:t xml:space="preserve"> Bartalena L, Kahaly GJ, Baldeschi L, Dayan CM, Eckstein A, Marcocci C, et al. The 2021 European Group on Graves’ orbitopathy (EUGOGO) clinical practice guidelines for the medical management of Graves’ orbitopathy. European Journal of Endocrinology. 2021;185(4):G43-G67</w:t>
      </w:r>
    </w:p>
  </w:footnote>
  <w:footnote w:id="9">
    <w:p w14:paraId="260B2D39" w14:textId="77777777" w:rsidR="00ED4A7B" w:rsidRPr="009916C3" w:rsidRDefault="00ED4A7B" w:rsidP="00ED4A7B">
      <w:pPr>
        <w:pStyle w:val="FootnoteText"/>
        <w:rPr>
          <w:rFonts w:asciiTheme="minorHAnsi" w:hAnsiTheme="minorHAnsi" w:cstheme="minorHAnsi"/>
        </w:rPr>
      </w:pPr>
      <w:r w:rsidRPr="00ED4AFA">
        <w:rPr>
          <w:rStyle w:val="FootnoteReference"/>
          <w:rFonts w:asciiTheme="minorHAnsi" w:hAnsiTheme="minorHAnsi"/>
          <w:sz w:val="18"/>
        </w:rPr>
        <w:footnoteRef/>
      </w:r>
      <w:r w:rsidRPr="00ED4AFA">
        <w:rPr>
          <w:rFonts w:asciiTheme="minorHAnsi" w:hAnsiTheme="minorHAnsi"/>
          <w:sz w:val="18"/>
        </w:rPr>
        <w:t xml:space="preserve"> Douglas RS, Kahaly GJ, Patel A, Sile S, Thompson EHZ, Perdok R, et al. Teprotumumab for the Treatment of Active Thyroid Eye Disease. </w:t>
      </w:r>
      <w:r w:rsidRPr="00ED4AFA">
        <w:rPr>
          <w:rFonts w:asciiTheme="minorHAnsi" w:hAnsiTheme="minorHAnsi"/>
          <w:i/>
          <w:sz w:val="18"/>
        </w:rPr>
        <w:t>N Engl J Med</w:t>
      </w:r>
      <w:r w:rsidRPr="00ED4AFA">
        <w:rPr>
          <w:rFonts w:asciiTheme="minorHAnsi" w:hAnsiTheme="minorHAnsi"/>
          <w:sz w:val="18"/>
        </w:rPr>
        <w:t>. 2020 Jan 23;382(4):341-52</w:t>
      </w:r>
    </w:p>
  </w:footnote>
  <w:footnote w:id="10">
    <w:p w14:paraId="15D29FE1" w14:textId="77777777" w:rsidR="00ED4A7B" w:rsidRPr="00E14406" w:rsidRDefault="00ED4A7B" w:rsidP="00ED4A7B">
      <w:pPr>
        <w:pStyle w:val="FootnoteText"/>
        <w:rPr>
          <w:rFonts w:asciiTheme="minorHAnsi" w:hAnsiTheme="minorHAnsi" w:cstheme="minorHAnsi"/>
        </w:rPr>
      </w:pPr>
      <w:r w:rsidRPr="00E14406">
        <w:rPr>
          <w:rStyle w:val="FootnoteReference"/>
          <w:rFonts w:asciiTheme="minorHAnsi" w:hAnsiTheme="minorHAnsi" w:cstheme="minorHAnsi"/>
          <w:sz w:val="18"/>
          <w:szCs w:val="18"/>
        </w:rPr>
        <w:footnoteRef/>
      </w:r>
      <w:r w:rsidRPr="00E14406">
        <w:rPr>
          <w:rFonts w:asciiTheme="minorHAnsi" w:hAnsiTheme="minorHAnsi" w:cstheme="minorHAnsi"/>
          <w:sz w:val="18"/>
          <w:szCs w:val="18"/>
        </w:rPr>
        <w:t xml:space="preserve"> </w:t>
      </w:r>
      <w:r w:rsidRPr="00E14406">
        <w:rPr>
          <w:rFonts w:asciiTheme="minorHAnsi" w:hAnsiTheme="minorHAnsi" w:cstheme="minorHAnsi"/>
          <w:noProof/>
          <w:sz w:val="18"/>
          <w:szCs w:val="18"/>
        </w:rPr>
        <w:t xml:space="preserve">Smith TJ, Kahaly GJ, Ezra DG, Fleming JC, Dailey RA, Tang RA, et al. Teprotumumab for Thyroid-Associated Ophthalmopathy. </w:t>
      </w:r>
      <w:r w:rsidRPr="00E14406">
        <w:rPr>
          <w:rFonts w:asciiTheme="minorHAnsi" w:hAnsiTheme="minorHAnsi" w:cstheme="minorHAnsi"/>
          <w:i/>
          <w:noProof/>
          <w:sz w:val="18"/>
          <w:szCs w:val="18"/>
        </w:rPr>
        <w:t>N Engl J Med</w:t>
      </w:r>
      <w:r w:rsidRPr="00E14406">
        <w:rPr>
          <w:rFonts w:asciiTheme="minorHAnsi" w:hAnsiTheme="minorHAnsi" w:cstheme="minorHAnsi"/>
          <w:noProof/>
          <w:sz w:val="18"/>
          <w:szCs w:val="18"/>
        </w:rPr>
        <w:t>. 2017 May 4;376(18):1748-61.</w:t>
      </w:r>
    </w:p>
  </w:footnote>
  <w:footnote w:id="11">
    <w:p w14:paraId="4C4C28BE" w14:textId="77777777" w:rsidR="00ED4A7B" w:rsidRPr="00E14406" w:rsidRDefault="00ED4A7B" w:rsidP="00ED4A7B">
      <w:pPr>
        <w:pStyle w:val="FootnoteText"/>
        <w:rPr>
          <w:rFonts w:asciiTheme="minorHAnsi" w:hAnsiTheme="minorHAnsi" w:cstheme="minorHAnsi"/>
          <w:sz w:val="18"/>
          <w:szCs w:val="18"/>
        </w:rPr>
      </w:pPr>
      <w:r w:rsidRPr="00E14406">
        <w:rPr>
          <w:rStyle w:val="FootnoteReference"/>
          <w:rFonts w:asciiTheme="minorHAnsi" w:hAnsiTheme="minorHAnsi" w:cstheme="minorHAnsi"/>
          <w:sz w:val="18"/>
          <w:szCs w:val="18"/>
        </w:rPr>
        <w:footnoteRef/>
      </w:r>
      <w:r w:rsidRPr="00E14406">
        <w:rPr>
          <w:rFonts w:asciiTheme="minorHAnsi" w:hAnsiTheme="minorHAnsi" w:cstheme="minorHAnsi"/>
          <w:sz w:val="18"/>
          <w:szCs w:val="18"/>
        </w:rPr>
        <w:t xml:space="preserve"> </w:t>
      </w:r>
      <w:r w:rsidRPr="00E14406">
        <w:rPr>
          <w:rFonts w:asciiTheme="minorHAnsi" w:hAnsiTheme="minorHAnsi" w:cstheme="minorHAnsi"/>
          <w:noProof/>
          <w:sz w:val="18"/>
          <w:szCs w:val="18"/>
        </w:rPr>
        <w:t xml:space="preserve">Smith TJ. TSHR-IGF-IR complex drives orbital fibroblast misbehavior in thyroid eye disease. </w:t>
      </w:r>
      <w:r w:rsidRPr="00E14406">
        <w:rPr>
          <w:rFonts w:asciiTheme="minorHAnsi" w:hAnsiTheme="minorHAnsi" w:cstheme="minorHAnsi"/>
          <w:i/>
          <w:noProof/>
          <w:sz w:val="18"/>
          <w:szCs w:val="18"/>
        </w:rPr>
        <w:t>Curr Opin Endocrinol Diabetes Obes</w:t>
      </w:r>
      <w:r w:rsidRPr="00E14406">
        <w:rPr>
          <w:rFonts w:asciiTheme="minorHAnsi" w:hAnsiTheme="minorHAnsi" w:cstheme="minorHAnsi"/>
          <w:noProof/>
          <w:sz w:val="18"/>
          <w:szCs w:val="18"/>
        </w:rPr>
        <w:t>. 2024 Oct 1;31(5):177-83</w:t>
      </w:r>
    </w:p>
  </w:footnote>
  <w:footnote w:id="12">
    <w:p w14:paraId="20C3EF18" w14:textId="77777777" w:rsidR="00ED4A7B" w:rsidRPr="00E14406" w:rsidRDefault="00ED4A7B" w:rsidP="00ED4A7B">
      <w:pPr>
        <w:pStyle w:val="EndNoteBibliography"/>
        <w:rPr>
          <w:rFonts w:asciiTheme="minorHAnsi" w:hAnsiTheme="minorHAnsi" w:cstheme="minorHAnsi"/>
          <w:sz w:val="18"/>
          <w:szCs w:val="18"/>
        </w:rPr>
      </w:pPr>
      <w:r w:rsidRPr="00E14406">
        <w:rPr>
          <w:rStyle w:val="FootnoteReference"/>
          <w:rFonts w:asciiTheme="minorHAnsi" w:hAnsiTheme="minorHAnsi" w:cstheme="minorHAnsi"/>
          <w:sz w:val="18"/>
          <w:szCs w:val="18"/>
        </w:rPr>
        <w:footnoteRef/>
      </w:r>
      <w:r w:rsidRPr="00E14406">
        <w:rPr>
          <w:rFonts w:asciiTheme="minorHAnsi" w:hAnsiTheme="minorHAnsi" w:cstheme="minorHAnsi"/>
          <w:sz w:val="18"/>
          <w:szCs w:val="18"/>
        </w:rPr>
        <w:t xml:space="preserve"> The Royal Victorian Eye and Ear Hospital. CLINICAL PRACTICE GUIDELINE: Emergency Department</w:t>
      </w:r>
    </w:p>
    <w:p w14:paraId="17B83F0B" w14:textId="77777777" w:rsidR="00ED4A7B" w:rsidRPr="00E14406" w:rsidRDefault="00ED4A7B" w:rsidP="00ED4A7B">
      <w:pPr>
        <w:pStyle w:val="FootnoteText"/>
        <w:rPr>
          <w:rFonts w:asciiTheme="minorHAnsi" w:hAnsiTheme="minorHAnsi" w:cstheme="minorHAnsi"/>
          <w:sz w:val="18"/>
          <w:szCs w:val="18"/>
        </w:rPr>
      </w:pPr>
      <w:r w:rsidRPr="00E14406">
        <w:rPr>
          <w:rFonts w:asciiTheme="minorHAnsi" w:hAnsiTheme="minorHAnsi" w:cstheme="minorHAnsi"/>
          <w:noProof/>
          <w:sz w:val="18"/>
          <w:szCs w:val="18"/>
        </w:rPr>
        <w:t>Thyroid-Associated Orbitopathy. 2023</w:t>
      </w:r>
    </w:p>
  </w:footnote>
  <w:footnote w:id="13">
    <w:p w14:paraId="5C1E24F1" w14:textId="31AFCF75" w:rsidR="00E14406" w:rsidRDefault="00E14406">
      <w:pPr>
        <w:pStyle w:val="FootnoteText"/>
      </w:pPr>
      <w:r w:rsidRPr="00E14406">
        <w:rPr>
          <w:rStyle w:val="FootnoteReference"/>
          <w:sz w:val="18"/>
          <w:szCs w:val="18"/>
        </w:rPr>
        <w:footnoteRef/>
      </w:r>
      <w:r w:rsidRPr="00E14406">
        <w:rPr>
          <w:sz w:val="18"/>
          <w:szCs w:val="18"/>
        </w:rPr>
        <w:t xml:space="preserve"> Bartalena L, Kahaly GJ, Baldeschi L, Dayan CM, Eckstein A, Marcocci C, et al. The 2021 European Group on Graves’ orbitopathy (EUGOGO) clinical practice guidelines for the medical management of Graves’ orbitopathy. European Journal of Endocrinology. 2021;185(4):G43-G67</w:t>
      </w:r>
    </w:p>
  </w:footnote>
  <w:footnote w:id="14">
    <w:p w14:paraId="37A0C0AA" w14:textId="77777777" w:rsidR="00ED4A7B" w:rsidRPr="003B2AE9" w:rsidRDefault="00ED4A7B" w:rsidP="00ED4A7B">
      <w:pPr>
        <w:pStyle w:val="FootnoteText"/>
        <w:rPr>
          <w:rFonts w:asciiTheme="minorHAnsi" w:hAnsiTheme="minorHAnsi"/>
          <w:sz w:val="18"/>
        </w:rPr>
      </w:pPr>
      <w:r w:rsidRPr="003B2AE9">
        <w:rPr>
          <w:rStyle w:val="FootnoteReference"/>
          <w:rFonts w:asciiTheme="minorHAnsi" w:hAnsiTheme="minorHAnsi"/>
          <w:sz w:val="18"/>
        </w:rPr>
        <w:footnoteRef/>
      </w:r>
      <w:r w:rsidRPr="003B2AE9">
        <w:rPr>
          <w:rFonts w:asciiTheme="minorHAnsi" w:hAnsiTheme="minorHAnsi"/>
          <w:sz w:val="18"/>
        </w:rPr>
        <w:t xml:space="preserve"> Perez-Moreiras JV, Gomez-Reino JJ, Maneiro JR, Perez-Pampin E, Romo Lopez A, Rodríguez Alvarez FM, et al. Efficacy of Tocilizumab in Patients With Moderate-to-Severe Corticosteroid-Resistant Graves Orbitopathy: A Randomized Clinical Trial. </w:t>
      </w:r>
      <w:r w:rsidRPr="003B2AE9">
        <w:rPr>
          <w:rFonts w:asciiTheme="minorHAnsi" w:hAnsiTheme="minorHAnsi"/>
          <w:i/>
          <w:sz w:val="18"/>
        </w:rPr>
        <w:t>Am J Ophthalmol</w:t>
      </w:r>
      <w:r w:rsidRPr="003B2AE9">
        <w:rPr>
          <w:rFonts w:asciiTheme="minorHAnsi" w:hAnsiTheme="minorHAnsi"/>
          <w:sz w:val="18"/>
        </w:rPr>
        <w:t>. 2018 Nov;195:181-90.</w:t>
      </w:r>
    </w:p>
  </w:footnote>
  <w:footnote w:id="15">
    <w:p w14:paraId="2D0C0DC1" w14:textId="77777777" w:rsidR="00ED4A7B" w:rsidRPr="00E360F8" w:rsidRDefault="00ED4A7B" w:rsidP="00ED4A7B">
      <w:pPr>
        <w:pStyle w:val="FootnoteText"/>
        <w:rPr>
          <w:rFonts w:asciiTheme="minorHAnsi" w:hAnsiTheme="minorHAnsi" w:cstheme="minorHAnsi"/>
          <w:sz w:val="18"/>
          <w:szCs w:val="18"/>
        </w:rPr>
      </w:pPr>
      <w:r w:rsidRPr="00E360F8">
        <w:rPr>
          <w:rStyle w:val="FootnoteReference"/>
          <w:rFonts w:asciiTheme="minorHAnsi" w:hAnsiTheme="minorHAnsi" w:cstheme="minorHAnsi"/>
          <w:sz w:val="18"/>
          <w:szCs w:val="18"/>
        </w:rPr>
        <w:footnoteRef/>
      </w:r>
      <w:r w:rsidRPr="00E360F8">
        <w:rPr>
          <w:rFonts w:asciiTheme="minorHAnsi" w:hAnsiTheme="minorHAnsi" w:cstheme="minorHAnsi"/>
          <w:sz w:val="18"/>
          <w:szCs w:val="18"/>
        </w:rPr>
        <w:t xml:space="preserve"> </w:t>
      </w:r>
      <w:r w:rsidRPr="00E360F8">
        <w:rPr>
          <w:rFonts w:asciiTheme="minorHAnsi" w:hAnsiTheme="minorHAnsi" w:cstheme="minorHAnsi"/>
          <w:noProof/>
          <w:sz w:val="18"/>
          <w:szCs w:val="18"/>
        </w:rPr>
        <w:t xml:space="preserve">Douglas RS, Dailey R, Subramanian PS, Barbesino G, Ugradar S, Batten R, et al. Proptosis and Diplopia Response With Teprotumumab and Placebo vs the Recommended Treatment Regimen With Intravenous Methylprednisolone in Moderate to Severe Thyroid Eye Disease: A Meta-analysis and Matching-Adjusted Indirect Comparison. </w:t>
      </w:r>
      <w:r w:rsidRPr="00E360F8">
        <w:rPr>
          <w:rFonts w:asciiTheme="minorHAnsi" w:hAnsiTheme="minorHAnsi" w:cstheme="minorHAnsi"/>
          <w:i/>
          <w:noProof/>
          <w:sz w:val="18"/>
          <w:szCs w:val="18"/>
        </w:rPr>
        <w:t>JAMA Ophthalmol</w:t>
      </w:r>
      <w:r w:rsidRPr="00E360F8">
        <w:rPr>
          <w:rFonts w:asciiTheme="minorHAnsi" w:hAnsiTheme="minorHAnsi" w:cstheme="minorHAnsi"/>
          <w:noProof/>
          <w:sz w:val="18"/>
          <w:szCs w:val="18"/>
        </w:rPr>
        <w:t>. 2022 Apr 1;140(4):328-35.</w:t>
      </w:r>
    </w:p>
  </w:footnote>
  <w:footnote w:id="16">
    <w:p w14:paraId="42787057" w14:textId="77777777" w:rsidR="00ED4A7B" w:rsidRPr="00815CEB" w:rsidRDefault="00ED4A7B" w:rsidP="00ED4A7B">
      <w:pPr>
        <w:pStyle w:val="FootnoteText"/>
        <w:rPr>
          <w:rFonts w:asciiTheme="minorHAnsi" w:hAnsiTheme="minorHAnsi" w:cstheme="minorHAnsi"/>
          <w:sz w:val="18"/>
          <w:szCs w:val="18"/>
        </w:rPr>
      </w:pPr>
      <w:r w:rsidRPr="00815CEB">
        <w:rPr>
          <w:rStyle w:val="FootnoteReference"/>
          <w:rFonts w:asciiTheme="minorHAnsi" w:hAnsiTheme="minorHAnsi" w:cstheme="minorHAnsi"/>
          <w:sz w:val="18"/>
          <w:szCs w:val="18"/>
        </w:rPr>
        <w:footnoteRef/>
      </w:r>
      <w:r w:rsidRPr="00815CEB">
        <w:rPr>
          <w:rFonts w:asciiTheme="minorHAnsi" w:hAnsiTheme="minorHAnsi" w:cstheme="minorHAnsi"/>
          <w:sz w:val="18"/>
          <w:szCs w:val="18"/>
        </w:rPr>
        <w:t xml:space="preserve"> </w:t>
      </w:r>
      <w:r w:rsidRPr="00815CEB">
        <w:rPr>
          <w:rFonts w:asciiTheme="minorHAnsi" w:hAnsiTheme="minorHAnsi" w:cstheme="minorHAnsi"/>
          <w:noProof/>
          <w:sz w:val="18"/>
          <w:szCs w:val="18"/>
        </w:rPr>
        <w:t xml:space="preserve">Mourits MP, Koornneef L, Wiersinga WM, Prummel MF, Berghout A, van der Gaag R. Clinical criteria for the assessment of disease activity in Graves' ophthalmopathy: a novel approach. </w:t>
      </w:r>
      <w:r w:rsidRPr="00815CEB">
        <w:rPr>
          <w:rFonts w:asciiTheme="minorHAnsi" w:hAnsiTheme="minorHAnsi" w:cstheme="minorHAnsi"/>
          <w:i/>
          <w:noProof/>
          <w:sz w:val="18"/>
          <w:szCs w:val="18"/>
        </w:rPr>
        <w:t>Br J Ophthalmol</w:t>
      </w:r>
      <w:r w:rsidRPr="00815CEB">
        <w:rPr>
          <w:rFonts w:asciiTheme="minorHAnsi" w:hAnsiTheme="minorHAnsi" w:cstheme="minorHAnsi"/>
          <w:noProof/>
          <w:sz w:val="18"/>
          <w:szCs w:val="18"/>
        </w:rPr>
        <w:t>. 1989 Aug;73(8):639-44.</w:t>
      </w:r>
    </w:p>
  </w:footnote>
  <w:footnote w:id="17">
    <w:p w14:paraId="217AA188" w14:textId="77777777" w:rsidR="00ED4A7B" w:rsidRPr="009916C3" w:rsidRDefault="00ED4A7B" w:rsidP="00ED4A7B">
      <w:pPr>
        <w:pStyle w:val="FootnoteText"/>
        <w:rPr>
          <w:rFonts w:asciiTheme="minorHAnsi" w:hAnsiTheme="minorHAnsi" w:cstheme="minorHAnsi"/>
        </w:rPr>
      </w:pPr>
      <w:r w:rsidRPr="00815CEB">
        <w:rPr>
          <w:rStyle w:val="FootnoteReference"/>
          <w:rFonts w:asciiTheme="minorHAnsi" w:hAnsiTheme="minorHAnsi" w:cstheme="minorHAnsi"/>
          <w:sz w:val="18"/>
          <w:szCs w:val="18"/>
        </w:rPr>
        <w:footnoteRef/>
      </w:r>
      <w:r w:rsidRPr="00815CEB">
        <w:rPr>
          <w:rFonts w:asciiTheme="minorHAnsi" w:hAnsiTheme="minorHAnsi" w:cstheme="minorHAnsi"/>
          <w:sz w:val="18"/>
          <w:szCs w:val="18"/>
        </w:rPr>
        <w:t xml:space="preserve"> </w:t>
      </w:r>
      <w:r w:rsidRPr="00815CEB">
        <w:rPr>
          <w:rFonts w:asciiTheme="minorHAnsi" w:hAnsiTheme="minorHAnsi" w:cstheme="minorHAnsi"/>
          <w:noProof/>
          <w:sz w:val="18"/>
          <w:szCs w:val="18"/>
        </w:rPr>
        <w:t xml:space="preserve">Kahaly GJ, Douglas RS, Holt RJ, Sile S, Smith TJ. Teprotumumab for patients with active thyroid eye disease: a pooled data analysis, subgroup analyses, and off-treatment follow-up results from two randomised, double-masked, placebo-controlled, multicentre trials. </w:t>
      </w:r>
      <w:r w:rsidRPr="00815CEB">
        <w:rPr>
          <w:rFonts w:asciiTheme="minorHAnsi" w:hAnsiTheme="minorHAnsi" w:cstheme="minorHAnsi"/>
          <w:i/>
          <w:noProof/>
          <w:sz w:val="18"/>
          <w:szCs w:val="18"/>
        </w:rPr>
        <w:t>Lancet Diabetes Endocrinol</w:t>
      </w:r>
      <w:r w:rsidRPr="00815CEB">
        <w:rPr>
          <w:rFonts w:asciiTheme="minorHAnsi" w:hAnsiTheme="minorHAnsi" w:cstheme="minorHAnsi"/>
          <w:noProof/>
          <w:sz w:val="18"/>
          <w:szCs w:val="18"/>
        </w:rPr>
        <w:t>. 2021 Jun;9(6):360-72.</w:t>
      </w:r>
    </w:p>
  </w:footnote>
  <w:footnote w:id="18">
    <w:p w14:paraId="6935EF34" w14:textId="6736B42A" w:rsidR="00D046CF" w:rsidRPr="00D046CF" w:rsidRDefault="00D046CF">
      <w:pPr>
        <w:pStyle w:val="FootnoteText"/>
        <w:rPr>
          <w:sz w:val="18"/>
          <w:szCs w:val="18"/>
        </w:rPr>
      </w:pPr>
      <w:r w:rsidRPr="00D046CF">
        <w:rPr>
          <w:rStyle w:val="FootnoteReference"/>
          <w:sz w:val="18"/>
          <w:szCs w:val="18"/>
        </w:rPr>
        <w:footnoteRef/>
      </w:r>
      <w:r w:rsidRPr="00D046CF">
        <w:rPr>
          <w:sz w:val="18"/>
          <w:szCs w:val="18"/>
        </w:rPr>
        <w:t xml:space="preserve"> Jose Mario Alves Junior, Wanderley Bernardo, Danilo Villagelin, Effectiveness of Different Treatment Modalities in Initial and Chronic Phases of Thyroid Eye Disease: A Systematic Review With Meta-analysis, The Journal of Clinical Endocrinology &amp; Metabolism, Volume 109, Issue 11, November 2024, Pages 2997–3009</w:t>
      </w:r>
    </w:p>
  </w:footnote>
  <w:footnote w:id="19">
    <w:p w14:paraId="506A8AE0" w14:textId="43BB6199" w:rsidR="000300C0" w:rsidRDefault="000300C0">
      <w:pPr>
        <w:pStyle w:val="FootnoteText"/>
      </w:pPr>
      <w:r w:rsidRPr="003B2AE9">
        <w:rPr>
          <w:rStyle w:val="FootnoteReference"/>
          <w:sz w:val="18"/>
        </w:rPr>
        <w:footnoteRef/>
      </w:r>
      <w:r w:rsidRPr="003B2AE9">
        <w:rPr>
          <w:sz w:val="18"/>
        </w:rPr>
        <w:t xml:space="preserve"> Li H, Yang L, Song Y, Zhao X, Sun C, Zhang L, Zhao H, Pan Y. Comparative effectiveness of different treatment modalities for active, moderate-to-severe Graves' orbitopathy: a systematic review and network meta-analysis. Acta Ophthalmol. 2022 Sep;100(6):e1189-e1198.</w:t>
      </w:r>
    </w:p>
  </w:footnote>
  <w:footnote w:id="20">
    <w:p w14:paraId="641313B8" w14:textId="0D5A5B0F" w:rsidR="006A57F5" w:rsidRPr="003B2AE9" w:rsidRDefault="006A57F5">
      <w:pPr>
        <w:pStyle w:val="FootnoteText"/>
        <w:rPr>
          <w:sz w:val="18"/>
        </w:rPr>
      </w:pPr>
      <w:r w:rsidRPr="003B2AE9">
        <w:rPr>
          <w:rStyle w:val="FootnoteReference"/>
          <w:sz w:val="18"/>
        </w:rPr>
        <w:footnoteRef/>
      </w:r>
      <w:r w:rsidRPr="003B2AE9">
        <w:rPr>
          <w:sz w:val="18"/>
        </w:rPr>
        <w:t xml:space="preserve"> </w:t>
      </w:r>
      <w:r w:rsidR="003548BB" w:rsidRPr="003B2AE9">
        <w:rPr>
          <w:sz w:val="18"/>
        </w:rPr>
        <w:t>Perez-Moreiras JV, Gomez-Reino JJ, Maneiro JR, Perez-Pampin E, Romo Lopez A, Rodríguez Alvarez FM, et al. Efficacy of Tocilizumab in Patients With Moderate-to-Severe Corticosteroid-Resistant Graves Orbitopathy: A Randomized Clinical Trial. Am J Ophthalmol. 2018 Nov;195:181-90.</w:t>
      </w:r>
    </w:p>
  </w:footnote>
  <w:footnote w:id="21">
    <w:p w14:paraId="7893B5C5"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Marinó, M.</w:t>
      </w:r>
      <w:r w:rsidRPr="000555EA">
        <w:rPr>
          <w:rFonts w:asciiTheme="minorHAnsi" w:hAnsiTheme="minorHAnsi" w:cstheme="minorHAnsi"/>
          <w:i/>
          <w:sz w:val="18"/>
          <w:szCs w:val="18"/>
        </w:rPr>
        <w:t xml:space="preserve"> et al.</w:t>
      </w:r>
      <w:r w:rsidRPr="000555EA">
        <w:rPr>
          <w:rFonts w:asciiTheme="minorHAnsi" w:hAnsiTheme="minorHAnsi" w:cstheme="minorHAnsi"/>
          <w:sz w:val="18"/>
          <w:szCs w:val="18"/>
        </w:rPr>
        <w:t xml:space="preserve"> Acute and severe liver damage associated with intravenous glucocorticoid pulse therapy in patients with Graves' ophthalmopathy. </w:t>
      </w:r>
      <w:r w:rsidRPr="000555EA">
        <w:rPr>
          <w:rFonts w:asciiTheme="minorHAnsi" w:hAnsiTheme="minorHAnsi" w:cstheme="minorHAnsi"/>
          <w:i/>
          <w:sz w:val="18"/>
          <w:szCs w:val="18"/>
        </w:rPr>
        <w:t>Thyroid</w:t>
      </w:r>
      <w:r w:rsidRPr="000555EA">
        <w:rPr>
          <w:rFonts w:asciiTheme="minorHAnsi" w:hAnsiTheme="minorHAnsi" w:cstheme="minorHAnsi"/>
          <w:sz w:val="18"/>
          <w:szCs w:val="18"/>
        </w:rPr>
        <w:t xml:space="preserve"> 14, 403-406 (2004)</w:t>
      </w:r>
    </w:p>
  </w:footnote>
  <w:footnote w:id="22">
    <w:p w14:paraId="55B13ED3"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Weissel, M. &amp; Hauff, W. Fatal liver failure after high-dose glucocorticoid pulse therapy in a patient with severe thyroid eye disease. </w:t>
      </w:r>
      <w:r w:rsidRPr="000555EA">
        <w:rPr>
          <w:rFonts w:asciiTheme="minorHAnsi" w:hAnsiTheme="minorHAnsi" w:cstheme="minorHAnsi"/>
          <w:i/>
          <w:sz w:val="18"/>
          <w:szCs w:val="18"/>
        </w:rPr>
        <w:t>Thyroid</w:t>
      </w:r>
      <w:r w:rsidRPr="000555EA">
        <w:rPr>
          <w:rFonts w:asciiTheme="minorHAnsi" w:hAnsiTheme="minorHAnsi" w:cstheme="minorHAnsi"/>
          <w:sz w:val="18"/>
          <w:szCs w:val="18"/>
        </w:rPr>
        <w:t xml:space="preserve"> 10, 521-521 (2000).</w:t>
      </w:r>
    </w:p>
  </w:footnote>
  <w:footnote w:id="23">
    <w:p w14:paraId="0BC41306"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Salvi, M.</w:t>
      </w:r>
      <w:r w:rsidRPr="000555EA">
        <w:rPr>
          <w:rFonts w:asciiTheme="minorHAnsi" w:hAnsiTheme="minorHAnsi" w:cstheme="minorHAnsi"/>
          <w:i/>
          <w:sz w:val="18"/>
          <w:szCs w:val="18"/>
        </w:rPr>
        <w:t xml:space="preserve"> et al.</w:t>
      </w:r>
      <w:r w:rsidRPr="000555EA">
        <w:rPr>
          <w:rFonts w:asciiTheme="minorHAnsi" w:hAnsiTheme="minorHAnsi" w:cstheme="minorHAnsi"/>
          <w:sz w:val="18"/>
          <w:szCs w:val="18"/>
        </w:rPr>
        <w:t xml:space="preserve"> Onset of autoimmune hepatitis during intravenous steroid therapy for thyroid-associated ophthalmopathy in a patient with Hashimoto's thyroiditis: case report. </w:t>
      </w:r>
      <w:r w:rsidRPr="000555EA">
        <w:rPr>
          <w:rFonts w:asciiTheme="minorHAnsi" w:hAnsiTheme="minorHAnsi" w:cstheme="minorHAnsi"/>
          <w:i/>
          <w:sz w:val="18"/>
          <w:szCs w:val="18"/>
        </w:rPr>
        <w:t>Thyroid</w:t>
      </w:r>
      <w:r w:rsidRPr="000555EA">
        <w:rPr>
          <w:rFonts w:asciiTheme="minorHAnsi" w:hAnsiTheme="minorHAnsi" w:cstheme="minorHAnsi"/>
          <w:sz w:val="18"/>
          <w:szCs w:val="18"/>
        </w:rPr>
        <w:t xml:space="preserve"> 14, 631-634 (2004).</w:t>
      </w:r>
    </w:p>
  </w:footnote>
  <w:footnote w:id="24">
    <w:p w14:paraId="7C1A9602"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Owecki, M. &amp; Sowiński, J. Acute myocardial infarction during high-dose methylprednisolone therapy for Graves’ ophthalmopathy. </w:t>
      </w:r>
      <w:r w:rsidRPr="000555EA">
        <w:rPr>
          <w:rFonts w:asciiTheme="minorHAnsi" w:hAnsiTheme="minorHAnsi" w:cstheme="minorHAnsi"/>
          <w:i/>
          <w:sz w:val="18"/>
          <w:szCs w:val="18"/>
        </w:rPr>
        <w:t>Pharmacy World and Science</w:t>
      </w:r>
      <w:r w:rsidRPr="000555EA">
        <w:rPr>
          <w:rFonts w:asciiTheme="minorHAnsi" w:hAnsiTheme="minorHAnsi" w:cstheme="minorHAnsi"/>
          <w:sz w:val="18"/>
          <w:szCs w:val="18"/>
        </w:rPr>
        <w:t xml:space="preserve"> 28, 73-75 (2006).</w:t>
      </w:r>
    </w:p>
  </w:footnote>
  <w:footnote w:id="25">
    <w:p w14:paraId="22F9B9D9"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Gursoy, A., Cesur, M., Erdogan, M. F., Çorapcioglu, D. &amp; Kamel, N. New-onset acute heart failure after intravenous glucocorticoid pulse therapy in a patient with Graves' ophthalmopathy. </w:t>
      </w:r>
      <w:r w:rsidRPr="000555EA">
        <w:rPr>
          <w:rFonts w:asciiTheme="minorHAnsi" w:hAnsiTheme="minorHAnsi" w:cstheme="minorHAnsi"/>
          <w:i/>
          <w:sz w:val="18"/>
          <w:szCs w:val="18"/>
        </w:rPr>
        <w:t>Endocrine</w:t>
      </w:r>
      <w:r w:rsidRPr="000555EA">
        <w:rPr>
          <w:rFonts w:asciiTheme="minorHAnsi" w:hAnsiTheme="minorHAnsi" w:cstheme="minorHAnsi"/>
          <w:sz w:val="18"/>
          <w:szCs w:val="18"/>
        </w:rPr>
        <w:t xml:space="preserve"> 29, 513-516 (2006).</w:t>
      </w:r>
    </w:p>
  </w:footnote>
  <w:footnote w:id="26">
    <w:p w14:paraId="615B7BB1" w14:textId="77777777" w:rsidR="00ED4A7B" w:rsidRPr="00124CAB" w:rsidRDefault="00ED4A7B" w:rsidP="00ED4A7B">
      <w:pPr>
        <w:pStyle w:val="FootnoteText"/>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Lendorf, M. E., Rasmussen, A. K., Fledelius, H. C. &amp; Feldt-Rasmussen, U. Cardiovascular and cerebrovascular events in temporal relationship to intravenous glucocorticoid pulse therapy in patients with severe endocrine ophthalmopathy. </w:t>
      </w:r>
      <w:r w:rsidRPr="000555EA">
        <w:rPr>
          <w:rFonts w:asciiTheme="minorHAnsi" w:hAnsiTheme="minorHAnsi" w:cstheme="minorHAnsi"/>
          <w:i/>
          <w:sz w:val="18"/>
          <w:szCs w:val="18"/>
        </w:rPr>
        <w:t>Thyroid</w:t>
      </w:r>
      <w:r w:rsidRPr="000555EA">
        <w:rPr>
          <w:rFonts w:asciiTheme="minorHAnsi" w:hAnsiTheme="minorHAnsi" w:cstheme="minorHAnsi"/>
          <w:sz w:val="18"/>
          <w:szCs w:val="18"/>
        </w:rPr>
        <w:t xml:space="preserve"> 19, 1431-1433 (2009).</w:t>
      </w:r>
    </w:p>
  </w:footnote>
  <w:footnote w:id="27">
    <w:p w14:paraId="66BFF161" w14:textId="77777777" w:rsidR="00F27979" w:rsidRPr="009916C3" w:rsidRDefault="00F27979" w:rsidP="00F27979">
      <w:pPr>
        <w:pStyle w:val="FootnoteText"/>
        <w:rPr>
          <w:rFonts w:asciiTheme="minorHAnsi" w:hAnsiTheme="minorHAnsi" w:cstheme="minorHAnsi"/>
        </w:rPr>
      </w:pPr>
      <w:r w:rsidRPr="00815CEB">
        <w:rPr>
          <w:rStyle w:val="FootnoteReference"/>
          <w:rFonts w:asciiTheme="minorHAnsi" w:hAnsiTheme="minorHAnsi" w:cstheme="minorHAnsi"/>
          <w:sz w:val="18"/>
          <w:szCs w:val="18"/>
        </w:rPr>
        <w:footnoteRef/>
      </w:r>
      <w:r w:rsidRPr="00815CEB">
        <w:rPr>
          <w:rFonts w:asciiTheme="minorHAnsi" w:hAnsiTheme="minorHAnsi" w:cstheme="minorHAnsi"/>
          <w:sz w:val="18"/>
          <w:szCs w:val="18"/>
        </w:rPr>
        <w:t xml:space="preserve"> </w:t>
      </w:r>
      <w:r w:rsidRPr="00815CEB">
        <w:rPr>
          <w:rFonts w:asciiTheme="minorHAnsi" w:hAnsiTheme="minorHAnsi" w:cstheme="minorHAnsi"/>
          <w:noProof/>
          <w:sz w:val="18"/>
          <w:szCs w:val="18"/>
        </w:rPr>
        <w:t xml:space="preserve">Kahaly GJ, Douglas RS, Holt RJ, Sile S, Smith TJ. Teprotumumab for patients with active thyroid eye disease: a pooled data analysis, subgroup analyses, and off-treatment follow-up results from two randomised, double-masked, placebo-controlled, multicentre trials. </w:t>
      </w:r>
      <w:r w:rsidRPr="00815CEB">
        <w:rPr>
          <w:rFonts w:asciiTheme="minorHAnsi" w:hAnsiTheme="minorHAnsi" w:cstheme="minorHAnsi"/>
          <w:i/>
          <w:noProof/>
          <w:sz w:val="18"/>
          <w:szCs w:val="18"/>
        </w:rPr>
        <w:t>Lancet Diabetes Endocrinol</w:t>
      </w:r>
      <w:r w:rsidRPr="00815CEB">
        <w:rPr>
          <w:rFonts w:asciiTheme="minorHAnsi" w:hAnsiTheme="minorHAnsi" w:cstheme="minorHAnsi"/>
          <w:noProof/>
          <w:sz w:val="18"/>
          <w:szCs w:val="18"/>
        </w:rPr>
        <w:t>. 2021 Jun;9(6):360-72.</w:t>
      </w:r>
    </w:p>
  </w:footnote>
  <w:footnote w:id="28">
    <w:p w14:paraId="2F1FD927" w14:textId="5511F0D8" w:rsidR="002D38AC" w:rsidRPr="002D38AC" w:rsidRDefault="002D38AC">
      <w:pPr>
        <w:pStyle w:val="FootnoteText"/>
        <w:rPr>
          <w:sz w:val="18"/>
          <w:szCs w:val="18"/>
        </w:rPr>
      </w:pPr>
      <w:r w:rsidRPr="002D38AC">
        <w:rPr>
          <w:rStyle w:val="FootnoteReference"/>
          <w:sz w:val="18"/>
          <w:szCs w:val="18"/>
        </w:rPr>
        <w:footnoteRef/>
      </w:r>
      <w:r w:rsidRPr="002D38AC">
        <w:rPr>
          <w:sz w:val="18"/>
          <w:szCs w:val="18"/>
        </w:rPr>
        <w:t xml:space="preserve"> Li H, Yang L, Song Y, Zhao X, Sun C, Zhang L, Zhao H, Pan Y. Comparative effectiveness of different treatment modalities for active, moderate-to-severe Graves' orbitopathy: a systematic review and network meta-analysis. Acta Ophthalmol. 2022 Sep;100(6):e1189-e1198. doi: 10.1111/aos.15074. Epub 2021 Dec 16. PMID: 34918472.</w:t>
      </w:r>
    </w:p>
  </w:footnote>
  <w:footnote w:id="29">
    <w:p w14:paraId="5793E8DE" w14:textId="77777777" w:rsidR="00F16A77" w:rsidRPr="002D38AC" w:rsidRDefault="00F16A77" w:rsidP="00F16A77">
      <w:pPr>
        <w:pStyle w:val="FootnoteText"/>
        <w:rPr>
          <w:sz w:val="18"/>
          <w:szCs w:val="18"/>
        </w:rPr>
      </w:pPr>
      <w:r w:rsidRPr="002D38AC">
        <w:rPr>
          <w:rStyle w:val="FootnoteReference"/>
          <w:sz w:val="18"/>
          <w:szCs w:val="18"/>
        </w:rPr>
        <w:footnoteRef/>
      </w:r>
      <w:r w:rsidRPr="002D38AC">
        <w:rPr>
          <w:sz w:val="18"/>
          <w:szCs w:val="18"/>
        </w:rPr>
        <w:t xml:space="preserve"> Li H, Yang L, Song Y, Zhao X, Sun C, Zhang L, Zhao H, Pan Y. Comparative effectiveness of different treatment modalities for active, moderate-to-severe Graves' orbitopathy: a systematic review and network meta-analysis. Acta Ophthalmol. 2022 Sep;100(6):e1189-e1198. doi: 10.1111/aos.15074. Epub 2021 Dec 16. PMID: 34918472.</w:t>
      </w:r>
    </w:p>
  </w:footnote>
  <w:footnote w:id="30">
    <w:p w14:paraId="4E43413B" w14:textId="77777777" w:rsidR="004A264F" w:rsidRDefault="004A264F" w:rsidP="004A264F">
      <w:pPr>
        <w:pStyle w:val="FootnoteText"/>
      </w:pPr>
      <w:r>
        <w:rPr>
          <w:rStyle w:val="FootnoteReference"/>
        </w:rPr>
        <w:footnoteRef/>
      </w:r>
      <w:r>
        <w:t xml:space="preserve"> </w:t>
      </w:r>
      <w:r w:rsidRPr="003302FA">
        <w:rPr>
          <w:sz w:val="18"/>
          <w:szCs w:val="18"/>
        </w:rPr>
        <w:t>Jose Mario Alves Junior, Wanderley Bernardo, Danilo Villagelin, Effectiveness of Different Treatment Modalities in Initial and Chronic Phases of Thyroid Eye Disease: A Systematic Review With Meta-analysis, The Journal of Clinical Endocrinology &amp; Metabolism, Volume 109, Issue 11, November 2024, Pages 2997–3009</w:t>
      </w:r>
    </w:p>
  </w:footnote>
  <w:footnote w:id="31">
    <w:p w14:paraId="5CFB0228" w14:textId="77777777" w:rsidR="008D0C93" w:rsidRPr="004834F6" w:rsidRDefault="008D0C93" w:rsidP="008D0C93">
      <w:pPr>
        <w:pStyle w:val="FootnoteText"/>
        <w:rPr>
          <w:rFonts w:asciiTheme="minorHAnsi" w:hAnsiTheme="minorHAnsi" w:cstheme="minorHAnsi"/>
          <w:sz w:val="18"/>
          <w:szCs w:val="18"/>
        </w:rPr>
      </w:pPr>
      <w:r w:rsidRPr="004834F6">
        <w:rPr>
          <w:rStyle w:val="FootnoteReference"/>
          <w:rFonts w:asciiTheme="minorHAnsi" w:hAnsiTheme="minorHAnsi" w:cstheme="minorHAnsi"/>
          <w:sz w:val="18"/>
          <w:szCs w:val="18"/>
        </w:rPr>
        <w:footnoteRef/>
      </w:r>
      <w:r w:rsidRPr="004834F6">
        <w:rPr>
          <w:rFonts w:asciiTheme="minorHAnsi" w:hAnsiTheme="minorHAnsi" w:cstheme="minorHAnsi"/>
          <w:sz w:val="18"/>
          <w:szCs w:val="18"/>
        </w:rPr>
        <w:t xml:space="preserve"> T</w:t>
      </w:r>
      <w:r w:rsidRPr="004834F6">
        <w:rPr>
          <w:rFonts w:asciiTheme="minorHAnsi" w:hAnsiTheme="minorHAnsi" w:cstheme="minorHAnsi"/>
          <w:noProof/>
          <w:sz w:val="18"/>
          <w:szCs w:val="18"/>
        </w:rPr>
        <w:t xml:space="preserve">oro-Tobon D, Rachmasari KN, Bradley EA, Wagner LH, Tooley AA, Stokken JK, Stan MN. Medical Therapy in Patients with Moderate to Severe, Steroid-Resistant, Thyroid Eye Disease. </w:t>
      </w:r>
      <w:r w:rsidRPr="004834F6">
        <w:rPr>
          <w:rFonts w:asciiTheme="minorHAnsi" w:hAnsiTheme="minorHAnsi" w:cstheme="minorHAnsi"/>
          <w:i/>
          <w:noProof/>
          <w:sz w:val="18"/>
          <w:szCs w:val="18"/>
        </w:rPr>
        <w:t>Thyroid</w:t>
      </w:r>
      <w:r w:rsidRPr="004834F6">
        <w:rPr>
          <w:rFonts w:asciiTheme="minorHAnsi" w:hAnsiTheme="minorHAnsi" w:cstheme="minorHAnsi"/>
          <w:noProof/>
          <w:sz w:val="18"/>
          <w:szCs w:val="18"/>
        </w:rPr>
        <w:t>. 2023 Oct;33(10):1237-44.</w:t>
      </w:r>
    </w:p>
  </w:footnote>
  <w:footnote w:id="32">
    <w:p w14:paraId="70ECAEE4" w14:textId="77777777" w:rsidR="008D0C93" w:rsidRPr="00B34920" w:rsidRDefault="008D0C93" w:rsidP="008D0C93">
      <w:pPr>
        <w:pStyle w:val="FootnoteText"/>
        <w:rPr>
          <w:sz w:val="18"/>
          <w:szCs w:val="18"/>
        </w:rPr>
      </w:pPr>
      <w:r w:rsidRPr="00B34920">
        <w:rPr>
          <w:rStyle w:val="FootnoteReference"/>
          <w:sz w:val="18"/>
          <w:szCs w:val="18"/>
        </w:rPr>
        <w:footnoteRef/>
      </w:r>
      <w:r w:rsidRPr="00B34920">
        <w:rPr>
          <w:sz w:val="18"/>
          <w:szCs w:val="18"/>
        </w:rPr>
        <w:t xml:space="preserve"> Men, C. J., Amarikwa, L., Sears, C., Shinder, R., Clauss, K., Ugradar, S., Cockerham, K., Wester, S., Douglas, R., &amp; Kossler, A. (2024) Teprotumumab for the Treatment of Recalcitrant Thyroid Eye Disease. </w:t>
      </w:r>
      <w:r w:rsidRPr="00B34920">
        <w:rPr>
          <w:i/>
          <w:sz w:val="18"/>
          <w:szCs w:val="18"/>
        </w:rPr>
        <w:t>Ophthalmic Plast Reconstr Surg</w:t>
      </w:r>
      <w:r w:rsidRPr="00B34920">
        <w:rPr>
          <w:sz w:val="18"/>
          <w:szCs w:val="18"/>
        </w:rPr>
        <w:t xml:space="preserve"> 40(4), 276-285.</w:t>
      </w:r>
    </w:p>
  </w:footnote>
  <w:footnote w:id="33">
    <w:p w14:paraId="461897B9" w14:textId="753044C9" w:rsidR="00D90033" w:rsidRDefault="00D90033">
      <w:pPr>
        <w:pStyle w:val="FootnoteText"/>
      </w:pPr>
      <w:r w:rsidRPr="00D90033">
        <w:rPr>
          <w:sz w:val="18"/>
          <w:szCs w:val="18"/>
          <w:vertAlign w:val="superscript"/>
        </w:rPr>
        <w:footnoteRef/>
      </w:r>
      <w:r w:rsidRPr="00D90033">
        <w:rPr>
          <w:sz w:val="18"/>
          <w:szCs w:val="18"/>
        </w:rPr>
        <w:t xml:space="preserve"> Kahaly GJ, Riedl M, Konig J, Pitz S, Ponto K, Diana T, et al. Mycophenolate plus methylprednisolone versus methylprednisolone alone in active, moderate-to-severe Graves' orbitopathy (MINGO): a randomised, observer-masked, multicentre trial. Lancet Diabetes Endocrinol. 2018 Apr;6(4):287-98.</w:t>
      </w:r>
    </w:p>
  </w:footnote>
  <w:footnote w:id="34">
    <w:p w14:paraId="6D6F26F7" w14:textId="28BCC36E" w:rsidR="00AC7BAA" w:rsidRDefault="00AC7BAA">
      <w:pPr>
        <w:pStyle w:val="FootnoteText"/>
      </w:pPr>
      <w:r>
        <w:rPr>
          <w:rStyle w:val="FootnoteReference"/>
        </w:rPr>
        <w:footnoteRef/>
      </w:r>
      <w:r>
        <w:t xml:space="preserve"> </w:t>
      </w:r>
      <w:r w:rsidRPr="00AC7BAA">
        <w:rPr>
          <w:sz w:val="18"/>
          <w:szCs w:val="18"/>
        </w:rPr>
        <w:t>Salvi M, Vannucchi G, Curro N, Campi I, Covelli D, Dazzi D, et al. Efficacy of B-cell targeted therapy with rituximab in patients with active moderate to severe Graves' orbitopathy: a randomized controlled study. J Clin Endocrinol Metab. 2015 Feb;100(2):422-31.</w:t>
      </w:r>
    </w:p>
  </w:footnote>
  <w:footnote w:id="35">
    <w:p w14:paraId="574F98FF" w14:textId="0918BEA7" w:rsidR="00964CEC" w:rsidRDefault="00964CEC">
      <w:pPr>
        <w:pStyle w:val="FootnoteText"/>
      </w:pPr>
      <w:r>
        <w:rPr>
          <w:rStyle w:val="FootnoteReference"/>
        </w:rPr>
        <w:footnoteRef/>
      </w:r>
      <w:r>
        <w:t xml:space="preserve"> </w:t>
      </w:r>
      <w:r w:rsidRPr="00964CEC">
        <w:rPr>
          <w:sz w:val="18"/>
          <w:szCs w:val="18"/>
        </w:rPr>
        <w:t>Salvi M, Vannucchi G, Curro N, Campi I, Covelli D, Dazzi D, et al. Efficacy of B-cell targeted therapy with rituximab in patients with active moderate to severe Graves' orbitopathy: a randomized controlled study. J Clin Endocrinol Metab. 2015 Feb;100(2):422-31.</w:t>
      </w:r>
    </w:p>
  </w:footnote>
  <w:footnote w:id="36">
    <w:p w14:paraId="2321DD8A" w14:textId="7817A5AF" w:rsidR="0098188E" w:rsidRDefault="0098188E">
      <w:pPr>
        <w:pStyle w:val="FootnoteText"/>
      </w:pPr>
      <w:r>
        <w:rPr>
          <w:rStyle w:val="FootnoteReference"/>
        </w:rPr>
        <w:footnoteRef/>
      </w:r>
      <w:r>
        <w:t xml:space="preserve"> </w:t>
      </w:r>
      <w:r w:rsidRPr="00D90033">
        <w:rPr>
          <w:sz w:val="18"/>
          <w:szCs w:val="18"/>
        </w:rPr>
        <w:t>Subjective diplopia score used in the trial</w:t>
      </w:r>
    </w:p>
  </w:footnote>
  <w:footnote w:id="37">
    <w:p w14:paraId="6B3B71A5" w14:textId="77777777" w:rsidR="00CC3E8D" w:rsidRPr="00D90033" w:rsidRDefault="00CC3E8D" w:rsidP="00CC3E8D">
      <w:pPr>
        <w:pStyle w:val="FootnoteText"/>
        <w:rPr>
          <w:sz w:val="18"/>
          <w:szCs w:val="18"/>
        </w:rPr>
      </w:pPr>
      <w:r>
        <w:rPr>
          <w:rStyle w:val="FootnoteReference"/>
        </w:rPr>
        <w:footnoteRef/>
      </w:r>
      <w:r>
        <w:t xml:space="preserve"> </w:t>
      </w:r>
      <w:r w:rsidRPr="00D90033">
        <w:rPr>
          <w:sz w:val="18"/>
          <w:szCs w:val="18"/>
        </w:rPr>
        <w:t>Smith TJ, Cockerham K, Lelli G, Choudhary C, Taylor S, Barretto N, et al. Utility Assessment of Moderate to Severe Thyroid Eye Disease Health States. JAMA Ophthalmol. 2023 Feb 1;141(2):159-66.</w:t>
      </w:r>
    </w:p>
  </w:footnote>
  <w:footnote w:id="38">
    <w:p w14:paraId="5FC00E83" w14:textId="77777777" w:rsidR="00DF3EE2" w:rsidRDefault="00DF3EE2" w:rsidP="00DF3EE2">
      <w:pPr>
        <w:pStyle w:val="FootnoteText"/>
      </w:pPr>
      <w:r>
        <w:rPr>
          <w:rStyle w:val="FootnoteReference"/>
        </w:rPr>
        <w:footnoteRef/>
      </w:r>
      <w:r>
        <w:t xml:space="preserve"> </w:t>
      </w:r>
      <w:r w:rsidRPr="00D90033">
        <w:rPr>
          <w:sz w:val="18"/>
          <w:szCs w:val="18"/>
        </w:rPr>
        <w:t>Smith TJ, Cockerham K, Barretto N, Hirst A, Oliver L, Enstone A, et al. Bridging and Validation of the Specific Graves Ophthalmopathy Quality of Life Questionnaire With Health State Utility Values. Endocr Pract. 2024 May;30(5):470-5.</w:t>
      </w:r>
    </w:p>
  </w:footnote>
  <w:footnote w:id="39">
    <w:p w14:paraId="412BC55E" w14:textId="77777777" w:rsidR="00227EAE" w:rsidRDefault="00227EAE" w:rsidP="00227EAE">
      <w:pPr>
        <w:pStyle w:val="FootnoteText"/>
      </w:pPr>
      <w:r>
        <w:rPr>
          <w:rStyle w:val="FootnoteReference"/>
        </w:rPr>
        <w:footnoteRef/>
      </w:r>
      <w:r>
        <w:t xml:space="preserve"> </w:t>
      </w:r>
      <w:r w:rsidRPr="00D90033">
        <w:rPr>
          <w:sz w:val="18"/>
          <w:szCs w:val="18"/>
        </w:rPr>
        <w:t>Hwang CJ, Rebollo NP, Mechels KB, Perry JD. Reactivation After Teprotumumab Treatment for Active Thyroid Eye Disease. Am J Ophthalmol. 2024 Jul;263:152-9.</w:t>
      </w:r>
    </w:p>
  </w:footnote>
  <w:footnote w:id="40">
    <w:p w14:paraId="4D84866B" w14:textId="46470438" w:rsidR="00F13156" w:rsidRPr="00F13156" w:rsidRDefault="00F13156">
      <w:pPr>
        <w:pStyle w:val="FootnoteText"/>
        <w:rPr>
          <w:sz w:val="18"/>
          <w:szCs w:val="18"/>
        </w:rPr>
      </w:pPr>
      <w:r w:rsidRPr="00F13156">
        <w:rPr>
          <w:sz w:val="18"/>
          <w:szCs w:val="18"/>
          <w:vertAlign w:val="superscript"/>
        </w:rPr>
        <w:footnoteRef/>
      </w:r>
      <w:r w:rsidRPr="00F13156">
        <w:rPr>
          <w:sz w:val="18"/>
          <w:szCs w:val="18"/>
          <w:vertAlign w:val="superscript"/>
        </w:rPr>
        <w:t xml:space="preserve"> </w:t>
      </w:r>
      <w:r w:rsidRPr="00F13156">
        <w:rPr>
          <w:sz w:val="18"/>
          <w:szCs w:val="18"/>
        </w:rPr>
        <w:t>Patel P, Khandji J, Kazim M. Recurrent Thyroid Eye Disease. Ophthalmic Plast Reconstr Surg. 2015 Nov-Dec;31(6):445-8.</w:t>
      </w:r>
    </w:p>
  </w:footnote>
  <w:footnote w:id="41">
    <w:p w14:paraId="35C0FF42" w14:textId="17D44A63" w:rsidR="00F13156" w:rsidRDefault="00F13156">
      <w:pPr>
        <w:pStyle w:val="FootnoteText"/>
      </w:pPr>
      <w:r w:rsidRPr="00F13156">
        <w:rPr>
          <w:sz w:val="18"/>
          <w:szCs w:val="18"/>
          <w:vertAlign w:val="superscript"/>
        </w:rPr>
        <w:footnoteRef/>
      </w:r>
      <w:r w:rsidRPr="00F13156">
        <w:rPr>
          <w:sz w:val="18"/>
          <w:szCs w:val="18"/>
          <w:vertAlign w:val="superscript"/>
        </w:rPr>
        <w:t xml:space="preserve"> </w:t>
      </w:r>
      <w:r w:rsidRPr="00F13156">
        <w:rPr>
          <w:sz w:val="18"/>
          <w:szCs w:val="18"/>
        </w:rPr>
        <w:t>Selva D, Chen C, King G. Late reactivation of thyroid orbitopathy. Clin Exp Ophthalmol. 2004 Feb;32(1):46-50.</w:t>
      </w:r>
    </w:p>
  </w:footnote>
  <w:footnote w:id="42">
    <w:p w14:paraId="1537F84D" w14:textId="7EDA49BD" w:rsidR="00E327E9" w:rsidRDefault="00E327E9" w:rsidP="00E327E9">
      <w:pPr>
        <w:pStyle w:val="FootnoteText"/>
      </w:pPr>
      <w:r>
        <w:rPr>
          <w:rStyle w:val="FootnoteReference"/>
          <w:rFonts w:eastAsiaTheme="majorEastAsia"/>
        </w:rPr>
        <w:footnoteRef/>
      </w:r>
      <w:r>
        <w:t xml:space="preserve"> </w:t>
      </w:r>
      <w:r w:rsidR="00234A0B" w:rsidRPr="00D90033">
        <w:rPr>
          <w:sz w:val="18"/>
          <w:szCs w:val="18"/>
        </w:rPr>
        <w:t>The observed probability of response with placebo was converted into the odds of improving response. The OR reported (2.69) was used to calculate the odds of response with IVMP, which was then converted into a probability of response. The ratio of the probabilities was used to derive the RR.</w:t>
      </w:r>
    </w:p>
  </w:footnote>
  <w:footnote w:id="43">
    <w:p w14:paraId="5AC25E8B" w14:textId="22EEA646" w:rsidR="00883184" w:rsidRDefault="00883184" w:rsidP="00883184">
      <w:pPr>
        <w:pStyle w:val="FootnoteText"/>
      </w:pPr>
      <w:r>
        <w:rPr>
          <w:rStyle w:val="FootnoteReference"/>
        </w:rPr>
        <w:footnoteRef/>
      </w:r>
      <w:r>
        <w:t xml:space="preserve"> </w:t>
      </w:r>
      <w:r w:rsidRPr="00D90033">
        <w:rPr>
          <w:sz w:val="18"/>
          <w:szCs w:val="18"/>
        </w:rPr>
        <w:t>Salvi M, Vannucchi G, Curro N, Campi I, Covelli D, Dazzi D, et al. Efficacy of B-cell targeted therapy with rituximab in patients with active moderate to severe Graves' orbitopathy: a randomized controlled study. J Clin Endocrinol Metab. 2015 Feb;100(2):422-31.</w:t>
      </w:r>
    </w:p>
  </w:footnote>
  <w:footnote w:id="44">
    <w:p w14:paraId="6933BA72" w14:textId="03FD3C7D" w:rsidR="00565918" w:rsidRPr="00D90033" w:rsidRDefault="00565918">
      <w:pPr>
        <w:pStyle w:val="FootnoteText"/>
        <w:rPr>
          <w:sz w:val="18"/>
          <w:szCs w:val="18"/>
        </w:rPr>
      </w:pPr>
      <w:r w:rsidRPr="00D90033">
        <w:rPr>
          <w:sz w:val="18"/>
          <w:szCs w:val="18"/>
          <w:vertAlign w:val="superscript"/>
        </w:rPr>
        <w:footnoteRef/>
      </w:r>
      <w:r w:rsidRPr="00D90033">
        <w:rPr>
          <w:sz w:val="18"/>
          <w:szCs w:val="18"/>
          <w:vertAlign w:val="superscript"/>
        </w:rPr>
        <w:t xml:space="preserve"> </w:t>
      </w:r>
      <w:r w:rsidRPr="00D90033">
        <w:rPr>
          <w:sz w:val="18"/>
          <w:szCs w:val="18"/>
        </w:rPr>
        <w:t>Matza LS, Stewart KD, Lloyd AJ, Rowen D, Brazier JE. Vignette-Based Utilities: Usefulness, Limitations, and Methodological Recommendations. Value Health. 2021 Jun;24(6):812-21.</w:t>
      </w:r>
    </w:p>
  </w:footnote>
  <w:footnote w:id="45">
    <w:p w14:paraId="7B0462F0" w14:textId="759B7CA0" w:rsidR="00565918" w:rsidRPr="00D90033" w:rsidRDefault="00565918">
      <w:pPr>
        <w:pStyle w:val="FootnoteText"/>
        <w:rPr>
          <w:sz w:val="18"/>
          <w:szCs w:val="18"/>
        </w:rPr>
      </w:pPr>
      <w:r w:rsidRPr="00D90033">
        <w:rPr>
          <w:sz w:val="18"/>
          <w:szCs w:val="18"/>
          <w:vertAlign w:val="superscript"/>
        </w:rPr>
        <w:footnoteRef/>
      </w:r>
      <w:r w:rsidRPr="00D90033">
        <w:rPr>
          <w:sz w:val="18"/>
          <w:szCs w:val="18"/>
          <w:vertAlign w:val="superscript"/>
        </w:rPr>
        <w:t xml:space="preserve"> </w:t>
      </w:r>
      <w:r w:rsidRPr="00D90033">
        <w:rPr>
          <w:sz w:val="18"/>
          <w:szCs w:val="18"/>
        </w:rPr>
        <w:t>Woo T, Li C, Ganesananthan S, Rajendram R, Uddin J, Lee RWJ, et al. The Effect of Ophthalmic Surgery for Graves' Orbitopathy on Quality of Life: A Systematic Review and Meta-Analysis. Thyroid. 2022 Feb;32(2):177-87.</w:t>
      </w:r>
    </w:p>
  </w:footnote>
  <w:footnote w:id="46">
    <w:p w14:paraId="499A4FB5" w14:textId="77777777" w:rsidR="00267912" w:rsidRPr="00F771A6" w:rsidRDefault="00267912" w:rsidP="00267912">
      <w:pPr>
        <w:pStyle w:val="FootnoteText"/>
        <w:rPr>
          <w:lang w:val="en-US"/>
        </w:rPr>
      </w:pPr>
      <w:r w:rsidRPr="00D90033">
        <w:rPr>
          <w:sz w:val="18"/>
          <w:szCs w:val="18"/>
          <w:vertAlign w:val="superscript"/>
        </w:rPr>
        <w:footnoteRef/>
      </w:r>
      <w:r w:rsidRPr="00D90033">
        <w:rPr>
          <w:sz w:val="18"/>
          <w:szCs w:val="18"/>
          <w:vertAlign w:val="superscript"/>
        </w:rPr>
        <w:t xml:space="preserve"> </w:t>
      </w:r>
      <w:r w:rsidRPr="00D90033">
        <w:rPr>
          <w:sz w:val="18"/>
          <w:szCs w:val="18"/>
        </w:rPr>
        <w:t>average of LPND, LPID, SPCD and LPCD utility values for Surgery; and average SPND, LPND, SPID and LPID utility values for Post-surgery.</w:t>
      </w:r>
    </w:p>
  </w:footnote>
  <w:footnote w:id="47">
    <w:p w14:paraId="42C9083F" w14:textId="186F73EC" w:rsidR="00032C63" w:rsidRPr="00032C63" w:rsidRDefault="00032C63">
      <w:pPr>
        <w:pStyle w:val="FootnoteText"/>
        <w:rPr>
          <w:sz w:val="18"/>
          <w:szCs w:val="18"/>
        </w:rPr>
      </w:pPr>
      <w:r>
        <w:rPr>
          <w:rStyle w:val="FootnoteReference"/>
        </w:rPr>
        <w:footnoteRef/>
      </w:r>
      <w:r>
        <w:t xml:space="preserve"> </w:t>
      </w:r>
      <w:r w:rsidRPr="00032C63">
        <w:t>Smith TJ, Cockerham K, Lelli G, Choudhary C, Taylor S, Barretto N, et al. Utility Assessment of Moderate to Severe Thyroid Eye Disease Health States. JAMA Ophthalmol. 2023 Feb 1;141(2):159-66.</w:t>
      </w:r>
    </w:p>
  </w:footnote>
  <w:footnote w:id="48">
    <w:p w14:paraId="42A1E89A" w14:textId="6F3A4A7D" w:rsidR="00F17515" w:rsidRPr="00D72CE8" w:rsidRDefault="00F17515" w:rsidP="00F17515">
      <w:pPr>
        <w:pStyle w:val="TableFigureFooter"/>
        <w:rPr>
          <w:szCs w:val="18"/>
        </w:rPr>
      </w:pPr>
      <w:r w:rsidRPr="00D72CE8">
        <w:rPr>
          <w:rStyle w:val="FootnoteReference"/>
          <w:szCs w:val="18"/>
        </w:rPr>
        <w:footnoteRef/>
      </w:r>
      <w:r w:rsidRPr="00D72CE8">
        <w:rPr>
          <w:szCs w:val="18"/>
        </w:rPr>
        <w:t xml:space="preserve"> </w:t>
      </w:r>
      <w:r w:rsidRPr="00D72CE8">
        <w:rPr>
          <w:rFonts w:ascii="Calibri" w:hAnsi="Calibri"/>
          <w:snapToGrid/>
          <w:szCs w:val="18"/>
        </w:rPr>
        <w:t>Douglas RS, Dailey R, Subramanian PS, Barbesino G, Ugradar S, Batten R, et al. Proptosis and Diplopia Response With Teprotumumab and Placebo vs the Recommended Treatment Regimen With Intravenous Methylprednisolone in Moderate to Severe Thyroid Eye Disease: A Meta-analysis and Matching-Adjusted Indirect Comparison. JAMA Ophthalmol. 2022 Apr 1;140(4):328-35.</w:t>
      </w:r>
    </w:p>
  </w:footnote>
  <w:footnote w:id="49">
    <w:p w14:paraId="4949698A" w14:textId="4E7089AC" w:rsidR="00D66256" w:rsidRDefault="00D66256">
      <w:pPr>
        <w:pStyle w:val="FootnoteText"/>
      </w:pPr>
      <w:r>
        <w:rPr>
          <w:rStyle w:val="FootnoteReference"/>
        </w:rPr>
        <w:footnoteRef/>
      </w:r>
      <w:r>
        <w:t xml:space="preserve"> 9/34 (26.5%) proptosis responders following teprotumumab who relapsed and were retreated</w:t>
      </w:r>
    </w:p>
  </w:footnote>
  <w:footnote w:id="50">
    <w:p w14:paraId="061A3B17" w14:textId="09794658" w:rsidR="00D66256" w:rsidRDefault="00D66256">
      <w:pPr>
        <w:pStyle w:val="FootnoteText"/>
      </w:pPr>
      <w:r>
        <w:rPr>
          <w:rStyle w:val="FootnoteReference"/>
        </w:rPr>
        <w:footnoteRef/>
      </w:r>
      <w:r>
        <w:t xml:space="preserve"> Of the 10 proptosis responders who relapsed and were eligible for OPTIC-X, 9 received retreatment as part of the extension study, of whom 5 responded.</w:t>
      </w:r>
    </w:p>
  </w:footnote>
  <w:footnote w:id="51">
    <w:p w14:paraId="326CE4C6" w14:textId="68288633" w:rsidR="007929A4" w:rsidRPr="00827EAD" w:rsidRDefault="007929A4">
      <w:pPr>
        <w:pStyle w:val="FootnoteText"/>
        <w:rPr>
          <w:sz w:val="18"/>
          <w:szCs w:val="18"/>
        </w:rPr>
      </w:pPr>
      <w:r w:rsidRPr="00827EAD">
        <w:rPr>
          <w:rStyle w:val="FootnoteReference"/>
          <w:sz w:val="18"/>
          <w:szCs w:val="18"/>
        </w:rPr>
        <w:footnoteRef/>
      </w:r>
      <w:r w:rsidRPr="00827EAD">
        <w:rPr>
          <w:sz w:val="18"/>
          <w:szCs w:val="18"/>
        </w:rPr>
        <w:t xml:space="preserve"> </w:t>
      </w:r>
      <w:r w:rsidR="00BB7102" w:rsidRPr="00827EAD">
        <w:rPr>
          <w:sz w:val="18"/>
          <w:szCs w:val="18"/>
        </w:rPr>
        <w:t>Bartalena L, Piantanida E, Gallo D, Lai A, Tanda ML. Epidemiology, Natural History, Risk Factors, and Prevention of Graves’ Orbitopathy. Frontiers in Endocrinology. [Review]. 2020 2020-November-30;11.</w:t>
      </w:r>
    </w:p>
  </w:footnote>
  <w:footnote w:id="52">
    <w:p w14:paraId="14309044" w14:textId="6D9F02A4" w:rsidR="00BB7102" w:rsidRDefault="00BB7102">
      <w:pPr>
        <w:pStyle w:val="FootnoteText"/>
      </w:pPr>
      <w:r w:rsidRPr="00827EAD">
        <w:rPr>
          <w:rStyle w:val="FootnoteReference"/>
          <w:sz w:val="18"/>
          <w:szCs w:val="18"/>
        </w:rPr>
        <w:footnoteRef/>
      </w:r>
      <w:r w:rsidRPr="00827EAD">
        <w:rPr>
          <w:sz w:val="18"/>
          <w:szCs w:val="18"/>
        </w:rPr>
        <w:t xml:space="preserve"> </w:t>
      </w:r>
      <w:r w:rsidR="00827EAD" w:rsidRPr="00827EAD">
        <w:rPr>
          <w:sz w:val="18"/>
          <w:szCs w:val="18"/>
        </w:rPr>
        <w:t>Laurberg P, Berman DC, Bülow Pedersen I, Andersen S, Carlé A. Incidence and Clinical Presentation of Moderate to Severe Graves' Orbitopathy in a Danish Population before and after Iodine Fortification of Salt. The Journal of Clinical Endocrinology &amp; Metabolism. 2012;97(7):2325-32.</w:t>
      </w:r>
    </w:p>
  </w:footnote>
  <w:footnote w:id="53">
    <w:p w14:paraId="47751BCA" w14:textId="77777777" w:rsidR="00CA51B0" w:rsidRPr="009A1C1A" w:rsidRDefault="00CA51B0" w:rsidP="00CA51B0">
      <w:pPr>
        <w:pStyle w:val="FootnoteText"/>
        <w:rPr>
          <w:rFonts w:asciiTheme="minorHAnsi" w:hAnsiTheme="minorHAnsi" w:cstheme="minorHAnsi"/>
        </w:rPr>
      </w:pPr>
      <w:r w:rsidRPr="009916C3">
        <w:rPr>
          <w:rStyle w:val="FootnoteReference"/>
          <w:rFonts w:asciiTheme="minorHAnsi" w:hAnsiTheme="minorHAnsi" w:cstheme="minorHAnsi"/>
        </w:rPr>
        <w:footnoteRef/>
      </w:r>
      <w:r w:rsidRPr="009916C3">
        <w:rPr>
          <w:rFonts w:asciiTheme="minorHAnsi" w:hAnsiTheme="minorHAnsi" w:cstheme="minorHAnsi"/>
        </w:rPr>
        <w:t xml:space="preserve"> </w:t>
      </w:r>
      <w:r w:rsidRPr="00ED4AFA">
        <w:rPr>
          <w:rFonts w:asciiTheme="minorHAnsi" w:hAnsiTheme="minorHAnsi"/>
          <w:sz w:val="18"/>
        </w:rPr>
        <w:t>Burch HB, Perros P, Bednarczuk T, Cooper DS, Dolman PJ, Leung AM, et al. Management of thyroid eye disease: a Consensus Statement by the American Thyroid Association and the European Thyroid Association. Eur Thyroid J. 2022 Dec 1;11(6)</w:t>
      </w:r>
    </w:p>
  </w:footnote>
  <w:footnote w:id="54">
    <w:p w14:paraId="44531814" w14:textId="343A6E1E" w:rsidR="00585B72" w:rsidRDefault="00585B72">
      <w:pPr>
        <w:pStyle w:val="FootnoteText"/>
      </w:pPr>
      <w:r>
        <w:rPr>
          <w:rStyle w:val="FootnoteReference"/>
        </w:rPr>
        <w:footnoteRef/>
      </w:r>
      <w:r>
        <w:t xml:space="preserve"> </w:t>
      </w:r>
      <w:r w:rsidRPr="00585B72">
        <w:rPr>
          <w:rFonts w:asciiTheme="minorHAnsi" w:hAnsiTheme="minorHAnsi"/>
          <w:sz w:val="18"/>
        </w:rPr>
        <w:t>Bartalena L, Kahaly GJ, Baldeschi L, Dayan CM, Eckstein A, Marcocci C, et al. The 2021 European Group on Graves’ orbitopathy (EUGOGO) clinical practice guidelines for the medical management of Graves’ orbitopathy. European Journal of Endocrinology. 2021;185(4):G43-G67</w:t>
      </w:r>
    </w:p>
  </w:footnote>
  <w:footnote w:id="55">
    <w:p w14:paraId="13B47360" w14:textId="77777777" w:rsidR="009B27D6" w:rsidRPr="009916C3" w:rsidRDefault="009B27D6" w:rsidP="009B27D6">
      <w:pPr>
        <w:pStyle w:val="FootnoteText"/>
        <w:rPr>
          <w:rFonts w:asciiTheme="minorHAnsi" w:hAnsiTheme="minorHAnsi" w:cstheme="minorHAnsi"/>
        </w:rPr>
      </w:pPr>
      <w:r w:rsidRPr="00815CEB">
        <w:rPr>
          <w:rStyle w:val="FootnoteReference"/>
          <w:rFonts w:asciiTheme="minorHAnsi" w:hAnsiTheme="minorHAnsi" w:cstheme="minorHAnsi"/>
          <w:sz w:val="18"/>
          <w:szCs w:val="18"/>
        </w:rPr>
        <w:footnoteRef/>
      </w:r>
      <w:r w:rsidRPr="00815CEB">
        <w:rPr>
          <w:rFonts w:asciiTheme="minorHAnsi" w:hAnsiTheme="minorHAnsi" w:cstheme="minorHAnsi"/>
          <w:sz w:val="18"/>
          <w:szCs w:val="18"/>
        </w:rPr>
        <w:t xml:space="preserve"> </w:t>
      </w:r>
      <w:r w:rsidRPr="00815CEB">
        <w:rPr>
          <w:rFonts w:asciiTheme="minorHAnsi" w:hAnsiTheme="minorHAnsi" w:cstheme="minorHAnsi"/>
          <w:noProof/>
          <w:sz w:val="18"/>
          <w:szCs w:val="18"/>
        </w:rPr>
        <w:t xml:space="preserve">Kahaly GJ, Douglas RS, Holt RJ, Sile S, Smith TJ. Teprotumumab for patients with active thyroid eye disease: a pooled data analysis, subgroup analyses, and off-treatment follow-up results from two randomised, double-masked, placebo-controlled, multicentre trials. </w:t>
      </w:r>
      <w:r w:rsidRPr="00815CEB">
        <w:rPr>
          <w:rFonts w:asciiTheme="minorHAnsi" w:hAnsiTheme="minorHAnsi" w:cstheme="minorHAnsi"/>
          <w:i/>
          <w:noProof/>
          <w:sz w:val="18"/>
          <w:szCs w:val="18"/>
        </w:rPr>
        <w:t>Lancet Diabetes Endocrinol</w:t>
      </w:r>
      <w:r w:rsidRPr="00815CEB">
        <w:rPr>
          <w:rFonts w:asciiTheme="minorHAnsi" w:hAnsiTheme="minorHAnsi" w:cstheme="minorHAnsi"/>
          <w:noProof/>
          <w:sz w:val="18"/>
          <w:szCs w:val="18"/>
        </w:rPr>
        <w:t>. 2021 Jun;9(6):360-72.</w:t>
      </w:r>
    </w:p>
  </w:footnote>
  <w:footnote w:id="56">
    <w:p w14:paraId="31E8FD3A" w14:textId="77777777" w:rsidR="00825672" w:rsidRPr="00A21507" w:rsidRDefault="00825672" w:rsidP="00825672">
      <w:pPr>
        <w:pStyle w:val="FootnoteText"/>
        <w:rPr>
          <w:sz w:val="18"/>
          <w:szCs w:val="18"/>
        </w:rPr>
      </w:pPr>
      <w:r w:rsidRPr="00A21507">
        <w:rPr>
          <w:rStyle w:val="FootnoteReference"/>
          <w:sz w:val="18"/>
          <w:szCs w:val="18"/>
        </w:rPr>
        <w:footnoteRef/>
      </w:r>
      <w:r w:rsidRPr="00A21507">
        <w:rPr>
          <w:sz w:val="18"/>
          <w:szCs w:val="18"/>
        </w:rPr>
        <w:t xml:space="preserve"> Redwood, L., Currow, D., Kochovska, S. &amp; Thomas, S. J. Australian population norms for health-related quality of life measured using the EQ-5D-5L, and relationships with sociodemographic characteristics. Qual Life Res 33, 721-733 (2024). </w:t>
      </w:r>
      <w:hyperlink r:id="rId1" w:history="1">
        <w:r w:rsidRPr="00A21507">
          <w:rPr>
            <w:rStyle w:val="Hyperlink"/>
            <w:sz w:val="18"/>
            <w:szCs w:val="18"/>
          </w:rPr>
          <w:t>https://doi.org/10.1007/s11136-023-03558-</w:t>
        </w:r>
      </w:hyperlink>
      <w:r w:rsidRPr="00A21507">
        <w:rPr>
          <w:sz w:val="18"/>
          <w:szCs w:val="18"/>
        </w:rPr>
        <w:t>z</w:t>
      </w:r>
    </w:p>
  </w:footnote>
  <w:footnote w:id="57">
    <w:p w14:paraId="52475689" w14:textId="77777777" w:rsidR="00825672" w:rsidRDefault="00825672" w:rsidP="00825672">
      <w:pPr>
        <w:pStyle w:val="FootnoteText"/>
      </w:pPr>
      <w:r w:rsidRPr="006D7FAB">
        <w:rPr>
          <w:sz w:val="18"/>
          <w:szCs w:val="18"/>
          <w:vertAlign w:val="superscript"/>
        </w:rPr>
        <w:footnoteRef/>
      </w:r>
      <w:r w:rsidRPr="006D7FAB">
        <w:rPr>
          <w:sz w:val="18"/>
          <w:szCs w:val="18"/>
          <w:vertAlign w:val="superscript"/>
        </w:rPr>
        <w:t xml:space="preserve"> </w:t>
      </w:r>
      <w:r w:rsidRPr="006D7FAB">
        <w:rPr>
          <w:sz w:val="18"/>
          <w:szCs w:val="18"/>
        </w:rPr>
        <w:t>Smith, T. J. et al. Utility Assessment of Moderate to Severe Thyroid Eye Disease Health States. JAMA Ophthalmol 141, 159-166 (2023). https://doi.org/10.1001/jamaophthalmol.2022.3225</w:t>
      </w:r>
    </w:p>
  </w:footnote>
  <w:footnote w:id="58">
    <w:p w14:paraId="15CFB604" w14:textId="77777777" w:rsidR="00825672" w:rsidRPr="009B24EC" w:rsidRDefault="00825672" w:rsidP="00825672">
      <w:pPr>
        <w:pStyle w:val="FootnoteText"/>
        <w:rPr>
          <w:sz w:val="18"/>
          <w:szCs w:val="18"/>
        </w:rPr>
      </w:pPr>
      <w:r w:rsidRPr="009B24EC">
        <w:rPr>
          <w:rStyle w:val="FootnoteReference"/>
          <w:sz w:val="18"/>
          <w:szCs w:val="18"/>
        </w:rPr>
        <w:footnoteRef/>
      </w:r>
      <w:r w:rsidRPr="009B24EC">
        <w:rPr>
          <w:sz w:val="18"/>
          <w:szCs w:val="18"/>
        </w:rPr>
        <w:t xml:space="preserve"> Bradley, E. A. et al. Orbital radiation for graves ophthalmopathy: a report by the American Academy of Ophthalmology. Ophthalmology 115, 398-409 (2008).</w:t>
      </w:r>
    </w:p>
  </w:footnote>
  <w:footnote w:id="59">
    <w:p w14:paraId="5C866EAD" w14:textId="77777777" w:rsidR="00825672" w:rsidRDefault="00825672" w:rsidP="00825672">
      <w:pPr>
        <w:pStyle w:val="FootnoteText"/>
      </w:pPr>
      <w:r>
        <w:rPr>
          <w:rStyle w:val="FootnoteReference"/>
        </w:rPr>
        <w:footnoteRef/>
      </w:r>
      <w:r>
        <w:t xml:space="preserve"> </w:t>
      </w:r>
      <w:r w:rsidRPr="005E589A">
        <w:t>Ugradar S, Parunakian E, Malkhasyan E, Chiou CA, Walsh HL, Tolentino J, Wester ST, Freitag SK, Douglas RS. The Rate of Re-treatment in Patients Treated with Teprotumumab: A Multicenter Study of 119 Patients with 1 Year of Follow-up. Ophthalmology. 2025 Jan;132(1):92-97</w:t>
      </w:r>
    </w:p>
  </w:footnote>
  <w:footnote w:id="60">
    <w:p w14:paraId="2C50B7AB" w14:textId="77777777" w:rsidR="00825672" w:rsidRDefault="00825672" w:rsidP="00825672">
      <w:pPr>
        <w:pStyle w:val="FootnoteText"/>
      </w:pPr>
      <w:r>
        <w:rPr>
          <w:rStyle w:val="FootnoteReference"/>
        </w:rPr>
        <w:footnoteRef/>
      </w:r>
      <w:r>
        <w:t xml:space="preserve"> </w:t>
      </w:r>
      <w:r w:rsidRPr="005E589A">
        <w:t>Ugradar S, Parunakian E, Malkhasyan E, Chiou CA, Walsh HL, Tolentino J, Wester ST, Freitag SK, Douglas RS. The Rate of Re-treatment in Patients Treated with Teprotumumab: A Multicenter Study of 119 Patients with 1 Year of Follow-up. Ophthalmology. 2025 Jan;132(1):92-97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5807" w14:textId="1E6388AC" w:rsidR="008E04AB" w:rsidRDefault="00436577">
    <w:pPr>
      <w:pStyle w:val="Header"/>
    </w:pPr>
    <w:r>
      <w:rPr>
        <w:noProof/>
      </w:rPr>
      <mc:AlternateContent>
        <mc:Choice Requires="wps">
          <w:drawing>
            <wp:anchor distT="0" distB="0" distL="0" distR="0" simplePos="0" relativeHeight="251667456" behindDoc="0" locked="0" layoutInCell="1" allowOverlap="1" wp14:anchorId="6B7EE1A8" wp14:editId="68A65BFC">
              <wp:simplePos x="635" y="635"/>
              <wp:positionH relativeFrom="page">
                <wp:align>center</wp:align>
              </wp:positionH>
              <wp:positionV relativeFrom="page">
                <wp:align>top</wp:align>
              </wp:positionV>
              <wp:extent cx="551815" cy="376555"/>
              <wp:effectExtent l="0" t="0" r="635" b="4445"/>
              <wp:wrapNone/>
              <wp:docPr id="192174925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B6ED9D" w14:textId="48C65469" w:rsidR="00436577" w:rsidRPr="00436577" w:rsidRDefault="00436577" w:rsidP="00436577">
                          <w:pPr>
                            <w:rPr>
                              <w:rFonts w:eastAsia="Calibri" w:cs="Calibri"/>
                              <w:noProof/>
                              <w:color w:val="FF0000"/>
                            </w:rPr>
                          </w:pPr>
                          <w:r w:rsidRPr="00436577">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7EE1A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4B6ED9D" w14:textId="48C65469" w:rsidR="00436577" w:rsidRPr="00436577" w:rsidRDefault="00436577" w:rsidP="00436577">
                    <w:pPr>
                      <w:rPr>
                        <w:rFonts w:eastAsia="Calibri" w:cs="Calibri"/>
                        <w:noProof/>
                        <w:color w:val="FF0000"/>
                      </w:rPr>
                    </w:pPr>
                    <w:r w:rsidRPr="00436577">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6228B1A9" w:rsidR="00D843F2" w:rsidRPr="00BC3AA5" w:rsidRDefault="00436577" w:rsidP="00BC3AA5">
    <w:pPr>
      <w:pStyle w:val="Header"/>
      <w:rPr>
        <w:rFonts w:asciiTheme="minorHAnsi" w:hAnsiTheme="minorHAnsi"/>
        <w:color w:val="808080"/>
      </w:rPr>
    </w:pPr>
    <w:r>
      <w:rPr>
        <w:rFonts w:asciiTheme="minorHAnsi" w:hAnsiTheme="minorHAnsi"/>
        <w:noProof/>
        <w:color w:val="808080"/>
      </w:rPr>
      <mc:AlternateContent>
        <mc:Choice Requires="wps">
          <w:drawing>
            <wp:anchor distT="0" distB="0" distL="0" distR="0" simplePos="0" relativeHeight="251668480" behindDoc="0" locked="0" layoutInCell="1" allowOverlap="1" wp14:anchorId="4E347C68" wp14:editId="5FCBCDC2">
              <wp:simplePos x="635" y="635"/>
              <wp:positionH relativeFrom="page">
                <wp:align>center</wp:align>
              </wp:positionH>
              <wp:positionV relativeFrom="page">
                <wp:align>top</wp:align>
              </wp:positionV>
              <wp:extent cx="551815" cy="376555"/>
              <wp:effectExtent l="0" t="0" r="635" b="4445"/>
              <wp:wrapNone/>
              <wp:docPr id="34105547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04D0D0" w14:textId="4BCB94A7" w:rsidR="00436577" w:rsidRPr="00436577" w:rsidRDefault="00436577" w:rsidP="00436577">
                          <w:pPr>
                            <w:rPr>
                              <w:rFonts w:eastAsia="Calibri" w:cs="Calibri"/>
                              <w:noProof/>
                              <w:color w:val="FF0000"/>
                            </w:rPr>
                          </w:pPr>
                          <w:r w:rsidRPr="00436577">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47C68"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804D0D0" w14:textId="4BCB94A7" w:rsidR="00436577" w:rsidRPr="00436577" w:rsidRDefault="00436577" w:rsidP="00436577">
                    <w:pPr>
                      <w:rPr>
                        <w:rFonts w:eastAsia="Calibri" w:cs="Calibri"/>
                        <w:noProof/>
                        <w:color w:val="FF0000"/>
                      </w:rPr>
                    </w:pPr>
                    <w:r w:rsidRPr="00436577">
                      <w:rPr>
                        <w:rFonts w:eastAsia="Calibri" w:cs="Calibri"/>
                        <w:noProof/>
                        <w:color w:val="FF0000"/>
                      </w:rPr>
                      <w:t>OFFICIAL</w:t>
                    </w:r>
                  </w:p>
                </w:txbxContent>
              </v:textbox>
              <w10:wrap anchorx="page" anchory="page"/>
            </v:shape>
          </w:pict>
        </mc:Fallback>
      </mc:AlternateContent>
    </w:r>
    <w:r w:rsidR="001612F5">
      <w:rPr>
        <w:rFonts w:asciiTheme="minorHAnsi" w:hAnsiTheme="minorHAnsi"/>
        <w:color w:val="808080"/>
      </w:rPr>
      <w:t>Public Summary Document</w:t>
    </w:r>
    <w:r w:rsidR="00BC3AA5">
      <w:rPr>
        <w:rFonts w:asciiTheme="minorHAnsi" w:hAnsiTheme="minorHAnsi"/>
        <w:color w:val="808080"/>
      </w:rPr>
      <w:t xml:space="preserve"> – </w:t>
    </w:r>
    <w:r w:rsidR="004D7324">
      <w:rPr>
        <w:rFonts w:asciiTheme="minorHAnsi" w:hAnsiTheme="minorHAnsi"/>
        <w:color w:val="808080"/>
      </w:rPr>
      <w:t>March</w:t>
    </w:r>
    <w:r w:rsidR="00D843F2">
      <w:rPr>
        <w:rFonts w:asciiTheme="minorHAnsi" w:hAnsiTheme="minorHAnsi"/>
        <w:color w:val="808080"/>
      </w:rPr>
      <w:t xml:space="preserve"> 202</w:t>
    </w:r>
    <w:r w:rsidR="004D7324">
      <w:rPr>
        <w:rFonts w:asciiTheme="minorHAnsi" w:hAnsiTheme="minorHAnsi"/>
        <w:color w:val="808080"/>
      </w:rPr>
      <w:t>5</w:t>
    </w:r>
    <w:r w:rsidR="00D843F2">
      <w:rPr>
        <w:rFonts w:asciiTheme="minorHAnsi" w:hAnsiTheme="minorHAnsi"/>
        <w:color w:val="808080"/>
      </w:rPr>
      <w:t xml:space="preserve"> </w:t>
    </w:r>
    <w:r w:rsidR="00D843F2" w:rsidRPr="00195452">
      <w:rPr>
        <w:rFonts w:asciiTheme="minorHAnsi" w:hAnsiTheme="minorHAnsi"/>
        <w:color w:val="808080"/>
      </w:rPr>
      <w:t>PBAC Meeting</w:t>
    </w:r>
    <w:r w:rsidR="00B9402A">
      <w:rPr>
        <w:rFonts w:asciiTheme="minorHAnsi" w:hAnsiTheme="minorHAnsi"/>
        <w:color w:val="808080"/>
      </w:rPr>
      <w:t xml:space="preserve"> with May 2025 Addendum</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047C" w14:textId="6F96340E" w:rsidR="008E04AB" w:rsidRDefault="00436577">
    <w:pPr>
      <w:pStyle w:val="Header"/>
    </w:pPr>
    <w:r>
      <w:rPr>
        <w:noProof/>
      </w:rPr>
      <mc:AlternateContent>
        <mc:Choice Requires="wps">
          <w:drawing>
            <wp:anchor distT="0" distB="0" distL="0" distR="0" simplePos="0" relativeHeight="251666432" behindDoc="0" locked="0" layoutInCell="1" allowOverlap="1" wp14:anchorId="7057F02C" wp14:editId="5E0A97B0">
              <wp:simplePos x="635" y="635"/>
              <wp:positionH relativeFrom="page">
                <wp:align>center</wp:align>
              </wp:positionH>
              <wp:positionV relativeFrom="page">
                <wp:align>top</wp:align>
              </wp:positionV>
              <wp:extent cx="551815" cy="376555"/>
              <wp:effectExtent l="0" t="0" r="635" b="4445"/>
              <wp:wrapNone/>
              <wp:docPr id="109271612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FDAB30" w14:textId="409D0A82" w:rsidR="00436577" w:rsidRPr="00436577" w:rsidRDefault="00436577" w:rsidP="00436577">
                          <w:pPr>
                            <w:rPr>
                              <w:rFonts w:eastAsia="Calibri" w:cs="Calibri"/>
                              <w:noProof/>
                              <w:color w:val="FF0000"/>
                            </w:rPr>
                          </w:pPr>
                          <w:r w:rsidRPr="00436577">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7F02C"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0AFDAB30" w14:textId="409D0A82" w:rsidR="00436577" w:rsidRPr="00436577" w:rsidRDefault="00436577" w:rsidP="00436577">
                    <w:pPr>
                      <w:rPr>
                        <w:rFonts w:eastAsia="Calibri" w:cs="Calibri"/>
                        <w:noProof/>
                        <w:color w:val="FF0000"/>
                      </w:rPr>
                    </w:pPr>
                    <w:r w:rsidRPr="00436577">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573D4"/>
    <w:multiLevelType w:val="multilevel"/>
    <w:tmpl w:val="C0609D9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244CE"/>
    <w:multiLevelType w:val="hybridMultilevel"/>
    <w:tmpl w:val="B4D610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F1A96"/>
    <w:multiLevelType w:val="hybridMultilevel"/>
    <w:tmpl w:val="3D207F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5E750EA"/>
    <w:multiLevelType w:val="multilevel"/>
    <w:tmpl w:val="34DA070C"/>
    <w:lvl w:ilvl="0">
      <w:start w:val="1"/>
      <w:numFmt w:val="decimal"/>
      <w:lvlText w:val="%1"/>
      <w:lvlJc w:val="left"/>
      <w:pPr>
        <w:ind w:left="720" w:hanging="720"/>
      </w:pPr>
      <w:rPr>
        <w:rFonts w:hint="default"/>
        <w:b/>
      </w:rPr>
    </w:lvl>
    <w:lvl w:ilvl="1">
      <w:start w:val="1"/>
      <w:numFmt w:val="bullet"/>
      <w:lvlText w:val=""/>
      <w:lvlJc w:val="left"/>
      <w:pPr>
        <w:ind w:left="121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A1CEF"/>
    <w:multiLevelType w:val="hybridMultilevel"/>
    <w:tmpl w:val="4650D1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120C70"/>
    <w:multiLevelType w:val="hybridMultilevel"/>
    <w:tmpl w:val="F1062C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43B7FA4"/>
    <w:multiLevelType w:val="hybridMultilevel"/>
    <w:tmpl w:val="AD90F788"/>
    <w:lvl w:ilvl="0" w:tplc="BA221C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4D5733"/>
    <w:multiLevelType w:val="hybridMultilevel"/>
    <w:tmpl w:val="F6ACC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6BC00B4"/>
    <w:multiLevelType w:val="hybridMultilevel"/>
    <w:tmpl w:val="40CE7F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7EE5E3F"/>
    <w:multiLevelType w:val="hybridMultilevel"/>
    <w:tmpl w:val="AA82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D074E"/>
    <w:multiLevelType w:val="hybridMultilevel"/>
    <w:tmpl w:val="95E87878"/>
    <w:lvl w:ilvl="0" w:tplc="9A740078">
      <w:start w:val="1"/>
      <w:numFmt w:val="bullet"/>
      <w:lvlText w:val="•"/>
      <w:lvlJc w:val="left"/>
      <w:pPr>
        <w:ind w:left="720" w:hanging="360"/>
      </w:pPr>
      <w:rPr>
        <w:rFonts w:ascii="Arial"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70C62"/>
    <w:multiLevelType w:val="hybridMultilevel"/>
    <w:tmpl w:val="8B105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FB09BA"/>
    <w:multiLevelType w:val="hybridMultilevel"/>
    <w:tmpl w:val="9A68E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1614F"/>
    <w:multiLevelType w:val="hybridMultilevel"/>
    <w:tmpl w:val="07CA1932"/>
    <w:lvl w:ilvl="0" w:tplc="74AA377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97A6C44"/>
    <w:multiLevelType w:val="hybridMultilevel"/>
    <w:tmpl w:val="75E8BB8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0810DFD"/>
    <w:multiLevelType w:val="hybridMultilevel"/>
    <w:tmpl w:val="7B6C3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6202F51"/>
    <w:multiLevelType w:val="hybridMultilevel"/>
    <w:tmpl w:val="C1CE93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7D76027"/>
    <w:multiLevelType w:val="hybridMultilevel"/>
    <w:tmpl w:val="19BA38A4"/>
    <w:lvl w:ilvl="0" w:tplc="9A74007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A3C06"/>
    <w:multiLevelType w:val="hybridMultilevel"/>
    <w:tmpl w:val="0B202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4D033C"/>
    <w:multiLevelType w:val="multilevel"/>
    <w:tmpl w:val="A5BC869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78280B"/>
    <w:multiLevelType w:val="hybridMultilevel"/>
    <w:tmpl w:val="B056584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816186631">
    <w:abstractNumId w:val="26"/>
  </w:num>
  <w:num w:numId="2" w16cid:durableId="917793048">
    <w:abstractNumId w:val="15"/>
  </w:num>
  <w:num w:numId="3" w16cid:durableId="263461728">
    <w:abstractNumId w:val="0"/>
  </w:num>
  <w:num w:numId="4" w16cid:durableId="220360847">
    <w:abstractNumId w:val="21"/>
  </w:num>
  <w:num w:numId="5" w16cid:durableId="268196418">
    <w:abstractNumId w:val="9"/>
  </w:num>
  <w:num w:numId="6" w16cid:durableId="1048839230">
    <w:abstractNumId w:val="26"/>
  </w:num>
  <w:num w:numId="7" w16cid:durableId="613286999">
    <w:abstractNumId w:val="4"/>
  </w:num>
  <w:num w:numId="8" w16cid:durableId="1735546231">
    <w:abstractNumId w:val="13"/>
  </w:num>
  <w:num w:numId="9" w16cid:durableId="1639608564">
    <w:abstractNumId w:val="6"/>
  </w:num>
  <w:num w:numId="10" w16cid:durableId="488787397">
    <w:abstractNumId w:val="17"/>
  </w:num>
  <w:num w:numId="11" w16cid:durableId="222330335">
    <w:abstractNumId w:val="11"/>
  </w:num>
  <w:num w:numId="12" w16cid:durableId="363988700">
    <w:abstractNumId w:val="24"/>
  </w:num>
  <w:num w:numId="13" w16cid:durableId="1739211869">
    <w:abstractNumId w:val="1"/>
  </w:num>
  <w:num w:numId="14" w16cid:durableId="1192838669">
    <w:abstractNumId w:val="5"/>
  </w:num>
  <w:num w:numId="15" w16cid:durableId="2072120552">
    <w:abstractNumId w:val="3"/>
  </w:num>
  <w:num w:numId="16" w16cid:durableId="106509744">
    <w:abstractNumId w:val="26"/>
  </w:num>
  <w:num w:numId="17" w16cid:durableId="268204213">
    <w:abstractNumId w:val="23"/>
  </w:num>
  <w:num w:numId="18" w16cid:durableId="942955174">
    <w:abstractNumId w:val="14"/>
  </w:num>
  <w:num w:numId="19" w16cid:durableId="1539926762">
    <w:abstractNumId w:val="10"/>
  </w:num>
  <w:num w:numId="20" w16cid:durableId="295531942">
    <w:abstractNumId w:val="18"/>
  </w:num>
  <w:num w:numId="21" w16cid:durableId="209997201">
    <w:abstractNumId w:val="25"/>
  </w:num>
  <w:num w:numId="22" w16cid:durableId="263072158">
    <w:abstractNumId w:val="19"/>
  </w:num>
  <w:num w:numId="23" w16cid:durableId="824779039">
    <w:abstractNumId w:val="16"/>
  </w:num>
  <w:num w:numId="24" w16cid:durableId="1933783147">
    <w:abstractNumId w:val="12"/>
  </w:num>
  <w:num w:numId="25" w16cid:durableId="1910965034">
    <w:abstractNumId w:val="2"/>
  </w:num>
  <w:num w:numId="26" w16cid:durableId="1385909397">
    <w:abstractNumId w:val="8"/>
  </w:num>
  <w:num w:numId="27" w16cid:durableId="1678263428">
    <w:abstractNumId w:val="20"/>
  </w:num>
  <w:num w:numId="28" w16cid:durableId="221411402">
    <w:abstractNumId w:val="27"/>
  </w:num>
  <w:num w:numId="29" w16cid:durableId="562909878">
    <w:abstractNumId w:val="22"/>
  </w:num>
  <w:num w:numId="30" w16cid:durableId="143150774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zzdvp2ovraw8e5vadp2dae5wrf5vpawdsd&quot;&gt;Tepro COM library&lt;record-ids&gt;&lt;item&gt;1&lt;/item&gt;&lt;item&gt;2&lt;/item&gt;&lt;item&gt;3&lt;/item&gt;&lt;item&gt;4&lt;/item&gt;&lt;item&gt;5&lt;/item&gt;&lt;item&gt;7&lt;/item&gt;&lt;item&gt;8&lt;/item&gt;&lt;item&gt;9&lt;/item&gt;&lt;item&gt;11&lt;/item&gt;&lt;item&gt;14&lt;/item&gt;&lt;item&gt;16&lt;/item&gt;&lt;item&gt;27&lt;/item&gt;&lt;item&gt;28&lt;/item&gt;&lt;item&gt;29&lt;/item&gt;&lt;item&gt;30&lt;/item&gt;&lt;item&gt;31&lt;/item&gt;&lt;item&gt;32&lt;/item&gt;&lt;item&gt;33&lt;/item&gt;&lt;item&gt;34&lt;/item&gt;&lt;item&gt;35&lt;/item&gt;&lt;item&gt;36&lt;/item&gt;&lt;item&gt;37&lt;/item&gt;&lt;item&gt;38&lt;/item&gt;&lt;item&gt;39&lt;/item&gt;&lt;item&gt;41&lt;/item&gt;&lt;item&gt;42&lt;/item&gt;&lt;item&gt;43&lt;/item&gt;&lt;item&gt;44&lt;/item&gt;&lt;item&gt;45&lt;/item&gt;&lt;item&gt;46&lt;/item&gt;&lt;item&gt;49&lt;/item&gt;&lt;item&gt;50&lt;/item&gt;&lt;item&gt;52&lt;/item&gt;&lt;item&gt;54&lt;/item&gt;&lt;item&gt;56&lt;/item&gt;&lt;item&gt;57&lt;/item&gt;&lt;item&gt;58&lt;/item&gt;&lt;item&gt;60&lt;/item&gt;&lt;item&gt;63&lt;/item&gt;&lt;item&gt;64&lt;/item&gt;&lt;item&gt;65&lt;/item&gt;&lt;item&gt;69&lt;/item&gt;&lt;item&gt;70&lt;/item&gt;&lt;item&gt;71&lt;/item&gt;&lt;item&gt;72&lt;/item&gt;&lt;item&gt;75&lt;/item&gt;&lt;item&gt;77&lt;/item&gt;&lt;item&gt;78&lt;/item&gt;&lt;item&gt;79&lt;/item&gt;&lt;item&gt;81&lt;/item&gt;&lt;item&gt;83&lt;/item&gt;&lt;item&gt;85&lt;/item&gt;&lt;item&gt;86&lt;/item&gt;&lt;item&gt;87&lt;/item&gt;&lt;/record-ids&gt;&lt;/item&gt;&lt;/Libraries&gt;"/>
  </w:docVars>
  <w:rsids>
    <w:rsidRoot w:val="00E65E79"/>
    <w:rsid w:val="00000169"/>
    <w:rsid w:val="0000030E"/>
    <w:rsid w:val="00000310"/>
    <w:rsid w:val="00000790"/>
    <w:rsid w:val="0000110B"/>
    <w:rsid w:val="00001FCB"/>
    <w:rsid w:val="00002045"/>
    <w:rsid w:val="000027C0"/>
    <w:rsid w:val="00002F41"/>
    <w:rsid w:val="00003499"/>
    <w:rsid w:val="000039B7"/>
    <w:rsid w:val="00004055"/>
    <w:rsid w:val="000042BE"/>
    <w:rsid w:val="000046F3"/>
    <w:rsid w:val="0000482E"/>
    <w:rsid w:val="0000511E"/>
    <w:rsid w:val="000056B9"/>
    <w:rsid w:val="00005855"/>
    <w:rsid w:val="00005AEF"/>
    <w:rsid w:val="00005B79"/>
    <w:rsid w:val="0000639A"/>
    <w:rsid w:val="000067EF"/>
    <w:rsid w:val="000069EA"/>
    <w:rsid w:val="00007468"/>
    <w:rsid w:val="000077BF"/>
    <w:rsid w:val="0001033D"/>
    <w:rsid w:val="0001276B"/>
    <w:rsid w:val="0001276C"/>
    <w:rsid w:val="00012B21"/>
    <w:rsid w:val="00012C10"/>
    <w:rsid w:val="00012D0D"/>
    <w:rsid w:val="00012E31"/>
    <w:rsid w:val="00013247"/>
    <w:rsid w:val="000134C4"/>
    <w:rsid w:val="00013666"/>
    <w:rsid w:val="00013B01"/>
    <w:rsid w:val="00013F99"/>
    <w:rsid w:val="00013FB9"/>
    <w:rsid w:val="0001401D"/>
    <w:rsid w:val="00014187"/>
    <w:rsid w:val="00015400"/>
    <w:rsid w:val="000155A1"/>
    <w:rsid w:val="000157F7"/>
    <w:rsid w:val="00015886"/>
    <w:rsid w:val="00015A24"/>
    <w:rsid w:val="00015B38"/>
    <w:rsid w:val="000162EF"/>
    <w:rsid w:val="00016503"/>
    <w:rsid w:val="00017173"/>
    <w:rsid w:val="00017976"/>
    <w:rsid w:val="000207C9"/>
    <w:rsid w:val="00020D50"/>
    <w:rsid w:val="0002194F"/>
    <w:rsid w:val="00021EAD"/>
    <w:rsid w:val="00022031"/>
    <w:rsid w:val="0002225F"/>
    <w:rsid w:val="00022656"/>
    <w:rsid w:val="00022983"/>
    <w:rsid w:val="00022F8E"/>
    <w:rsid w:val="00023744"/>
    <w:rsid w:val="00023763"/>
    <w:rsid w:val="0002389F"/>
    <w:rsid w:val="000245F1"/>
    <w:rsid w:val="000246C8"/>
    <w:rsid w:val="00024E3D"/>
    <w:rsid w:val="00024EB5"/>
    <w:rsid w:val="0002541E"/>
    <w:rsid w:val="0002590B"/>
    <w:rsid w:val="0002596E"/>
    <w:rsid w:val="00025AB1"/>
    <w:rsid w:val="00025CAF"/>
    <w:rsid w:val="00026621"/>
    <w:rsid w:val="00026912"/>
    <w:rsid w:val="000274B8"/>
    <w:rsid w:val="000279EE"/>
    <w:rsid w:val="00027C84"/>
    <w:rsid w:val="000300C0"/>
    <w:rsid w:val="00030D95"/>
    <w:rsid w:val="000312CB"/>
    <w:rsid w:val="00031A51"/>
    <w:rsid w:val="00031BA7"/>
    <w:rsid w:val="00031D56"/>
    <w:rsid w:val="00031D7A"/>
    <w:rsid w:val="00032A4E"/>
    <w:rsid w:val="00032AE5"/>
    <w:rsid w:val="00032C4D"/>
    <w:rsid w:val="00032C63"/>
    <w:rsid w:val="00032CDF"/>
    <w:rsid w:val="00032F26"/>
    <w:rsid w:val="000337CF"/>
    <w:rsid w:val="00033863"/>
    <w:rsid w:val="000339F6"/>
    <w:rsid w:val="000348A5"/>
    <w:rsid w:val="00035536"/>
    <w:rsid w:val="000357A9"/>
    <w:rsid w:val="00035A9A"/>
    <w:rsid w:val="00035DC0"/>
    <w:rsid w:val="0003673F"/>
    <w:rsid w:val="00036829"/>
    <w:rsid w:val="00036BEE"/>
    <w:rsid w:val="00036D86"/>
    <w:rsid w:val="00036F98"/>
    <w:rsid w:val="00036FEE"/>
    <w:rsid w:val="000378F4"/>
    <w:rsid w:val="00037D0B"/>
    <w:rsid w:val="00037F33"/>
    <w:rsid w:val="00040013"/>
    <w:rsid w:val="00040331"/>
    <w:rsid w:val="00040400"/>
    <w:rsid w:val="0004048C"/>
    <w:rsid w:val="00040895"/>
    <w:rsid w:val="000408FE"/>
    <w:rsid w:val="000410A0"/>
    <w:rsid w:val="00041853"/>
    <w:rsid w:val="000418ED"/>
    <w:rsid w:val="00041CF0"/>
    <w:rsid w:val="000425BC"/>
    <w:rsid w:val="000432AD"/>
    <w:rsid w:val="00043523"/>
    <w:rsid w:val="000435EE"/>
    <w:rsid w:val="0004362C"/>
    <w:rsid w:val="00043B04"/>
    <w:rsid w:val="00043C37"/>
    <w:rsid w:val="00044155"/>
    <w:rsid w:val="000447EF"/>
    <w:rsid w:val="00045017"/>
    <w:rsid w:val="00045198"/>
    <w:rsid w:val="00045A2B"/>
    <w:rsid w:val="00045A4F"/>
    <w:rsid w:val="00045CF7"/>
    <w:rsid w:val="00046547"/>
    <w:rsid w:val="000466D8"/>
    <w:rsid w:val="0004698F"/>
    <w:rsid w:val="00046D64"/>
    <w:rsid w:val="00047C20"/>
    <w:rsid w:val="00047C6D"/>
    <w:rsid w:val="00047D22"/>
    <w:rsid w:val="000508C2"/>
    <w:rsid w:val="0005114D"/>
    <w:rsid w:val="000517C3"/>
    <w:rsid w:val="00051993"/>
    <w:rsid w:val="0005249B"/>
    <w:rsid w:val="0005258E"/>
    <w:rsid w:val="00052CB7"/>
    <w:rsid w:val="00052EFF"/>
    <w:rsid w:val="00053001"/>
    <w:rsid w:val="00053272"/>
    <w:rsid w:val="0005393F"/>
    <w:rsid w:val="000539D0"/>
    <w:rsid w:val="00054621"/>
    <w:rsid w:val="000546D7"/>
    <w:rsid w:val="00054A8D"/>
    <w:rsid w:val="00054ED6"/>
    <w:rsid w:val="0005503C"/>
    <w:rsid w:val="00055337"/>
    <w:rsid w:val="000555EA"/>
    <w:rsid w:val="00055BB8"/>
    <w:rsid w:val="00055BBC"/>
    <w:rsid w:val="0005647D"/>
    <w:rsid w:val="0005667F"/>
    <w:rsid w:val="00056ECF"/>
    <w:rsid w:val="000604DF"/>
    <w:rsid w:val="00060757"/>
    <w:rsid w:val="000610D7"/>
    <w:rsid w:val="000612E1"/>
    <w:rsid w:val="000619F8"/>
    <w:rsid w:val="00062324"/>
    <w:rsid w:val="00062A9D"/>
    <w:rsid w:val="00062EDE"/>
    <w:rsid w:val="0006370D"/>
    <w:rsid w:val="000637AE"/>
    <w:rsid w:val="00063962"/>
    <w:rsid w:val="00063D9C"/>
    <w:rsid w:val="00064A0D"/>
    <w:rsid w:val="00064C41"/>
    <w:rsid w:val="000653B5"/>
    <w:rsid w:val="00065F63"/>
    <w:rsid w:val="00066059"/>
    <w:rsid w:val="00066360"/>
    <w:rsid w:val="000663C3"/>
    <w:rsid w:val="00066AF8"/>
    <w:rsid w:val="00067447"/>
    <w:rsid w:val="0006788B"/>
    <w:rsid w:val="000679B6"/>
    <w:rsid w:val="00067C75"/>
    <w:rsid w:val="00067F59"/>
    <w:rsid w:val="00070704"/>
    <w:rsid w:val="00070D8B"/>
    <w:rsid w:val="00070E06"/>
    <w:rsid w:val="00071168"/>
    <w:rsid w:val="00071248"/>
    <w:rsid w:val="0007186E"/>
    <w:rsid w:val="00071DD4"/>
    <w:rsid w:val="000720B9"/>
    <w:rsid w:val="000722D3"/>
    <w:rsid w:val="000724E7"/>
    <w:rsid w:val="00072A1A"/>
    <w:rsid w:val="00072DCE"/>
    <w:rsid w:val="00072E37"/>
    <w:rsid w:val="00073104"/>
    <w:rsid w:val="0007314B"/>
    <w:rsid w:val="00073360"/>
    <w:rsid w:val="0007371A"/>
    <w:rsid w:val="000737F7"/>
    <w:rsid w:val="00073BBA"/>
    <w:rsid w:val="00075B26"/>
    <w:rsid w:val="0007672F"/>
    <w:rsid w:val="00076B54"/>
    <w:rsid w:val="00076CBF"/>
    <w:rsid w:val="00077085"/>
    <w:rsid w:val="000774F0"/>
    <w:rsid w:val="00077636"/>
    <w:rsid w:val="00077E45"/>
    <w:rsid w:val="00080909"/>
    <w:rsid w:val="000812CA"/>
    <w:rsid w:val="0008184C"/>
    <w:rsid w:val="0008191F"/>
    <w:rsid w:val="00081AB0"/>
    <w:rsid w:val="00081E63"/>
    <w:rsid w:val="0008241F"/>
    <w:rsid w:val="0008258D"/>
    <w:rsid w:val="00082A48"/>
    <w:rsid w:val="00082D16"/>
    <w:rsid w:val="00082E9F"/>
    <w:rsid w:val="0008331B"/>
    <w:rsid w:val="000834AD"/>
    <w:rsid w:val="00083719"/>
    <w:rsid w:val="00083E99"/>
    <w:rsid w:val="00084FA8"/>
    <w:rsid w:val="00085217"/>
    <w:rsid w:val="000856C5"/>
    <w:rsid w:val="00085B2F"/>
    <w:rsid w:val="00085C31"/>
    <w:rsid w:val="000863A2"/>
    <w:rsid w:val="000870C5"/>
    <w:rsid w:val="00087615"/>
    <w:rsid w:val="00087F29"/>
    <w:rsid w:val="00090090"/>
    <w:rsid w:val="000902D9"/>
    <w:rsid w:val="00090C7E"/>
    <w:rsid w:val="00090D8A"/>
    <w:rsid w:val="00090FA6"/>
    <w:rsid w:val="00090FAE"/>
    <w:rsid w:val="000911AC"/>
    <w:rsid w:val="00091BD1"/>
    <w:rsid w:val="00091D6A"/>
    <w:rsid w:val="0009202C"/>
    <w:rsid w:val="00092478"/>
    <w:rsid w:val="00092600"/>
    <w:rsid w:val="0009262B"/>
    <w:rsid w:val="000929E3"/>
    <w:rsid w:val="00093310"/>
    <w:rsid w:val="00093467"/>
    <w:rsid w:val="000935EF"/>
    <w:rsid w:val="0009445C"/>
    <w:rsid w:val="00095041"/>
    <w:rsid w:val="00095200"/>
    <w:rsid w:val="00095681"/>
    <w:rsid w:val="000957CF"/>
    <w:rsid w:val="00095C68"/>
    <w:rsid w:val="00095FE5"/>
    <w:rsid w:val="0009615E"/>
    <w:rsid w:val="00096284"/>
    <w:rsid w:val="00096E80"/>
    <w:rsid w:val="00096F0A"/>
    <w:rsid w:val="00097380"/>
    <w:rsid w:val="0009738D"/>
    <w:rsid w:val="00097772"/>
    <w:rsid w:val="00097B8E"/>
    <w:rsid w:val="000A011B"/>
    <w:rsid w:val="000A0754"/>
    <w:rsid w:val="000A1AAB"/>
    <w:rsid w:val="000A1BC0"/>
    <w:rsid w:val="000A2588"/>
    <w:rsid w:val="000A267C"/>
    <w:rsid w:val="000A2928"/>
    <w:rsid w:val="000A2D62"/>
    <w:rsid w:val="000A2F9E"/>
    <w:rsid w:val="000A3E16"/>
    <w:rsid w:val="000A3E47"/>
    <w:rsid w:val="000A4AEC"/>
    <w:rsid w:val="000A522B"/>
    <w:rsid w:val="000A5BEC"/>
    <w:rsid w:val="000A5D7F"/>
    <w:rsid w:val="000A6039"/>
    <w:rsid w:val="000A623F"/>
    <w:rsid w:val="000A7084"/>
    <w:rsid w:val="000A7453"/>
    <w:rsid w:val="000A7D08"/>
    <w:rsid w:val="000A7EFA"/>
    <w:rsid w:val="000B0121"/>
    <w:rsid w:val="000B0670"/>
    <w:rsid w:val="000B0C5E"/>
    <w:rsid w:val="000B0E75"/>
    <w:rsid w:val="000B11EB"/>
    <w:rsid w:val="000B1645"/>
    <w:rsid w:val="000B1766"/>
    <w:rsid w:val="000B1815"/>
    <w:rsid w:val="000B1960"/>
    <w:rsid w:val="000B2DCB"/>
    <w:rsid w:val="000B2F7E"/>
    <w:rsid w:val="000B2FBB"/>
    <w:rsid w:val="000B3F91"/>
    <w:rsid w:val="000B491C"/>
    <w:rsid w:val="000B4D7C"/>
    <w:rsid w:val="000B5518"/>
    <w:rsid w:val="000B5538"/>
    <w:rsid w:val="000B5661"/>
    <w:rsid w:val="000B5950"/>
    <w:rsid w:val="000B5BD0"/>
    <w:rsid w:val="000B5CE0"/>
    <w:rsid w:val="000B6CAC"/>
    <w:rsid w:val="000B6DFB"/>
    <w:rsid w:val="000B6F4B"/>
    <w:rsid w:val="000B7612"/>
    <w:rsid w:val="000B78AE"/>
    <w:rsid w:val="000C0423"/>
    <w:rsid w:val="000C0828"/>
    <w:rsid w:val="000C0E86"/>
    <w:rsid w:val="000C0F63"/>
    <w:rsid w:val="000C1A3C"/>
    <w:rsid w:val="000C2080"/>
    <w:rsid w:val="000C2219"/>
    <w:rsid w:val="000C2276"/>
    <w:rsid w:val="000C2328"/>
    <w:rsid w:val="000C233C"/>
    <w:rsid w:val="000C2585"/>
    <w:rsid w:val="000C27F6"/>
    <w:rsid w:val="000C2CEB"/>
    <w:rsid w:val="000C36C5"/>
    <w:rsid w:val="000C3C4D"/>
    <w:rsid w:val="000C3C60"/>
    <w:rsid w:val="000C3CF3"/>
    <w:rsid w:val="000C3DB6"/>
    <w:rsid w:val="000C3DF9"/>
    <w:rsid w:val="000C3F91"/>
    <w:rsid w:val="000C4CF2"/>
    <w:rsid w:val="000C4F8D"/>
    <w:rsid w:val="000C5071"/>
    <w:rsid w:val="000C50B7"/>
    <w:rsid w:val="000C5236"/>
    <w:rsid w:val="000C523E"/>
    <w:rsid w:val="000C58CA"/>
    <w:rsid w:val="000C5F47"/>
    <w:rsid w:val="000C6329"/>
    <w:rsid w:val="000C6532"/>
    <w:rsid w:val="000C6558"/>
    <w:rsid w:val="000C6713"/>
    <w:rsid w:val="000C70B3"/>
    <w:rsid w:val="000C726A"/>
    <w:rsid w:val="000D0C61"/>
    <w:rsid w:val="000D0FC2"/>
    <w:rsid w:val="000D0FD9"/>
    <w:rsid w:val="000D1548"/>
    <w:rsid w:val="000D18FB"/>
    <w:rsid w:val="000D1BFC"/>
    <w:rsid w:val="000D1D5D"/>
    <w:rsid w:val="000D1E93"/>
    <w:rsid w:val="000D2002"/>
    <w:rsid w:val="000D27E6"/>
    <w:rsid w:val="000D281A"/>
    <w:rsid w:val="000D2848"/>
    <w:rsid w:val="000D326A"/>
    <w:rsid w:val="000D3976"/>
    <w:rsid w:val="000D3BE5"/>
    <w:rsid w:val="000D3C8E"/>
    <w:rsid w:val="000D491C"/>
    <w:rsid w:val="000D4ECB"/>
    <w:rsid w:val="000D51FB"/>
    <w:rsid w:val="000D5740"/>
    <w:rsid w:val="000D5871"/>
    <w:rsid w:val="000D59B6"/>
    <w:rsid w:val="000D5CC5"/>
    <w:rsid w:val="000D5FB6"/>
    <w:rsid w:val="000D65AE"/>
    <w:rsid w:val="000D6D2E"/>
    <w:rsid w:val="000D6DA1"/>
    <w:rsid w:val="000D6E08"/>
    <w:rsid w:val="000D6E27"/>
    <w:rsid w:val="000D6F04"/>
    <w:rsid w:val="000D6FCD"/>
    <w:rsid w:val="000D702C"/>
    <w:rsid w:val="000D72E4"/>
    <w:rsid w:val="000D7849"/>
    <w:rsid w:val="000D7BB8"/>
    <w:rsid w:val="000E021F"/>
    <w:rsid w:val="000E0640"/>
    <w:rsid w:val="000E11C9"/>
    <w:rsid w:val="000E135D"/>
    <w:rsid w:val="000E2326"/>
    <w:rsid w:val="000E2772"/>
    <w:rsid w:val="000E283D"/>
    <w:rsid w:val="000E2B55"/>
    <w:rsid w:val="000E2E96"/>
    <w:rsid w:val="000E2FFA"/>
    <w:rsid w:val="000E3D10"/>
    <w:rsid w:val="000E3E28"/>
    <w:rsid w:val="000E427D"/>
    <w:rsid w:val="000E4B86"/>
    <w:rsid w:val="000E4B91"/>
    <w:rsid w:val="000E4C85"/>
    <w:rsid w:val="000E512F"/>
    <w:rsid w:val="000E548F"/>
    <w:rsid w:val="000E5E0E"/>
    <w:rsid w:val="000E5F48"/>
    <w:rsid w:val="000E61E2"/>
    <w:rsid w:val="000E6A8B"/>
    <w:rsid w:val="000E73D4"/>
    <w:rsid w:val="000E775C"/>
    <w:rsid w:val="000E7DB9"/>
    <w:rsid w:val="000E7F6E"/>
    <w:rsid w:val="000F00BA"/>
    <w:rsid w:val="000F00E9"/>
    <w:rsid w:val="000F0331"/>
    <w:rsid w:val="000F09AB"/>
    <w:rsid w:val="000F1248"/>
    <w:rsid w:val="000F1429"/>
    <w:rsid w:val="000F1508"/>
    <w:rsid w:val="000F2C68"/>
    <w:rsid w:val="000F316A"/>
    <w:rsid w:val="000F33DB"/>
    <w:rsid w:val="000F3C74"/>
    <w:rsid w:val="000F3FCE"/>
    <w:rsid w:val="000F4843"/>
    <w:rsid w:val="000F4BB8"/>
    <w:rsid w:val="000F4DAA"/>
    <w:rsid w:val="000F4FA9"/>
    <w:rsid w:val="000F4FDF"/>
    <w:rsid w:val="000F5113"/>
    <w:rsid w:val="000F53FB"/>
    <w:rsid w:val="000F5989"/>
    <w:rsid w:val="000F6878"/>
    <w:rsid w:val="000F7127"/>
    <w:rsid w:val="000F71E1"/>
    <w:rsid w:val="000F7341"/>
    <w:rsid w:val="000F7B54"/>
    <w:rsid w:val="000F7CCE"/>
    <w:rsid w:val="001000B3"/>
    <w:rsid w:val="00100CC2"/>
    <w:rsid w:val="00100F8A"/>
    <w:rsid w:val="00101020"/>
    <w:rsid w:val="00101271"/>
    <w:rsid w:val="00102475"/>
    <w:rsid w:val="0010281D"/>
    <w:rsid w:val="00102E53"/>
    <w:rsid w:val="00103305"/>
    <w:rsid w:val="0010331B"/>
    <w:rsid w:val="001033F4"/>
    <w:rsid w:val="00103B6D"/>
    <w:rsid w:val="00103E76"/>
    <w:rsid w:val="0010452E"/>
    <w:rsid w:val="00104C5E"/>
    <w:rsid w:val="0010518E"/>
    <w:rsid w:val="001054E2"/>
    <w:rsid w:val="00105554"/>
    <w:rsid w:val="001058B6"/>
    <w:rsid w:val="00105AE2"/>
    <w:rsid w:val="001060C6"/>
    <w:rsid w:val="001060CE"/>
    <w:rsid w:val="00106518"/>
    <w:rsid w:val="00106A35"/>
    <w:rsid w:val="00106B80"/>
    <w:rsid w:val="00106FAD"/>
    <w:rsid w:val="00107312"/>
    <w:rsid w:val="00107F34"/>
    <w:rsid w:val="00107FA4"/>
    <w:rsid w:val="001100F4"/>
    <w:rsid w:val="0011032E"/>
    <w:rsid w:val="001103BC"/>
    <w:rsid w:val="00110441"/>
    <w:rsid w:val="001105F2"/>
    <w:rsid w:val="00110D61"/>
    <w:rsid w:val="001122AC"/>
    <w:rsid w:val="00112A48"/>
    <w:rsid w:val="00112B31"/>
    <w:rsid w:val="00112BA2"/>
    <w:rsid w:val="0011318F"/>
    <w:rsid w:val="0011348B"/>
    <w:rsid w:val="00113732"/>
    <w:rsid w:val="00113A60"/>
    <w:rsid w:val="001141CD"/>
    <w:rsid w:val="00114F7D"/>
    <w:rsid w:val="00114FA7"/>
    <w:rsid w:val="00114FE5"/>
    <w:rsid w:val="00115030"/>
    <w:rsid w:val="00115459"/>
    <w:rsid w:val="00115982"/>
    <w:rsid w:val="00115CDA"/>
    <w:rsid w:val="001166E0"/>
    <w:rsid w:val="00116881"/>
    <w:rsid w:val="00116C53"/>
    <w:rsid w:val="00116CA2"/>
    <w:rsid w:val="00117076"/>
    <w:rsid w:val="00117290"/>
    <w:rsid w:val="00117DD4"/>
    <w:rsid w:val="00117EAF"/>
    <w:rsid w:val="001202AA"/>
    <w:rsid w:val="001209D5"/>
    <w:rsid w:val="0012101B"/>
    <w:rsid w:val="00121799"/>
    <w:rsid w:val="001222DC"/>
    <w:rsid w:val="001222FC"/>
    <w:rsid w:val="001226ED"/>
    <w:rsid w:val="00122F07"/>
    <w:rsid w:val="0012380D"/>
    <w:rsid w:val="00123902"/>
    <w:rsid w:val="001239F5"/>
    <w:rsid w:val="00124326"/>
    <w:rsid w:val="0012445C"/>
    <w:rsid w:val="0012458E"/>
    <w:rsid w:val="001246E3"/>
    <w:rsid w:val="00124A51"/>
    <w:rsid w:val="00124AD3"/>
    <w:rsid w:val="00125430"/>
    <w:rsid w:val="00125804"/>
    <w:rsid w:val="00125FBE"/>
    <w:rsid w:val="00126188"/>
    <w:rsid w:val="00126430"/>
    <w:rsid w:val="0012651B"/>
    <w:rsid w:val="00126621"/>
    <w:rsid w:val="00126B1D"/>
    <w:rsid w:val="00126DB5"/>
    <w:rsid w:val="001301E9"/>
    <w:rsid w:val="001302D3"/>
    <w:rsid w:val="00130EC8"/>
    <w:rsid w:val="0013125B"/>
    <w:rsid w:val="00131D82"/>
    <w:rsid w:val="00131DAC"/>
    <w:rsid w:val="00131F50"/>
    <w:rsid w:val="00132B22"/>
    <w:rsid w:val="00132DD5"/>
    <w:rsid w:val="00133196"/>
    <w:rsid w:val="00133D36"/>
    <w:rsid w:val="00134A6E"/>
    <w:rsid w:val="00134B8B"/>
    <w:rsid w:val="00134BB2"/>
    <w:rsid w:val="00134EE6"/>
    <w:rsid w:val="00134F73"/>
    <w:rsid w:val="00135209"/>
    <w:rsid w:val="001353A4"/>
    <w:rsid w:val="00135595"/>
    <w:rsid w:val="00135D81"/>
    <w:rsid w:val="00136898"/>
    <w:rsid w:val="0013732F"/>
    <w:rsid w:val="00137645"/>
    <w:rsid w:val="00137A85"/>
    <w:rsid w:val="00137C7C"/>
    <w:rsid w:val="0014015A"/>
    <w:rsid w:val="00140329"/>
    <w:rsid w:val="00140E99"/>
    <w:rsid w:val="00141908"/>
    <w:rsid w:val="001419C3"/>
    <w:rsid w:val="00141BEA"/>
    <w:rsid w:val="00142478"/>
    <w:rsid w:val="00142D0C"/>
    <w:rsid w:val="0014312F"/>
    <w:rsid w:val="00143585"/>
    <w:rsid w:val="0014378F"/>
    <w:rsid w:val="0014392E"/>
    <w:rsid w:val="00143B38"/>
    <w:rsid w:val="00143C81"/>
    <w:rsid w:val="00143C8C"/>
    <w:rsid w:val="00143F04"/>
    <w:rsid w:val="00143F67"/>
    <w:rsid w:val="0014470B"/>
    <w:rsid w:val="0014474A"/>
    <w:rsid w:val="00144AFD"/>
    <w:rsid w:val="00145234"/>
    <w:rsid w:val="00145540"/>
    <w:rsid w:val="001456B0"/>
    <w:rsid w:val="0014573C"/>
    <w:rsid w:val="001461AB"/>
    <w:rsid w:val="0014695C"/>
    <w:rsid w:val="00146A13"/>
    <w:rsid w:val="00146C0A"/>
    <w:rsid w:val="00146C16"/>
    <w:rsid w:val="00147414"/>
    <w:rsid w:val="0014792A"/>
    <w:rsid w:val="00150358"/>
    <w:rsid w:val="00150622"/>
    <w:rsid w:val="00150E27"/>
    <w:rsid w:val="00150F09"/>
    <w:rsid w:val="001510A4"/>
    <w:rsid w:val="00151334"/>
    <w:rsid w:val="00151A25"/>
    <w:rsid w:val="00152769"/>
    <w:rsid w:val="0015355A"/>
    <w:rsid w:val="00153590"/>
    <w:rsid w:val="001543FC"/>
    <w:rsid w:val="001547AB"/>
    <w:rsid w:val="00154967"/>
    <w:rsid w:val="00154A4E"/>
    <w:rsid w:val="00154B9A"/>
    <w:rsid w:val="00154EBE"/>
    <w:rsid w:val="001553A5"/>
    <w:rsid w:val="0015557F"/>
    <w:rsid w:val="00155D95"/>
    <w:rsid w:val="00155EAB"/>
    <w:rsid w:val="00156021"/>
    <w:rsid w:val="00156625"/>
    <w:rsid w:val="001568A4"/>
    <w:rsid w:val="00156D60"/>
    <w:rsid w:val="00156F8F"/>
    <w:rsid w:val="0015700B"/>
    <w:rsid w:val="00157100"/>
    <w:rsid w:val="00157130"/>
    <w:rsid w:val="0015744C"/>
    <w:rsid w:val="001576B1"/>
    <w:rsid w:val="001577CB"/>
    <w:rsid w:val="00157802"/>
    <w:rsid w:val="00157A33"/>
    <w:rsid w:val="001601D2"/>
    <w:rsid w:val="0016047B"/>
    <w:rsid w:val="00160A01"/>
    <w:rsid w:val="00160A4C"/>
    <w:rsid w:val="00160C51"/>
    <w:rsid w:val="00161099"/>
    <w:rsid w:val="0016119B"/>
    <w:rsid w:val="001612F5"/>
    <w:rsid w:val="001615B9"/>
    <w:rsid w:val="0016161E"/>
    <w:rsid w:val="001616F1"/>
    <w:rsid w:val="001617B1"/>
    <w:rsid w:val="00161D27"/>
    <w:rsid w:val="00162913"/>
    <w:rsid w:val="001633AC"/>
    <w:rsid w:val="00163EFF"/>
    <w:rsid w:val="00163F66"/>
    <w:rsid w:val="0016478E"/>
    <w:rsid w:val="001649AC"/>
    <w:rsid w:val="00165EC4"/>
    <w:rsid w:val="00165F7C"/>
    <w:rsid w:val="001661FB"/>
    <w:rsid w:val="00166A52"/>
    <w:rsid w:val="00166AF3"/>
    <w:rsid w:val="00167060"/>
    <w:rsid w:val="001671A0"/>
    <w:rsid w:val="0016767F"/>
    <w:rsid w:val="0017046A"/>
    <w:rsid w:val="00170613"/>
    <w:rsid w:val="001706C3"/>
    <w:rsid w:val="00170C4A"/>
    <w:rsid w:val="00170CA6"/>
    <w:rsid w:val="00171241"/>
    <w:rsid w:val="00173565"/>
    <w:rsid w:val="0017366F"/>
    <w:rsid w:val="00173B07"/>
    <w:rsid w:val="00174891"/>
    <w:rsid w:val="00174D57"/>
    <w:rsid w:val="001751FA"/>
    <w:rsid w:val="00175368"/>
    <w:rsid w:val="00175803"/>
    <w:rsid w:val="001758CC"/>
    <w:rsid w:val="00175C9C"/>
    <w:rsid w:val="00175CBB"/>
    <w:rsid w:val="00176375"/>
    <w:rsid w:val="00176B8B"/>
    <w:rsid w:val="00176CB0"/>
    <w:rsid w:val="00176E4D"/>
    <w:rsid w:val="0017701B"/>
    <w:rsid w:val="001774FB"/>
    <w:rsid w:val="0018188B"/>
    <w:rsid w:val="00181933"/>
    <w:rsid w:val="00181C10"/>
    <w:rsid w:val="00181D9C"/>
    <w:rsid w:val="00181F6B"/>
    <w:rsid w:val="001823D0"/>
    <w:rsid w:val="00182428"/>
    <w:rsid w:val="00182927"/>
    <w:rsid w:val="00182B06"/>
    <w:rsid w:val="00182E76"/>
    <w:rsid w:val="00182FF9"/>
    <w:rsid w:val="001837FF"/>
    <w:rsid w:val="00183F94"/>
    <w:rsid w:val="0018401A"/>
    <w:rsid w:val="001849CE"/>
    <w:rsid w:val="00184B0E"/>
    <w:rsid w:val="00185472"/>
    <w:rsid w:val="00186185"/>
    <w:rsid w:val="00186240"/>
    <w:rsid w:val="00186834"/>
    <w:rsid w:val="0018752F"/>
    <w:rsid w:val="0018765A"/>
    <w:rsid w:val="00187793"/>
    <w:rsid w:val="00187D69"/>
    <w:rsid w:val="0019014D"/>
    <w:rsid w:val="0019077B"/>
    <w:rsid w:val="001908BB"/>
    <w:rsid w:val="001909A8"/>
    <w:rsid w:val="00190E6A"/>
    <w:rsid w:val="0019165F"/>
    <w:rsid w:val="001921CF"/>
    <w:rsid w:val="001924CE"/>
    <w:rsid w:val="0019254E"/>
    <w:rsid w:val="00192924"/>
    <w:rsid w:val="00192EB0"/>
    <w:rsid w:val="001931C1"/>
    <w:rsid w:val="001933BA"/>
    <w:rsid w:val="00193538"/>
    <w:rsid w:val="00193628"/>
    <w:rsid w:val="00193838"/>
    <w:rsid w:val="001939E4"/>
    <w:rsid w:val="00193E4A"/>
    <w:rsid w:val="00193E75"/>
    <w:rsid w:val="001945DA"/>
    <w:rsid w:val="00194AD8"/>
    <w:rsid w:val="001950CF"/>
    <w:rsid w:val="00195222"/>
    <w:rsid w:val="00195452"/>
    <w:rsid w:val="00195699"/>
    <w:rsid w:val="001957C8"/>
    <w:rsid w:val="00195B58"/>
    <w:rsid w:val="00195E4B"/>
    <w:rsid w:val="001960FB"/>
    <w:rsid w:val="001962B5"/>
    <w:rsid w:val="001975D8"/>
    <w:rsid w:val="001979D3"/>
    <w:rsid w:val="00197C16"/>
    <w:rsid w:val="00197C50"/>
    <w:rsid w:val="001A074F"/>
    <w:rsid w:val="001A0760"/>
    <w:rsid w:val="001A0F7C"/>
    <w:rsid w:val="001A178E"/>
    <w:rsid w:val="001A19F3"/>
    <w:rsid w:val="001A224C"/>
    <w:rsid w:val="001A2C53"/>
    <w:rsid w:val="001A3CCA"/>
    <w:rsid w:val="001A3EAE"/>
    <w:rsid w:val="001A43FA"/>
    <w:rsid w:val="001A46A4"/>
    <w:rsid w:val="001A4701"/>
    <w:rsid w:val="001A47C5"/>
    <w:rsid w:val="001A4C44"/>
    <w:rsid w:val="001A4D99"/>
    <w:rsid w:val="001A5048"/>
    <w:rsid w:val="001A534B"/>
    <w:rsid w:val="001A54BE"/>
    <w:rsid w:val="001A59FB"/>
    <w:rsid w:val="001A5DBA"/>
    <w:rsid w:val="001A5E9E"/>
    <w:rsid w:val="001A61F8"/>
    <w:rsid w:val="001A62BC"/>
    <w:rsid w:val="001A6354"/>
    <w:rsid w:val="001A6366"/>
    <w:rsid w:val="001A65B0"/>
    <w:rsid w:val="001A66D7"/>
    <w:rsid w:val="001A6E17"/>
    <w:rsid w:val="001A7276"/>
    <w:rsid w:val="001A742E"/>
    <w:rsid w:val="001A7755"/>
    <w:rsid w:val="001A7AE8"/>
    <w:rsid w:val="001B018B"/>
    <w:rsid w:val="001B0215"/>
    <w:rsid w:val="001B063E"/>
    <w:rsid w:val="001B0D8E"/>
    <w:rsid w:val="001B204E"/>
    <w:rsid w:val="001B2372"/>
    <w:rsid w:val="001B2A62"/>
    <w:rsid w:val="001B3443"/>
    <w:rsid w:val="001B3635"/>
    <w:rsid w:val="001B36E5"/>
    <w:rsid w:val="001B3CB5"/>
    <w:rsid w:val="001B43BB"/>
    <w:rsid w:val="001B43C4"/>
    <w:rsid w:val="001B4975"/>
    <w:rsid w:val="001B4D20"/>
    <w:rsid w:val="001B5582"/>
    <w:rsid w:val="001B56F0"/>
    <w:rsid w:val="001B5E39"/>
    <w:rsid w:val="001B6153"/>
    <w:rsid w:val="001B6B3C"/>
    <w:rsid w:val="001B7268"/>
    <w:rsid w:val="001B7DFC"/>
    <w:rsid w:val="001B7F84"/>
    <w:rsid w:val="001C0068"/>
    <w:rsid w:val="001C0917"/>
    <w:rsid w:val="001C0A7C"/>
    <w:rsid w:val="001C0DF5"/>
    <w:rsid w:val="001C105E"/>
    <w:rsid w:val="001C125C"/>
    <w:rsid w:val="001C1261"/>
    <w:rsid w:val="001C12BC"/>
    <w:rsid w:val="001C13EB"/>
    <w:rsid w:val="001C16C3"/>
    <w:rsid w:val="001C1F63"/>
    <w:rsid w:val="001C220E"/>
    <w:rsid w:val="001C2A68"/>
    <w:rsid w:val="001C2A9B"/>
    <w:rsid w:val="001C2CAA"/>
    <w:rsid w:val="001C34CE"/>
    <w:rsid w:val="001C37CC"/>
    <w:rsid w:val="001C3DD6"/>
    <w:rsid w:val="001C4299"/>
    <w:rsid w:val="001C469C"/>
    <w:rsid w:val="001C4874"/>
    <w:rsid w:val="001C4937"/>
    <w:rsid w:val="001C51B4"/>
    <w:rsid w:val="001C5241"/>
    <w:rsid w:val="001C5B6E"/>
    <w:rsid w:val="001C5D42"/>
    <w:rsid w:val="001C5F94"/>
    <w:rsid w:val="001C623C"/>
    <w:rsid w:val="001C661D"/>
    <w:rsid w:val="001C66CD"/>
    <w:rsid w:val="001C6723"/>
    <w:rsid w:val="001C6C04"/>
    <w:rsid w:val="001C6CE5"/>
    <w:rsid w:val="001C6E66"/>
    <w:rsid w:val="001C797D"/>
    <w:rsid w:val="001C7CD2"/>
    <w:rsid w:val="001C7FED"/>
    <w:rsid w:val="001D09D1"/>
    <w:rsid w:val="001D1100"/>
    <w:rsid w:val="001D12AB"/>
    <w:rsid w:val="001D12D6"/>
    <w:rsid w:val="001D1391"/>
    <w:rsid w:val="001D1AD9"/>
    <w:rsid w:val="001D231E"/>
    <w:rsid w:val="001D25D7"/>
    <w:rsid w:val="001D26CA"/>
    <w:rsid w:val="001D280D"/>
    <w:rsid w:val="001D32F2"/>
    <w:rsid w:val="001D3324"/>
    <w:rsid w:val="001D38E9"/>
    <w:rsid w:val="001D3C0C"/>
    <w:rsid w:val="001D3CFC"/>
    <w:rsid w:val="001D4836"/>
    <w:rsid w:val="001D4DB0"/>
    <w:rsid w:val="001D4F31"/>
    <w:rsid w:val="001D50B2"/>
    <w:rsid w:val="001D52BD"/>
    <w:rsid w:val="001D591E"/>
    <w:rsid w:val="001D59DD"/>
    <w:rsid w:val="001D5A5B"/>
    <w:rsid w:val="001D5C20"/>
    <w:rsid w:val="001D5CD4"/>
    <w:rsid w:val="001D5E6D"/>
    <w:rsid w:val="001D71F4"/>
    <w:rsid w:val="001D7645"/>
    <w:rsid w:val="001D7861"/>
    <w:rsid w:val="001E0310"/>
    <w:rsid w:val="001E065C"/>
    <w:rsid w:val="001E0B31"/>
    <w:rsid w:val="001E0DBA"/>
    <w:rsid w:val="001E1076"/>
    <w:rsid w:val="001E1159"/>
    <w:rsid w:val="001E14B7"/>
    <w:rsid w:val="001E1A50"/>
    <w:rsid w:val="001E1B79"/>
    <w:rsid w:val="001E1CBB"/>
    <w:rsid w:val="001E1E86"/>
    <w:rsid w:val="001E238E"/>
    <w:rsid w:val="001E2483"/>
    <w:rsid w:val="001E25FB"/>
    <w:rsid w:val="001E2669"/>
    <w:rsid w:val="001E26BD"/>
    <w:rsid w:val="001E26E3"/>
    <w:rsid w:val="001E270B"/>
    <w:rsid w:val="001E2B1E"/>
    <w:rsid w:val="001E2CDE"/>
    <w:rsid w:val="001E2CFF"/>
    <w:rsid w:val="001E2F24"/>
    <w:rsid w:val="001E30D4"/>
    <w:rsid w:val="001E3164"/>
    <w:rsid w:val="001E34DF"/>
    <w:rsid w:val="001E3532"/>
    <w:rsid w:val="001E3A17"/>
    <w:rsid w:val="001E3D8A"/>
    <w:rsid w:val="001E3EAA"/>
    <w:rsid w:val="001E40A7"/>
    <w:rsid w:val="001E432E"/>
    <w:rsid w:val="001E469F"/>
    <w:rsid w:val="001E5228"/>
    <w:rsid w:val="001E52EB"/>
    <w:rsid w:val="001E5333"/>
    <w:rsid w:val="001E57A4"/>
    <w:rsid w:val="001E5B56"/>
    <w:rsid w:val="001E5BA6"/>
    <w:rsid w:val="001E61D2"/>
    <w:rsid w:val="001E6396"/>
    <w:rsid w:val="001E740C"/>
    <w:rsid w:val="001E7B6B"/>
    <w:rsid w:val="001F0BB9"/>
    <w:rsid w:val="001F0FA2"/>
    <w:rsid w:val="001F1235"/>
    <w:rsid w:val="001F1C55"/>
    <w:rsid w:val="001F1CB3"/>
    <w:rsid w:val="001F2103"/>
    <w:rsid w:val="001F2262"/>
    <w:rsid w:val="001F2741"/>
    <w:rsid w:val="001F2884"/>
    <w:rsid w:val="001F2C14"/>
    <w:rsid w:val="001F3007"/>
    <w:rsid w:val="001F38B5"/>
    <w:rsid w:val="001F3A0D"/>
    <w:rsid w:val="001F3F2F"/>
    <w:rsid w:val="001F4081"/>
    <w:rsid w:val="001F41E8"/>
    <w:rsid w:val="001F4C16"/>
    <w:rsid w:val="001F5D71"/>
    <w:rsid w:val="001F5E99"/>
    <w:rsid w:val="001F65DE"/>
    <w:rsid w:val="001F6A1D"/>
    <w:rsid w:val="001F6C24"/>
    <w:rsid w:val="001F6F8C"/>
    <w:rsid w:val="001F701D"/>
    <w:rsid w:val="001F7361"/>
    <w:rsid w:val="001F7BB9"/>
    <w:rsid w:val="001F7D3E"/>
    <w:rsid w:val="00200100"/>
    <w:rsid w:val="00200823"/>
    <w:rsid w:val="002009C4"/>
    <w:rsid w:val="00200A1F"/>
    <w:rsid w:val="00200FF8"/>
    <w:rsid w:val="00200FF9"/>
    <w:rsid w:val="002011B0"/>
    <w:rsid w:val="00201482"/>
    <w:rsid w:val="00201958"/>
    <w:rsid w:val="00201D0B"/>
    <w:rsid w:val="00201F24"/>
    <w:rsid w:val="0020206B"/>
    <w:rsid w:val="0020220E"/>
    <w:rsid w:val="0020221D"/>
    <w:rsid w:val="0020275A"/>
    <w:rsid w:val="00202C4D"/>
    <w:rsid w:val="0020302E"/>
    <w:rsid w:val="00203181"/>
    <w:rsid w:val="0020358B"/>
    <w:rsid w:val="00203783"/>
    <w:rsid w:val="0020382A"/>
    <w:rsid w:val="0020385F"/>
    <w:rsid w:val="00203CA1"/>
    <w:rsid w:val="00203D58"/>
    <w:rsid w:val="00204055"/>
    <w:rsid w:val="00204506"/>
    <w:rsid w:val="0020463D"/>
    <w:rsid w:val="00204E6F"/>
    <w:rsid w:val="00204FE2"/>
    <w:rsid w:val="0020508B"/>
    <w:rsid w:val="0020575A"/>
    <w:rsid w:val="00205A33"/>
    <w:rsid w:val="002068A0"/>
    <w:rsid w:val="00206C5D"/>
    <w:rsid w:val="00207021"/>
    <w:rsid w:val="002070CF"/>
    <w:rsid w:val="0020732F"/>
    <w:rsid w:val="00207D00"/>
    <w:rsid w:val="002105C1"/>
    <w:rsid w:val="00210A2E"/>
    <w:rsid w:val="00210A6A"/>
    <w:rsid w:val="00210BF6"/>
    <w:rsid w:val="00210E20"/>
    <w:rsid w:val="0021102A"/>
    <w:rsid w:val="002116FD"/>
    <w:rsid w:val="00211934"/>
    <w:rsid w:val="002119CB"/>
    <w:rsid w:val="00211B48"/>
    <w:rsid w:val="00211FB8"/>
    <w:rsid w:val="0021250F"/>
    <w:rsid w:val="0021311E"/>
    <w:rsid w:val="00213388"/>
    <w:rsid w:val="002134B7"/>
    <w:rsid w:val="002136D7"/>
    <w:rsid w:val="00213EF5"/>
    <w:rsid w:val="002141C7"/>
    <w:rsid w:val="002146E6"/>
    <w:rsid w:val="0021491D"/>
    <w:rsid w:val="00214BFC"/>
    <w:rsid w:val="00214E5A"/>
    <w:rsid w:val="002154C8"/>
    <w:rsid w:val="00215D2F"/>
    <w:rsid w:val="00215F20"/>
    <w:rsid w:val="00216483"/>
    <w:rsid w:val="002165AC"/>
    <w:rsid w:val="0021692D"/>
    <w:rsid w:val="00216BF5"/>
    <w:rsid w:val="00216C37"/>
    <w:rsid w:val="00216E55"/>
    <w:rsid w:val="002171ED"/>
    <w:rsid w:val="002177F4"/>
    <w:rsid w:val="00217865"/>
    <w:rsid w:val="00217B92"/>
    <w:rsid w:val="00217CD3"/>
    <w:rsid w:val="00217D8F"/>
    <w:rsid w:val="00217E47"/>
    <w:rsid w:val="002203E4"/>
    <w:rsid w:val="00220910"/>
    <w:rsid w:val="00220A6C"/>
    <w:rsid w:val="002212FE"/>
    <w:rsid w:val="0022149E"/>
    <w:rsid w:val="0022160E"/>
    <w:rsid w:val="0022181B"/>
    <w:rsid w:val="0022204E"/>
    <w:rsid w:val="00222264"/>
    <w:rsid w:val="0022262F"/>
    <w:rsid w:val="0022294A"/>
    <w:rsid w:val="00222A91"/>
    <w:rsid w:val="00223554"/>
    <w:rsid w:val="00223B49"/>
    <w:rsid w:val="00223D5A"/>
    <w:rsid w:val="00224484"/>
    <w:rsid w:val="00224DD4"/>
    <w:rsid w:val="00226273"/>
    <w:rsid w:val="00226B63"/>
    <w:rsid w:val="00227096"/>
    <w:rsid w:val="00227214"/>
    <w:rsid w:val="0022728D"/>
    <w:rsid w:val="002278A0"/>
    <w:rsid w:val="00227E6C"/>
    <w:rsid w:val="00227EAE"/>
    <w:rsid w:val="00230659"/>
    <w:rsid w:val="002306E4"/>
    <w:rsid w:val="002308DC"/>
    <w:rsid w:val="002309CC"/>
    <w:rsid w:val="00230C21"/>
    <w:rsid w:val="0023108D"/>
    <w:rsid w:val="00231316"/>
    <w:rsid w:val="0023137B"/>
    <w:rsid w:val="00231A3D"/>
    <w:rsid w:val="00231B13"/>
    <w:rsid w:val="00231BA9"/>
    <w:rsid w:val="0023209F"/>
    <w:rsid w:val="002320E9"/>
    <w:rsid w:val="0023222A"/>
    <w:rsid w:val="002323E0"/>
    <w:rsid w:val="0023266D"/>
    <w:rsid w:val="002327EC"/>
    <w:rsid w:val="0023293C"/>
    <w:rsid w:val="00232AAD"/>
    <w:rsid w:val="00232C24"/>
    <w:rsid w:val="00232E64"/>
    <w:rsid w:val="00232EDD"/>
    <w:rsid w:val="00233C01"/>
    <w:rsid w:val="00233C2D"/>
    <w:rsid w:val="00233F85"/>
    <w:rsid w:val="00233FE6"/>
    <w:rsid w:val="0023413C"/>
    <w:rsid w:val="00234225"/>
    <w:rsid w:val="00234229"/>
    <w:rsid w:val="002346F0"/>
    <w:rsid w:val="00234A0B"/>
    <w:rsid w:val="00234D10"/>
    <w:rsid w:val="0023532D"/>
    <w:rsid w:val="0023546C"/>
    <w:rsid w:val="0023590F"/>
    <w:rsid w:val="0023629D"/>
    <w:rsid w:val="00237255"/>
    <w:rsid w:val="0023767D"/>
    <w:rsid w:val="00237995"/>
    <w:rsid w:val="00240068"/>
    <w:rsid w:val="00240801"/>
    <w:rsid w:val="00240E6C"/>
    <w:rsid w:val="00240EA0"/>
    <w:rsid w:val="00241438"/>
    <w:rsid w:val="00241AEA"/>
    <w:rsid w:val="00241B78"/>
    <w:rsid w:val="00241B92"/>
    <w:rsid w:val="00241D1B"/>
    <w:rsid w:val="002420A9"/>
    <w:rsid w:val="002420CA"/>
    <w:rsid w:val="002424AF"/>
    <w:rsid w:val="00242610"/>
    <w:rsid w:val="00242ED8"/>
    <w:rsid w:val="0024378C"/>
    <w:rsid w:val="002439DC"/>
    <w:rsid w:val="00243C8A"/>
    <w:rsid w:val="00243ED8"/>
    <w:rsid w:val="002441B3"/>
    <w:rsid w:val="002441D2"/>
    <w:rsid w:val="00244572"/>
    <w:rsid w:val="00244A56"/>
    <w:rsid w:val="00244D70"/>
    <w:rsid w:val="00244DC8"/>
    <w:rsid w:val="002458BA"/>
    <w:rsid w:val="00245CE9"/>
    <w:rsid w:val="0024636C"/>
    <w:rsid w:val="00247258"/>
    <w:rsid w:val="00247484"/>
    <w:rsid w:val="00247536"/>
    <w:rsid w:val="00247925"/>
    <w:rsid w:val="00247B98"/>
    <w:rsid w:val="00250796"/>
    <w:rsid w:val="0025085D"/>
    <w:rsid w:val="00251006"/>
    <w:rsid w:val="002510DD"/>
    <w:rsid w:val="0025125F"/>
    <w:rsid w:val="0025128E"/>
    <w:rsid w:val="00251648"/>
    <w:rsid w:val="00251833"/>
    <w:rsid w:val="002524D5"/>
    <w:rsid w:val="00252655"/>
    <w:rsid w:val="00252ABD"/>
    <w:rsid w:val="002530AD"/>
    <w:rsid w:val="002534EA"/>
    <w:rsid w:val="00253827"/>
    <w:rsid w:val="00253A3D"/>
    <w:rsid w:val="00253B1D"/>
    <w:rsid w:val="00253C06"/>
    <w:rsid w:val="002545F3"/>
    <w:rsid w:val="00254DCF"/>
    <w:rsid w:val="00254F6D"/>
    <w:rsid w:val="0025534B"/>
    <w:rsid w:val="00255655"/>
    <w:rsid w:val="002559FD"/>
    <w:rsid w:val="00255BB7"/>
    <w:rsid w:val="00255D96"/>
    <w:rsid w:val="00255E3C"/>
    <w:rsid w:val="00256ADB"/>
    <w:rsid w:val="00256DA2"/>
    <w:rsid w:val="00256EB5"/>
    <w:rsid w:val="00257524"/>
    <w:rsid w:val="00257541"/>
    <w:rsid w:val="00257752"/>
    <w:rsid w:val="002579EA"/>
    <w:rsid w:val="00257A39"/>
    <w:rsid w:val="00257AC4"/>
    <w:rsid w:val="00257BBE"/>
    <w:rsid w:val="00257D7E"/>
    <w:rsid w:val="00260013"/>
    <w:rsid w:val="0026054D"/>
    <w:rsid w:val="00260DA8"/>
    <w:rsid w:val="00261634"/>
    <w:rsid w:val="00261EEF"/>
    <w:rsid w:val="00261FCB"/>
    <w:rsid w:val="00262757"/>
    <w:rsid w:val="00262925"/>
    <w:rsid w:val="00262A1A"/>
    <w:rsid w:val="00262A87"/>
    <w:rsid w:val="00262B23"/>
    <w:rsid w:val="00263008"/>
    <w:rsid w:val="002630D2"/>
    <w:rsid w:val="00263859"/>
    <w:rsid w:val="00263C5A"/>
    <w:rsid w:val="00263D79"/>
    <w:rsid w:val="00264010"/>
    <w:rsid w:val="0026444A"/>
    <w:rsid w:val="00264721"/>
    <w:rsid w:val="00264D26"/>
    <w:rsid w:val="0026555B"/>
    <w:rsid w:val="00265917"/>
    <w:rsid w:val="00265A2D"/>
    <w:rsid w:val="00265DD3"/>
    <w:rsid w:val="00265F16"/>
    <w:rsid w:val="00266027"/>
    <w:rsid w:val="00266070"/>
    <w:rsid w:val="002660EA"/>
    <w:rsid w:val="00267642"/>
    <w:rsid w:val="00267912"/>
    <w:rsid w:val="00267985"/>
    <w:rsid w:val="00267AEA"/>
    <w:rsid w:val="00267DE7"/>
    <w:rsid w:val="00267FDD"/>
    <w:rsid w:val="002700E6"/>
    <w:rsid w:val="002703AF"/>
    <w:rsid w:val="00270901"/>
    <w:rsid w:val="00270A1C"/>
    <w:rsid w:val="00271244"/>
    <w:rsid w:val="00271446"/>
    <w:rsid w:val="00271F79"/>
    <w:rsid w:val="00272103"/>
    <w:rsid w:val="0027294B"/>
    <w:rsid w:val="00272BAA"/>
    <w:rsid w:val="0027334E"/>
    <w:rsid w:val="002733D2"/>
    <w:rsid w:val="00273721"/>
    <w:rsid w:val="0027386B"/>
    <w:rsid w:val="00273B50"/>
    <w:rsid w:val="00273BEC"/>
    <w:rsid w:val="00273E3D"/>
    <w:rsid w:val="00273E78"/>
    <w:rsid w:val="00273EB4"/>
    <w:rsid w:val="00274682"/>
    <w:rsid w:val="00274BDC"/>
    <w:rsid w:val="00274E6C"/>
    <w:rsid w:val="002750D6"/>
    <w:rsid w:val="00275158"/>
    <w:rsid w:val="00275C5A"/>
    <w:rsid w:val="002766BB"/>
    <w:rsid w:val="00277D73"/>
    <w:rsid w:val="00280147"/>
    <w:rsid w:val="00280321"/>
    <w:rsid w:val="002803E2"/>
    <w:rsid w:val="0028083C"/>
    <w:rsid w:val="00280DB8"/>
    <w:rsid w:val="00281014"/>
    <w:rsid w:val="0028125C"/>
    <w:rsid w:val="002813BF"/>
    <w:rsid w:val="00281899"/>
    <w:rsid w:val="00281BBC"/>
    <w:rsid w:val="00281D25"/>
    <w:rsid w:val="00282135"/>
    <w:rsid w:val="0028232D"/>
    <w:rsid w:val="002831F9"/>
    <w:rsid w:val="002833F5"/>
    <w:rsid w:val="002841FE"/>
    <w:rsid w:val="00284CAE"/>
    <w:rsid w:val="00284F52"/>
    <w:rsid w:val="0028500E"/>
    <w:rsid w:val="0028555D"/>
    <w:rsid w:val="00285BCE"/>
    <w:rsid w:val="00286537"/>
    <w:rsid w:val="0028665D"/>
    <w:rsid w:val="00286B4E"/>
    <w:rsid w:val="002870E2"/>
    <w:rsid w:val="002878F6"/>
    <w:rsid w:val="002879AD"/>
    <w:rsid w:val="00287E5C"/>
    <w:rsid w:val="002903E2"/>
    <w:rsid w:val="002906BE"/>
    <w:rsid w:val="00290706"/>
    <w:rsid w:val="00290776"/>
    <w:rsid w:val="00290AC2"/>
    <w:rsid w:val="0029116A"/>
    <w:rsid w:val="00291690"/>
    <w:rsid w:val="00291AEE"/>
    <w:rsid w:val="0029249F"/>
    <w:rsid w:val="002924AC"/>
    <w:rsid w:val="002926EA"/>
    <w:rsid w:val="0029390B"/>
    <w:rsid w:val="00293979"/>
    <w:rsid w:val="00293AA3"/>
    <w:rsid w:val="00294659"/>
    <w:rsid w:val="0029524A"/>
    <w:rsid w:val="0029550A"/>
    <w:rsid w:val="00296696"/>
    <w:rsid w:val="0029682F"/>
    <w:rsid w:val="00296E48"/>
    <w:rsid w:val="002978E1"/>
    <w:rsid w:val="0029790F"/>
    <w:rsid w:val="00297B79"/>
    <w:rsid w:val="00297F3E"/>
    <w:rsid w:val="002A0AE5"/>
    <w:rsid w:val="002A14AB"/>
    <w:rsid w:val="002A26E7"/>
    <w:rsid w:val="002A2896"/>
    <w:rsid w:val="002A28D9"/>
    <w:rsid w:val="002A2ADE"/>
    <w:rsid w:val="002A2BF0"/>
    <w:rsid w:val="002A2F50"/>
    <w:rsid w:val="002A419C"/>
    <w:rsid w:val="002A43F3"/>
    <w:rsid w:val="002A4592"/>
    <w:rsid w:val="002A45B6"/>
    <w:rsid w:val="002A48D9"/>
    <w:rsid w:val="002A55E4"/>
    <w:rsid w:val="002A5F61"/>
    <w:rsid w:val="002A5F6D"/>
    <w:rsid w:val="002A60CB"/>
    <w:rsid w:val="002A7943"/>
    <w:rsid w:val="002A7F25"/>
    <w:rsid w:val="002A7FD9"/>
    <w:rsid w:val="002B008D"/>
    <w:rsid w:val="002B00EB"/>
    <w:rsid w:val="002B024F"/>
    <w:rsid w:val="002B05A1"/>
    <w:rsid w:val="002B07F1"/>
    <w:rsid w:val="002B09A4"/>
    <w:rsid w:val="002B0B1F"/>
    <w:rsid w:val="002B0DA4"/>
    <w:rsid w:val="002B1463"/>
    <w:rsid w:val="002B1ACA"/>
    <w:rsid w:val="002B1C1F"/>
    <w:rsid w:val="002B25CF"/>
    <w:rsid w:val="002B2B33"/>
    <w:rsid w:val="002B2C7E"/>
    <w:rsid w:val="002B33BE"/>
    <w:rsid w:val="002B3729"/>
    <w:rsid w:val="002B3933"/>
    <w:rsid w:val="002B41E8"/>
    <w:rsid w:val="002B432F"/>
    <w:rsid w:val="002B4AF7"/>
    <w:rsid w:val="002B4FBE"/>
    <w:rsid w:val="002B62B3"/>
    <w:rsid w:val="002B6442"/>
    <w:rsid w:val="002B6754"/>
    <w:rsid w:val="002B67C0"/>
    <w:rsid w:val="002B6C68"/>
    <w:rsid w:val="002B6CCE"/>
    <w:rsid w:val="002B6DDE"/>
    <w:rsid w:val="002B6E83"/>
    <w:rsid w:val="002B76B8"/>
    <w:rsid w:val="002B775D"/>
    <w:rsid w:val="002B7E90"/>
    <w:rsid w:val="002B7F47"/>
    <w:rsid w:val="002C015A"/>
    <w:rsid w:val="002C0351"/>
    <w:rsid w:val="002C092A"/>
    <w:rsid w:val="002C116F"/>
    <w:rsid w:val="002C1E96"/>
    <w:rsid w:val="002C2024"/>
    <w:rsid w:val="002C2510"/>
    <w:rsid w:val="002C2775"/>
    <w:rsid w:val="002C27C1"/>
    <w:rsid w:val="002C2C35"/>
    <w:rsid w:val="002C3670"/>
    <w:rsid w:val="002C36E3"/>
    <w:rsid w:val="002C3DF4"/>
    <w:rsid w:val="002C4F65"/>
    <w:rsid w:val="002C5086"/>
    <w:rsid w:val="002C5099"/>
    <w:rsid w:val="002C5454"/>
    <w:rsid w:val="002C559C"/>
    <w:rsid w:val="002C5889"/>
    <w:rsid w:val="002C5C12"/>
    <w:rsid w:val="002C6457"/>
    <w:rsid w:val="002C71CE"/>
    <w:rsid w:val="002C73F3"/>
    <w:rsid w:val="002C754E"/>
    <w:rsid w:val="002C7E43"/>
    <w:rsid w:val="002D004C"/>
    <w:rsid w:val="002D00EB"/>
    <w:rsid w:val="002D01C9"/>
    <w:rsid w:val="002D01FA"/>
    <w:rsid w:val="002D0277"/>
    <w:rsid w:val="002D0481"/>
    <w:rsid w:val="002D08F8"/>
    <w:rsid w:val="002D0EE6"/>
    <w:rsid w:val="002D113F"/>
    <w:rsid w:val="002D19D2"/>
    <w:rsid w:val="002D208B"/>
    <w:rsid w:val="002D225F"/>
    <w:rsid w:val="002D2302"/>
    <w:rsid w:val="002D290C"/>
    <w:rsid w:val="002D2920"/>
    <w:rsid w:val="002D2A25"/>
    <w:rsid w:val="002D2AFE"/>
    <w:rsid w:val="002D2DB8"/>
    <w:rsid w:val="002D30A9"/>
    <w:rsid w:val="002D3130"/>
    <w:rsid w:val="002D3332"/>
    <w:rsid w:val="002D35A2"/>
    <w:rsid w:val="002D38AC"/>
    <w:rsid w:val="002D38EA"/>
    <w:rsid w:val="002D3916"/>
    <w:rsid w:val="002D39EC"/>
    <w:rsid w:val="002D3E83"/>
    <w:rsid w:val="002D42D7"/>
    <w:rsid w:val="002D473C"/>
    <w:rsid w:val="002D4754"/>
    <w:rsid w:val="002D49BE"/>
    <w:rsid w:val="002D4BEC"/>
    <w:rsid w:val="002D4ED2"/>
    <w:rsid w:val="002D51FB"/>
    <w:rsid w:val="002D5344"/>
    <w:rsid w:val="002D5640"/>
    <w:rsid w:val="002D577C"/>
    <w:rsid w:val="002D5D35"/>
    <w:rsid w:val="002D5FBB"/>
    <w:rsid w:val="002D5FC5"/>
    <w:rsid w:val="002D5FDC"/>
    <w:rsid w:val="002D606C"/>
    <w:rsid w:val="002D630A"/>
    <w:rsid w:val="002D6B05"/>
    <w:rsid w:val="002D6F98"/>
    <w:rsid w:val="002D7523"/>
    <w:rsid w:val="002D7593"/>
    <w:rsid w:val="002D76B5"/>
    <w:rsid w:val="002D7832"/>
    <w:rsid w:val="002D7845"/>
    <w:rsid w:val="002D7A40"/>
    <w:rsid w:val="002E00BE"/>
    <w:rsid w:val="002E05CA"/>
    <w:rsid w:val="002E0647"/>
    <w:rsid w:val="002E069B"/>
    <w:rsid w:val="002E1071"/>
    <w:rsid w:val="002E12DD"/>
    <w:rsid w:val="002E14E1"/>
    <w:rsid w:val="002E1500"/>
    <w:rsid w:val="002E15B9"/>
    <w:rsid w:val="002E1979"/>
    <w:rsid w:val="002E1CE7"/>
    <w:rsid w:val="002E2158"/>
    <w:rsid w:val="002E3068"/>
    <w:rsid w:val="002E399A"/>
    <w:rsid w:val="002E3B7C"/>
    <w:rsid w:val="002E4A24"/>
    <w:rsid w:val="002E4AA5"/>
    <w:rsid w:val="002E4B81"/>
    <w:rsid w:val="002E4B99"/>
    <w:rsid w:val="002E4F02"/>
    <w:rsid w:val="002E4FFA"/>
    <w:rsid w:val="002E51D4"/>
    <w:rsid w:val="002E5FD1"/>
    <w:rsid w:val="002E7038"/>
    <w:rsid w:val="002E741B"/>
    <w:rsid w:val="002E7722"/>
    <w:rsid w:val="002E78C3"/>
    <w:rsid w:val="002E7974"/>
    <w:rsid w:val="002F0398"/>
    <w:rsid w:val="002F07BA"/>
    <w:rsid w:val="002F0DA9"/>
    <w:rsid w:val="002F1014"/>
    <w:rsid w:val="002F1BF2"/>
    <w:rsid w:val="002F1E3B"/>
    <w:rsid w:val="002F21E1"/>
    <w:rsid w:val="002F2377"/>
    <w:rsid w:val="002F3C04"/>
    <w:rsid w:val="002F3ECA"/>
    <w:rsid w:val="002F42CF"/>
    <w:rsid w:val="002F4338"/>
    <w:rsid w:val="002F4372"/>
    <w:rsid w:val="002F5753"/>
    <w:rsid w:val="002F5AAF"/>
    <w:rsid w:val="002F5DAD"/>
    <w:rsid w:val="002F5F1A"/>
    <w:rsid w:val="002F5F57"/>
    <w:rsid w:val="002F643C"/>
    <w:rsid w:val="002F6503"/>
    <w:rsid w:val="002F6753"/>
    <w:rsid w:val="002F713C"/>
    <w:rsid w:val="002F71C0"/>
    <w:rsid w:val="002F74F1"/>
    <w:rsid w:val="002F7CA0"/>
    <w:rsid w:val="00300047"/>
    <w:rsid w:val="00300423"/>
    <w:rsid w:val="00300738"/>
    <w:rsid w:val="00300B02"/>
    <w:rsid w:val="00300B6D"/>
    <w:rsid w:val="00300FCB"/>
    <w:rsid w:val="00301017"/>
    <w:rsid w:val="00301025"/>
    <w:rsid w:val="0030155F"/>
    <w:rsid w:val="00301B3C"/>
    <w:rsid w:val="00301B66"/>
    <w:rsid w:val="00301E7A"/>
    <w:rsid w:val="0030287C"/>
    <w:rsid w:val="003032EA"/>
    <w:rsid w:val="00303DD3"/>
    <w:rsid w:val="00305173"/>
    <w:rsid w:val="0030538E"/>
    <w:rsid w:val="003053EE"/>
    <w:rsid w:val="00305653"/>
    <w:rsid w:val="0030587B"/>
    <w:rsid w:val="00305B42"/>
    <w:rsid w:val="00305CE0"/>
    <w:rsid w:val="00306067"/>
    <w:rsid w:val="0030617B"/>
    <w:rsid w:val="003069F2"/>
    <w:rsid w:val="00306D98"/>
    <w:rsid w:val="00307157"/>
    <w:rsid w:val="0030758C"/>
    <w:rsid w:val="00307850"/>
    <w:rsid w:val="0030786C"/>
    <w:rsid w:val="00307AD8"/>
    <w:rsid w:val="00307B76"/>
    <w:rsid w:val="00307D6F"/>
    <w:rsid w:val="00307F5A"/>
    <w:rsid w:val="0031031A"/>
    <w:rsid w:val="003105A3"/>
    <w:rsid w:val="00310981"/>
    <w:rsid w:val="003111F2"/>
    <w:rsid w:val="00311816"/>
    <w:rsid w:val="00311D9B"/>
    <w:rsid w:val="00311DD6"/>
    <w:rsid w:val="003120F7"/>
    <w:rsid w:val="00312343"/>
    <w:rsid w:val="003124D9"/>
    <w:rsid w:val="00312594"/>
    <w:rsid w:val="00312810"/>
    <w:rsid w:val="00312925"/>
    <w:rsid w:val="0031392A"/>
    <w:rsid w:val="00313D44"/>
    <w:rsid w:val="003140F5"/>
    <w:rsid w:val="00314B41"/>
    <w:rsid w:val="00314BA0"/>
    <w:rsid w:val="00315498"/>
    <w:rsid w:val="00315726"/>
    <w:rsid w:val="003158EA"/>
    <w:rsid w:val="00315F5F"/>
    <w:rsid w:val="003163F5"/>
    <w:rsid w:val="00316474"/>
    <w:rsid w:val="00316ABC"/>
    <w:rsid w:val="00316D15"/>
    <w:rsid w:val="00316D70"/>
    <w:rsid w:val="0031739B"/>
    <w:rsid w:val="00317589"/>
    <w:rsid w:val="003176A6"/>
    <w:rsid w:val="00317710"/>
    <w:rsid w:val="003177C8"/>
    <w:rsid w:val="00320AD8"/>
    <w:rsid w:val="0032155B"/>
    <w:rsid w:val="003218C4"/>
    <w:rsid w:val="00321978"/>
    <w:rsid w:val="00322107"/>
    <w:rsid w:val="003222E3"/>
    <w:rsid w:val="00322355"/>
    <w:rsid w:val="00322846"/>
    <w:rsid w:val="0032375E"/>
    <w:rsid w:val="00323F90"/>
    <w:rsid w:val="003240A5"/>
    <w:rsid w:val="00324746"/>
    <w:rsid w:val="00324BE9"/>
    <w:rsid w:val="00325456"/>
    <w:rsid w:val="00325525"/>
    <w:rsid w:val="003256DF"/>
    <w:rsid w:val="00325A56"/>
    <w:rsid w:val="00325B65"/>
    <w:rsid w:val="00325CD5"/>
    <w:rsid w:val="00325D34"/>
    <w:rsid w:val="0032640B"/>
    <w:rsid w:val="00326DA7"/>
    <w:rsid w:val="003270E4"/>
    <w:rsid w:val="00327283"/>
    <w:rsid w:val="003274E2"/>
    <w:rsid w:val="003279EF"/>
    <w:rsid w:val="00327FF4"/>
    <w:rsid w:val="003302FA"/>
    <w:rsid w:val="00330DAA"/>
    <w:rsid w:val="00330F5C"/>
    <w:rsid w:val="00330FCB"/>
    <w:rsid w:val="00332452"/>
    <w:rsid w:val="00332AE8"/>
    <w:rsid w:val="003333C7"/>
    <w:rsid w:val="003338C2"/>
    <w:rsid w:val="00333D35"/>
    <w:rsid w:val="00333D69"/>
    <w:rsid w:val="0033417A"/>
    <w:rsid w:val="003345C3"/>
    <w:rsid w:val="0033485F"/>
    <w:rsid w:val="00334F4C"/>
    <w:rsid w:val="00335148"/>
    <w:rsid w:val="00335688"/>
    <w:rsid w:val="003357D2"/>
    <w:rsid w:val="00336032"/>
    <w:rsid w:val="003366C9"/>
    <w:rsid w:val="00337180"/>
    <w:rsid w:val="003371B0"/>
    <w:rsid w:val="00337305"/>
    <w:rsid w:val="003374E3"/>
    <w:rsid w:val="00337B43"/>
    <w:rsid w:val="00337B71"/>
    <w:rsid w:val="00337CC5"/>
    <w:rsid w:val="003407F0"/>
    <w:rsid w:val="00340B3A"/>
    <w:rsid w:val="00340DF1"/>
    <w:rsid w:val="003413FB"/>
    <w:rsid w:val="00341551"/>
    <w:rsid w:val="00341B74"/>
    <w:rsid w:val="00341C42"/>
    <w:rsid w:val="003422AD"/>
    <w:rsid w:val="0034277C"/>
    <w:rsid w:val="00342A38"/>
    <w:rsid w:val="003430A6"/>
    <w:rsid w:val="00343B5A"/>
    <w:rsid w:val="0034401D"/>
    <w:rsid w:val="0034440F"/>
    <w:rsid w:val="00344DBF"/>
    <w:rsid w:val="00344E8B"/>
    <w:rsid w:val="003455B2"/>
    <w:rsid w:val="00345818"/>
    <w:rsid w:val="00345B22"/>
    <w:rsid w:val="00345B38"/>
    <w:rsid w:val="00346157"/>
    <w:rsid w:val="00346469"/>
    <w:rsid w:val="00346734"/>
    <w:rsid w:val="00346A20"/>
    <w:rsid w:val="00346CBE"/>
    <w:rsid w:val="00346E71"/>
    <w:rsid w:val="00346FCD"/>
    <w:rsid w:val="003471A3"/>
    <w:rsid w:val="003475E6"/>
    <w:rsid w:val="0034793D"/>
    <w:rsid w:val="003505ED"/>
    <w:rsid w:val="00350830"/>
    <w:rsid w:val="0035084D"/>
    <w:rsid w:val="00350887"/>
    <w:rsid w:val="003509B9"/>
    <w:rsid w:val="00350B3F"/>
    <w:rsid w:val="00351022"/>
    <w:rsid w:val="003517F9"/>
    <w:rsid w:val="00351956"/>
    <w:rsid w:val="00351BA9"/>
    <w:rsid w:val="00351EF5"/>
    <w:rsid w:val="003525A3"/>
    <w:rsid w:val="003526A9"/>
    <w:rsid w:val="00352D1F"/>
    <w:rsid w:val="003531AF"/>
    <w:rsid w:val="00353453"/>
    <w:rsid w:val="003536EA"/>
    <w:rsid w:val="00353708"/>
    <w:rsid w:val="00354262"/>
    <w:rsid w:val="00354498"/>
    <w:rsid w:val="003548BB"/>
    <w:rsid w:val="00354F64"/>
    <w:rsid w:val="003560C0"/>
    <w:rsid w:val="0035617D"/>
    <w:rsid w:val="0035620E"/>
    <w:rsid w:val="0035678D"/>
    <w:rsid w:val="00356849"/>
    <w:rsid w:val="00356F10"/>
    <w:rsid w:val="003575BE"/>
    <w:rsid w:val="003575CB"/>
    <w:rsid w:val="00357E81"/>
    <w:rsid w:val="00360285"/>
    <w:rsid w:val="00360345"/>
    <w:rsid w:val="00360E17"/>
    <w:rsid w:val="003618B0"/>
    <w:rsid w:val="00361A05"/>
    <w:rsid w:val="00361F20"/>
    <w:rsid w:val="0036211E"/>
    <w:rsid w:val="003624C4"/>
    <w:rsid w:val="00362C09"/>
    <w:rsid w:val="00362E10"/>
    <w:rsid w:val="00362F4B"/>
    <w:rsid w:val="003633BE"/>
    <w:rsid w:val="00363606"/>
    <w:rsid w:val="00363B00"/>
    <w:rsid w:val="00363F38"/>
    <w:rsid w:val="00364188"/>
    <w:rsid w:val="003648F1"/>
    <w:rsid w:val="003653C1"/>
    <w:rsid w:val="003654AC"/>
    <w:rsid w:val="003655B3"/>
    <w:rsid w:val="003656A1"/>
    <w:rsid w:val="00365863"/>
    <w:rsid w:val="00365C6A"/>
    <w:rsid w:val="003664FA"/>
    <w:rsid w:val="003665F4"/>
    <w:rsid w:val="00366811"/>
    <w:rsid w:val="00366F37"/>
    <w:rsid w:val="003676FE"/>
    <w:rsid w:val="00367A6E"/>
    <w:rsid w:val="00367AB1"/>
    <w:rsid w:val="00367DDB"/>
    <w:rsid w:val="00370566"/>
    <w:rsid w:val="00370920"/>
    <w:rsid w:val="00370933"/>
    <w:rsid w:val="00370A09"/>
    <w:rsid w:val="00370C69"/>
    <w:rsid w:val="00370C86"/>
    <w:rsid w:val="00370DCC"/>
    <w:rsid w:val="003710CF"/>
    <w:rsid w:val="00371BE8"/>
    <w:rsid w:val="00371D6E"/>
    <w:rsid w:val="00372320"/>
    <w:rsid w:val="0037340B"/>
    <w:rsid w:val="0037358A"/>
    <w:rsid w:val="003736FD"/>
    <w:rsid w:val="0037391E"/>
    <w:rsid w:val="0037447F"/>
    <w:rsid w:val="00374AE6"/>
    <w:rsid w:val="00374B99"/>
    <w:rsid w:val="00374F4B"/>
    <w:rsid w:val="00374FAF"/>
    <w:rsid w:val="003750F6"/>
    <w:rsid w:val="003759C8"/>
    <w:rsid w:val="00375A4D"/>
    <w:rsid w:val="00375D4B"/>
    <w:rsid w:val="00375F0A"/>
    <w:rsid w:val="00376032"/>
    <w:rsid w:val="003760B8"/>
    <w:rsid w:val="003760FC"/>
    <w:rsid w:val="0037619C"/>
    <w:rsid w:val="0037624C"/>
    <w:rsid w:val="003763D7"/>
    <w:rsid w:val="003764BD"/>
    <w:rsid w:val="003772B1"/>
    <w:rsid w:val="00377E6F"/>
    <w:rsid w:val="00377F5A"/>
    <w:rsid w:val="00377FA2"/>
    <w:rsid w:val="00380B96"/>
    <w:rsid w:val="00381422"/>
    <w:rsid w:val="0038222D"/>
    <w:rsid w:val="00382748"/>
    <w:rsid w:val="00382762"/>
    <w:rsid w:val="00382C58"/>
    <w:rsid w:val="00382D4B"/>
    <w:rsid w:val="003830DD"/>
    <w:rsid w:val="00383537"/>
    <w:rsid w:val="0038360A"/>
    <w:rsid w:val="0038365C"/>
    <w:rsid w:val="0038369B"/>
    <w:rsid w:val="00383B47"/>
    <w:rsid w:val="00383B78"/>
    <w:rsid w:val="00383D09"/>
    <w:rsid w:val="00383D64"/>
    <w:rsid w:val="003841AC"/>
    <w:rsid w:val="00384261"/>
    <w:rsid w:val="00384EAD"/>
    <w:rsid w:val="003850BD"/>
    <w:rsid w:val="00385772"/>
    <w:rsid w:val="0038584B"/>
    <w:rsid w:val="00385A9D"/>
    <w:rsid w:val="00385AE7"/>
    <w:rsid w:val="0038605A"/>
    <w:rsid w:val="0038611C"/>
    <w:rsid w:val="003863EF"/>
    <w:rsid w:val="00386AA3"/>
    <w:rsid w:val="00387121"/>
    <w:rsid w:val="003873CC"/>
    <w:rsid w:val="00387490"/>
    <w:rsid w:val="00387816"/>
    <w:rsid w:val="00387F7F"/>
    <w:rsid w:val="003902B1"/>
    <w:rsid w:val="003907C4"/>
    <w:rsid w:val="003907D7"/>
    <w:rsid w:val="00390D86"/>
    <w:rsid w:val="00390F05"/>
    <w:rsid w:val="003912C2"/>
    <w:rsid w:val="0039179C"/>
    <w:rsid w:val="00391BBD"/>
    <w:rsid w:val="00391C11"/>
    <w:rsid w:val="00391F2E"/>
    <w:rsid w:val="00392364"/>
    <w:rsid w:val="00392794"/>
    <w:rsid w:val="00392A96"/>
    <w:rsid w:val="0039328A"/>
    <w:rsid w:val="0039347E"/>
    <w:rsid w:val="003936F2"/>
    <w:rsid w:val="00393B2F"/>
    <w:rsid w:val="003940B1"/>
    <w:rsid w:val="0039524B"/>
    <w:rsid w:val="00395434"/>
    <w:rsid w:val="00395ACA"/>
    <w:rsid w:val="0039624C"/>
    <w:rsid w:val="0039627A"/>
    <w:rsid w:val="00396896"/>
    <w:rsid w:val="00396FD0"/>
    <w:rsid w:val="00397208"/>
    <w:rsid w:val="0039775D"/>
    <w:rsid w:val="00397946"/>
    <w:rsid w:val="00397A86"/>
    <w:rsid w:val="003A16CC"/>
    <w:rsid w:val="003A1A7A"/>
    <w:rsid w:val="003A2392"/>
    <w:rsid w:val="003A2831"/>
    <w:rsid w:val="003A2A5E"/>
    <w:rsid w:val="003A39D1"/>
    <w:rsid w:val="003A3CB6"/>
    <w:rsid w:val="003A3ED1"/>
    <w:rsid w:val="003A43F4"/>
    <w:rsid w:val="003A44DB"/>
    <w:rsid w:val="003A4C14"/>
    <w:rsid w:val="003A50BC"/>
    <w:rsid w:val="003A595F"/>
    <w:rsid w:val="003A6464"/>
    <w:rsid w:val="003A6F27"/>
    <w:rsid w:val="003A7DB6"/>
    <w:rsid w:val="003B0A0A"/>
    <w:rsid w:val="003B0F1A"/>
    <w:rsid w:val="003B106D"/>
    <w:rsid w:val="003B16EF"/>
    <w:rsid w:val="003B1A6E"/>
    <w:rsid w:val="003B244E"/>
    <w:rsid w:val="003B2507"/>
    <w:rsid w:val="003B2A12"/>
    <w:rsid w:val="003B2AE9"/>
    <w:rsid w:val="003B2D4C"/>
    <w:rsid w:val="003B33B3"/>
    <w:rsid w:val="003B3819"/>
    <w:rsid w:val="003B3971"/>
    <w:rsid w:val="003B4894"/>
    <w:rsid w:val="003B500B"/>
    <w:rsid w:val="003B542D"/>
    <w:rsid w:val="003B55D1"/>
    <w:rsid w:val="003B5B61"/>
    <w:rsid w:val="003B62E6"/>
    <w:rsid w:val="003B64FD"/>
    <w:rsid w:val="003B659C"/>
    <w:rsid w:val="003B7DB4"/>
    <w:rsid w:val="003C01AC"/>
    <w:rsid w:val="003C0972"/>
    <w:rsid w:val="003C0DF6"/>
    <w:rsid w:val="003C1062"/>
    <w:rsid w:val="003C1654"/>
    <w:rsid w:val="003C2AEC"/>
    <w:rsid w:val="003C2C4C"/>
    <w:rsid w:val="003C2F1A"/>
    <w:rsid w:val="003C3186"/>
    <w:rsid w:val="003C34A5"/>
    <w:rsid w:val="003C4385"/>
    <w:rsid w:val="003C4477"/>
    <w:rsid w:val="003C4E32"/>
    <w:rsid w:val="003C51AA"/>
    <w:rsid w:val="003C542B"/>
    <w:rsid w:val="003C54A5"/>
    <w:rsid w:val="003C5542"/>
    <w:rsid w:val="003C5CAE"/>
    <w:rsid w:val="003C5FED"/>
    <w:rsid w:val="003C6264"/>
    <w:rsid w:val="003C6E91"/>
    <w:rsid w:val="003C7099"/>
    <w:rsid w:val="003C7707"/>
    <w:rsid w:val="003C7C15"/>
    <w:rsid w:val="003C7C9C"/>
    <w:rsid w:val="003C7D19"/>
    <w:rsid w:val="003C7D2F"/>
    <w:rsid w:val="003D0284"/>
    <w:rsid w:val="003D03AF"/>
    <w:rsid w:val="003D0C5A"/>
    <w:rsid w:val="003D0F2C"/>
    <w:rsid w:val="003D170D"/>
    <w:rsid w:val="003D1828"/>
    <w:rsid w:val="003D1DE4"/>
    <w:rsid w:val="003D1E67"/>
    <w:rsid w:val="003D1E9A"/>
    <w:rsid w:val="003D2422"/>
    <w:rsid w:val="003D256C"/>
    <w:rsid w:val="003D25DE"/>
    <w:rsid w:val="003D2BFA"/>
    <w:rsid w:val="003D3083"/>
    <w:rsid w:val="003D31E2"/>
    <w:rsid w:val="003D393C"/>
    <w:rsid w:val="003D39A1"/>
    <w:rsid w:val="003D3BEF"/>
    <w:rsid w:val="003D3FBF"/>
    <w:rsid w:val="003D4169"/>
    <w:rsid w:val="003D478E"/>
    <w:rsid w:val="003D490E"/>
    <w:rsid w:val="003D4A30"/>
    <w:rsid w:val="003D5BC6"/>
    <w:rsid w:val="003D5D7C"/>
    <w:rsid w:val="003D5E41"/>
    <w:rsid w:val="003D5F22"/>
    <w:rsid w:val="003D5FCC"/>
    <w:rsid w:val="003D6486"/>
    <w:rsid w:val="003D68E3"/>
    <w:rsid w:val="003D6A92"/>
    <w:rsid w:val="003D6BD0"/>
    <w:rsid w:val="003D6EFE"/>
    <w:rsid w:val="003D73A9"/>
    <w:rsid w:val="003D7452"/>
    <w:rsid w:val="003D77C3"/>
    <w:rsid w:val="003D79BB"/>
    <w:rsid w:val="003D7C98"/>
    <w:rsid w:val="003D7D9D"/>
    <w:rsid w:val="003E041C"/>
    <w:rsid w:val="003E04DE"/>
    <w:rsid w:val="003E0543"/>
    <w:rsid w:val="003E1D35"/>
    <w:rsid w:val="003E1D8D"/>
    <w:rsid w:val="003E1F49"/>
    <w:rsid w:val="003E2641"/>
    <w:rsid w:val="003E2B0F"/>
    <w:rsid w:val="003E2F63"/>
    <w:rsid w:val="003E30D3"/>
    <w:rsid w:val="003E367C"/>
    <w:rsid w:val="003E384A"/>
    <w:rsid w:val="003E3B61"/>
    <w:rsid w:val="003E3C63"/>
    <w:rsid w:val="003E419D"/>
    <w:rsid w:val="003E429A"/>
    <w:rsid w:val="003E4585"/>
    <w:rsid w:val="003E4F47"/>
    <w:rsid w:val="003E5603"/>
    <w:rsid w:val="003E586C"/>
    <w:rsid w:val="003E5965"/>
    <w:rsid w:val="003E5EAB"/>
    <w:rsid w:val="003E6187"/>
    <w:rsid w:val="003E63B8"/>
    <w:rsid w:val="003E66A9"/>
    <w:rsid w:val="003E749E"/>
    <w:rsid w:val="003E7A43"/>
    <w:rsid w:val="003E7B9F"/>
    <w:rsid w:val="003F0123"/>
    <w:rsid w:val="003F023E"/>
    <w:rsid w:val="003F0B1D"/>
    <w:rsid w:val="003F1B7B"/>
    <w:rsid w:val="003F23CF"/>
    <w:rsid w:val="003F2CCF"/>
    <w:rsid w:val="003F3D0B"/>
    <w:rsid w:val="003F4156"/>
    <w:rsid w:val="003F43CE"/>
    <w:rsid w:val="003F5450"/>
    <w:rsid w:val="003F5ADF"/>
    <w:rsid w:val="003F5C0C"/>
    <w:rsid w:val="003F5EC6"/>
    <w:rsid w:val="003F5FAD"/>
    <w:rsid w:val="003F6395"/>
    <w:rsid w:val="003F6789"/>
    <w:rsid w:val="003F6A81"/>
    <w:rsid w:val="003F6B62"/>
    <w:rsid w:val="003F750F"/>
    <w:rsid w:val="0040011E"/>
    <w:rsid w:val="0040040A"/>
    <w:rsid w:val="0040070B"/>
    <w:rsid w:val="00400B29"/>
    <w:rsid w:val="0040180F"/>
    <w:rsid w:val="00401A0D"/>
    <w:rsid w:val="00402812"/>
    <w:rsid w:val="00403EA3"/>
    <w:rsid w:val="00403EEE"/>
    <w:rsid w:val="00404706"/>
    <w:rsid w:val="00404875"/>
    <w:rsid w:val="0040504B"/>
    <w:rsid w:val="00405225"/>
    <w:rsid w:val="00405593"/>
    <w:rsid w:val="0040562A"/>
    <w:rsid w:val="004058B6"/>
    <w:rsid w:val="004059F4"/>
    <w:rsid w:val="00405A36"/>
    <w:rsid w:val="00405A43"/>
    <w:rsid w:val="00405BD5"/>
    <w:rsid w:val="0040654A"/>
    <w:rsid w:val="00406981"/>
    <w:rsid w:val="004071F6"/>
    <w:rsid w:val="00407360"/>
    <w:rsid w:val="00407FE5"/>
    <w:rsid w:val="00410099"/>
    <w:rsid w:val="0041016F"/>
    <w:rsid w:val="004101B0"/>
    <w:rsid w:val="00410326"/>
    <w:rsid w:val="00410479"/>
    <w:rsid w:val="004105C0"/>
    <w:rsid w:val="00410708"/>
    <w:rsid w:val="004107B6"/>
    <w:rsid w:val="004107EB"/>
    <w:rsid w:val="00410EC7"/>
    <w:rsid w:val="004112F9"/>
    <w:rsid w:val="00411541"/>
    <w:rsid w:val="00411B39"/>
    <w:rsid w:val="0041267E"/>
    <w:rsid w:val="004127A7"/>
    <w:rsid w:val="00412E49"/>
    <w:rsid w:val="00412F6E"/>
    <w:rsid w:val="0041335D"/>
    <w:rsid w:val="00413A1E"/>
    <w:rsid w:val="00413B87"/>
    <w:rsid w:val="00414476"/>
    <w:rsid w:val="004148C5"/>
    <w:rsid w:val="0041498D"/>
    <w:rsid w:val="00414C2E"/>
    <w:rsid w:val="004151CF"/>
    <w:rsid w:val="004154A7"/>
    <w:rsid w:val="004155E1"/>
    <w:rsid w:val="00415B73"/>
    <w:rsid w:val="0041605F"/>
    <w:rsid w:val="00416364"/>
    <w:rsid w:val="00416C39"/>
    <w:rsid w:val="00417976"/>
    <w:rsid w:val="004179E6"/>
    <w:rsid w:val="00417BF1"/>
    <w:rsid w:val="0042047F"/>
    <w:rsid w:val="0042094D"/>
    <w:rsid w:val="00420AA6"/>
    <w:rsid w:val="00420B9F"/>
    <w:rsid w:val="004210F0"/>
    <w:rsid w:val="0042119A"/>
    <w:rsid w:val="0042130A"/>
    <w:rsid w:val="0042192C"/>
    <w:rsid w:val="00421B66"/>
    <w:rsid w:val="00421E1E"/>
    <w:rsid w:val="00421F9F"/>
    <w:rsid w:val="0042201D"/>
    <w:rsid w:val="004220BA"/>
    <w:rsid w:val="00422260"/>
    <w:rsid w:val="004226D2"/>
    <w:rsid w:val="00422F2B"/>
    <w:rsid w:val="004237E8"/>
    <w:rsid w:val="00423818"/>
    <w:rsid w:val="00423CE7"/>
    <w:rsid w:val="0042413F"/>
    <w:rsid w:val="00424528"/>
    <w:rsid w:val="00424685"/>
    <w:rsid w:val="00424718"/>
    <w:rsid w:val="0042531F"/>
    <w:rsid w:val="00425327"/>
    <w:rsid w:val="00425EEA"/>
    <w:rsid w:val="00426563"/>
    <w:rsid w:val="004267E4"/>
    <w:rsid w:val="004269A4"/>
    <w:rsid w:val="00426AC2"/>
    <w:rsid w:val="00426B4A"/>
    <w:rsid w:val="00426DB3"/>
    <w:rsid w:val="004275C6"/>
    <w:rsid w:val="00427757"/>
    <w:rsid w:val="0042798E"/>
    <w:rsid w:val="00427FAF"/>
    <w:rsid w:val="004302E9"/>
    <w:rsid w:val="00430844"/>
    <w:rsid w:val="0043089B"/>
    <w:rsid w:val="00430A89"/>
    <w:rsid w:val="00430EA2"/>
    <w:rsid w:val="00430EB2"/>
    <w:rsid w:val="004310D5"/>
    <w:rsid w:val="0043152B"/>
    <w:rsid w:val="004319F8"/>
    <w:rsid w:val="00431D9F"/>
    <w:rsid w:val="00431E55"/>
    <w:rsid w:val="00431EAF"/>
    <w:rsid w:val="004320C4"/>
    <w:rsid w:val="00432163"/>
    <w:rsid w:val="004321F6"/>
    <w:rsid w:val="0043248D"/>
    <w:rsid w:val="00432976"/>
    <w:rsid w:val="00433044"/>
    <w:rsid w:val="00433231"/>
    <w:rsid w:val="0043365C"/>
    <w:rsid w:val="00433764"/>
    <w:rsid w:val="00433832"/>
    <w:rsid w:val="004339D3"/>
    <w:rsid w:val="00433A5D"/>
    <w:rsid w:val="00434088"/>
    <w:rsid w:val="004341B7"/>
    <w:rsid w:val="00434F3D"/>
    <w:rsid w:val="004354C2"/>
    <w:rsid w:val="0043564A"/>
    <w:rsid w:val="004357BA"/>
    <w:rsid w:val="0043597D"/>
    <w:rsid w:val="00435E29"/>
    <w:rsid w:val="00435F16"/>
    <w:rsid w:val="0043607C"/>
    <w:rsid w:val="00436577"/>
    <w:rsid w:val="00436B3D"/>
    <w:rsid w:val="00436BC4"/>
    <w:rsid w:val="00437132"/>
    <w:rsid w:val="004375B9"/>
    <w:rsid w:val="00437D0D"/>
    <w:rsid w:val="00440447"/>
    <w:rsid w:val="00441194"/>
    <w:rsid w:val="00441353"/>
    <w:rsid w:val="0044183B"/>
    <w:rsid w:val="00441CCF"/>
    <w:rsid w:val="00441E4A"/>
    <w:rsid w:val="00441E51"/>
    <w:rsid w:val="0044248E"/>
    <w:rsid w:val="004428D0"/>
    <w:rsid w:val="004435F9"/>
    <w:rsid w:val="00443632"/>
    <w:rsid w:val="00443CAC"/>
    <w:rsid w:val="00444185"/>
    <w:rsid w:val="004443A7"/>
    <w:rsid w:val="0044442C"/>
    <w:rsid w:val="00444C1E"/>
    <w:rsid w:val="00444CC1"/>
    <w:rsid w:val="004454E0"/>
    <w:rsid w:val="00445636"/>
    <w:rsid w:val="00445941"/>
    <w:rsid w:val="00445D59"/>
    <w:rsid w:val="00445F2F"/>
    <w:rsid w:val="00446202"/>
    <w:rsid w:val="004464EB"/>
    <w:rsid w:val="00446757"/>
    <w:rsid w:val="00446ADB"/>
    <w:rsid w:val="00446C98"/>
    <w:rsid w:val="00446E5A"/>
    <w:rsid w:val="0044756E"/>
    <w:rsid w:val="004479B0"/>
    <w:rsid w:val="00447D26"/>
    <w:rsid w:val="00447DFC"/>
    <w:rsid w:val="00447EF8"/>
    <w:rsid w:val="0045031F"/>
    <w:rsid w:val="00450923"/>
    <w:rsid w:val="004510A3"/>
    <w:rsid w:val="0045167B"/>
    <w:rsid w:val="004516C8"/>
    <w:rsid w:val="00451802"/>
    <w:rsid w:val="004525B7"/>
    <w:rsid w:val="004526AC"/>
    <w:rsid w:val="00452D97"/>
    <w:rsid w:val="00452E58"/>
    <w:rsid w:val="00452EDF"/>
    <w:rsid w:val="00452FBD"/>
    <w:rsid w:val="00453240"/>
    <w:rsid w:val="0045389A"/>
    <w:rsid w:val="00454566"/>
    <w:rsid w:val="00454664"/>
    <w:rsid w:val="00454F63"/>
    <w:rsid w:val="00455308"/>
    <w:rsid w:val="00455815"/>
    <w:rsid w:val="00455927"/>
    <w:rsid w:val="00455BB6"/>
    <w:rsid w:val="00455D45"/>
    <w:rsid w:val="00456404"/>
    <w:rsid w:val="0045681C"/>
    <w:rsid w:val="00456909"/>
    <w:rsid w:val="00456C8A"/>
    <w:rsid w:val="00456CDC"/>
    <w:rsid w:val="00456D14"/>
    <w:rsid w:val="00456FB9"/>
    <w:rsid w:val="00457DE1"/>
    <w:rsid w:val="00457FF3"/>
    <w:rsid w:val="0046049C"/>
    <w:rsid w:val="00460DA1"/>
    <w:rsid w:val="00461979"/>
    <w:rsid w:val="0046197D"/>
    <w:rsid w:val="004619E1"/>
    <w:rsid w:val="00462438"/>
    <w:rsid w:val="00462DBB"/>
    <w:rsid w:val="004631CD"/>
    <w:rsid w:val="00463832"/>
    <w:rsid w:val="00463A32"/>
    <w:rsid w:val="004640F0"/>
    <w:rsid w:val="00464595"/>
    <w:rsid w:val="00464917"/>
    <w:rsid w:val="00464A10"/>
    <w:rsid w:val="00464A95"/>
    <w:rsid w:val="00464A96"/>
    <w:rsid w:val="00464E47"/>
    <w:rsid w:val="004656BA"/>
    <w:rsid w:val="004658B5"/>
    <w:rsid w:val="004662E1"/>
    <w:rsid w:val="004663B5"/>
    <w:rsid w:val="0046698F"/>
    <w:rsid w:val="0046788B"/>
    <w:rsid w:val="00470AC5"/>
    <w:rsid w:val="00470D29"/>
    <w:rsid w:val="00471EA5"/>
    <w:rsid w:val="00472187"/>
    <w:rsid w:val="00472239"/>
    <w:rsid w:val="004725A7"/>
    <w:rsid w:val="00472604"/>
    <w:rsid w:val="00472A66"/>
    <w:rsid w:val="00472A79"/>
    <w:rsid w:val="004730C4"/>
    <w:rsid w:val="0047357C"/>
    <w:rsid w:val="00473F19"/>
    <w:rsid w:val="00474223"/>
    <w:rsid w:val="00474F93"/>
    <w:rsid w:val="00475A8F"/>
    <w:rsid w:val="00475E22"/>
    <w:rsid w:val="00475FF0"/>
    <w:rsid w:val="00476B53"/>
    <w:rsid w:val="0047745E"/>
    <w:rsid w:val="00477AA6"/>
    <w:rsid w:val="00477D02"/>
    <w:rsid w:val="00480217"/>
    <w:rsid w:val="00480340"/>
    <w:rsid w:val="0048088E"/>
    <w:rsid w:val="00480B60"/>
    <w:rsid w:val="00480D50"/>
    <w:rsid w:val="00480F2B"/>
    <w:rsid w:val="00481931"/>
    <w:rsid w:val="0048224C"/>
    <w:rsid w:val="00482545"/>
    <w:rsid w:val="00482720"/>
    <w:rsid w:val="00482B98"/>
    <w:rsid w:val="00482C48"/>
    <w:rsid w:val="00482ECA"/>
    <w:rsid w:val="004834F6"/>
    <w:rsid w:val="00483550"/>
    <w:rsid w:val="004835E7"/>
    <w:rsid w:val="00483893"/>
    <w:rsid w:val="00483F23"/>
    <w:rsid w:val="00483FEA"/>
    <w:rsid w:val="004847CA"/>
    <w:rsid w:val="00484D25"/>
    <w:rsid w:val="00484F1A"/>
    <w:rsid w:val="004850AC"/>
    <w:rsid w:val="00485627"/>
    <w:rsid w:val="004859E1"/>
    <w:rsid w:val="00485A26"/>
    <w:rsid w:val="004862AB"/>
    <w:rsid w:val="004867E2"/>
    <w:rsid w:val="00486EF1"/>
    <w:rsid w:val="004878D8"/>
    <w:rsid w:val="00487BD9"/>
    <w:rsid w:val="0049023B"/>
    <w:rsid w:val="0049088C"/>
    <w:rsid w:val="0049098C"/>
    <w:rsid w:val="00490B17"/>
    <w:rsid w:val="00490B2F"/>
    <w:rsid w:val="00490CAF"/>
    <w:rsid w:val="00490E36"/>
    <w:rsid w:val="00491011"/>
    <w:rsid w:val="0049110B"/>
    <w:rsid w:val="004911CC"/>
    <w:rsid w:val="004913F0"/>
    <w:rsid w:val="004915BC"/>
    <w:rsid w:val="00491B3A"/>
    <w:rsid w:val="004920B4"/>
    <w:rsid w:val="00492426"/>
    <w:rsid w:val="00492761"/>
    <w:rsid w:val="0049285A"/>
    <w:rsid w:val="00492C38"/>
    <w:rsid w:val="00492CFD"/>
    <w:rsid w:val="00492F89"/>
    <w:rsid w:val="00493036"/>
    <w:rsid w:val="00493956"/>
    <w:rsid w:val="00493A17"/>
    <w:rsid w:val="00493AE0"/>
    <w:rsid w:val="00494207"/>
    <w:rsid w:val="00494284"/>
    <w:rsid w:val="00494AB3"/>
    <w:rsid w:val="00494AB4"/>
    <w:rsid w:val="00494DD5"/>
    <w:rsid w:val="00495283"/>
    <w:rsid w:val="00496035"/>
    <w:rsid w:val="004962D2"/>
    <w:rsid w:val="00496714"/>
    <w:rsid w:val="004972B7"/>
    <w:rsid w:val="0049745F"/>
    <w:rsid w:val="00497973"/>
    <w:rsid w:val="004A0205"/>
    <w:rsid w:val="004A0276"/>
    <w:rsid w:val="004A058D"/>
    <w:rsid w:val="004A07E3"/>
    <w:rsid w:val="004A0DA1"/>
    <w:rsid w:val="004A0E07"/>
    <w:rsid w:val="004A1035"/>
    <w:rsid w:val="004A13D6"/>
    <w:rsid w:val="004A1756"/>
    <w:rsid w:val="004A1852"/>
    <w:rsid w:val="004A18A7"/>
    <w:rsid w:val="004A264F"/>
    <w:rsid w:val="004A328F"/>
    <w:rsid w:val="004A386D"/>
    <w:rsid w:val="004A3994"/>
    <w:rsid w:val="004A3AC0"/>
    <w:rsid w:val="004A402D"/>
    <w:rsid w:val="004A4DBC"/>
    <w:rsid w:val="004A4DC5"/>
    <w:rsid w:val="004A523E"/>
    <w:rsid w:val="004A52E9"/>
    <w:rsid w:val="004A5528"/>
    <w:rsid w:val="004A6040"/>
    <w:rsid w:val="004A6597"/>
    <w:rsid w:val="004A6ADD"/>
    <w:rsid w:val="004A71A9"/>
    <w:rsid w:val="004A7388"/>
    <w:rsid w:val="004A7848"/>
    <w:rsid w:val="004A793B"/>
    <w:rsid w:val="004A799B"/>
    <w:rsid w:val="004A7AC1"/>
    <w:rsid w:val="004B0188"/>
    <w:rsid w:val="004B05D5"/>
    <w:rsid w:val="004B0757"/>
    <w:rsid w:val="004B09C1"/>
    <w:rsid w:val="004B1016"/>
    <w:rsid w:val="004B12EA"/>
    <w:rsid w:val="004B168E"/>
    <w:rsid w:val="004B1938"/>
    <w:rsid w:val="004B1A86"/>
    <w:rsid w:val="004B1CB4"/>
    <w:rsid w:val="004B2F18"/>
    <w:rsid w:val="004B30E9"/>
    <w:rsid w:val="004B3453"/>
    <w:rsid w:val="004B384C"/>
    <w:rsid w:val="004B3DDB"/>
    <w:rsid w:val="004B44FD"/>
    <w:rsid w:val="004B553C"/>
    <w:rsid w:val="004B5618"/>
    <w:rsid w:val="004B5CFC"/>
    <w:rsid w:val="004B6E2D"/>
    <w:rsid w:val="004B6F69"/>
    <w:rsid w:val="004B6F79"/>
    <w:rsid w:val="004B72EB"/>
    <w:rsid w:val="004B774D"/>
    <w:rsid w:val="004C00BC"/>
    <w:rsid w:val="004C0D2E"/>
    <w:rsid w:val="004C1407"/>
    <w:rsid w:val="004C2AC2"/>
    <w:rsid w:val="004C2AF6"/>
    <w:rsid w:val="004C3ACF"/>
    <w:rsid w:val="004C3B02"/>
    <w:rsid w:val="004C3CBE"/>
    <w:rsid w:val="004C456E"/>
    <w:rsid w:val="004C4AED"/>
    <w:rsid w:val="004C4F96"/>
    <w:rsid w:val="004C54BD"/>
    <w:rsid w:val="004C5EC1"/>
    <w:rsid w:val="004C5F38"/>
    <w:rsid w:val="004C6062"/>
    <w:rsid w:val="004C6350"/>
    <w:rsid w:val="004C64AF"/>
    <w:rsid w:val="004C68E5"/>
    <w:rsid w:val="004C6CD1"/>
    <w:rsid w:val="004C7612"/>
    <w:rsid w:val="004C7CCF"/>
    <w:rsid w:val="004C7DA5"/>
    <w:rsid w:val="004D0027"/>
    <w:rsid w:val="004D0841"/>
    <w:rsid w:val="004D0D89"/>
    <w:rsid w:val="004D1120"/>
    <w:rsid w:val="004D1C23"/>
    <w:rsid w:val="004D1CBE"/>
    <w:rsid w:val="004D1EB4"/>
    <w:rsid w:val="004D2ACE"/>
    <w:rsid w:val="004D2C2D"/>
    <w:rsid w:val="004D3149"/>
    <w:rsid w:val="004D3399"/>
    <w:rsid w:val="004D3459"/>
    <w:rsid w:val="004D35E4"/>
    <w:rsid w:val="004D40B5"/>
    <w:rsid w:val="004D4307"/>
    <w:rsid w:val="004D47F3"/>
    <w:rsid w:val="004D50BE"/>
    <w:rsid w:val="004D545F"/>
    <w:rsid w:val="004D557A"/>
    <w:rsid w:val="004D558A"/>
    <w:rsid w:val="004D5DC6"/>
    <w:rsid w:val="004D5E77"/>
    <w:rsid w:val="004D60DB"/>
    <w:rsid w:val="004D60E2"/>
    <w:rsid w:val="004D62D1"/>
    <w:rsid w:val="004D69B5"/>
    <w:rsid w:val="004D69C0"/>
    <w:rsid w:val="004D6A6D"/>
    <w:rsid w:val="004D7227"/>
    <w:rsid w:val="004D7324"/>
    <w:rsid w:val="004D7642"/>
    <w:rsid w:val="004D7B5E"/>
    <w:rsid w:val="004D7BE9"/>
    <w:rsid w:val="004D7CDD"/>
    <w:rsid w:val="004D7D21"/>
    <w:rsid w:val="004D7FAE"/>
    <w:rsid w:val="004E0E7F"/>
    <w:rsid w:val="004E0EB8"/>
    <w:rsid w:val="004E1327"/>
    <w:rsid w:val="004E18E9"/>
    <w:rsid w:val="004E292D"/>
    <w:rsid w:val="004E2ADC"/>
    <w:rsid w:val="004E3149"/>
    <w:rsid w:val="004E3372"/>
    <w:rsid w:val="004E3B3C"/>
    <w:rsid w:val="004E3C55"/>
    <w:rsid w:val="004E426F"/>
    <w:rsid w:val="004E43B2"/>
    <w:rsid w:val="004E4AD0"/>
    <w:rsid w:val="004E4E21"/>
    <w:rsid w:val="004E50D2"/>
    <w:rsid w:val="004E588D"/>
    <w:rsid w:val="004E594E"/>
    <w:rsid w:val="004E5D4E"/>
    <w:rsid w:val="004E5E11"/>
    <w:rsid w:val="004E61C9"/>
    <w:rsid w:val="004E639D"/>
    <w:rsid w:val="004E6A44"/>
    <w:rsid w:val="004E6C7F"/>
    <w:rsid w:val="004E6D41"/>
    <w:rsid w:val="004E72F5"/>
    <w:rsid w:val="004E73A9"/>
    <w:rsid w:val="004E75D6"/>
    <w:rsid w:val="004E7F3B"/>
    <w:rsid w:val="004F04BD"/>
    <w:rsid w:val="004F0693"/>
    <w:rsid w:val="004F0EB5"/>
    <w:rsid w:val="004F0F5F"/>
    <w:rsid w:val="004F1844"/>
    <w:rsid w:val="004F1927"/>
    <w:rsid w:val="004F1B1E"/>
    <w:rsid w:val="004F1D02"/>
    <w:rsid w:val="004F2047"/>
    <w:rsid w:val="004F2679"/>
    <w:rsid w:val="004F2F21"/>
    <w:rsid w:val="004F32CA"/>
    <w:rsid w:val="004F347E"/>
    <w:rsid w:val="004F3BC8"/>
    <w:rsid w:val="004F3DE5"/>
    <w:rsid w:val="004F4060"/>
    <w:rsid w:val="004F4303"/>
    <w:rsid w:val="004F4483"/>
    <w:rsid w:val="004F45A5"/>
    <w:rsid w:val="004F4A09"/>
    <w:rsid w:val="004F4DE6"/>
    <w:rsid w:val="004F50A3"/>
    <w:rsid w:val="004F5432"/>
    <w:rsid w:val="004F5DC2"/>
    <w:rsid w:val="004F5E4D"/>
    <w:rsid w:val="004F605E"/>
    <w:rsid w:val="004F6777"/>
    <w:rsid w:val="004F6913"/>
    <w:rsid w:val="004F73F5"/>
    <w:rsid w:val="004F7865"/>
    <w:rsid w:val="004F7D58"/>
    <w:rsid w:val="00500049"/>
    <w:rsid w:val="00500417"/>
    <w:rsid w:val="0050107A"/>
    <w:rsid w:val="00501207"/>
    <w:rsid w:val="00501233"/>
    <w:rsid w:val="0050174E"/>
    <w:rsid w:val="00501854"/>
    <w:rsid w:val="00501AD1"/>
    <w:rsid w:val="00501FA1"/>
    <w:rsid w:val="0050219B"/>
    <w:rsid w:val="005025E0"/>
    <w:rsid w:val="00502AE8"/>
    <w:rsid w:val="00502C5F"/>
    <w:rsid w:val="00502E53"/>
    <w:rsid w:val="005031BF"/>
    <w:rsid w:val="005034C8"/>
    <w:rsid w:val="0050362D"/>
    <w:rsid w:val="00503BA3"/>
    <w:rsid w:val="00503F17"/>
    <w:rsid w:val="00503F3A"/>
    <w:rsid w:val="00504194"/>
    <w:rsid w:val="00504A7F"/>
    <w:rsid w:val="00505379"/>
    <w:rsid w:val="00505EF1"/>
    <w:rsid w:val="0050654B"/>
    <w:rsid w:val="00506579"/>
    <w:rsid w:val="00506928"/>
    <w:rsid w:val="00506B6B"/>
    <w:rsid w:val="005077EF"/>
    <w:rsid w:val="0051004C"/>
    <w:rsid w:val="0051067B"/>
    <w:rsid w:val="00510D4B"/>
    <w:rsid w:val="00510E64"/>
    <w:rsid w:val="00511227"/>
    <w:rsid w:val="00511363"/>
    <w:rsid w:val="005113B0"/>
    <w:rsid w:val="0051149F"/>
    <w:rsid w:val="00511AD5"/>
    <w:rsid w:val="00511DC7"/>
    <w:rsid w:val="00511F49"/>
    <w:rsid w:val="00512366"/>
    <w:rsid w:val="005125FE"/>
    <w:rsid w:val="005128B8"/>
    <w:rsid w:val="005128BF"/>
    <w:rsid w:val="005130D3"/>
    <w:rsid w:val="005142C5"/>
    <w:rsid w:val="00514E71"/>
    <w:rsid w:val="00514FEC"/>
    <w:rsid w:val="0051501B"/>
    <w:rsid w:val="005152B5"/>
    <w:rsid w:val="00515886"/>
    <w:rsid w:val="00515912"/>
    <w:rsid w:val="00516256"/>
    <w:rsid w:val="00516520"/>
    <w:rsid w:val="005168C3"/>
    <w:rsid w:val="00516D7B"/>
    <w:rsid w:val="00517639"/>
    <w:rsid w:val="00517815"/>
    <w:rsid w:val="00517E9A"/>
    <w:rsid w:val="005206EB"/>
    <w:rsid w:val="00520C08"/>
    <w:rsid w:val="00521176"/>
    <w:rsid w:val="005211E0"/>
    <w:rsid w:val="0052123C"/>
    <w:rsid w:val="00521319"/>
    <w:rsid w:val="005221F1"/>
    <w:rsid w:val="00522BC8"/>
    <w:rsid w:val="00523411"/>
    <w:rsid w:val="00523A09"/>
    <w:rsid w:val="00523C28"/>
    <w:rsid w:val="00523F71"/>
    <w:rsid w:val="005243E9"/>
    <w:rsid w:val="00524ACC"/>
    <w:rsid w:val="00524D08"/>
    <w:rsid w:val="00525138"/>
    <w:rsid w:val="00525A4A"/>
    <w:rsid w:val="00525C06"/>
    <w:rsid w:val="00525E76"/>
    <w:rsid w:val="00525FF7"/>
    <w:rsid w:val="005263CF"/>
    <w:rsid w:val="00526844"/>
    <w:rsid w:val="00527251"/>
    <w:rsid w:val="00527399"/>
    <w:rsid w:val="0052778A"/>
    <w:rsid w:val="005303EA"/>
    <w:rsid w:val="0053059A"/>
    <w:rsid w:val="00531293"/>
    <w:rsid w:val="005316C4"/>
    <w:rsid w:val="0053176B"/>
    <w:rsid w:val="00531883"/>
    <w:rsid w:val="005319EC"/>
    <w:rsid w:val="00531E39"/>
    <w:rsid w:val="005341B3"/>
    <w:rsid w:val="0053498B"/>
    <w:rsid w:val="00534BA3"/>
    <w:rsid w:val="0053668E"/>
    <w:rsid w:val="00536AEE"/>
    <w:rsid w:val="00536BDF"/>
    <w:rsid w:val="00536F42"/>
    <w:rsid w:val="00536F7E"/>
    <w:rsid w:val="00537182"/>
    <w:rsid w:val="005373D9"/>
    <w:rsid w:val="0053755F"/>
    <w:rsid w:val="00540091"/>
    <w:rsid w:val="00540298"/>
    <w:rsid w:val="005403D9"/>
    <w:rsid w:val="00540663"/>
    <w:rsid w:val="00540D54"/>
    <w:rsid w:val="00541094"/>
    <w:rsid w:val="00541658"/>
    <w:rsid w:val="00541E13"/>
    <w:rsid w:val="00541EDD"/>
    <w:rsid w:val="005422E9"/>
    <w:rsid w:val="005424C7"/>
    <w:rsid w:val="00542743"/>
    <w:rsid w:val="00542C2D"/>
    <w:rsid w:val="00543050"/>
    <w:rsid w:val="00543451"/>
    <w:rsid w:val="005441C3"/>
    <w:rsid w:val="0054449E"/>
    <w:rsid w:val="005448F9"/>
    <w:rsid w:val="00545062"/>
    <w:rsid w:val="005453AD"/>
    <w:rsid w:val="0054556D"/>
    <w:rsid w:val="00546C00"/>
    <w:rsid w:val="00546CF1"/>
    <w:rsid w:val="005478BD"/>
    <w:rsid w:val="005479E3"/>
    <w:rsid w:val="00547A9D"/>
    <w:rsid w:val="00547E2F"/>
    <w:rsid w:val="00550262"/>
    <w:rsid w:val="005510FF"/>
    <w:rsid w:val="00551985"/>
    <w:rsid w:val="00551C83"/>
    <w:rsid w:val="00551CEA"/>
    <w:rsid w:val="00551EE5"/>
    <w:rsid w:val="00552171"/>
    <w:rsid w:val="00552BD3"/>
    <w:rsid w:val="00552DC5"/>
    <w:rsid w:val="00552F6B"/>
    <w:rsid w:val="005532A0"/>
    <w:rsid w:val="005535AE"/>
    <w:rsid w:val="00553BC6"/>
    <w:rsid w:val="00553DDA"/>
    <w:rsid w:val="0055409D"/>
    <w:rsid w:val="00554164"/>
    <w:rsid w:val="005542D5"/>
    <w:rsid w:val="005543A9"/>
    <w:rsid w:val="00554612"/>
    <w:rsid w:val="00554C68"/>
    <w:rsid w:val="00555109"/>
    <w:rsid w:val="00555154"/>
    <w:rsid w:val="0055515B"/>
    <w:rsid w:val="00555957"/>
    <w:rsid w:val="00556A17"/>
    <w:rsid w:val="00556B35"/>
    <w:rsid w:val="0055703C"/>
    <w:rsid w:val="0055741A"/>
    <w:rsid w:val="00557442"/>
    <w:rsid w:val="0055759C"/>
    <w:rsid w:val="005575DC"/>
    <w:rsid w:val="00557DC1"/>
    <w:rsid w:val="005600AC"/>
    <w:rsid w:val="0056045C"/>
    <w:rsid w:val="005611B7"/>
    <w:rsid w:val="005614D0"/>
    <w:rsid w:val="00561624"/>
    <w:rsid w:val="005618D4"/>
    <w:rsid w:val="00561A75"/>
    <w:rsid w:val="00561D84"/>
    <w:rsid w:val="00561E3A"/>
    <w:rsid w:val="00561EEC"/>
    <w:rsid w:val="00562998"/>
    <w:rsid w:val="005629BE"/>
    <w:rsid w:val="00562E3A"/>
    <w:rsid w:val="005632E3"/>
    <w:rsid w:val="00563343"/>
    <w:rsid w:val="005634A5"/>
    <w:rsid w:val="00563583"/>
    <w:rsid w:val="005635A8"/>
    <w:rsid w:val="0056382C"/>
    <w:rsid w:val="00563F3C"/>
    <w:rsid w:val="00564103"/>
    <w:rsid w:val="005641A8"/>
    <w:rsid w:val="0056428B"/>
    <w:rsid w:val="00564867"/>
    <w:rsid w:val="00565918"/>
    <w:rsid w:val="00565C79"/>
    <w:rsid w:val="00565DF0"/>
    <w:rsid w:val="00565F50"/>
    <w:rsid w:val="0056616A"/>
    <w:rsid w:val="00566190"/>
    <w:rsid w:val="005663D4"/>
    <w:rsid w:val="00566809"/>
    <w:rsid w:val="0056696F"/>
    <w:rsid w:val="005669E5"/>
    <w:rsid w:val="005672AB"/>
    <w:rsid w:val="005674F2"/>
    <w:rsid w:val="005675B5"/>
    <w:rsid w:val="0056767C"/>
    <w:rsid w:val="005676DC"/>
    <w:rsid w:val="00567A7C"/>
    <w:rsid w:val="00567F4B"/>
    <w:rsid w:val="005700FC"/>
    <w:rsid w:val="0057014A"/>
    <w:rsid w:val="0057026B"/>
    <w:rsid w:val="00570929"/>
    <w:rsid w:val="00570C1C"/>
    <w:rsid w:val="00570C59"/>
    <w:rsid w:val="00570D5C"/>
    <w:rsid w:val="00570EA3"/>
    <w:rsid w:val="005712EC"/>
    <w:rsid w:val="00571474"/>
    <w:rsid w:val="00572269"/>
    <w:rsid w:val="0057244A"/>
    <w:rsid w:val="005725E2"/>
    <w:rsid w:val="00572F26"/>
    <w:rsid w:val="005736A1"/>
    <w:rsid w:val="00573754"/>
    <w:rsid w:val="00573E3F"/>
    <w:rsid w:val="0057433F"/>
    <w:rsid w:val="005747C7"/>
    <w:rsid w:val="0057489F"/>
    <w:rsid w:val="00574B54"/>
    <w:rsid w:val="00574D27"/>
    <w:rsid w:val="00574FBC"/>
    <w:rsid w:val="005750C5"/>
    <w:rsid w:val="00575243"/>
    <w:rsid w:val="00575247"/>
    <w:rsid w:val="0057527B"/>
    <w:rsid w:val="005752DE"/>
    <w:rsid w:val="00575513"/>
    <w:rsid w:val="00575A2A"/>
    <w:rsid w:val="00575A84"/>
    <w:rsid w:val="00575D60"/>
    <w:rsid w:val="00575D8D"/>
    <w:rsid w:val="005760E7"/>
    <w:rsid w:val="005764A9"/>
    <w:rsid w:val="0057653F"/>
    <w:rsid w:val="00576972"/>
    <w:rsid w:val="0057697F"/>
    <w:rsid w:val="00576AAA"/>
    <w:rsid w:val="00576C8D"/>
    <w:rsid w:val="00577248"/>
    <w:rsid w:val="005773FB"/>
    <w:rsid w:val="00577439"/>
    <w:rsid w:val="005774D4"/>
    <w:rsid w:val="005778D5"/>
    <w:rsid w:val="00577CCB"/>
    <w:rsid w:val="00577E48"/>
    <w:rsid w:val="005801D8"/>
    <w:rsid w:val="00580387"/>
    <w:rsid w:val="00580AAF"/>
    <w:rsid w:val="00582115"/>
    <w:rsid w:val="005822DA"/>
    <w:rsid w:val="0058312B"/>
    <w:rsid w:val="0058339E"/>
    <w:rsid w:val="00583699"/>
    <w:rsid w:val="005838D9"/>
    <w:rsid w:val="00583B48"/>
    <w:rsid w:val="00583BA1"/>
    <w:rsid w:val="005842CC"/>
    <w:rsid w:val="0058531F"/>
    <w:rsid w:val="0058569C"/>
    <w:rsid w:val="0058593F"/>
    <w:rsid w:val="00585B72"/>
    <w:rsid w:val="00585CDD"/>
    <w:rsid w:val="00586429"/>
    <w:rsid w:val="005866BF"/>
    <w:rsid w:val="00586755"/>
    <w:rsid w:val="005867B9"/>
    <w:rsid w:val="00587058"/>
    <w:rsid w:val="005873D4"/>
    <w:rsid w:val="0059030D"/>
    <w:rsid w:val="00590542"/>
    <w:rsid w:val="00590696"/>
    <w:rsid w:val="0059072C"/>
    <w:rsid w:val="00591957"/>
    <w:rsid w:val="005919E7"/>
    <w:rsid w:val="005923CD"/>
    <w:rsid w:val="00592A62"/>
    <w:rsid w:val="00592DDA"/>
    <w:rsid w:val="00593B9B"/>
    <w:rsid w:val="00594147"/>
    <w:rsid w:val="005945E5"/>
    <w:rsid w:val="00594694"/>
    <w:rsid w:val="00594940"/>
    <w:rsid w:val="00594B02"/>
    <w:rsid w:val="00595364"/>
    <w:rsid w:val="0059543C"/>
    <w:rsid w:val="005956F1"/>
    <w:rsid w:val="00595AC3"/>
    <w:rsid w:val="0059656B"/>
    <w:rsid w:val="005966B3"/>
    <w:rsid w:val="00596978"/>
    <w:rsid w:val="00596AB7"/>
    <w:rsid w:val="00596AC3"/>
    <w:rsid w:val="00596BA4"/>
    <w:rsid w:val="0059796E"/>
    <w:rsid w:val="00597A3B"/>
    <w:rsid w:val="00597B8F"/>
    <w:rsid w:val="00597BF4"/>
    <w:rsid w:val="00597BF9"/>
    <w:rsid w:val="005A0300"/>
    <w:rsid w:val="005A0956"/>
    <w:rsid w:val="005A0C11"/>
    <w:rsid w:val="005A14B9"/>
    <w:rsid w:val="005A17E9"/>
    <w:rsid w:val="005A1BB6"/>
    <w:rsid w:val="005A1E91"/>
    <w:rsid w:val="005A309A"/>
    <w:rsid w:val="005A366C"/>
    <w:rsid w:val="005A373D"/>
    <w:rsid w:val="005A39C3"/>
    <w:rsid w:val="005A3E38"/>
    <w:rsid w:val="005A46FC"/>
    <w:rsid w:val="005A4920"/>
    <w:rsid w:val="005A4DD4"/>
    <w:rsid w:val="005A4EAA"/>
    <w:rsid w:val="005A4FDD"/>
    <w:rsid w:val="005A55B8"/>
    <w:rsid w:val="005A59EC"/>
    <w:rsid w:val="005A5B56"/>
    <w:rsid w:val="005A6354"/>
    <w:rsid w:val="005A65E0"/>
    <w:rsid w:val="005A71E2"/>
    <w:rsid w:val="005A7400"/>
    <w:rsid w:val="005A7560"/>
    <w:rsid w:val="005B055A"/>
    <w:rsid w:val="005B05F3"/>
    <w:rsid w:val="005B0B58"/>
    <w:rsid w:val="005B0E04"/>
    <w:rsid w:val="005B16F3"/>
    <w:rsid w:val="005B1898"/>
    <w:rsid w:val="005B1938"/>
    <w:rsid w:val="005B1A19"/>
    <w:rsid w:val="005B1B25"/>
    <w:rsid w:val="005B1EBC"/>
    <w:rsid w:val="005B28EC"/>
    <w:rsid w:val="005B2DFC"/>
    <w:rsid w:val="005B33EF"/>
    <w:rsid w:val="005B34D8"/>
    <w:rsid w:val="005B3972"/>
    <w:rsid w:val="005B3C15"/>
    <w:rsid w:val="005B3F0D"/>
    <w:rsid w:val="005B49E9"/>
    <w:rsid w:val="005B4E53"/>
    <w:rsid w:val="005B4EA6"/>
    <w:rsid w:val="005B514F"/>
    <w:rsid w:val="005B5857"/>
    <w:rsid w:val="005B58EA"/>
    <w:rsid w:val="005B65D1"/>
    <w:rsid w:val="005B7183"/>
    <w:rsid w:val="005B764F"/>
    <w:rsid w:val="005B78AD"/>
    <w:rsid w:val="005C006F"/>
    <w:rsid w:val="005C0C58"/>
    <w:rsid w:val="005C1151"/>
    <w:rsid w:val="005C1952"/>
    <w:rsid w:val="005C19C4"/>
    <w:rsid w:val="005C1B83"/>
    <w:rsid w:val="005C22DE"/>
    <w:rsid w:val="005C22F4"/>
    <w:rsid w:val="005C252E"/>
    <w:rsid w:val="005C25FF"/>
    <w:rsid w:val="005C2D10"/>
    <w:rsid w:val="005C2D55"/>
    <w:rsid w:val="005C300A"/>
    <w:rsid w:val="005C31D7"/>
    <w:rsid w:val="005C346B"/>
    <w:rsid w:val="005C34CE"/>
    <w:rsid w:val="005C362E"/>
    <w:rsid w:val="005C477B"/>
    <w:rsid w:val="005C4A86"/>
    <w:rsid w:val="005C4C5E"/>
    <w:rsid w:val="005C4C88"/>
    <w:rsid w:val="005C4CD4"/>
    <w:rsid w:val="005C51E3"/>
    <w:rsid w:val="005C5A65"/>
    <w:rsid w:val="005C5ABC"/>
    <w:rsid w:val="005C5BA2"/>
    <w:rsid w:val="005C5CD1"/>
    <w:rsid w:val="005C62A7"/>
    <w:rsid w:val="005C7284"/>
    <w:rsid w:val="005C7A88"/>
    <w:rsid w:val="005C7AB6"/>
    <w:rsid w:val="005D01AF"/>
    <w:rsid w:val="005D0383"/>
    <w:rsid w:val="005D03FC"/>
    <w:rsid w:val="005D044D"/>
    <w:rsid w:val="005D0ABD"/>
    <w:rsid w:val="005D0E39"/>
    <w:rsid w:val="005D133C"/>
    <w:rsid w:val="005D18AD"/>
    <w:rsid w:val="005D1B9D"/>
    <w:rsid w:val="005D22F2"/>
    <w:rsid w:val="005D26B4"/>
    <w:rsid w:val="005D271A"/>
    <w:rsid w:val="005D2ECE"/>
    <w:rsid w:val="005D3876"/>
    <w:rsid w:val="005D43E5"/>
    <w:rsid w:val="005D4639"/>
    <w:rsid w:val="005D49A4"/>
    <w:rsid w:val="005D50EA"/>
    <w:rsid w:val="005D55B4"/>
    <w:rsid w:val="005D5A56"/>
    <w:rsid w:val="005D5C1A"/>
    <w:rsid w:val="005D67E1"/>
    <w:rsid w:val="005D6B3E"/>
    <w:rsid w:val="005D6E8A"/>
    <w:rsid w:val="005D7440"/>
    <w:rsid w:val="005D77AB"/>
    <w:rsid w:val="005D7AEF"/>
    <w:rsid w:val="005D7B41"/>
    <w:rsid w:val="005D7D90"/>
    <w:rsid w:val="005E03D5"/>
    <w:rsid w:val="005E0687"/>
    <w:rsid w:val="005E070D"/>
    <w:rsid w:val="005E1105"/>
    <w:rsid w:val="005E161B"/>
    <w:rsid w:val="005E1995"/>
    <w:rsid w:val="005E2366"/>
    <w:rsid w:val="005E2667"/>
    <w:rsid w:val="005E2A31"/>
    <w:rsid w:val="005E2CD0"/>
    <w:rsid w:val="005E308D"/>
    <w:rsid w:val="005E3513"/>
    <w:rsid w:val="005E3978"/>
    <w:rsid w:val="005E3DA9"/>
    <w:rsid w:val="005E41D2"/>
    <w:rsid w:val="005E4277"/>
    <w:rsid w:val="005E475C"/>
    <w:rsid w:val="005E484A"/>
    <w:rsid w:val="005E4C35"/>
    <w:rsid w:val="005E4CC2"/>
    <w:rsid w:val="005E4E4B"/>
    <w:rsid w:val="005E5A1B"/>
    <w:rsid w:val="005E5A8E"/>
    <w:rsid w:val="005E5D26"/>
    <w:rsid w:val="005E5E36"/>
    <w:rsid w:val="005E61F7"/>
    <w:rsid w:val="005E692B"/>
    <w:rsid w:val="005E6B7C"/>
    <w:rsid w:val="005E6CBC"/>
    <w:rsid w:val="005E6EAD"/>
    <w:rsid w:val="005E7233"/>
    <w:rsid w:val="005E72FF"/>
    <w:rsid w:val="005E73C0"/>
    <w:rsid w:val="005F0114"/>
    <w:rsid w:val="005F07ED"/>
    <w:rsid w:val="005F13DA"/>
    <w:rsid w:val="005F16C8"/>
    <w:rsid w:val="005F170C"/>
    <w:rsid w:val="005F22A9"/>
    <w:rsid w:val="005F2582"/>
    <w:rsid w:val="005F2706"/>
    <w:rsid w:val="005F288F"/>
    <w:rsid w:val="005F2902"/>
    <w:rsid w:val="005F2957"/>
    <w:rsid w:val="005F295F"/>
    <w:rsid w:val="005F2B47"/>
    <w:rsid w:val="005F2B8C"/>
    <w:rsid w:val="005F2C62"/>
    <w:rsid w:val="005F3F07"/>
    <w:rsid w:val="005F5FA5"/>
    <w:rsid w:val="005F6326"/>
    <w:rsid w:val="005F6A8F"/>
    <w:rsid w:val="005F6BB7"/>
    <w:rsid w:val="005F73CF"/>
    <w:rsid w:val="005F7588"/>
    <w:rsid w:val="005F7620"/>
    <w:rsid w:val="005F77DB"/>
    <w:rsid w:val="005F7F16"/>
    <w:rsid w:val="005F7F1C"/>
    <w:rsid w:val="00600894"/>
    <w:rsid w:val="00600A7A"/>
    <w:rsid w:val="006014C4"/>
    <w:rsid w:val="00601678"/>
    <w:rsid w:val="0060183E"/>
    <w:rsid w:val="00601C9D"/>
    <w:rsid w:val="0060216D"/>
    <w:rsid w:val="00602793"/>
    <w:rsid w:val="006028D3"/>
    <w:rsid w:val="00602CB8"/>
    <w:rsid w:val="0060326A"/>
    <w:rsid w:val="0060351C"/>
    <w:rsid w:val="00603DB9"/>
    <w:rsid w:val="00603E36"/>
    <w:rsid w:val="006042BF"/>
    <w:rsid w:val="006049AB"/>
    <w:rsid w:val="006053A7"/>
    <w:rsid w:val="00605488"/>
    <w:rsid w:val="006055AE"/>
    <w:rsid w:val="006057F2"/>
    <w:rsid w:val="00605E98"/>
    <w:rsid w:val="00606236"/>
    <w:rsid w:val="006062BF"/>
    <w:rsid w:val="00606FBA"/>
    <w:rsid w:val="00607669"/>
    <w:rsid w:val="006076F4"/>
    <w:rsid w:val="00607AFD"/>
    <w:rsid w:val="00611197"/>
    <w:rsid w:val="00611303"/>
    <w:rsid w:val="00611342"/>
    <w:rsid w:val="006115E7"/>
    <w:rsid w:val="006119A8"/>
    <w:rsid w:val="00611B12"/>
    <w:rsid w:val="00611D8E"/>
    <w:rsid w:val="00612869"/>
    <w:rsid w:val="00612C25"/>
    <w:rsid w:val="00612E12"/>
    <w:rsid w:val="00612F97"/>
    <w:rsid w:val="006130FC"/>
    <w:rsid w:val="0061345D"/>
    <w:rsid w:val="00613742"/>
    <w:rsid w:val="00613A6F"/>
    <w:rsid w:val="00614072"/>
    <w:rsid w:val="006152AF"/>
    <w:rsid w:val="0061549B"/>
    <w:rsid w:val="0061563C"/>
    <w:rsid w:val="00615A30"/>
    <w:rsid w:val="00615DCE"/>
    <w:rsid w:val="0061631C"/>
    <w:rsid w:val="006166EA"/>
    <w:rsid w:val="00616802"/>
    <w:rsid w:val="00616890"/>
    <w:rsid w:val="00616957"/>
    <w:rsid w:val="00616B3E"/>
    <w:rsid w:val="00616F7E"/>
    <w:rsid w:val="006172B2"/>
    <w:rsid w:val="0061735F"/>
    <w:rsid w:val="006175CF"/>
    <w:rsid w:val="00617E12"/>
    <w:rsid w:val="006205DF"/>
    <w:rsid w:val="00620C25"/>
    <w:rsid w:val="00621173"/>
    <w:rsid w:val="00621477"/>
    <w:rsid w:val="00621490"/>
    <w:rsid w:val="00621ADA"/>
    <w:rsid w:val="00621C3F"/>
    <w:rsid w:val="00621CD6"/>
    <w:rsid w:val="00621EE2"/>
    <w:rsid w:val="006220D1"/>
    <w:rsid w:val="00622260"/>
    <w:rsid w:val="00623058"/>
    <w:rsid w:val="00623505"/>
    <w:rsid w:val="00623A72"/>
    <w:rsid w:val="00623B27"/>
    <w:rsid w:val="00623F5E"/>
    <w:rsid w:val="00623F7B"/>
    <w:rsid w:val="0062428E"/>
    <w:rsid w:val="00624A10"/>
    <w:rsid w:val="00624AC0"/>
    <w:rsid w:val="00624BD4"/>
    <w:rsid w:val="00625629"/>
    <w:rsid w:val="0062595E"/>
    <w:rsid w:val="00625E56"/>
    <w:rsid w:val="00626EDD"/>
    <w:rsid w:val="00627005"/>
    <w:rsid w:val="00627946"/>
    <w:rsid w:val="006279B0"/>
    <w:rsid w:val="00627B9F"/>
    <w:rsid w:val="0063095C"/>
    <w:rsid w:val="00630BC7"/>
    <w:rsid w:val="00631361"/>
    <w:rsid w:val="006313F2"/>
    <w:rsid w:val="0063158F"/>
    <w:rsid w:val="006316AD"/>
    <w:rsid w:val="00631D6B"/>
    <w:rsid w:val="00631E8A"/>
    <w:rsid w:val="00631FE4"/>
    <w:rsid w:val="00632003"/>
    <w:rsid w:val="00632183"/>
    <w:rsid w:val="006322C7"/>
    <w:rsid w:val="0063230A"/>
    <w:rsid w:val="0063246E"/>
    <w:rsid w:val="00632BE4"/>
    <w:rsid w:val="006330A1"/>
    <w:rsid w:val="006330FB"/>
    <w:rsid w:val="0063345B"/>
    <w:rsid w:val="0063369F"/>
    <w:rsid w:val="006337DE"/>
    <w:rsid w:val="0063479F"/>
    <w:rsid w:val="00634C47"/>
    <w:rsid w:val="00634C88"/>
    <w:rsid w:val="00635032"/>
    <w:rsid w:val="006353F0"/>
    <w:rsid w:val="006357B5"/>
    <w:rsid w:val="00635A16"/>
    <w:rsid w:val="00635E42"/>
    <w:rsid w:val="0063638B"/>
    <w:rsid w:val="006364A1"/>
    <w:rsid w:val="0063675A"/>
    <w:rsid w:val="0063678E"/>
    <w:rsid w:val="00636842"/>
    <w:rsid w:val="006372EA"/>
    <w:rsid w:val="00637BBD"/>
    <w:rsid w:val="00637BFD"/>
    <w:rsid w:val="00637C5C"/>
    <w:rsid w:val="00637D4F"/>
    <w:rsid w:val="00637E20"/>
    <w:rsid w:val="00637F4F"/>
    <w:rsid w:val="0064076F"/>
    <w:rsid w:val="00640867"/>
    <w:rsid w:val="00640AE3"/>
    <w:rsid w:val="00640B53"/>
    <w:rsid w:val="00640CBE"/>
    <w:rsid w:val="00640CC2"/>
    <w:rsid w:val="00640E50"/>
    <w:rsid w:val="006412A1"/>
    <w:rsid w:val="0064157B"/>
    <w:rsid w:val="006418EC"/>
    <w:rsid w:val="00641C4E"/>
    <w:rsid w:val="00641FB3"/>
    <w:rsid w:val="006424B9"/>
    <w:rsid w:val="00642645"/>
    <w:rsid w:val="00643A73"/>
    <w:rsid w:val="00643EAD"/>
    <w:rsid w:val="006440C6"/>
    <w:rsid w:val="00644142"/>
    <w:rsid w:val="0064434C"/>
    <w:rsid w:val="00644EBE"/>
    <w:rsid w:val="0064503C"/>
    <w:rsid w:val="006455EB"/>
    <w:rsid w:val="006457EE"/>
    <w:rsid w:val="00645C4F"/>
    <w:rsid w:val="0064624D"/>
    <w:rsid w:val="00646345"/>
    <w:rsid w:val="006469FD"/>
    <w:rsid w:val="006471CC"/>
    <w:rsid w:val="006472F0"/>
    <w:rsid w:val="006472F8"/>
    <w:rsid w:val="006472FE"/>
    <w:rsid w:val="0064785A"/>
    <w:rsid w:val="00647A29"/>
    <w:rsid w:val="00647A99"/>
    <w:rsid w:val="00647EDF"/>
    <w:rsid w:val="00650031"/>
    <w:rsid w:val="006503DE"/>
    <w:rsid w:val="0065079F"/>
    <w:rsid w:val="006507A6"/>
    <w:rsid w:val="00650A9F"/>
    <w:rsid w:val="00650D18"/>
    <w:rsid w:val="006515F1"/>
    <w:rsid w:val="00651997"/>
    <w:rsid w:val="00652A28"/>
    <w:rsid w:val="00652FAA"/>
    <w:rsid w:val="00653474"/>
    <w:rsid w:val="0065379F"/>
    <w:rsid w:val="006537CA"/>
    <w:rsid w:val="00653F59"/>
    <w:rsid w:val="0065406F"/>
    <w:rsid w:val="006540C2"/>
    <w:rsid w:val="00654878"/>
    <w:rsid w:val="006553F4"/>
    <w:rsid w:val="00655548"/>
    <w:rsid w:val="00656188"/>
    <w:rsid w:val="00656A28"/>
    <w:rsid w:val="00656E08"/>
    <w:rsid w:val="0065715A"/>
    <w:rsid w:val="0065744F"/>
    <w:rsid w:val="0065768B"/>
    <w:rsid w:val="00657D31"/>
    <w:rsid w:val="00660812"/>
    <w:rsid w:val="00660EC7"/>
    <w:rsid w:val="006610F1"/>
    <w:rsid w:val="006615CB"/>
    <w:rsid w:val="00661C6B"/>
    <w:rsid w:val="00661DA3"/>
    <w:rsid w:val="006625A6"/>
    <w:rsid w:val="006628A5"/>
    <w:rsid w:val="006628B9"/>
    <w:rsid w:val="00662D3E"/>
    <w:rsid w:val="00663023"/>
    <w:rsid w:val="006630E3"/>
    <w:rsid w:val="006638FC"/>
    <w:rsid w:val="00663953"/>
    <w:rsid w:val="00663A2D"/>
    <w:rsid w:val="00663FF4"/>
    <w:rsid w:val="006642FB"/>
    <w:rsid w:val="006644CC"/>
    <w:rsid w:val="00664D04"/>
    <w:rsid w:val="00665258"/>
    <w:rsid w:val="006653AD"/>
    <w:rsid w:val="00665644"/>
    <w:rsid w:val="0066573D"/>
    <w:rsid w:val="00665B45"/>
    <w:rsid w:val="00665C7D"/>
    <w:rsid w:val="00666064"/>
    <w:rsid w:val="00666999"/>
    <w:rsid w:val="00666F66"/>
    <w:rsid w:val="00667896"/>
    <w:rsid w:val="00667BE3"/>
    <w:rsid w:val="00667F2A"/>
    <w:rsid w:val="00667F96"/>
    <w:rsid w:val="00670438"/>
    <w:rsid w:val="0067060F"/>
    <w:rsid w:val="00670673"/>
    <w:rsid w:val="006707A8"/>
    <w:rsid w:val="00670D07"/>
    <w:rsid w:val="00671004"/>
    <w:rsid w:val="00671B7D"/>
    <w:rsid w:val="00671F01"/>
    <w:rsid w:val="0067201C"/>
    <w:rsid w:val="0067208F"/>
    <w:rsid w:val="00672646"/>
    <w:rsid w:val="00672CB8"/>
    <w:rsid w:val="00672E3F"/>
    <w:rsid w:val="00673375"/>
    <w:rsid w:val="006736CC"/>
    <w:rsid w:val="00673B80"/>
    <w:rsid w:val="00673F6A"/>
    <w:rsid w:val="00674009"/>
    <w:rsid w:val="0067405C"/>
    <w:rsid w:val="00674090"/>
    <w:rsid w:val="006741A1"/>
    <w:rsid w:val="00674DEF"/>
    <w:rsid w:val="00674E42"/>
    <w:rsid w:val="00674E7E"/>
    <w:rsid w:val="006753EA"/>
    <w:rsid w:val="00675737"/>
    <w:rsid w:val="006763F4"/>
    <w:rsid w:val="00676563"/>
    <w:rsid w:val="0067675D"/>
    <w:rsid w:val="00676974"/>
    <w:rsid w:val="006769B1"/>
    <w:rsid w:val="00677113"/>
    <w:rsid w:val="00680474"/>
    <w:rsid w:val="0068079B"/>
    <w:rsid w:val="00680A93"/>
    <w:rsid w:val="006813F8"/>
    <w:rsid w:val="00681436"/>
    <w:rsid w:val="0068157E"/>
    <w:rsid w:val="006820F2"/>
    <w:rsid w:val="00682112"/>
    <w:rsid w:val="0068260F"/>
    <w:rsid w:val="00682B5E"/>
    <w:rsid w:val="00682BA6"/>
    <w:rsid w:val="006833B2"/>
    <w:rsid w:val="00683929"/>
    <w:rsid w:val="00683952"/>
    <w:rsid w:val="0068429A"/>
    <w:rsid w:val="006844B8"/>
    <w:rsid w:val="006844DD"/>
    <w:rsid w:val="006845EF"/>
    <w:rsid w:val="0068484E"/>
    <w:rsid w:val="00685219"/>
    <w:rsid w:val="006854C9"/>
    <w:rsid w:val="00685688"/>
    <w:rsid w:val="00685D0C"/>
    <w:rsid w:val="00686360"/>
    <w:rsid w:val="006864FA"/>
    <w:rsid w:val="00686957"/>
    <w:rsid w:val="00686C1F"/>
    <w:rsid w:val="00686EFC"/>
    <w:rsid w:val="0068702D"/>
    <w:rsid w:val="006872BA"/>
    <w:rsid w:val="0068748B"/>
    <w:rsid w:val="00687CF8"/>
    <w:rsid w:val="00687E10"/>
    <w:rsid w:val="00690094"/>
    <w:rsid w:val="00690305"/>
    <w:rsid w:val="006904D3"/>
    <w:rsid w:val="00690795"/>
    <w:rsid w:val="00690BAD"/>
    <w:rsid w:val="00690D7F"/>
    <w:rsid w:val="00691648"/>
    <w:rsid w:val="00691752"/>
    <w:rsid w:val="006917D7"/>
    <w:rsid w:val="006922B3"/>
    <w:rsid w:val="006927CE"/>
    <w:rsid w:val="006929CB"/>
    <w:rsid w:val="006929F6"/>
    <w:rsid w:val="00692BBC"/>
    <w:rsid w:val="00693244"/>
    <w:rsid w:val="00693A85"/>
    <w:rsid w:val="00693DB9"/>
    <w:rsid w:val="006941F1"/>
    <w:rsid w:val="0069434C"/>
    <w:rsid w:val="00694B93"/>
    <w:rsid w:val="00694BC9"/>
    <w:rsid w:val="00694D12"/>
    <w:rsid w:val="00694F44"/>
    <w:rsid w:val="00694F71"/>
    <w:rsid w:val="00695703"/>
    <w:rsid w:val="00695F8D"/>
    <w:rsid w:val="00695FD5"/>
    <w:rsid w:val="00696553"/>
    <w:rsid w:val="0069659E"/>
    <w:rsid w:val="0069664F"/>
    <w:rsid w:val="00696B94"/>
    <w:rsid w:val="00696EE1"/>
    <w:rsid w:val="00696EF9"/>
    <w:rsid w:val="00696F51"/>
    <w:rsid w:val="006974DE"/>
    <w:rsid w:val="006979A5"/>
    <w:rsid w:val="00697A25"/>
    <w:rsid w:val="00697ECC"/>
    <w:rsid w:val="006A00DC"/>
    <w:rsid w:val="006A016F"/>
    <w:rsid w:val="006A0370"/>
    <w:rsid w:val="006A086C"/>
    <w:rsid w:val="006A0D2C"/>
    <w:rsid w:val="006A0D46"/>
    <w:rsid w:val="006A0DF7"/>
    <w:rsid w:val="006A17A4"/>
    <w:rsid w:val="006A196F"/>
    <w:rsid w:val="006A1C97"/>
    <w:rsid w:val="006A1E78"/>
    <w:rsid w:val="006A2451"/>
    <w:rsid w:val="006A293B"/>
    <w:rsid w:val="006A2AA8"/>
    <w:rsid w:val="006A307E"/>
    <w:rsid w:val="006A3671"/>
    <w:rsid w:val="006A4321"/>
    <w:rsid w:val="006A43D9"/>
    <w:rsid w:val="006A441C"/>
    <w:rsid w:val="006A57F5"/>
    <w:rsid w:val="006A5CC0"/>
    <w:rsid w:val="006A5F30"/>
    <w:rsid w:val="006A6195"/>
    <w:rsid w:val="006A676F"/>
    <w:rsid w:val="006A680C"/>
    <w:rsid w:val="006A690B"/>
    <w:rsid w:val="006A6B99"/>
    <w:rsid w:val="006A7E5F"/>
    <w:rsid w:val="006B1128"/>
    <w:rsid w:val="006B1171"/>
    <w:rsid w:val="006B1287"/>
    <w:rsid w:val="006B1917"/>
    <w:rsid w:val="006B261B"/>
    <w:rsid w:val="006B2C90"/>
    <w:rsid w:val="006B35E6"/>
    <w:rsid w:val="006B465A"/>
    <w:rsid w:val="006B487F"/>
    <w:rsid w:val="006B52E3"/>
    <w:rsid w:val="006B5526"/>
    <w:rsid w:val="006B5D94"/>
    <w:rsid w:val="006B5FA7"/>
    <w:rsid w:val="006B67B3"/>
    <w:rsid w:val="006B68A9"/>
    <w:rsid w:val="006B6DD0"/>
    <w:rsid w:val="006B705E"/>
    <w:rsid w:val="006B76BF"/>
    <w:rsid w:val="006C0242"/>
    <w:rsid w:val="006C0399"/>
    <w:rsid w:val="006C07E1"/>
    <w:rsid w:val="006C0ED2"/>
    <w:rsid w:val="006C1110"/>
    <w:rsid w:val="006C144E"/>
    <w:rsid w:val="006C1AC0"/>
    <w:rsid w:val="006C22D8"/>
    <w:rsid w:val="006C2679"/>
    <w:rsid w:val="006C2808"/>
    <w:rsid w:val="006C2A8E"/>
    <w:rsid w:val="006C2BCF"/>
    <w:rsid w:val="006C2DE7"/>
    <w:rsid w:val="006C3255"/>
    <w:rsid w:val="006C3984"/>
    <w:rsid w:val="006C3F26"/>
    <w:rsid w:val="006C4010"/>
    <w:rsid w:val="006C4164"/>
    <w:rsid w:val="006C4543"/>
    <w:rsid w:val="006C4C45"/>
    <w:rsid w:val="006C4CAD"/>
    <w:rsid w:val="006C4D4A"/>
    <w:rsid w:val="006C5040"/>
    <w:rsid w:val="006C521D"/>
    <w:rsid w:val="006C5350"/>
    <w:rsid w:val="006C55D8"/>
    <w:rsid w:val="006C572F"/>
    <w:rsid w:val="006C5977"/>
    <w:rsid w:val="006C5AAA"/>
    <w:rsid w:val="006C5BAC"/>
    <w:rsid w:val="006C5D71"/>
    <w:rsid w:val="006C621B"/>
    <w:rsid w:val="006C6AD9"/>
    <w:rsid w:val="006C7E49"/>
    <w:rsid w:val="006D00C9"/>
    <w:rsid w:val="006D0563"/>
    <w:rsid w:val="006D0739"/>
    <w:rsid w:val="006D08B5"/>
    <w:rsid w:val="006D0D17"/>
    <w:rsid w:val="006D0D65"/>
    <w:rsid w:val="006D0D89"/>
    <w:rsid w:val="006D10C3"/>
    <w:rsid w:val="006D10C7"/>
    <w:rsid w:val="006D1171"/>
    <w:rsid w:val="006D14B4"/>
    <w:rsid w:val="006D183D"/>
    <w:rsid w:val="006D1BF0"/>
    <w:rsid w:val="006D2B05"/>
    <w:rsid w:val="006D2C26"/>
    <w:rsid w:val="006D2F8E"/>
    <w:rsid w:val="006D2FD9"/>
    <w:rsid w:val="006D30FD"/>
    <w:rsid w:val="006D3143"/>
    <w:rsid w:val="006D319A"/>
    <w:rsid w:val="006D31AA"/>
    <w:rsid w:val="006D334D"/>
    <w:rsid w:val="006D3B13"/>
    <w:rsid w:val="006D3C4B"/>
    <w:rsid w:val="006D3C7D"/>
    <w:rsid w:val="006D3D31"/>
    <w:rsid w:val="006D4659"/>
    <w:rsid w:val="006D520B"/>
    <w:rsid w:val="006D563F"/>
    <w:rsid w:val="006D5D5F"/>
    <w:rsid w:val="006D6115"/>
    <w:rsid w:val="006D68FB"/>
    <w:rsid w:val="006D69B3"/>
    <w:rsid w:val="006D6D82"/>
    <w:rsid w:val="006D6E72"/>
    <w:rsid w:val="006D7A3C"/>
    <w:rsid w:val="006E062A"/>
    <w:rsid w:val="006E0885"/>
    <w:rsid w:val="006E1712"/>
    <w:rsid w:val="006E1BC8"/>
    <w:rsid w:val="006E2306"/>
    <w:rsid w:val="006E2754"/>
    <w:rsid w:val="006E2868"/>
    <w:rsid w:val="006E2EB4"/>
    <w:rsid w:val="006E37E2"/>
    <w:rsid w:val="006E38B1"/>
    <w:rsid w:val="006E4274"/>
    <w:rsid w:val="006E4B56"/>
    <w:rsid w:val="006E4FCC"/>
    <w:rsid w:val="006E50A3"/>
    <w:rsid w:val="006E5DB7"/>
    <w:rsid w:val="006E61A6"/>
    <w:rsid w:val="006E6224"/>
    <w:rsid w:val="006E6AD8"/>
    <w:rsid w:val="006E6F9A"/>
    <w:rsid w:val="006E6F9F"/>
    <w:rsid w:val="006E7174"/>
    <w:rsid w:val="006E7270"/>
    <w:rsid w:val="006E744E"/>
    <w:rsid w:val="006F03F3"/>
    <w:rsid w:val="006F05C8"/>
    <w:rsid w:val="006F0E84"/>
    <w:rsid w:val="006F0F4E"/>
    <w:rsid w:val="006F15E4"/>
    <w:rsid w:val="006F1FF6"/>
    <w:rsid w:val="006F229E"/>
    <w:rsid w:val="006F2555"/>
    <w:rsid w:val="006F285D"/>
    <w:rsid w:val="006F28C0"/>
    <w:rsid w:val="006F2C39"/>
    <w:rsid w:val="006F2F4A"/>
    <w:rsid w:val="006F306C"/>
    <w:rsid w:val="006F3074"/>
    <w:rsid w:val="006F38DB"/>
    <w:rsid w:val="006F3935"/>
    <w:rsid w:val="006F569F"/>
    <w:rsid w:val="006F5DB8"/>
    <w:rsid w:val="006F61B6"/>
    <w:rsid w:val="006F63A5"/>
    <w:rsid w:val="006F6A28"/>
    <w:rsid w:val="006F6E33"/>
    <w:rsid w:val="006F7227"/>
    <w:rsid w:val="006F724C"/>
    <w:rsid w:val="006F78BB"/>
    <w:rsid w:val="006F7BCA"/>
    <w:rsid w:val="007003BF"/>
    <w:rsid w:val="007004D4"/>
    <w:rsid w:val="007004DE"/>
    <w:rsid w:val="007005C9"/>
    <w:rsid w:val="00700CD4"/>
    <w:rsid w:val="007012A8"/>
    <w:rsid w:val="0070142B"/>
    <w:rsid w:val="007014E6"/>
    <w:rsid w:val="00701716"/>
    <w:rsid w:val="00701B2E"/>
    <w:rsid w:val="00701FDE"/>
    <w:rsid w:val="00702007"/>
    <w:rsid w:val="00702348"/>
    <w:rsid w:val="00702471"/>
    <w:rsid w:val="0070276E"/>
    <w:rsid w:val="00702A5C"/>
    <w:rsid w:val="00702D73"/>
    <w:rsid w:val="00702E51"/>
    <w:rsid w:val="00702F8F"/>
    <w:rsid w:val="0070481F"/>
    <w:rsid w:val="00705047"/>
    <w:rsid w:val="0070537E"/>
    <w:rsid w:val="00705498"/>
    <w:rsid w:val="0070553B"/>
    <w:rsid w:val="007055D1"/>
    <w:rsid w:val="00705794"/>
    <w:rsid w:val="00705A61"/>
    <w:rsid w:val="00705BAE"/>
    <w:rsid w:val="007060FA"/>
    <w:rsid w:val="007066F4"/>
    <w:rsid w:val="0070713F"/>
    <w:rsid w:val="007073AB"/>
    <w:rsid w:val="007079FC"/>
    <w:rsid w:val="00707FE5"/>
    <w:rsid w:val="00710355"/>
    <w:rsid w:val="00710360"/>
    <w:rsid w:val="00710EE8"/>
    <w:rsid w:val="007111BB"/>
    <w:rsid w:val="00711A36"/>
    <w:rsid w:val="0071221E"/>
    <w:rsid w:val="007125D3"/>
    <w:rsid w:val="0071270F"/>
    <w:rsid w:val="00712716"/>
    <w:rsid w:val="00713715"/>
    <w:rsid w:val="00713805"/>
    <w:rsid w:val="00714420"/>
    <w:rsid w:val="007147C5"/>
    <w:rsid w:val="00714C26"/>
    <w:rsid w:val="0071529C"/>
    <w:rsid w:val="0071532C"/>
    <w:rsid w:val="00715A7E"/>
    <w:rsid w:val="00715F05"/>
    <w:rsid w:val="00715F2D"/>
    <w:rsid w:val="00716643"/>
    <w:rsid w:val="00716AA3"/>
    <w:rsid w:val="00716EE2"/>
    <w:rsid w:val="007170DA"/>
    <w:rsid w:val="007172AD"/>
    <w:rsid w:val="00717546"/>
    <w:rsid w:val="007175C4"/>
    <w:rsid w:val="0071761C"/>
    <w:rsid w:val="007176C6"/>
    <w:rsid w:val="00717B78"/>
    <w:rsid w:val="00717F82"/>
    <w:rsid w:val="0072075B"/>
    <w:rsid w:val="00720801"/>
    <w:rsid w:val="00720E94"/>
    <w:rsid w:val="0072126E"/>
    <w:rsid w:val="00721364"/>
    <w:rsid w:val="00721A69"/>
    <w:rsid w:val="00721B15"/>
    <w:rsid w:val="00721F67"/>
    <w:rsid w:val="00722B1B"/>
    <w:rsid w:val="00722C8E"/>
    <w:rsid w:val="00722CDC"/>
    <w:rsid w:val="0072379E"/>
    <w:rsid w:val="00723942"/>
    <w:rsid w:val="00723A7A"/>
    <w:rsid w:val="0072406F"/>
    <w:rsid w:val="007240CB"/>
    <w:rsid w:val="0072416F"/>
    <w:rsid w:val="00725467"/>
    <w:rsid w:val="00725677"/>
    <w:rsid w:val="007257C2"/>
    <w:rsid w:val="00725F69"/>
    <w:rsid w:val="007260C4"/>
    <w:rsid w:val="007265BE"/>
    <w:rsid w:val="00726E4D"/>
    <w:rsid w:val="007279C7"/>
    <w:rsid w:val="00727C94"/>
    <w:rsid w:val="0073010C"/>
    <w:rsid w:val="0073017C"/>
    <w:rsid w:val="00730691"/>
    <w:rsid w:val="00730A18"/>
    <w:rsid w:val="007315D0"/>
    <w:rsid w:val="00731B0A"/>
    <w:rsid w:val="00731EAE"/>
    <w:rsid w:val="0073200D"/>
    <w:rsid w:val="007322CB"/>
    <w:rsid w:val="00732864"/>
    <w:rsid w:val="00732BCD"/>
    <w:rsid w:val="00732DD6"/>
    <w:rsid w:val="00732F27"/>
    <w:rsid w:val="00733073"/>
    <w:rsid w:val="007333C9"/>
    <w:rsid w:val="0073346C"/>
    <w:rsid w:val="00733A65"/>
    <w:rsid w:val="0073443F"/>
    <w:rsid w:val="007347D9"/>
    <w:rsid w:val="00735033"/>
    <w:rsid w:val="00735328"/>
    <w:rsid w:val="00735558"/>
    <w:rsid w:val="007356D5"/>
    <w:rsid w:val="00735C75"/>
    <w:rsid w:val="0073685B"/>
    <w:rsid w:val="00736B98"/>
    <w:rsid w:val="00736DC8"/>
    <w:rsid w:val="007374B1"/>
    <w:rsid w:val="00737923"/>
    <w:rsid w:val="00737FD9"/>
    <w:rsid w:val="007402CA"/>
    <w:rsid w:val="00740515"/>
    <w:rsid w:val="007406D3"/>
    <w:rsid w:val="00740B52"/>
    <w:rsid w:val="00741422"/>
    <w:rsid w:val="00741613"/>
    <w:rsid w:val="00741A94"/>
    <w:rsid w:val="00741BDB"/>
    <w:rsid w:val="0074215F"/>
    <w:rsid w:val="007421FA"/>
    <w:rsid w:val="0074228E"/>
    <w:rsid w:val="0074308B"/>
    <w:rsid w:val="007432D7"/>
    <w:rsid w:val="0074372F"/>
    <w:rsid w:val="007449BF"/>
    <w:rsid w:val="007459F8"/>
    <w:rsid w:val="007463FE"/>
    <w:rsid w:val="00746A60"/>
    <w:rsid w:val="00746AB5"/>
    <w:rsid w:val="00746BC0"/>
    <w:rsid w:val="007471D8"/>
    <w:rsid w:val="0074758A"/>
    <w:rsid w:val="00747EBD"/>
    <w:rsid w:val="007503AB"/>
    <w:rsid w:val="00750E2D"/>
    <w:rsid w:val="007510B4"/>
    <w:rsid w:val="00751341"/>
    <w:rsid w:val="007519DF"/>
    <w:rsid w:val="00751D84"/>
    <w:rsid w:val="00751E9D"/>
    <w:rsid w:val="00752142"/>
    <w:rsid w:val="00752220"/>
    <w:rsid w:val="007523F9"/>
    <w:rsid w:val="00752E1D"/>
    <w:rsid w:val="0075350A"/>
    <w:rsid w:val="0075357E"/>
    <w:rsid w:val="00753617"/>
    <w:rsid w:val="007538B1"/>
    <w:rsid w:val="00753B29"/>
    <w:rsid w:val="00753FFE"/>
    <w:rsid w:val="007542D6"/>
    <w:rsid w:val="0075473A"/>
    <w:rsid w:val="0075493E"/>
    <w:rsid w:val="007553D0"/>
    <w:rsid w:val="007557E8"/>
    <w:rsid w:val="00756AE1"/>
    <w:rsid w:val="00757013"/>
    <w:rsid w:val="007573E8"/>
    <w:rsid w:val="007573F7"/>
    <w:rsid w:val="00760759"/>
    <w:rsid w:val="00760835"/>
    <w:rsid w:val="00760840"/>
    <w:rsid w:val="00760C4E"/>
    <w:rsid w:val="00760CB1"/>
    <w:rsid w:val="00760F9E"/>
    <w:rsid w:val="007616E6"/>
    <w:rsid w:val="00761A1D"/>
    <w:rsid w:val="00762628"/>
    <w:rsid w:val="007627BE"/>
    <w:rsid w:val="00762963"/>
    <w:rsid w:val="0076315C"/>
    <w:rsid w:val="00763289"/>
    <w:rsid w:val="0076378E"/>
    <w:rsid w:val="007638AB"/>
    <w:rsid w:val="00764F03"/>
    <w:rsid w:val="007655A4"/>
    <w:rsid w:val="00765978"/>
    <w:rsid w:val="00765B1A"/>
    <w:rsid w:val="00765DC1"/>
    <w:rsid w:val="00766122"/>
    <w:rsid w:val="0076689F"/>
    <w:rsid w:val="007668D2"/>
    <w:rsid w:val="00766CEE"/>
    <w:rsid w:val="00767753"/>
    <w:rsid w:val="007703EA"/>
    <w:rsid w:val="00770586"/>
    <w:rsid w:val="007707B9"/>
    <w:rsid w:val="007707EE"/>
    <w:rsid w:val="007709AD"/>
    <w:rsid w:val="00770D2A"/>
    <w:rsid w:val="00771DFB"/>
    <w:rsid w:val="00772402"/>
    <w:rsid w:val="007724B1"/>
    <w:rsid w:val="00772544"/>
    <w:rsid w:val="007737B1"/>
    <w:rsid w:val="00773BB5"/>
    <w:rsid w:val="007743B6"/>
    <w:rsid w:val="00774924"/>
    <w:rsid w:val="0077498F"/>
    <w:rsid w:val="00774CB3"/>
    <w:rsid w:val="00775529"/>
    <w:rsid w:val="007760B6"/>
    <w:rsid w:val="007768E0"/>
    <w:rsid w:val="00776A29"/>
    <w:rsid w:val="00776CC2"/>
    <w:rsid w:val="00777335"/>
    <w:rsid w:val="00777A3F"/>
    <w:rsid w:val="00777E80"/>
    <w:rsid w:val="00777EB8"/>
    <w:rsid w:val="00780695"/>
    <w:rsid w:val="00781E64"/>
    <w:rsid w:val="007821EB"/>
    <w:rsid w:val="00782267"/>
    <w:rsid w:val="0078247B"/>
    <w:rsid w:val="007839B1"/>
    <w:rsid w:val="00783EE2"/>
    <w:rsid w:val="007843F2"/>
    <w:rsid w:val="007846FA"/>
    <w:rsid w:val="00784F12"/>
    <w:rsid w:val="00784F53"/>
    <w:rsid w:val="0078517B"/>
    <w:rsid w:val="00785315"/>
    <w:rsid w:val="0078551E"/>
    <w:rsid w:val="007856E2"/>
    <w:rsid w:val="0078575C"/>
    <w:rsid w:val="00785A9F"/>
    <w:rsid w:val="00785F5A"/>
    <w:rsid w:val="007863B8"/>
    <w:rsid w:val="0078735F"/>
    <w:rsid w:val="00787564"/>
    <w:rsid w:val="0078762C"/>
    <w:rsid w:val="007904B3"/>
    <w:rsid w:val="00791A1B"/>
    <w:rsid w:val="007925DF"/>
    <w:rsid w:val="007929A4"/>
    <w:rsid w:val="007931D1"/>
    <w:rsid w:val="00793341"/>
    <w:rsid w:val="00793AC4"/>
    <w:rsid w:val="007955B4"/>
    <w:rsid w:val="007956CA"/>
    <w:rsid w:val="00795CFD"/>
    <w:rsid w:val="0079610A"/>
    <w:rsid w:val="00796150"/>
    <w:rsid w:val="007962CF"/>
    <w:rsid w:val="00796584"/>
    <w:rsid w:val="00796AD6"/>
    <w:rsid w:val="00797F54"/>
    <w:rsid w:val="007A08AA"/>
    <w:rsid w:val="007A0A12"/>
    <w:rsid w:val="007A0B3B"/>
    <w:rsid w:val="007A0D84"/>
    <w:rsid w:val="007A132D"/>
    <w:rsid w:val="007A1345"/>
    <w:rsid w:val="007A14D0"/>
    <w:rsid w:val="007A19F0"/>
    <w:rsid w:val="007A1B21"/>
    <w:rsid w:val="007A25FF"/>
    <w:rsid w:val="007A2CD9"/>
    <w:rsid w:val="007A2DC9"/>
    <w:rsid w:val="007A2DDB"/>
    <w:rsid w:val="007A3235"/>
    <w:rsid w:val="007A37BC"/>
    <w:rsid w:val="007A4EB4"/>
    <w:rsid w:val="007A4F82"/>
    <w:rsid w:val="007A5015"/>
    <w:rsid w:val="007A501F"/>
    <w:rsid w:val="007A6663"/>
    <w:rsid w:val="007A70BA"/>
    <w:rsid w:val="007A75DF"/>
    <w:rsid w:val="007A7FEC"/>
    <w:rsid w:val="007B0138"/>
    <w:rsid w:val="007B09D4"/>
    <w:rsid w:val="007B0B7A"/>
    <w:rsid w:val="007B0D68"/>
    <w:rsid w:val="007B1672"/>
    <w:rsid w:val="007B1AA4"/>
    <w:rsid w:val="007B251D"/>
    <w:rsid w:val="007B286C"/>
    <w:rsid w:val="007B29D7"/>
    <w:rsid w:val="007B2D68"/>
    <w:rsid w:val="007B3533"/>
    <w:rsid w:val="007B3DBB"/>
    <w:rsid w:val="007B4516"/>
    <w:rsid w:val="007B47BE"/>
    <w:rsid w:val="007B4AE7"/>
    <w:rsid w:val="007B4F58"/>
    <w:rsid w:val="007B4F5E"/>
    <w:rsid w:val="007B4FEC"/>
    <w:rsid w:val="007B528D"/>
    <w:rsid w:val="007B52FA"/>
    <w:rsid w:val="007B534A"/>
    <w:rsid w:val="007B5725"/>
    <w:rsid w:val="007B6157"/>
    <w:rsid w:val="007B63CA"/>
    <w:rsid w:val="007B685F"/>
    <w:rsid w:val="007B72DE"/>
    <w:rsid w:val="007B77D1"/>
    <w:rsid w:val="007B785C"/>
    <w:rsid w:val="007C0300"/>
    <w:rsid w:val="007C0794"/>
    <w:rsid w:val="007C07C7"/>
    <w:rsid w:val="007C08FC"/>
    <w:rsid w:val="007C0EC6"/>
    <w:rsid w:val="007C0FA3"/>
    <w:rsid w:val="007C187D"/>
    <w:rsid w:val="007C1AA2"/>
    <w:rsid w:val="007C1CD9"/>
    <w:rsid w:val="007C1EEA"/>
    <w:rsid w:val="007C2A40"/>
    <w:rsid w:val="007C2C9F"/>
    <w:rsid w:val="007C2D78"/>
    <w:rsid w:val="007C32EF"/>
    <w:rsid w:val="007C361D"/>
    <w:rsid w:val="007C371E"/>
    <w:rsid w:val="007C3AAD"/>
    <w:rsid w:val="007C4B84"/>
    <w:rsid w:val="007C4C1F"/>
    <w:rsid w:val="007C54E1"/>
    <w:rsid w:val="007C5ABC"/>
    <w:rsid w:val="007C6EBB"/>
    <w:rsid w:val="007C6FAE"/>
    <w:rsid w:val="007C70FF"/>
    <w:rsid w:val="007C711C"/>
    <w:rsid w:val="007C7C25"/>
    <w:rsid w:val="007D004F"/>
    <w:rsid w:val="007D035F"/>
    <w:rsid w:val="007D06B2"/>
    <w:rsid w:val="007D0A79"/>
    <w:rsid w:val="007D0B38"/>
    <w:rsid w:val="007D1008"/>
    <w:rsid w:val="007D101E"/>
    <w:rsid w:val="007D1193"/>
    <w:rsid w:val="007D1A6F"/>
    <w:rsid w:val="007D1D56"/>
    <w:rsid w:val="007D20E0"/>
    <w:rsid w:val="007D22C0"/>
    <w:rsid w:val="007D2816"/>
    <w:rsid w:val="007D29B8"/>
    <w:rsid w:val="007D2AD2"/>
    <w:rsid w:val="007D2CD7"/>
    <w:rsid w:val="007D32F0"/>
    <w:rsid w:val="007D3328"/>
    <w:rsid w:val="007D36CE"/>
    <w:rsid w:val="007D39FF"/>
    <w:rsid w:val="007D3D00"/>
    <w:rsid w:val="007D3D1B"/>
    <w:rsid w:val="007D4481"/>
    <w:rsid w:val="007D5221"/>
    <w:rsid w:val="007D5440"/>
    <w:rsid w:val="007D573C"/>
    <w:rsid w:val="007D649B"/>
    <w:rsid w:val="007D69EB"/>
    <w:rsid w:val="007D6A97"/>
    <w:rsid w:val="007D6B0A"/>
    <w:rsid w:val="007D6C36"/>
    <w:rsid w:val="007D70C1"/>
    <w:rsid w:val="007D7609"/>
    <w:rsid w:val="007E0302"/>
    <w:rsid w:val="007E0393"/>
    <w:rsid w:val="007E08BA"/>
    <w:rsid w:val="007E0EBE"/>
    <w:rsid w:val="007E0FC2"/>
    <w:rsid w:val="007E0FE8"/>
    <w:rsid w:val="007E108F"/>
    <w:rsid w:val="007E128F"/>
    <w:rsid w:val="007E1448"/>
    <w:rsid w:val="007E1569"/>
    <w:rsid w:val="007E192A"/>
    <w:rsid w:val="007E1DE4"/>
    <w:rsid w:val="007E23A3"/>
    <w:rsid w:val="007E2615"/>
    <w:rsid w:val="007E2659"/>
    <w:rsid w:val="007E38F6"/>
    <w:rsid w:val="007E4746"/>
    <w:rsid w:val="007E4DFF"/>
    <w:rsid w:val="007E4F7A"/>
    <w:rsid w:val="007E4FC7"/>
    <w:rsid w:val="007E5A5B"/>
    <w:rsid w:val="007E5BE4"/>
    <w:rsid w:val="007E5ECB"/>
    <w:rsid w:val="007E62D0"/>
    <w:rsid w:val="007E6DFF"/>
    <w:rsid w:val="007E6FF5"/>
    <w:rsid w:val="007E7021"/>
    <w:rsid w:val="007E706B"/>
    <w:rsid w:val="007E72F9"/>
    <w:rsid w:val="007E7C3D"/>
    <w:rsid w:val="007F0737"/>
    <w:rsid w:val="007F1017"/>
    <w:rsid w:val="007F1CE3"/>
    <w:rsid w:val="007F29A6"/>
    <w:rsid w:val="007F2DE7"/>
    <w:rsid w:val="007F3541"/>
    <w:rsid w:val="007F3563"/>
    <w:rsid w:val="007F378C"/>
    <w:rsid w:val="007F39AF"/>
    <w:rsid w:val="007F3ABD"/>
    <w:rsid w:val="007F432C"/>
    <w:rsid w:val="007F436E"/>
    <w:rsid w:val="007F45EA"/>
    <w:rsid w:val="007F4A3F"/>
    <w:rsid w:val="007F4A61"/>
    <w:rsid w:val="007F4F25"/>
    <w:rsid w:val="007F5255"/>
    <w:rsid w:val="007F531E"/>
    <w:rsid w:val="007F56CC"/>
    <w:rsid w:val="007F5B0E"/>
    <w:rsid w:val="007F61C2"/>
    <w:rsid w:val="007F7736"/>
    <w:rsid w:val="007F7B07"/>
    <w:rsid w:val="007F7E16"/>
    <w:rsid w:val="00800DB8"/>
    <w:rsid w:val="008012AE"/>
    <w:rsid w:val="00802341"/>
    <w:rsid w:val="00802408"/>
    <w:rsid w:val="0080261D"/>
    <w:rsid w:val="00802FB1"/>
    <w:rsid w:val="00804965"/>
    <w:rsid w:val="00804D02"/>
    <w:rsid w:val="00805056"/>
    <w:rsid w:val="00805142"/>
    <w:rsid w:val="0080566B"/>
    <w:rsid w:val="00805806"/>
    <w:rsid w:val="00805FCE"/>
    <w:rsid w:val="0080678F"/>
    <w:rsid w:val="00807030"/>
    <w:rsid w:val="008073BE"/>
    <w:rsid w:val="00807457"/>
    <w:rsid w:val="00807A8B"/>
    <w:rsid w:val="00807AB0"/>
    <w:rsid w:val="0081033A"/>
    <w:rsid w:val="008107E0"/>
    <w:rsid w:val="00810E2A"/>
    <w:rsid w:val="00810E61"/>
    <w:rsid w:val="008111F1"/>
    <w:rsid w:val="0081132D"/>
    <w:rsid w:val="00811383"/>
    <w:rsid w:val="008113C3"/>
    <w:rsid w:val="008115C7"/>
    <w:rsid w:val="00811988"/>
    <w:rsid w:val="00811F0D"/>
    <w:rsid w:val="00811F36"/>
    <w:rsid w:val="008120B5"/>
    <w:rsid w:val="00812148"/>
    <w:rsid w:val="00812149"/>
    <w:rsid w:val="00812220"/>
    <w:rsid w:val="00812394"/>
    <w:rsid w:val="00812937"/>
    <w:rsid w:val="00812CAC"/>
    <w:rsid w:val="00813053"/>
    <w:rsid w:val="00813555"/>
    <w:rsid w:val="008136BE"/>
    <w:rsid w:val="00813E5D"/>
    <w:rsid w:val="00814293"/>
    <w:rsid w:val="00814865"/>
    <w:rsid w:val="0081535E"/>
    <w:rsid w:val="0081537C"/>
    <w:rsid w:val="008154C6"/>
    <w:rsid w:val="00815CEB"/>
    <w:rsid w:val="00815D4B"/>
    <w:rsid w:val="00816361"/>
    <w:rsid w:val="00816538"/>
    <w:rsid w:val="008166EF"/>
    <w:rsid w:val="00816B7E"/>
    <w:rsid w:val="00816FEF"/>
    <w:rsid w:val="0081780B"/>
    <w:rsid w:val="008178BC"/>
    <w:rsid w:val="0081792F"/>
    <w:rsid w:val="00817FC2"/>
    <w:rsid w:val="0082042E"/>
    <w:rsid w:val="00820561"/>
    <w:rsid w:val="0082067D"/>
    <w:rsid w:val="00820885"/>
    <w:rsid w:val="00820A8C"/>
    <w:rsid w:val="008210E6"/>
    <w:rsid w:val="0082116F"/>
    <w:rsid w:val="008215FB"/>
    <w:rsid w:val="00821625"/>
    <w:rsid w:val="00821B19"/>
    <w:rsid w:val="00821DD8"/>
    <w:rsid w:val="008220CC"/>
    <w:rsid w:val="00823174"/>
    <w:rsid w:val="00823B18"/>
    <w:rsid w:val="00823F62"/>
    <w:rsid w:val="008241EE"/>
    <w:rsid w:val="0082475B"/>
    <w:rsid w:val="00825672"/>
    <w:rsid w:val="00825751"/>
    <w:rsid w:val="00826129"/>
    <w:rsid w:val="008264EB"/>
    <w:rsid w:val="008266CD"/>
    <w:rsid w:val="008267C9"/>
    <w:rsid w:val="008268CE"/>
    <w:rsid w:val="00826C09"/>
    <w:rsid w:val="00826D04"/>
    <w:rsid w:val="00826ED8"/>
    <w:rsid w:val="00827B2E"/>
    <w:rsid w:val="00827C23"/>
    <w:rsid w:val="00827DB8"/>
    <w:rsid w:val="00827EAD"/>
    <w:rsid w:val="0083057A"/>
    <w:rsid w:val="00830DD5"/>
    <w:rsid w:val="0083127A"/>
    <w:rsid w:val="008316E7"/>
    <w:rsid w:val="00831912"/>
    <w:rsid w:val="00831B95"/>
    <w:rsid w:val="00831E0E"/>
    <w:rsid w:val="00831FDC"/>
    <w:rsid w:val="00832207"/>
    <w:rsid w:val="0083256B"/>
    <w:rsid w:val="0083298C"/>
    <w:rsid w:val="00832C3C"/>
    <w:rsid w:val="00832CAE"/>
    <w:rsid w:val="00832E30"/>
    <w:rsid w:val="008331F1"/>
    <w:rsid w:val="00833B05"/>
    <w:rsid w:val="00833B8C"/>
    <w:rsid w:val="00833BA7"/>
    <w:rsid w:val="00835271"/>
    <w:rsid w:val="008354BB"/>
    <w:rsid w:val="008357C7"/>
    <w:rsid w:val="00835F56"/>
    <w:rsid w:val="008362B4"/>
    <w:rsid w:val="0083735B"/>
    <w:rsid w:val="00837550"/>
    <w:rsid w:val="00837D4D"/>
    <w:rsid w:val="00837E5B"/>
    <w:rsid w:val="00840C56"/>
    <w:rsid w:val="00840CA2"/>
    <w:rsid w:val="008411DC"/>
    <w:rsid w:val="00841760"/>
    <w:rsid w:val="0084181A"/>
    <w:rsid w:val="008423AD"/>
    <w:rsid w:val="008424D6"/>
    <w:rsid w:val="008425EE"/>
    <w:rsid w:val="00842924"/>
    <w:rsid w:val="00842AA4"/>
    <w:rsid w:val="00842E73"/>
    <w:rsid w:val="0084319D"/>
    <w:rsid w:val="008433B7"/>
    <w:rsid w:val="0084374F"/>
    <w:rsid w:val="00843AD4"/>
    <w:rsid w:val="00844347"/>
    <w:rsid w:val="00844A22"/>
    <w:rsid w:val="0084588F"/>
    <w:rsid w:val="00845C96"/>
    <w:rsid w:val="00845D69"/>
    <w:rsid w:val="00845FE3"/>
    <w:rsid w:val="00846B7C"/>
    <w:rsid w:val="00846C03"/>
    <w:rsid w:val="00847267"/>
    <w:rsid w:val="008473DA"/>
    <w:rsid w:val="00847703"/>
    <w:rsid w:val="00847839"/>
    <w:rsid w:val="00847DF5"/>
    <w:rsid w:val="008504BB"/>
    <w:rsid w:val="008504F1"/>
    <w:rsid w:val="008511BC"/>
    <w:rsid w:val="0085194F"/>
    <w:rsid w:val="00851A53"/>
    <w:rsid w:val="008522F4"/>
    <w:rsid w:val="00852678"/>
    <w:rsid w:val="00852899"/>
    <w:rsid w:val="0085309D"/>
    <w:rsid w:val="008535DD"/>
    <w:rsid w:val="00853A6C"/>
    <w:rsid w:val="00853BD1"/>
    <w:rsid w:val="00853C73"/>
    <w:rsid w:val="00854255"/>
    <w:rsid w:val="00855582"/>
    <w:rsid w:val="00856046"/>
    <w:rsid w:val="00856897"/>
    <w:rsid w:val="00856E9A"/>
    <w:rsid w:val="00857301"/>
    <w:rsid w:val="008574B6"/>
    <w:rsid w:val="008579D9"/>
    <w:rsid w:val="00860085"/>
    <w:rsid w:val="008601A9"/>
    <w:rsid w:val="008601B1"/>
    <w:rsid w:val="008603C0"/>
    <w:rsid w:val="008603E4"/>
    <w:rsid w:val="008603E7"/>
    <w:rsid w:val="00860749"/>
    <w:rsid w:val="0086075D"/>
    <w:rsid w:val="00860B0D"/>
    <w:rsid w:val="00862502"/>
    <w:rsid w:val="00862588"/>
    <w:rsid w:val="00862AA7"/>
    <w:rsid w:val="00862CC1"/>
    <w:rsid w:val="008632AA"/>
    <w:rsid w:val="008633F2"/>
    <w:rsid w:val="008638A1"/>
    <w:rsid w:val="008642A7"/>
    <w:rsid w:val="00864821"/>
    <w:rsid w:val="00864BA7"/>
    <w:rsid w:val="00864CE4"/>
    <w:rsid w:val="008653B5"/>
    <w:rsid w:val="00865566"/>
    <w:rsid w:val="008655B8"/>
    <w:rsid w:val="008656AD"/>
    <w:rsid w:val="00865771"/>
    <w:rsid w:val="008660D4"/>
    <w:rsid w:val="00866F51"/>
    <w:rsid w:val="00867991"/>
    <w:rsid w:val="00867A21"/>
    <w:rsid w:val="00867CE9"/>
    <w:rsid w:val="00867F57"/>
    <w:rsid w:val="00867FCF"/>
    <w:rsid w:val="00870785"/>
    <w:rsid w:val="008712A0"/>
    <w:rsid w:val="0087136E"/>
    <w:rsid w:val="00871880"/>
    <w:rsid w:val="00871C7B"/>
    <w:rsid w:val="00871FA9"/>
    <w:rsid w:val="008720DA"/>
    <w:rsid w:val="008728E9"/>
    <w:rsid w:val="008737C6"/>
    <w:rsid w:val="00873B30"/>
    <w:rsid w:val="008740DD"/>
    <w:rsid w:val="00874392"/>
    <w:rsid w:val="008745E4"/>
    <w:rsid w:val="00874BB8"/>
    <w:rsid w:val="00874C2F"/>
    <w:rsid w:val="00874CB9"/>
    <w:rsid w:val="008750D7"/>
    <w:rsid w:val="008759C7"/>
    <w:rsid w:val="0087629F"/>
    <w:rsid w:val="0087636B"/>
    <w:rsid w:val="0087636D"/>
    <w:rsid w:val="008766B3"/>
    <w:rsid w:val="00876B1F"/>
    <w:rsid w:val="00876FE6"/>
    <w:rsid w:val="00877218"/>
    <w:rsid w:val="0087736A"/>
    <w:rsid w:val="00877A71"/>
    <w:rsid w:val="00877CBA"/>
    <w:rsid w:val="00877FFB"/>
    <w:rsid w:val="0088006D"/>
    <w:rsid w:val="0088061B"/>
    <w:rsid w:val="00880D6C"/>
    <w:rsid w:val="00881154"/>
    <w:rsid w:val="008817D0"/>
    <w:rsid w:val="00881B12"/>
    <w:rsid w:val="0088272A"/>
    <w:rsid w:val="00882874"/>
    <w:rsid w:val="00882957"/>
    <w:rsid w:val="00882E3C"/>
    <w:rsid w:val="00882F6D"/>
    <w:rsid w:val="0088308A"/>
    <w:rsid w:val="00883184"/>
    <w:rsid w:val="0088373C"/>
    <w:rsid w:val="00883787"/>
    <w:rsid w:val="0088399A"/>
    <w:rsid w:val="00883FD5"/>
    <w:rsid w:val="008846E7"/>
    <w:rsid w:val="0088470D"/>
    <w:rsid w:val="00884800"/>
    <w:rsid w:val="00884B36"/>
    <w:rsid w:val="0088545D"/>
    <w:rsid w:val="008855E4"/>
    <w:rsid w:val="0088607B"/>
    <w:rsid w:val="00886330"/>
    <w:rsid w:val="00886CD2"/>
    <w:rsid w:val="00886F80"/>
    <w:rsid w:val="0088700D"/>
    <w:rsid w:val="008877A5"/>
    <w:rsid w:val="00887C5D"/>
    <w:rsid w:val="00887E4B"/>
    <w:rsid w:val="00890119"/>
    <w:rsid w:val="00890647"/>
    <w:rsid w:val="00890AEC"/>
    <w:rsid w:val="00891E6F"/>
    <w:rsid w:val="0089201E"/>
    <w:rsid w:val="0089262C"/>
    <w:rsid w:val="0089275D"/>
    <w:rsid w:val="00892950"/>
    <w:rsid w:val="00892A36"/>
    <w:rsid w:val="00893168"/>
    <w:rsid w:val="00893239"/>
    <w:rsid w:val="00893286"/>
    <w:rsid w:val="00893C52"/>
    <w:rsid w:val="0089420E"/>
    <w:rsid w:val="00894332"/>
    <w:rsid w:val="00894489"/>
    <w:rsid w:val="00894813"/>
    <w:rsid w:val="00894CD6"/>
    <w:rsid w:val="00895917"/>
    <w:rsid w:val="00895C25"/>
    <w:rsid w:val="00895E5B"/>
    <w:rsid w:val="008963A5"/>
    <w:rsid w:val="00896D5D"/>
    <w:rsid w:val="00896F07"/>
    <w:rsid w:val="008976A7"/>
    <w:rsid w:val="008976AD"/>
    <w:rsid w:val="00897F00"/>
    <w:rsid w:val="008A0B15"/>
    <w:rsid w:val="008A12DA"/>
    <w:rsid w:val="008A179E"/>
    <w:rsid w:val="008A24C3"/>
    <w:rsid w:val="008A265D"/>
    <w:rsid w:val="008A2DC9"/>
    <w:rsid w:val="008A3158"/>
    <w:rsid w:val="008A3363"/>
    <w:rsid w:val="008A3371"/>
    <w:rsid w:val="008A3968"/>
    <w:rsid w:val="008A3C3E"/>
    <w:rsid w:val="008A40A4"/>
    <w:rsid w:val="008A520A"/>
    <w:rsid w:val="008A53BD"/>
    <w:rsid w:val="008A54B8"/>
    <w:rsid w:val="008A620C"/>
    <w:rsid w:val="008A6ADB"/>
    <w:rsid w:val="008A6B42"/>
    <w:rsid w:val="008A70D4"/>
    <w:rsid w:val="008A79DE"/>
    <w:rsid w:val="008A7B14"/>
    <w:rsid w:val="008A7BD5"/>
    <w:rsid w:val="008B019E"/>
    <w:rsid w:val="008B072E"/>
    <w:rsid w:val="008B08D2"/>
    <w:rsid w:val="008B13EC"/>
    <w:rsid w:val="008B1757"/>
    <w:rsid w:val="008B1C33"/>
    <w:rsid w:val="008B1F9F"/>
    <w:rsid w:val="008B212A"/>
    <w:rsid w:val="008B2892"/>
    <w:rsid w:val="008B2BD3"/>
    <w:rsid w:val="008B2E25"/>
    <w:rsid w:val="008B33AC"/>
    <w:rsid w:val="008B4088"/>
    <w:rsid w:val="008B438F"/>
    <w:rsid w:val="008B44E2"/>
    <w:rsid w:val="008B4788"/>
    <w:rsid w:val="008B497A"/>
    <w:rsid w:val="008B4B6F"/>
    <w:rsid w:val="008B52D0"/>
    <w:rsid w:val="008B532C"/>
    <w:rsid w:val="008B553A"/>
    <w:rsid w:val="008B5C21"/>
    <w:rsid w:val="008B5E8F"/>
    <w:rsid w:val="008B5EBB"/>
    <w:rsid w:val="008B5FB9"/>
    <w:rsid w:val="008B60A6"/>
    <w:rsid w:val="008B620A"/>
    <w:rsid w:val="008B630A"/>
    <w:rsid w:val="008B6379"/>
    <w:rsid w:val="008B6690"/>
    <w:rsid w:val="008B6A38"/>
    <w:rsid w:val="008B6C98"/>
    <w:rsid w:val="008B71D0"/>
    <w:rsid w:val="008B7389"/>
    <w:rsid w:val="008B7472"/>
    <w:rsid w:val="008B7992"/>
    <w:rsid w:val="008B7D7E"/>
    <w:rsid w:val="008C00BB"/>
    <w:rsid w:val="008C0877"/>
    <w:rsid w:val="008C125A"/>
    <w:rsid w:val="008C13DE"/>
    <w:rsid w:val="008C1EFA"/>
    <w:rsid w:val="008C2371"/>
    <w:rsid w:val="008C24C3"/>
    <w:rsid w:val="008C25A0"/>
    <w:rsid w:val="008C2A7B"/>
    <w:rsid w:val="008C3200"/>
    <w:rsid w:val="008C3F45"/>
    <w:rsid w:val="008C4050"/>
    <w:rsid w:val="008C4319"/>
    <w:rsid w:val="008C514A"/>
    <w:rsid w:val="008C5610"/>
    <w:rsid w:val="008C5739"/>
    <w:rsid w:val="008C5771"/>
    <w:rsid w:val="008C5AF1"/>
    <w:rsid w:val="008C5F9A"/>
    <w:rsid w:val="008C6586"/>
    <w:rsid w:val="008C6CDC"/>
    <w:rsid w:val="008C6E90"/>
    <w:rsid w:val="008C7282"/>
    <w:rsid w:val="008C73AD"/>
    <w:rsid w:val="008C76FE"/>
    <w:rsid w:val="008C7ECB"/>
    <w:rsid w:val="008D0274"/>
    <w:rsid w:val="008D0950"/>
    <w:rsid w:val="008D0C93"/>
    <w:rsid w:val="008D1056"/>
    <w:rsid w:val="008D13F7"/>
    <w:rsid w:val="008D1744"/>
    <w:rsid w:val="008D1BF5"/>
    <w:rsid w:val="008D2562"/>
    <w:rsid w:val="008D36FA"/>
    <w:rsid w:val="008D3B86"/>
    <w:rsid w:val="008D4148"/>
    <w:rsid w:val="008D43FD"/>
    <w:rsid w:val="008D4755"/>
    <w:rsid w:val="008D4820"/>
    <w:rsid w:val="008D4A58"/>
    <w:rsid w:val="008D4C13"/>
    <w:rsid w:val="008D4C3D"/>
    <w:rsid w:val="008D4DC2"/>
    <w:rsid w:val="008D592C"/>
    <w:rsid w:val="008D5CC2"/>
    <w:rsid w:val="008D5DED"/>
    <w:rsid w:val="008D6067"/>
    <w:rsid w:val="008D611A"/>
    <w:rsid w:val="008D61AA"/>
    <w:rsid w:val="008D697A"/>
    <w:rsid w:val="008D6D97"/>
    <w:rsid w:val="008D6E04"/>
    <w:rsid w:val="008D72B7"/>
    <w:rsid w:val="008D7337"/>
    <w:rsid w:val="008D734B"/>
    <w:rsid w:val="008D743C"/>
    <w:rsid w:val="008D79E3"/>
    <w:rsid w:val="008D7AD0"/>
    <w:rsid w:val="008D7D14"/>
    <w:rsid w:val="008D7F62"/>
    <w:rsid w:val="008E04AB"/>
    <w:rsid w:val="008E06ED"/>
    <w:rsid w:val="008E088A"/>
    <w:rsid w:val="008E0D28"/>
    <w:rsid w:val="008E0D3C"/>
    <w:rsid w:val="008E0D5B"/>
    <w:rsid w:val="008E15A4"/>
    <w:rsid w:val="008E16CA"/>
    <w:rsid w:val="008E1B9E"/>
    <w:rsid w:val="008E1CBB"/>
    <w:rsid w:val="008E2281"/>
    <w:rsid w:val="008E2510"/>
    <w:rsid w:val="008E269A"/>
    <w:rsid w:val="008E3BE9"/>
    <w:rsid w:val="008E4D5C"/>
    <w:rsid w:val="008E5221"/>
    <w:rsid w:val="008E525B"/>
    <w:rsid w:val="008E5553"/>
    <w:rsid w:val="008E55AB"/>
    <w:rsid w:val="008E5C47"/>
    <w:rsid w:val="008E5D64"/>
    <w:rsid w:val="008E5E0A"/>
    <w:rsid w:val="008E601B"/>
    <w:rsid w:val="008E60DC"/>
    <w:rsid w:val="008E615C"/>
    <w:rsid w:val="008E61DD"/>
    <w:rsid w:val="008E71EA"/>
    <w:rsid w:val="008E7EB7"/>
    <w:rsid w:val="008F0079"/>
    <w:rsid w:val="008F0261"/>
    <w:rsid w:val="008F039E"/>
    <w:rsid w:val="008F07A6"/>
    <w:rsid w:val="008F09C6"/>
    <w:rsid w:val="008F0A8E"/>
    <w:rsid w:val="008F0BA3"/>
    <w:rsid w:val="008F0BC3"/>
    <w:rsid w:val="008F120A"/>
    <w:rsid w:val="008F13C4"/>
    <w:rsid w:val="008F1FC3"/>
    <w:rsid w:val="008F206A"/>
    <w:rsid w:val="008F23B2"/>
    <w:rsid w:val="008F2605"/>
    <w:rsid w:val="008F27E0"/>
    <w:rsid w:val="008F2E1C"/>
    <w:rsid w:val="008F3004"/>
    <w:rsid w:val="008F302D"/>
    <w:rsid w:val="008F340D"/>
    <w:rsid w:val="008F3627"/>
    <w:rsid w:val="008F3A24"/>
    <w:rsid w:val="008F3A34"/>
    <w:rsid w:val="008F3B6D"/>
    <w:rsid w:val="008F3D17"/>
    <w:rsid w:val="008F3FCB"/>
    <w:rsid w:val="008F44FF"/>
    <w:rsid w:val="008F4673"/>
    <w:rsid w:val="008F48EB"/>
    <w:rsid w:val="008F4C3C"/>
    <w:rsid w:val="008F4F0B"/>
    <w:rsid w:val="008F6D90"/>
    <w:rsid w:val="008F77D5"/>
    <w:rsid w:val="008F78A2"/>
    <w:rsid w:val="008F7DBB"/>
    <w:rsid w:val="0090070F"/>
    <w:rsid w:val="00901D91"/>
    <w:rsid w:val="00902196"/>
    <w:rsid w:val="009023C6"/>
    <w:rsid w:val="00902542"/>
    <w:rsid w:val="009027AE"/>
    <w:rsid w:val="009027E7"/>
    <w:rsid w:val="0090356D"/>
    <w:rsid w:val="00903602"/>
    <w:rsid w:val="00903689"/>
    <w:rsid w:val="009044A5"/>
    <w:rsid w:val="009046C4"/>
    <w:rsid w:val="009048CC"/>
    <w:rsid w:val="0090491E"/>
    <w:rsid w:val="0090562D"/>
    <w:rsid w:val="0090568B"/>
    <w:rsid w:val="00905ECA"/>
    <w:rsid w:val="009062A5"/>
    <w:rsid w:val="00907581"/>
    <w:rsid w:val="00907699"/>
    <w:rsid w:val="009078BD"/>
    <w:rsid w:val="00907D04"/>
    <w:rsid w:val="00907DBF"/>
    <w:rsid w:val="0091037A"/>
    <w:rsid w:val="009106D8"/>
    <w:rsid w:val="00910C42"/>
    <w:rsid w:val="00910FA7"/>
    <w:rsid w:val="00911272"/>
    <w:rsid w:val="00911287"/>
    <w:rsid w:val="009112B4"/>
    <w:rsid w:val="00911339"/>
    <w:rsid w:val="00911628"/>
    <w:rsid w:val="00912495"/>
    <w:rsid w:val="00912D21"/>
    <w:rsid w:val="009133D3"/>
    <w:rsid w:val="0091350F"/>
    <w:rsid w:val="009135D6"/>
    <w:rsid w:val="009136D0"/>
    <w:rsid w:val="00913F1E"/>
    <w:rsid w:val="00913FCF"/>
    <w:rsid w:val="009145F3"/>
    <w:rsid w:val="0091472A"/>
    <w:rsid w:val="00914C77"/>
    <w:rsid w:val="009150CA"/>
    <w:rsid w:val="009150E8"/>
    <w:rsid w:val="0091519F"/>
    <w:rsid w:val="00915316"/>
    <w:rsid w:val="00915639"/>
    <w:rsid w:val="00915D9F"/>
    <w:rsid w:val="00915F00"/>
    <w:rsid w:val="00916209"/>
    <w:rsid w:val="009166C4"/>
    <w:rsid w:val="009166EA"/>
    <w:rsid w:val="00916A1E"/>
    <w:rsid w:val="00916D58"/>
    <w:rsid w:val="00916F80"/>
    <w:rsid w:val="00920105"/>
    <w:rsid w:val="009202F8"/>
    <w:rsid w:val="00921201"/>
    <w:rsid w:val="009214CB"/>
    <w:rsid w:val="00921939"/>
    <w:rsid w:val="00921ACB"/>
    <w:rsid w:val="00921F60"/>
    <w:rsid w:val="009227A5"/>
    <w:rsid w:val="00922E0C"/>
    <w:rsid w:val="00922F58"/>
    <w:rsid w:val="00922F5D"/>
    <w:rsid w:val="0092369B"/>
    <w:rsid w:val="00923CC4"/>
    <w:rsid w:val="00924488"/>
    <w:rsid w:val="00924F2A"/>
    <w:rsid w:val="00925E7E"/>
    <w:rsid w:val="009260C7"/>
    <w:rsid w:val="00926417"/>
    <w:rsid w:val="009267FE"/>
    <w:rsid w:val="00926A4E"/>
    <w:rsid w:val="00926E25"/>
    <w:rsid w:val="00927C06"/>
    <w:rsid w:val="00927E43"/>
    <w:rsid w:val="00927EAE"/>
    <w:rsid w:val="009300F4"/>
    <w:rsid w:val="009305FA"/>
    <w:rsid w:val="009307C9"/>
    <w:rsid w:val="0093098E"/>
    <w:rsid w:val="00930B1A"/>
    <w:rsid w:val="00931031"/>
    <w:rsid w:val="009318A3"/>
    <w:rsid w:val="009318E1"/>
    <w:rsid w:val="00933B92"/>
    <w:rsid w:val="0093406D"/>
    <w:rsid w:val="0093439B"/>
    <w:rsid w:val="0093469E"/>
    <w:rsid w:val="009346C1"/>
    <w:rsid w:val="00934988"/>
    <w:rsid w:val="00934F41"/>
    <w:rsid w:val="0093551B"/>
    <w:rsid w:val="00935547"/>
    <w:rsid w:val="00935844"/>
    <w:rsid w:val="00935CAB"/>
    <w:rsid w:val="009360ED"/>
    <w:rsid w:val="00936980"/>
    <w:rsid w:val="00936EE2"/>
    <w:rsid w:val="00937089"/>
    <w:rsid w:val="00937478"/>
    <w:rsid w:val="0093775D"/>
    <w:rsid w:val="009400BE"/>
    <w:rsid w:val="009401A1"/>
    <w:rsid w:val="00940509"/>
    <w:rsid w:val="0094098E"/>
    <w:rsid w:val="00940A62"/>
    <w:rsid w:val="00940C76"/>
    <w:rsid w:val="00941B01"/>
    <w:rsid w:val="00942584"/>
    <w:rsid w:val="00942858"/>
    <w:rsid w:val="00942E1A"/>
    <w:rsid w:val="0094343C"/>
    <w:rsid w:val="00943E27"/>
    <w:rsid w:val="00943EDD"/>
    <w:rsid w:val="009441EB"/>
    <w:rsid w:val="00944668"/>
    <w:rsid w:val="0094497F"/>
    <w:rsid w:val="00944C53"/>
    <w:rsid w:val="00944F8A"/>
    <w:rsid w:val="009454CA"/>
    <w:rsid w:val="0094572D"/>
    <w:rsid w:val="00945D4A"/>
    <w:rsid w:val="0094667D"/>
    <w:rsid w:val="00946B1F"/>
    <w:rsid w:val="0094719B"/>
    <w:rsid w:val="009475CA"/>
    <w:rsid w:val="00947AA4"/>
    <w:rsid w:val="00947AE8"/>
    <w:rsid w:val="00947DFB"/>
    <w:rsid w:val="00950E85"/>
    <w:rsid w:val="009510A2"/>
    <w:rsid w:val="0095128A"/>
    <w:rsid w:val="009516A3"/>
    <w:rsid w:val="00951843"/>
    <w:rsid w:val="00951B52"/>
    <w:rsid w:val="00951DA5"/>
    <w:rsid w:val="00951FAE"/>
    <w:rsid w:val="00952D8F"/>
    <w:rsid w:val="00952DC7"/>
    <w:rsid w:val="00953257"/>
    <w:rsid w:val="00953927"/>
    <w:rsid w:val="0095398E"/>
    <w:rsid w:val="00953A9F"/>
    <w:rsid w:val="00953BBC"/>
    <w:rsid w:val="00953C73"/>
    <w:rsid w:val="0095474C"/>
    <w:rsid w:val="00954A65"/>
    <w:rsid w:val="009550D9"/>
    <w:rsid w:val="009558A0"/>
    <w:rsid w:val="00955BE8"/>
    <w:rsid w:val="00955FF7"/>
    <w:rsid w:val="00956187"/>
    <w:rsid w:val="009569D1"/>
    <w:rsid w:val="00957013"/>
    <w:rsid w:val="00957180"/>
    <w:rsid w:val="00957643"/>
    <w:rsid w:val="00957905"/>
    <w:rsid w:val="00957D92"/>
    <w:rsid w:val="00961234"/>
    <w:rsid w:val="009613BE"/>
    <w:rsid w:val="0096148C"/>
    <w:rsid w:val="009616CF"/>
    <w:rsid w:val="009617C8"/>
    <w:rsid w:val="00962238"/>
    <w:rsid w:val="009622D5"/>
    <w:rsid w:val="00962435"/>
    <w:rsid w:val="009624AD"/>
    <w:rsid w:val="00962804"/>
    <w:rsid w:val="009629F4"/>
    <w:rsid w:val="00962CB9"/>
    <w:rsid w:val="00963374"/>
    <w:rsid w:val="00963B3F"/>
    <w:rsid w:val="00964312"/>
    <w:rsid w:val="00964CEC"/>
    <w:rsid w:val="00964DF6"/>
    <w:rsid w:val="00964F20"/>
    <w:rsid w:val="00965242"/>
    <w:rsid w:val="00965597"/>
    <w:rsid w:val="009658CC"/>
    <w:rsid w:val="00965B8A"/>
    <w:rsid w:val="00965BF8"/>
    <w:rsid w:val="009661B3"/>
    <w:rsid w:val="00966AAF"/>
    <w:rsid w:val="009677B0"/>
    <w:rsid w:val="0096783A"/>
    <w:rsid w:val="00967C69"/>
    <w:rsid w:val="00967D46"/>
    <w:rsid w:val="00967D94"/>
    <w:rsid w:val="0097071F"/>
    <w:rsid w:val="00970974"/>
    <w:rsid w:val="00970C7F"/>
    <w:rsid w:val="0097133A"/>
    <w:rsid w:val="009716A5"/>
    <w:rsid w:val="009717AC"/>
    <w:rsid w:val="00971942"/>
    <w:rsid w:val="00971A7D"/>
    <w:rsid w:val="00971A7F"/>
    <w:rsid w:val="00971B58"/>
    <w:rsid w:val="00971BAD"/>
    <w:rsid w:val="00971FE6"/>
    <w:rsid w:val="00972207"/>
    <w:rsid w:val="0097229D"/>
    <w:rsid w:val="009727CC"/>
    <w:rsid w:val="009728EF"/>
    <w:rsid w:val="009732C2"/>
    <w:rsid w:val="00973775"/>
    <w:rsid w:val="0097443E"/>
    <w:rsid w:val="00974763"/>
    <w:rsid w:val="009751C1"/>
    <w:rsid w:val="00975206"/>
    <w:rsid w:val="009752CD"/>
    <w:rsid w:val="00975403"/>
    <w:rsid w:val="00975973"/>
    <w:rsid w:val="00975B11"/>
    <w:rsid w:val="0097663C"/>
    <w:rsid w:val="00976D02"/>
    <w:rsid w:val="0097707E"/>
    <w:rsid w:val="0097709B"/>
    <w:rsid w:val="00977CDB"/>
    <w:rsid w:val="00980665"/>
    <w:rsid w:val="00980750"/>
    <w:rsid w:val="009809BF"/>
    <w:rsid w:val="00980FAC"/>
    <w:rsid w:val="009811B7"/>
    <w:rsid w:val="009811F1"/>
    <w:rsid w:val="0098185A"/>
    <w:rsid w:val="0098185F"/>
    <w:rsid w:val="0098188E"/>
    <w:rsid w:val="00981B78"/>
    <w:rsid w:val="00981DC6"/>
    <w:rsid w:val="00981E0C"/>
    <w:rsid w:val="0098262F"/>
    <w:rsid w:val="009826B2"/>
    <w:rsid w:val="00982E63"/>
    <w:rsid w:val="009832C9"/>
    <w:rsid w:val="0098342B"/>
    <w:rsid w:val="00983899"/>
    <w:rsid w:val="00983E57"/>
    <w:rsid w:val="009843A4"/>
    <w:rsid w:val="009845A5"/>
    <w:rsid w:val="009846AE"/>
    <w:rsid w:val="009855A0"/>
    <w:rsid w:val="009855A6"/>
    <w:rsid w:val="009859AC"/>
    <w:rsid w:val="009859DF"/>
    <w:rsid w:val="00985DE2"/>
    <w:rsid w:val="009860E1"/>
    <w:rsid w:val="0098618A"/>
    <w:rsid w:val="0098675D"/>
    <w:rsid w:val="0098685D"/>
    <w:rsid w:val="00986BE1"/>
    <w:rsid w:val="0098733D"/>
    <w:rsid w:val="00987497"/>
    <w:rsid w:val="009877CA"/>
    <w:rsid w:val="00987BA4"/>
    <w:rsid w:val="00987CC4"/>
    <w:rsid w:val="009901B2"/>
    <w:rsid w:val="00990720"/>
    <w:rsid w:val="00990C97"/>
    <w:rsid w:val="009916C3"/>
    <w:rsid w:val="00991FB6"/>
    <w:rsid w:val="00992077"/>
    <w:rsid w:val="0099208B"/>
    <w:rsid w:val="00992572"/>
    <w:rsid w:val="009925B1"/>
    <w:rsid w:val="009926E0"/>
    <w:rsid w:val="00992A80"/>
    <w:rsid w:val="009930D9"/>
    <w:rsid w:val="00994009"/>
    <w:rsid w:val="0099451E"/>
    <w:rsid w:val="00994B4D"/>
    <w:rsid w:val="0099528B"/>
    <w:rsid w:val="009953C6"/>
    <w:rsid w:val="0099607B"/>
    <w:rsid w:val="00996110"/>
    <w:rsid w:val="00996514"/>
    <w:rsid w:val="00996812"/>
    <w:rsid w:val="00996B1A"/>
    <w:rsid w:val="00997213"/>
    <w:rsid w:val="00997241"/>
    <w:rsid w:val="009976A4"/>
    <w:rsid w:val="0099781E"/>
    <w:rsid w:val="00997AD6"/>
    <w:rsid w:val="00997E71"/>
    <w:rsid w:val="009A059B"/>
    <w:rsid w:val="009A05C4"/>
    <w:rsid w:val="009A06D7"/>
    <w:rsid w:val="009A0A4B"/>
    <w:rsid w:val="009A0BC0"/>
    <w:rsid w:val="009A0D78"/>
    <w:rsid w:val="009A0D9D"/>
    <w:rsid w:val="009A0DCA"/>
    <w:rsid w:val="009A18F6"/>
    <w:rsid w:val="009A1C1A"/>
    <w:rsid w:val="009A1F45"/>
    <w:rsid w:val="009A2161"/>
    <w:rsid w:val="009A253C"/>
    <w:rsid w:val="009A26CD"/>
    <w:rsid w:val="009A2DCC"/>
    <w:rsid w:val="009A2DD2"/>
    <w:rsid w:val="009A3943"/>
    <w:rsid w:val="009A3E39"/>
    <w:rsid w:val="009A3E50"/>
    <w:rsid w:val="009A4D5A"/>
    <w:rsid w:val="009A5ABC"/>
    <w:rsid w:val="009A5D19"/>
    <w:rsid w:val="009A5D86"/>
    <w:rsid w:val="009A6605"/>
    <w:rsid w:val="009A6889"/>
    <w:rsid w:val="009A7327"/>
    <w:rsid w:val="009A73C0"/>
    <w:rsid w:val="009A7444"/>
    <w:rsid w:val="009A77DC"/>
    <w:rsid w:val="009A7F10"/>
    <w:rsid w:val="009B01A4"/>
    <w:rsid w:val="009B04E4"/>
    <w:rsid w:val="009B084D"/>
    <w:rsid w:val="009B16D6"/>
    <w:rsid w:val="009B1754"/>
    <w:rsid w:val="009B1E51"/>
    <w:rsid w:val="009B1EB9"/>
    <w:rsid w:val="009B1EC0"/>
    <w:rsid w:val="009B27D6"/>
    <w:rsid w:val="009B2824"/>
    <w:rsid w:val="009B29B8"/>
    <w:rsid w:val="009B2ABB"/>
    <w:rsid w:val="009B2BB0"/>
    <w:rsid w:val="009B2C8B"/>
    <w:rsid w:val="009B2DF8"/>
    <w:rsid w:val="009B3E26"/>
    <w:rsid w:val="009B415D"/>
    <w:rsid w:val="009B485E"/>
    <w:rsid w:val="009B4C83"/>
    <w:rsid w:val="009B4DA5"/>
    <w:rsid w:val="009B53A0"/>
    <w:rsid w:val="009B53CB"/>
    <w:rsid w:val="009B54F3"/>
    <w:rsid w:val="009B6179"/>
    <w:rsid w:val="009B650E"/>
    <w:rsid w:val="009B7465"/>
    <w:rsid w:val="009B76A0"/>
    <w:rsid w:val="009B77C5"/>
    <w:rsid w:val="009B7A6E"/>
    <w:rsid w:val="009C007A"/>
    <w:rsid w:val="009C0203"/>
    <w:rsid w:val="009C0651"/>
    <w:rsid w:val="009C06A4"/>
    <w:rsid w:val="009C06B7"/>
    <w:rsid w:val="009C0770"/>
    <w:rsid w:val="009C0819"/>
    <w:rsid w:val="009C09A8"/>
    <w:rsid w:val="009C105F"/>
    <w:rsid w:val="009C11F8"/>
    <w:rsid w:val="009C1271"/>
    <w:rsid w:val="009C13FA"/>
    <w:rsid w:val="009C1998"/>
    <w:rsid w:val="009C215B"/>
    <w:rsid w:val="009C233C"/>
    <w:rsid w:val="009C27EB"/>
    <w:rsid w:val="009C29EC"/>
    <w:rsid w:val="009C34B6"/>
    <w:rsid w:val="009C3706"/>
    <w:rsid w:val="009C3A3A"/>
    <w:rsid w:val="009C3B11"/>
    <w:rsid w:val="009C426B"/>
    <w:rsid w:val="009C45CD"/>
    <w:rsid w:val="009C4BB8"/>
    <w:rsid w:val="009C4BE5"/>
    <w:rsid w:val="009C5162"/>
    <w:rsid w:val="009C5765"/>
    <w:rsid w:val="009C5F0A"/>
    <w:rsid w:val="009C5F87"/>
    <w:rsid w:val="009C65A6"/>
    <w:rsid w:val="009C6CEA"/>
    <w:rsid w:val="009C7B40"/>
    <w:rsid w:val="009C7B6E"/>
    <w:rsid w:val="009C7B85"/>
    <w:rsid w:val="009C7BA1"/>
    <w:rsid w:val="009C7D35"/>
    <w:rsid w:val="009C7D69"/>
    <w:rsid w:val="009D0254"/>
    <w:rsid w:val="009D0679"/>
    <w:rsid w:val="009D0F84"/>
    <w:rsid w:val="009D129A"/>
    <w:rsid w:val="009D1622"/>
    <w:rsid w:val="009D172E"/>
    <w:rsid w:val="009D17EB"/>
    <w:rsid w:val="009D19AF"/>
    <w:rsid w:val="009D1A64"/>
    <w:rsid w:val="009D2933"/>
    <w:rsid w:val="009D2988"/>
    <w:rsid w:val="009D3613"/>
    <w:rsid w:val="009D3A04"/>
    <w:rsid w:val="009D3E94"/>
    <w:rsid w:val="009D44A4"/>
    <w:rsid w:val="009D44BF"/>
    <w:rsid w:val="009D45B4"/>
    <w:rsid w:val="009D4887"/>
    <w:rsid w:val="009D4D35"/>
    <w:rsid w:val="009D50A4"/>
    <w:rsid w:val="009D5338"/>
    <w:rsid w:val="009D54CE"/>
    <w:rsid w:val="009D5534"/>
    <w:rsid w:val="009D5AF9"/>
    <w:rsid w:val="009D5B91"/>
    <w:rsid w:val="009D5C08"/>
    <w:rsid w:val="009D5F0E"/>
    <w:rsid w:val="009D6365"/>
    <w:rsid w:val="009D67A9"/>
    <w:rsid w:val="009D74E2"/>
    <w:rsid w:val="009D78C7"/>
    <w:rsid w:val="009D792E"/>
    <w:rsid w:val="009E00E0"/>
    <w:rsid w:val="009E01F8"/>
    <w:rsid w:val="009E045B"/>
    <w:rsid w:val="009E0DFE"/>
    <w:rsid w:val="009E1379"/>
    <w:rsid w:val="009E16D9"/>
    <w:rsid w:val="009E1A23"/>
    <w:rsid w:val="009E252F"/>
    <w:rsid w:val="009E2CEC"/>
    <w:rsid w:val="009E31F6"/>
    <w:rsid w:val="009E3502"/>
    <w:rsid w:val="009E35EE"/>
    <w:rsid w:val="009E495F"/>
    <w:rsid w:val="009E4C07"/>
    <w:rsid w:val="009E50C7"/>
    <w:rsid w:val="009E51CD"/>
    <w:rsid w:val="009E5652"/>
    <w:rsid w:val="009E60CD"/>
    <w:rsid w:val="009E61C0"/>
    <w:rsid w:val="009E6D5C"/>
    <w:rsid w:val="009E777F"/>
    <w:rsid w:val="009E7DCF"/>
    <w:rsid w:val="009F0401"/>
    <w:rsid w:val="009F057E"/>
    <w:rsid w:val="009F0626"/>
    <w:rsid w:val="009F0796"/>
    <w:rsid w:val="009F07C3"/>
    <w:rsid w:val="009F0BF9"/>
    <w:rsid w:val="009F1245"/>
    <w:rsid w:val="009F1533"/>
    <w:rsid w:val="009F17CB"/>
    <w:rsid w:val="009F1FFD"/>
    <w:rsid w:val="009F2207"/>
    <w:rsid w:val="009F28FF"/>
    <w:rsid w:val="009F2F7A"/>
    <w:rsid w:val="009F3234"/>
    <w:rsid w:val="009F3A49"/>
    <w:rsid w:val="009F3F7C"/>
    <w:rsid w:val="009F494E"/>
    <w:rsid w:val="009F4C0A"/>
    <w:rsid w:val="009F5B65"/>
    <w:rsid w:val="009F5E4A"/>
    <w:rsid w:val="009F5F4F"/>
    <w:rsid w:val="009F5F9E"/>
    <w:rsid w:val="009F6120"/>
    <w:rsid w:val="009F68C7"/>
    <w:rsid w:val="009F6EAE"/>
    <w:rsid w:val="009F6FD3"/>
    <w:rsid w:val="009F72B5"/>
    <w:rsid w:val="009F775E"/>
    <w:rsid w:val="00A00C83"/>
    <w:rsid w:val="00A00D76"/>
    <w:rsid w:val="00A01184"/>
    <w:rsid w:val="00A01449"/>
    <w:rsid w:val="00A01B3E"/>
    <w:rsid w:val="00A0231A"/>
    <w:rsid w:val="00A0261F"/>
    <w:rsid w:val="00A02A6C"/>
    <w:rsid w:val="00A02D8F"/>
    <w:rsid w:val="00A037C2"/>
    <w:rsid w:val="00A03D43"/>
    <w:rsid w:val="00A04038"/>
    <w:rsid w:val="00A04380"/>
    <w:rsid w:val="00A0444B"/>
    <w:rsid w:val="00A04786"/>
    <w:rsid w:val="00A048A6"/>
    <w:rsid w:val="00A048FC"/>
    <w:rsid w:val="00A05156"/>
    <w:rsid w:val="00A05309"/>
    <w:rsid w:val="00A053EF"/>
    <w:rsid w:val="00A05472"/>
    <w:rsid w:val="00A05951"/>
    <w:rsid w:val="00A05AF0"/>
    <w:rsid w:val="00A05B64"/>
    <w:rsid w:val="00A05C32"/>
    <w:rsid w:val="00A05C90"/>
    <w:rsid w:val="00A05DB7"/>
    <w:rsid w:val="00A05F54"/>
    <w:rsid w:val="00A06257"/>
    <w:rsid w:val="00A063F7"/>
    <w:rsid w:val="00A0653F"/>
    <w:rsid w:val="00A073C3"/>
    <w:rsid w:val="00A0774F"/>
    <w:rsid w:val="00A07775"/>
    <w:rsid w:val="00A1019C"/>
    <w:rsid w:val="00A10BE7"/>
    <w:rsid w:val="00A10DB1"/>
    <w:rsid w:val="00A11AD9"/>
    <w:rsid w:val="00A11B52"/>
    <w:rsid w:val="00A11CD0"/>
    <w:rsid w:val="00A127E6"/>
    <w:rsid w:val="00A1327C"/>
    <w:rsid w:val="00A13497"/>
    <w:rsid w:val="00A137A0"/>
    <w:rsid w:val="00A13903"/>
    <w:rsid w:val="00A13948"/>
    <w:rsid w:val="00A13C88"/>
    <w:rsid w:val="00A1443E"/>
    <w:rsid w:val="00A14510"/>
    <w:rsid w:val="00A14750"/>
    <w:rsid w:val="00A14F51"/>
    <w:rsid w:val="00A153E6"/>
    <w:rsid w:val="00A1555B"/>
    <w:rsid w:val="00A155C5"/>
    <w:rsid w:val="00A15B89"/>
    <w:rsid w:val="00A162C3"/>
    <w:rsid w:val="00A16AD8"/>
    <w:rsid w:val="00A16D70"/>
    <w:rsid w:val="00A171FB"/>
    <w:rsid w:val="00A17279"/>
    <w:rsid w:val="00A1788F"/>
    <w:rsid w:val="00A17A70"/>
    <w:rsid w:val="00A17DC2"/>
    <w:rsid w:val="00A17E71"/>
    <w:rsid w:val="00A20061"/>
    <w:rsid w:val="00A2021E"/>
    <w:rsid w:val="00A20B5F"/>
    <w:rsid w:val="00A20EC8"/>
    <w:rsid w:val="00A21C95"/>
    <w:rsid w:val="00A21CF3"/>
    <w:rsid w:val="00A2210E"/>
    <w:rsid w:val="00A222E7"/>
    <w:rsid w:val="00A223D7"/>
    <w:rsid w:val="00A225AD"/>
    <w:rsid w:val="00A22E58"/>
    <w:rsid w:val="00A2301C"/>
    <w:rsid w:val="00A230E3"/>
    <w:rsid w:val="00A234B1"/>
    <w:rsid w:val="00A23850"/>
    <w:rsid w:val="00A23BFD"/>
    <w:rsid w:val="00A23C09"/>
    <w:rsid w:val="00A23C65"/>
    <w:rsid w:val="00A23D1B"/>
    <w:rsid w:val="00A23FA4"/>
    <w:rsid w:val="00A241D3"/>
    <w:rsid w:val="00A247C2"/>
    <w:rsid w:val="00A24813"/>
    <w:rsid w:val="00A25BDC"/>
    <w:rsid w:val="00A25CC9"/>
    <w:rsid w:val="00A25F19"/>
    <w:rsid w:val="00A268D8"/>
    <w:rsid w:val="00A26C13"/>
    <w:rsid w:val="00A26E8D"/>
    <w:rsid w:val="00A27336"/>
    <w:rsid w:val="00A27454"/>
    <w:rsid w:val="00A27AEC"/>
    <w:rsid w:val="00A27DC2"/>
    <w:rsid w:val="00A30307"/>
    <w:rsid w:val="00A30578"/>
    <w:rsid w:val="00A3073F"/>
    <w:rsid w:val="00A30BD2"/>
    <w:rsid w:val="00A30EA7"/>
    <w:rsid w:val="00A31ABB"/>
    <w:rsid w:val="00A31DC0"/>
    <w:rsid w:val="00A31E09"/>
    <w:rsid w:val="00A32009"/>
    <w:rsid w:val="00A320DB"/>
    <w:rsid w:val="00A324D2"/>
    <w:rsid w:val="00A32749"/>
    <w:rsid w:val="00A328AA"/>
    <w:rsid w:val="00A329B1"/>
    <w:rsid w:val="00A33A32"/>
    <w:rsid w:val="00A33B0F"/>
    <w:rsid w:val="00A33B8D"/>
    <w:rsid w:val="00A34343"/>
    <w:rsid w:val="00A34983"/>
    <w:rsid w:val="00A35764"/>
    <w:rsid w:val="00A35D11"/>
    <w:rsid w:val="00A35D16"/>
    <w:rsid w:val="00A3616F"/>
    <w:rsid w:val="00A363C5"/>
    <w:rsid w:val="00A36691"/>
    <w:rsid w:val="00A37336"/>
    <w:rsid w:val="00A37466"/>
    <w:rsid w:val="00A37B85"/>
    <w:rsid w:val="00A37BB6"/>
    <w:rsid w:val="00A37BCD"/>
    <w:rsid w:val="00A37D22"/>
    <w:rsid w:val="00A37DA6"/>
    <w:rsid w:val="00A40A9F"/>
    <w:rsid w:val="00A4155F"/>
    <w:rsid w:val="00A41689"/>
    <w:rsid w:val="00A416CB"/>
    <w:rsid w:val="00A41742"/>
    <w:rsid w:val="00A419FC"/>
    <w:rsid w:val="00A4245B"/>
    <w:rsid w:val="00A42592"/>
    <w:rsid w:val="00A43B90"/>
    <w:rsid w:val="00A43C59"/>
    <w:rsid w:val="00A4425B"/>
    <w:rsid w:val="00A44294"/>
    <w:rsid w:val="00A442B6"/>
    <w:rsid w:val="00A44399"/>
    <w:rsid w:val="00A443AC"/>
    <w:rsid w:val="00A444D3"/>
    <w:rsid w:val="00A44983"/>
    <w:rsid w:val="00A45177"/>
    <w:rsid w:val="00A451E7"/>
    <w:rsid w:val="00A45632"/>
    <w:rsid w:val="00A462E0"/>
    <w:rsid w:val="00A46834"/>
    <w:rsid w:val="00A472A7"/>
    <w:rsid w:val="00A474F4"/>
    <w:rsid w:val="00A474F9"/>
    <w:rsid w:val="00A478B3"/>
    <w:rsid w:val="00A500E5"/>
    <w:rsid w:val="00A502EC"/>
    <w:rsid w:val="00A50745"/>
    <w:rsid w:val="00A50ECD"/>
    <w:rsid w:val="00A50EF8"/>
    <w:rsid w:val="00A50F2F"/>
    <w:rsid w:val="00A510EC"/>
    <w:rsid w:val="00A514E5"/>
    <w:rsid w:val="00A517AA"/>
    <w:rsid w:val="00A518F3"/>
    <w:rsid w:val="00A5196D"/>
    <w:rsid w:val="00A51ACC"/>
    <w:rsid w:val="00A52729"/>
    <w:rsid w:val="00A52757"/>
    <w:rsid w:val="00A52926"/>
    <w:rsid w:val="00A53675"/>
    <w:rsid w:val="00A538CB"/>
    <w:rsid w:val="00A542EE"/>
    <w:rsid w:val="00A5448A"/>
    <w:rsid w:val="00A54675"/>
    <w:rsid w:val="00A54726"/>
    <w:rsid w:val="00A54840"/>
    <w:rsid w:val="00A55D83"/>
    <w:rsid w:val="00A560FB"/>
    <w:rsid w:val="00A56432"/>
    <w:rsid w:val="00A564D7"/>
    <w:rsid w:val="00A56642"/>
    <w:rsid w:val="00A56B6A"/>
    <w:rsid w:val="00A56F52"/>
    <w:rsid w:val="00A56FD5"/>
    <w:rsid w:val="00A578DC"/>
    <w:rsid w:val="00A60044"/>
    <w:rsid w:val="00A60143"/>
    <w:rsid w:val="00A60B1C"/>
    <w:rsid w:val="00A60EBE"/>
    <w:rsid w:val="00A6131E"/>
    <w:rsid w:val="00A61565"/>
    <w:rsid w:val="00A619AF"/>
    <w:rsid w:val="00A6200E"/>
    <w:rsid w:val="00A62D30"/>
    <w:rsid w:val="00A62E19"/>
    <w:rsid w:val="00A62E53"/>
    <w:rsid w:val="00A639CB"/>
    <w:rsid w:val="00A63A08"/>
    <w:rsid w:val="00A63B55"/>
    <w:rsid w:val="00A63BA6"/>
    <w:rsid w:val="00A63D8F"/>
    <w:rsid w:val="00A640E2"/>
    <w:rsid w:val="00A6467F"/>
    <w:rsid w:val="00A649A8"/>
    <w:rsid w:val="00A64D65"/>
    <w:rsid w:val="00A6582A"/>
    <w:rsid w:val="00A65BC0"/>
    <w:rsid w:val="00A65D23"/>
    <w:rsid w:val="00A6630E"/>
    <w:rsid w:val="00A66480"/>
    <w:rsid w:val="00A66A23"/>
    <w:rsid w:val="00A66C97"/>
    <w:rsid w:val="00A66ED5"/>
    <w:rsid w:val="00A6708A"/>
    <w:rsid w:val="00A6725B"/>
    <w:rsid w:val="00A67793"/>
    <w:rsid w:val="00A67871"/>
    <w:rsid w:val="00A67931"/>
    <w:rsid w:val="00A67C98"/>
    <w:rsid w:val="00A7015E"/>
    <w:rsid w:val="00A7059C"/>
    <w:rsid w:val="00A70605"/>
    <w:rsid w:val="00A70FFA"/>
    <w:rsid w:val="00A719C9"/>
    <w:rsid w:val="00A71A11"/>
    <w:rsid w:val="00A71CB1"/>
    <w:rsid w:val="00A721F0"/>
    <w:rsid w:val="00A72295"/>
    <w:rsid w:val="00A72B4A"/>
    <w:rsid w:val="00A72CC0"/>
    <w:rsid w:val="00A73134"/>
    <w:rsid w:val="00A7365A"/>
    <w:rsid w:val="00A73A1C"/>
    <w:rsid w:val="00A73FCE"/>
    <w:rsid w:val="00A741CE"/>
    <w:rsid w:val="00A74308"/>
    <w:rsid w:val="00A74B55"/>
    <w:rsid w:val="00A753CD"/>
    <w:rsid w:val="00A753D6"/>
    <w:rsid w:val="00A754F7"/>
    <w:rsid w:val="00A75538"/>
    <w:rsid w:val="00A75C82"/>
    <w:rsid w:val="00A76001"/>
    <w:rsid w:val="00A769FC"/>
    <w:rsid w:val="00A76DF3"/>
    <w:rsid w:val="00A777B2"/>
    <w:rsid w:val="00A7799D"/>
    <w:rsid w:val="00A77B8C"/>
    <w:rsid w:val="00A80DB0"/>
    <w:rsid w:val="00A81714"/>
    <w:rsid w:val="00A81A78"/>
    <w:rsid w:val="00A81EF6"/>
    <w:rsid w:val="00A8207E"/>
    <w:rsid w:val="00A821D8"/>
    <w:rsid w:val="00A823C8"/>
    <w:rsid w:val="00A825BC"/>
    <w:rsid w:val="00A825D4"/>
    <w:rsid w:val="00A828F6"/>
    <w:rsid w:val="00A82B73"/>
    <w:rsid w:val="00A82EB0"/>
    <w:rsid w:val="00A83348"/>
    <w:rsid w:val="00A83497"/>
    <w:rsid w:val="00A83E0F"/>
    <w:rsid w:val="00A8458B"/>
    <w:rsid w:val="00A85228"/>
    <w:rsid w:val="00A85232"/>
    <w:rsid w:val="00A85365"/>
    <w:rsid w:val="00A8558F"/>
    <w:rsid w:val="00A85A51"/>
    <w:rsid w:val="00A85AA7"/>
    <w:rsid w:val="00A85E45"/>
    <w:rsid w:val="00A85F93"/>
    <w:rsid w:val="00A85F9B"/>
    <w:rsid w:val="00A86056"/>
    <w:rsid w:val="00A86AB6"/>
    <w:rsid w:val="00A86BD1"/>
    <w:rsid w:val="00A86D4A"/>
    <w:rsid w:val="00A86E8B"/>
    <w:rsid w:val="00A87164"/>
    <w:rsid w:val="00A871A9"/>
    <w:rsid w:val="00A87A1F"/>
    <w:rsid w:val="00A90865"/>
    <w:rsid w:val="00A90E38"/>
    <w:rsid w:val="00A911D0"/>
    <w:rsid w:val="00A916C5"/>
    <w:rsid w:val="00A91BF7"/>
    <w:rsid w:val="00A91C70"/>
    <w:rsid w:val="00A9274E"/>
    <w:rsid w:val="00A9299A"/>
    <w:rsid w:val="00A92DA4"/>
    <w:rsid w:val="00A93072"/>
    <w:rsid w:val="00A93806"/>
    <w:rsid w:val="00A938BD"/>
    <w:rsid w:val="00A93953"/>
    <w:rsid w:val="00A93D33"/>
    <w:rsid w:val="00A9403E"/>
    <w:rsid w:val="00A94B05"/>
    <w:rsid w:val="00A94EBF"/>
    <w:rsid w:val="00A94EFB"/>
    <w:rsid w:val="00A9569C"/>
    <w:rsid w:val="00A959D8"/>
    <w:rsid w:val="00A96507"/>
    <w:rsid w:val="00A965D5"/>
    <w:rsid w:val="00A97383"/>
    <w:rsid w:val="00A97C2E"/>
    <w:rsid w:val="00A97D77"/>
    <w:rsid w:val="00A97E44"/>
    <w:rsid w:val="00AA050A"/>
    <w:rsid w:val="00AA066D"/>
    <w:rsid w:val="00AA10AF"/>
    <w:rsid w:val="00AA1117"/>
    <w:rsid w:val="00AA113D"/>
    <w:rsid w:val="00AA1821"/>
    <w:rsid w:val="00AA1A00"/>
    <w:rsid w:val="00AA1DB7"/>
    <w:rsid w:val="00AA1EEF"/>
    <w:rsid w:val="00AA22F3"/>
    <w:rsid w:val="00AA2A4C"/>
    <w:rsid w:val="00AA2B73"/>
    <w:rsid w:val="00AA34DF"/>
    <w:rsid w:val="00AA3BDD"/>
    <w:rsid w:val="00AA3C23"/>
    <w:rsid w:val="00AA3F2F"/>
    <w:rsid w:val="00AA4121"/>
    <w:rsid w:val="00AA4B3E"/>
    <w:rsid w:val="00AA5313"/>
    <w:rsid w:val="00AA5427"/>
    <w:rsid w:val="00AA5D26"/>
    <w:rsid w:val="00AA61AF"/>
    <w:rsid w:val="00AA667C"/>
    <w:rsid w:val="00AA6B8E"/>
    <w:rsid w:val="00AA6BD5"/>
    <w:rsid w:val="00AA6BD8"/>
    <w:rsid w:val="00AA6C7D"/>
    <w:rsid w:val="00AA6CBE"/>
    <w:rsid w:val="00AA6F36"/>
    <w:rsid w:val="00AA749A"/>
    <w:rsid w:val="00AA7A81"/>
    <w:rsid w:val="00AA7FD6"/>
    <w:rsid w:val="00AB024D"/>
    <w:rsid w:val="00AB042A"/>
    <w:rsid w:val="00AB05EE"/>
    <w:rsid w:val="00AB062F"/>
    <w:rsid w:val="00AB0641"/>
    <w:rsid w:val="00AB0689"/>
    <w:rsid w:val="00AB0EBA"/>
    <w:rsid w:val="00AB11AD"/>
    <w:rsid w:val="00AB1609"/>
    <w:rsid w:val="00AB19EF"/>
    <w:rsid w:val="00AB21ED"/>
    <w:rsid w:val="00AB2383"/>
    <w:rsid w:val="00AB23DF"/>
    <w:rsid w:val="00AB2495"/>
    <w:rsid w:val="00AB2744"/>
    <w:rsid w:val="00AB2D34"/>
    <w:rsid w:val="00AB2EC0"/>
    <w:rsid w:val="00AB2FFF"/>
    <w:rsid w:val="00AB3430"/>
    <w:rsid w:val="00AB37B9"/>
    <w:rsid w:val="00AB37BA"/>
    <w:rsid w:val="00AB38C8"/>
    <w:rsid w:val="00AB3EA9"/>
    <w:rsid w:val="00AB442A"/>
    <w:rsid w:val="00AB4AD1"/>
    <w:rsid w:val="00AB524B"/>
    <w:rsid w:val="00AB5E07"/>
    <w:rsid w:val="00AB5FF3"/>
    <w:rsid w:val="00AB636E"/>
    <w:rsid w:val="00AB64D9"/>
    <w:rsid w:val="00AB64F5"/>
    <w:rsid w:val="00AB6CEA"/>
    <w:rsid w:val="00AB7A54"/>
    <w:rsid w:val="00AB7C8A"/>
    <w:rsid w:val="00AB7CFA"/>
    <w:rsid w:val="00AC0B15"/>
    <w:rsid w:val="00AC0E91"/>
    <w:rsid w:val="00AC12DF"/>
    <w:rsid w:val="00AC17C3"/>
    <w:rsid w:val="00AC196A"/>
    <w:rsid w:val="00AC204C"/>
    <w:rsid w:val="00AC2243"/>
    <w:rsid w:val="00AC2559"/>
    <w:rsid w:val="00AC324A"/>
    <w:rsid w:val="00AC33A3"/>
    <w:rsid w:val="00AC34EB"/>
    <w:rsid w:val="00AC36A8"/>
    <w:rsid w:val="00AC39F7"/>
    <w:rsid w:val="00AC3E54"/>
    <w:rsid w:val="00AC4499"/>
    <w:rsid w:val="00AC4DD3"/>
    <w:rsid w:val="00AC5571"/>
    <w:rsid w:val="00AC5B42"/>
    <w:rsid w:val="00AC5B48"/>
    <w:rsid w:val="00AC6612"/>
    <w:rsid w:val="00AC6A94"/>
    <w:rsid w:val="00AC6AB4"/>
    <w:rsid w:val="00AC6D06"/>
    <w:rsid w:val="00AC7BAA"/>
    <w:rsid w:val="00AD02A8"/>
    <w:rsid w:val="00AD0449"/>
    <w:rsid w:val="00AD0C3A"/>
    <w:rsid w:val="00AD0C8F"/>
    <w:rsid w:val="00AD0EF7"/>
    <w:rsid w:val="00AD0F78"/>
    <w:rsid w:val="00AD1442"/>
    <w:rsid w:val="00AD1450"/>
    <w:rsid w:val="00AD15E8"/>
    <w:rsid w:val="00AD18D3"/>
    <w:rsid w:val="00AD1FAD"/>
    <w:rsid w:val="00AD2598"/>
    <w:rsid w:val="00AD2E94"/>
    <w:rsid w:val="00AD356D"/>
    <w:rsid w:val="00AD36D4"/>
    <w:rsid w:val="00AD3A0F"/>
    <w:rsid w:val="00AD3ACB"/>
    <w:rsid w:val="00AD45C0"/>
    <w:rsid w:val="00AD5682"/>
    <w:rsid w:val="00AD57BD"/>
    <w:rsid w:val="00AD58E2"/>
    <w:rsid w:val="00AD6447"/>
    <w:rsid w:val="00AD6502"/>
    <w:rsid w:val="00AD67CF"/>
    <w:rsid w:val="00AD7687"/>
    <w:rsid w:val="00AE0457"/>
    <w:rsid w:val="00AE04A0"/>
    <w:rsid w:val="00AE0695"/>
    <w:rsid w:val="00AE073E"/>
    <w:rsid w:val="00AE0754"/>
    <w:rsid w:val="00AE0E76"/>
    <w:rsid w:val="00AE14F6"/>
    <w:rsid w:val="00AE17AE"/>
    <w:rsid w:val="00AE17E4"/>
    <w:rsid w:val="00AE24BF"/>
    <w:rsid w:val="00AE31D7"/>
    <w:rsid w:val="00AE32FB"/>
    <w:rsid w:val="00AE3E7E"/>
    <w:rsid w:val="00AE44E2"/>
    <w:rsid w:val="00AE473F"/>
    <w:rsid w:val="00AE55A3"/>
    <w:rsid w:val="00AE6312"/>
    <w:rsid w:val="00AE6362"/>
    <w:rsid w:val="00AE7056"/>
    <w:rsid w:val="00AE70AE"/>
    <w:rsid w:val="00AE78CF"/>
    <w:rsid w:val="00AE7E53"/>
    <w:rsid w:val="00AF050E"/>
    <w:rsid w:val="00AF0D4C"/>
    <w:rsid w:val="00AF10E0"/>
    <w:rsid w:val="00AF1315"/>
    <w:rsid w:val="00AF1545"/>
    <w:rsid w:val="00AF17BD"/>
    <w:rsid w:val="00AF1974"/>
    <w:rsid w:val="00AF19BF"/>
    <w:rsid w:val="00AF2070"/>
    <w:rsid w:val="00AF2380"/>
    <w:rsid w:val="00AF26B4"/>
    <w:rsid w:val="00AF27AB"/>
    <w:rsid w:val="00AF2DC3"/>
    <w:rsid w:val="00AF415A"/>
    <w:rsid w:val="00AF4505"/>
    <w:rsid w:val="00AF515A"/>
    <w:rsid w:val="00AF5959"/>
    <w:rsid w:val="00AF5D6E"/>
    <w:rsid w:val="00AF65D9"/>
    <w:rsid w:val="00AF7131"/>
    <w:rsid w:val="00AF7F33"/>
    <w:rsid w:val="00B00DE9"/>
    <w:rsid w:val="00B0100D"/>
    <w:rsid w:val="00B01C78"/>
    <w:rsid w:val="00B021ED"/>
    <w:rsid w:val="00B025CA"/>
    <w:rsid w:val="00B02F7B"/>
    <w:rsid w:val="00B033E5"/>
    <w:rsid w:val="00B03859"/>
    <w:rsid w:val="00B03889"/>
    <w:rsid w:val="00B03A63"/>
    <w:rsid w:val="00B03F28"/>
    <w:rsid w:val="00B04132"/>
    <w:rsid w:val="00B04416"/>
    <w:rsid w:val="00B0448E"/>
    <w:rsid w:val="00B05141"/>
    <w:rsid w:val="00B0527A"/>
    <w:rsid w:val="00B06633"/>
    <w:rsid w:val="00B07367"/>
    <w:rsid w:val="00B076FE"/>
    <w:rsid w:val="00B0774E"/>
    <w:rsid w:val="00B077CC"/>
    <w:rsid w:val="00B07DD4"/>
    <w:rsid w:val="00B100FB"/>
    <w:rsid w:val="00B102FB"/>
    <w:rsid w:val="00B105F8"/>
    <w:rsid w:val="00B10CBA"/>
    <w:rsid w:val="00B10F17"/>
    <w:rsid w:val="00B11355"/>
    <w:rsid w:val="00B1170F"/>
    <w:rsid w:val="00B1179F"/>
    <w:rsid w:val="00B11F60"/>
    <w:rsid w:val="00B125CB"/>
    <w:rsid w:val="00B129A4"/>
    <w:rsid w:val="00B12F83"/>
    <w:rsid w:val="00B135C1"/>
    <w:rsid w:val="00B13BDA"/>
    <w:rsid w:val="00B13D13"/>
    <w:rsid w:val="00B13E9D"/>
    <w:rsid w:val="00B1488D"/>
    <w:rsid w:val="00B14A0A"/>
    <w:rsid w:val="00B15767"/>
    <w:rsid w:val="00B159D5"/>
    <w:rsid w:val="00B165AC"/>
    <w:rsid w:val="00B16C99"/>
    <w:rsid w:val="00B201A4"/>
    <w:rsid w:val="00B201D1"/>
    <w:rsid w:val="00B2076E"/>
    <w:rsid w:val="00B213A6"/>
    <w:rsid w:val="00B214A9"/>
    <w:rsid w:val="00B21769"/>
    <w:rsid w:val="00B21A02"/>
    <w:rsid w:val="00B21A4D"/>
    <w:rsid w:val="00B21D6F"/>
    <w:rsid w:val="00B22064"/>
    <w:rsid w:val="00B225D2"/>
    <w:rsid w:val="00B2291A"/>
    <w:rsid w:val="00B22CC3"/>
    <w:rsid w:val="00B22E93"/>
    <w:rsid w:val="00B235B0"/>
    <w:rsid w:val="00B24157"/>
    <w:rsid w:val="00B246A4"/>
    <w:rsid w:val="00B24914"/>
    <w:rsid w:val="00B24DF6"/>
    <w:rsid w:val="00B25347"/>
    <w:rsid w:val="00B256F0"/>
    <w:rsid w:val="00B25B71"/>
    <w:rsid w:val="00B25ED2"/>
    <w:rsid w:val="00B26986"/>
    <w:rsid w:val="00B272D8"/>
    <w:rsid w:val="00B27A61"/>
    <w:rsid w:val="00B27B66"/>
    <w:rsid w:val="00B27C49"/>
    <w:rsid w:val="00B27D30"/>
    <w:rsid w:val="00B27D73"/>
    <w:rsid w:val="00B301CD"/>
    <w:rsid w:val="00B3027A"/>
    <w:rsid w:val="00B3098F"/>
    <w:rsid w:val="00B30B11"/>
    <w:rsid w:val="00B30C92"/>
    <w:rsid w:val="00B30DDF"/>
    <w:rsid w:val="00B30E92"/>
    <w:rsid w:val="00B319B9"/>
    <w:rsid w:val="00B3206C"/>
    <w:rsid w:val="00B32392"/>
    <w:rsid w:val="00B324F0"/>
    <w:rsid w:val="00B32712"/>
    <w:rsid w:val="00B3285B"/>
    <w:rsid w:val="00B329B2"/>
    <w:rsid w:val="00B32B35"/>
    <w:rsid w:val="00B33157"/>
    <w:rsid w:val="00B33424"/>
    <w:rsid w:val="00B335AF"/>
    <w:rsid w:val="00B33F38"/>
    <w:rsid w:val="00B34034"/>
    <w:rsid w:val="00B341E7"/>
    <w:rsid w:val="00B343A1"/>
    <w:rsid w:val="00B3485F"/>
    <w:rsid w:val="00B34920"/>
    <w:rsid w:val="00B349EC"/>
    <w:rsid w:val="00B34D47"/>
    <w:rsid w:val="00B34E00"/>
    <w:rsid w:val="00B34F44"/>
    <w:rsid w:val="00B34FE2"/>
    <w:rsid w:val="00B35166"/>
    <w:rsid w:val="00B3568D"/>
    <w:rsid w:val="00B357D7"/>
    <w:rsid w:val="00B357D8"/>
    <w:rsid w:val="00B36015"/>
    <w:rsid w:val="00B360B4"/>
    <w:rsid w:val="00B360F4"/>
    <w:rsid w:val="00B361BA"/>
    <w:rsid w:val="00B36726"/>
    <w:rsid w:val="00B36A00"/>
    <w:rsid w:val="00B371EF"/>
    <w:rsid w:val="00B37315"/>
    <w:rsid w:val="00B37521"/>
    <w:rsid w:val="00B3763D"/>
    <w:rsid w:val="00B3791D"/>
    <w:rsid w:val="00B3792B"/>
    <w:rsid w:val="00B379CE"/>
    <w:rsid w:val="00B37A98"/>
    <w:rsid w:val="00B37BFC"/>
    <w:rsid w:val="00B37CEF"/>
    <w:rsid w:val="00B37D26"/>
    <w:rsid w:val="00B37DBF"/>
    <w:rsid w:val="00B400B1"/>
    <w:rsid w:val="00B40358"/>
    <w:rsid w:val="00B415D6"/>
    <w:rsid w:val="00B41614"/>
    <w:rsid w:val="00B41786"/>
    <w:rsid w:val="00B418E1"/>
    <w:rsid w:val="00B42851"/>
    <w:rsid w:val="00B42F80"/>
    <w:rsid w:val="00B435CB"/>
    <w:rsid w:val="00B43F05"/>
    <w:rsid w:val="00B443BB"/>
    <w:rsid w:val="00B44463"/>
    <w:rsid w:val="00B44DB5"/>
    <w:rsid w:val="00B44E10"/>
    <w:rsid w:val="00B44F8E"/>
    <w:rsid w:val="00B452EF"/>
    <w:rsid w:val="00B462C1"/>
    <w:rsid w:val="00B462C5"/>
    <w:rsid w:val="00B465EC"/>
    <w:rsid w:val="00B466D3"/>
    <w:rsid w:val="00B467A2"/>
    <w:rsid w:val="00B468F7"/>
    <w:rsid w:val="00B505C8"/>
    <w:rsid w:val="00B50650"/>
    <w:rsid w:val="00B50DB8"/>
    <w:rsid w:val="00B51137"/>
    <w:rsid w:val="00B513F4"/>
    <w:rsid w:val="00B52174"/>
    <w:rsid w:val="00B5272D"/>
    <w:rsid w:val="00B52843"/>
    <w:rsid w:val="00B532DB"/>
    <w:rsid w:val="00B53654"/>
    <w:rsid w:val="00B53662"/>
    <w:rsid w:val="00B53905"/>
    <w:rsid w:val="00B542B7"/>
    <w:rsid w:val="00B5453C"/>
    <w:rsid w:val="00B545B5"/>
    <w:rsid w:val="00B546DB"/>
    <w:rsid w:val="00B54964"/>
    <w:rsid w:val="00B54B5B"/>
    <w:rsid w:val="00B555EC"/>
    <w:rsid w:val="00B5562E"/>
    <w:rsid w:val="00B5575F"/>
    <w:rsid w:val="00B55862"/>
    <w:rsid w:val="00B55C6A"/>
    <w:rsid w:val="00B55D65"/>
    <w:rsid w:val="00B55F96"/>
    <w:rsid w:val="00B560F7"/>
    <w:rsid w:val="00B56305"/>
    <w:rsid w:val="00B5649C"/>
    <w:rsid w:val="00B57000"/>
    <w:rsid w:val="00B57041"/>
    <w:rsid w:val="00B57089"/>
    <w:rsid w:val="00B578B8"/>
    <w:rsid w:val="00B57C40"/>
    <w:rsid w:val="00B60034"/>
    <w:rsid w:val="00B602A1"/>
    <w:rsid w:val="00B60939"/>
    <w:rsid w:val="00B60AFD"/>
    <w:rsid w:val="00B613C4"/>
    <w:rsid w:val="00B61D8B"/>
    <w:rsid w:val="00B6207D"/>
    <w:rsid w:val="00B62476"/>
    <w:rsid w:val="00B62715"/>
    <w:rsid w:val="00B62A9F"/>
    <w:rsid w:val="00B639BC"/>
    <w:rsid w:val="00B63A86"/>
    <w:rsid w:val="00B63FB1"/>
    <w:rsid w:val="00B640AE"/>
    <w:rsid w:val="00B64450"/>
    <w:rsid w:val="00B64D96"/>
    <w:rsid w:val="00B6522C"/>
    <w:rsid w:val="00B65611"/>
    <w:rsid w:val="00B65767"/>
    <w:rsid w:val="00B65AD2"/>
    <w:rsid w:val="00B65ADB"/>
    <w:rsid w:val="00B65D5F"/>
    <w:rsid w:val="00B65F82"/>
    <w:rsid w:val="00B66058"/>
    <w:rsid w:val="00B66A6E"/>
    <w:rsid w:val="00B66AEF"/>
    <w:rsid w:val="00B67E06"/>
    <w:rsid w:val="00B67EBC"/>
    <w:rsid w:val="00B70E8E"/>
    <w:rsid w:val="00B7116E"/>
    <w:rsid w:val="00B71F36"/>
    <w:rsid w:val="00B71FBE"/>
    <w:rsid w:val="00B72474"/>
    <w:rsid w:val="00B728FE"/>
    <w:rsid w:val="00B72FC6"/>
    <w:rsid w:val="00B7442C"/>
    <w:rsid w:val="00B74BB6"/>
    <w:rsid w:val="00B74EC2"/>
    <w:rsid w:val="00B7520C"/>
    <w:rsid w:val="00B753A5"/>
    <w:rsid w:val="00B75805"/>
    <w:rsid w:val="00B75ADD"/>
    <w:rsid w:val="00B75C7B"/>
    <w:rsid w:val="00B7674E"/>
    <w:rsid w:val="00B76C92"/>
    <w:rsid w:val="00B76E28"/>
    <w:rsid w:val="00B77D76"/>
    <w:rsid w:val="00B8025F"/>
    <w:rsid w:val="00B802CC"/>
    <w:rsid w:val="00B80863"/>
    <w:rsid w:val="00B8095E"/>
    <w:rsid w:val="00B80A62"/>
    <w:rsid w:val="00B80B47"/>
    <w:rsid w:val="00B80E21"/>
    <w:rsid w:val="00B80EFD"/>
    <w:rsid w:val="00B81628"/>
    <w:rsid w:val="00B8185F"/>
    <w:rsid w:val="00B818A4"/>
    <w:rsid w:val="00B81A58"/>
    <w:rsid w:val="00B81B52"/>
    <w:rsid w:val="00B81D37"/>
    <w:rsid w:val="00B82270"/>
    <w:rsid w:val="00B822E0"/>
    <w:rsid w:val="00B82612"/>
    <w:rsid w:val="00B8293E"/>
    <w:rsid w:val="00B82CF0"/>
    <w:rsid w:val="00B8359C"/>
    <w:rsid w:val="00B83739"/>
    <w:rsid w:val="00B83B06"/>
    <w:rsid w:val="00B84117"/>
    <w:rsid w:val="00B84346"/>
    <w:rsid w:val="00B8496D"/>
    <w:rsid w:val="00B84A0B"/>
    <w:rsid w:val="00B84D39"/>
    <w:rsid w:val="00B84FF6"/>
    <w:rsid w:val="00B85075"/>
    <w:rsid w:val="00B8516F"/>
    <w:rsid w:val="00B858F0"/>
    <w:rsid w:val="00B85A3A"/>
    <w:rsid w:val="00B85AA2"/>
    <w:rsid w:val="00B85C67"/>
    <w:rsid w:val="00B85D6E"/>
    <w:rsid w:val="00B861B2"/>
    <w:rsid w:val="00B8649C"/>
    <w:rsid w:val="00B8695D"/>
    <w:rsid w:val="00B86DA5"/>
    <w:rsid w:val="00B87177"/>
    <w:rsid w:val="00B871DE"/>
    <w:rsid w:val="00B87BAE"/>
    <w:rsid w:val="00B87F0A"/>
    <w:rsid w:val="00B90142"/>
    <w:rsid w:val="00B90220"/>
    <w:rsid w:val="00B904DC"/>
    <w:rsid w:val="00B90B52"/>
    <w:rsid w:val="00B90E28"/>
    <w:rsid w:val="00B915D3"/>
    <w:rsid w:val="00B91949"/>
    <w:rsid w:val="00B92207"/>
    <w:rsid w:val="00B922A0"/>
    <w:rsid w:val="00B9293A"/>
    <w:rsid w:val="00B92D0B"/>
    <w:rsid w:val="00B93EA7"/>
    <w:rsid w:val="00B9402A"/>
    <w:rsid w:val="00B94945"/>
    <w:rsid w:val="00B94DD6"/>
    <w:rsid w:val="00B95248"/>
    <w:rsid w:val="00B958AF"/>
    <w:rsid w:val="00B96482"/>
    <w:rsid w:val="00B970D3"/>
    <w:rsid w:val="00B974F9"/>
    <w:rsid w:val="00B9760D"/>
    <w:rsid w:val="00B97EEF"/>
    <w:rsid w:val="00BA08AF"/>
    <w:rsid w:val="00BA0F79"/>
    <w:rsid w:val="00BA183C"/>
    <w:rsid w:val="00BA1897"/>
    <w:rsid w:val="00BA1C0E"/>
    <w:rsid w:val="00BA202B"/>
    <w:rsid w:val="00BA239D"/>
    <w:rsid w:val="00BA29EF"/>
    <w:rsid w:val="00BA2B1B"/>
    <w:rsid w:val="00BA322D"/>
    <w:rsid w:val="00BA33B8"/>
    <w:rsid w:val="00BA35F1"/>
    <w:rsid w:val="00BA393E"/>
    <w:rsid w:val="00BA3ADE"/>
    <w:rsid w:val="00BA3AE6"/>
    <w:rsid w:val="00BA4136"/>
    <w:rsid w:val="00BA4271"/>
    <w:rsid w:val="00BA43DB"/>
    <w:rsid w:val="00BA4400"/>
    <w:rsid w:val="00BA44EB"/>
    <w:rsid w:val="00BA473E"/>
    <w:rsid w:val="00BA597A"/>
    <w:rsid w:val="00BA5B61"/>
    <w:rsid w:val="00BA60DC"/>
    <w:rsid w:val="00BA63FA"/>
    <w:rsid w:val="00BA6684"/>
    <w:rsid w:val="00BA68B2"/>
    <w:rsid w:val="00BA7631"/>
    <w:rsid w:val="00BB00B3"/>
    <w:rsid w:val="00BB016E"/>
    <w:rsid w:val="00BB0233"/>
    <w:rsid w:val="00BB0280"/>
    <w:rsid w:val="00BB052F"/>
    <w:rsid w:val="00BB07E4"/>
    <w:rsid w:val="00BB0898"/>
    <w:rsid w:val="00BB09F6"/>
    <w:rsid w:val="00BB0BDD"/>
    <w:rsid w:val="00BB0EB2"/>
    <w:rsid w:val="00BB12E5"/>
    <w:rsid w:val="00BB1370"/>
    <w:rsid w:val="00BB1379"/>
    <w:rsid w:val="00BB14B9"/>
    <w:rsid w:val="00BB14D8"/>
    <w:rsid w:val="00BB176C"/>
    <w:rsid w:val="00BB1BD7"/>
    <w:rsid w:val="00BB1E81"/>
    <w:rsid w:val="00BB1EF5"/>
    <w:rsid w:val="00BB24DD"/>
    <w:rsid w:val="00BB2A73"/>
    <w:rsid w:val="00BB2E61"/>
    <w:rsid w:val="00BB39DE"/>
    <w:rsid w:val="00BB3A45"/>
    <w:rsid w:val="00BB417C"/>
    <w:rsid w:val="00BB4306"/>
    <w:rsid w:val="00BB4ACC"/>
    <w:rsid w:val="00BB4E3B"/>
    <w:rsid w:val="00BB514B"/>
    <w:rsid w:val="00BB67C3"/>
    <w:rsid w:val="00BB703E"/>
    <w:rsid w:val="00BB7102"/>
    <w:rsid w:val="00BB732D"/>
    <w:rsid w:val="00BB7405"/>
    <w:rsid w:val="00BB74F1"/>
    <w:rsid w:val="00BB7595"/>
    <w:rsid w:val="00BB7793"/>
    <w:rsid w:val="00BB77DE"/>
    <w:rsid w:val="00BC025C"/>
    <w:rsid w:val="00BC02B9"/>
    <w:rsid w:val="00BC0889"/>
    <w:rsid w:val="00BC08CF"/>
    <w:rsid w:val="00BC0A34"/>
    <w:rsid w:val="00BC0E64"/>
    <w:rsid w:val="00BC1258"/>
    <w:rsid w:val="00BC150E"/>
    <w:rsid w:val="00BC1D58"/>
    <w:rsid w:val="00BC25E4"/>
    <w:rsid w:val="00BC2FEC"/>
    <w:rsid w:val="00BC3467"/>
    <w:rsid w:val="00BC3631"/>
    <w:rsid w:val="00BC3AA5"/>
    <w:rsid w:val="00BC3B54"/>
    <w:rsid w:val="00BC54EC"/>
    <w:rsid w:val="00BC58CB"/>
    <w:rsid w:val="00BC591F"/>
    <w:rsid w:val="00BC5A13"/>
    <w:rsid w:val="00BC5C5E"/>
    <w:rsid w:val="00BC5F00"/>
    <w:rsid w:val="00BC6623"/>
    <w:rsid w:val="00BC6D29"/>
    <w:rsid w:val="00BC6F9B"/>
    <w:rsid w:val="00BC794B"/>
    <w:rsid w:val="00BC7D6D"/>
    <w:rsid w:val="00BC7D7C"/>
    <w:rsid w:val="00BD00D0"/>
    <w:rsid w:val="00BD0401"/>
    <w:rsid w:val="00BD0449"/>
    <w:rsid w:val="00BD0465"/>
    <w:rsid w:val="00BD0644"/>
    <w:rsid w:val="00BD083E"/>
    <w:rsid w:val="00BD0E5F"/>
    <w:rsid w:val="00BD1141"/>
    <w:rsid w:val="00BD1DC1"/>
    <w:rsid w:val="00BD2108"/>
    <w:rsid w:val="00BD265D"/>
    <w:rsid w:val="00BD296E"/>
    <w:rsid w:val="00BD3470"/>
    <w:rsid w:val="00BD3A8E"/>
    <w:rsid w:val="00BD3CA6"/>
    <w:rsid w:val="00BD4194"/>
    <w:rsid w:val="00BD423F"/>
    <w:rsid w:val="00BD47E6"/>
    <w:rsid w:val="00BD4897"/>
    <w:rsid w:val="00BD4ECC"/>
    <w:rsid w:val="00BD58E9"/>
    <w:rsid w:val="00BD5C3E"/>
    <w:rsid w:val="00BD6005"/>
    <w:rsid w:val="00BD61AA"/>
    <w:rsid w:val="00BD623D"/>
    <w:rsid w:val="00BD6538"/>
    <w:rsid w:val="00BD68A3"/>
    <w:rsid w:val="00BD6938"/>
    <w:rsid w:val="00BD6A29"/>
    <w:rsid w:val="00BD6CF3"/>
    <w:rsid w:val="00BD7052"/>
    <w:rsid w:val="00BD71C5"/>
    <w:rsid w:val="00BD76A7"/>
    <w:rsid w:val="00BD79EE"/>
    <w:rsid w:val="00BD7F72"/>
    <w:rsid w:val="00BD7FAC"/>
    <w:rsid w:val="00BE0998"/>
    <w:rsid w:val="00BE0ECA"/>
    <w:rsid w:val="00BE0EE0"/>
    <w:rsid w:val="00BE140B"/>
    <w:rsid w:val="00BE1477"/>
    <w:rsid w:val="00BE1847"/>
    <w:rsid w:val="00BE1B10"/>
    <w:rsid w:val="00BE1C31"/>
    <w:rsid w:val="00BE1C98"/>
    <w:rsid w:val="00BE1D6A"/>
    <w:rsid w:val="00BE2180"/>
    <w:rsid w:val="00BE21F2"/>
    <w:rsid w:val="00BE23DD"/>
    <w:rsid w:val="00BE336D"/>
    <w:rsid w:val="00BE36B6"/>
    <w:rsid w:val="00BE3A31"/>
    <w:rsid w:val="00BE3C3D"/>
    <w:rsid w:val="00BE3D4B"/>
    <w:rsid w:val="00BE4097"/>
    <w:rsid w:val="00BE4275"/>
    <w:rsid w:val="00BE5184"/>
    <w:rsid w:val="00BE545B"/>
    <w:rsid w:val="00BE5522"/>
    <w:rsid w:val="00BE5D4E"/>
    <w:rsid w:val="00BE5E3F"/>
    <w:rsid w:val="00BE6423"/>
    <w:rsid w:val="00BE6A07"/>
    <w:rsid w:val="00BE6BB3"/>
    <w:rsid w:val="00BE73BD"/>
    <w:rsid w:val="00BE75E3"/>
    <w:rsid w:val="00BE76AC"/>
    <w:rsid w:val="00BE7947"/>
    <w:rsid w:val="00BE7A04"/>
    <w:rsid w:val="00BE7B9F"/>
    <w:rsid w:val="00BE7E69"/>
    <w:rsid w:val="00BF006B"/>
    <w:rsid w:val="00BF063C"/>
    <w:rsid w:val="00BF06AE"/>
    <w:rsid w:val="00BF087B"/>
    <w:rsid w:val="00BF0F95"/>
    <w:rsid w:val="00BF16C8"/>
    <w:rsid w:val="00BF1AAD"/>
    <w:rsid w:val="00BF1D27"/>
    <w:rsid w:val="00BF204E"/>
    <w:rsid w:val="00BF2433"/>
    <w:rsid w:val="00BF2895"/>
    <w:rsid w:val="00BF2E6E"/>
    <w:rsid w:val="00BF403D"/>
    <w:rsid w:val="00BF483C"/>
    <w:rsid w:val="00BF4BAA"/>
    <w:rsid w:val="00BF5A23"/>
    <w:rsid w:val="00BF5A96"/>
    <w:rsid w:val="00BF5AF0"/>
    <w:rsid w:val="00BF5C2F"/>
    <w:rsid w:val="00BF61C9"/>
    <w:rsid w:val="00BF6402"/>
    <w:rsid w:val="00BF6773"/>
    <w:rsid w:val="00BF6C94"/>
    <w:rsid w:val="00BF7086"/>
    <w:rsid w:val="00BF7124"/>
    <w:rsid w:val="00BF73BD"/>
    <w:rsid w:val="00C00424"/>
    <w:rsid w:val="00C0043D"/>
    <w:rsid w:val="00C00B47"/>
    <w:rsid w:val="00C00BB0"/>
    <w:rsid w:val="00C00BF8"/>
    <w:rsid w:val="00C01141"/>
    <w:rsid w:val="00C012AE"/>
    <w:rsid w:val="00C02121"/>
    <w:rsid w:val="00C02A2E"/>
    <w:rsid w:val="00C02BBC"/>
    <w:rsid w:val="00C02F53"/>
    <w:rsid w:val="00C035F2"/>
    <w:rsid w:val="00C03931"/>
    <w:rsid w:val="00C03F3E"/>
    <w:rsid w:val="00C03F60"/>
    <w:rsid w:val="00C03FF4"/>
    <w:rsid w:val="00C04509"/>
    <w:rsid w:val="00C0470A"/>
    <w:rsid w:val="00C0560D"/>
    <w:rsid w:val="00C056FB"/>
    <w:rsid w:val="00C0686D"/>
    <w:rsid w:val="00C070E2"/>
    <w:rsid w:val="00C0789E"/>
    <w:rsid w:val="00C07903"/>
    <w:rsid w:val="00C07CD3"/>
    <w:rsid w:val="00C07E26"/>
    <w:rsid w:val="00C07E96"/>
    <w:rsid w:val="00C1179F"/>
    <w:rsid w:val="00C11ACA"/>
    <w:rsid w:val="00C126BC"/>
    <w:rsid w:val="00C126FC"/>
    <w:rsid w:val="00C127B9"/>
    <w:rsid w:val="00C128FA"/>
    <w:rsid w:val="00C12C14"/>
    <w:rsid w:val="00C136B3"/>
    <w:rsid w:val="00C146ED"/>
    <w:rsid w:val="00C1488E"/>
    <w:rsid w:val="00C14D2D"/>
    <w:rsid w:val="00C14D44"/>
    <w:rsid w:val="00C14E0A"/>
    <w:rsid w:val="00C14E30"/>
    <w:rsid w:val="00C14E78"/>
    <w:rsid w:val="00C14F63"/>
    <w:rsid w:val="00C15A40"/>
    <w:rsid w:val="00C15B8C"/>
    <w:rsid w:val="00C15F04"/>
    <w:rsid w:val="00C16029"/>
    <w:rsid w:val="00C1703D"/>
    <w:rsid w:val="00C179B3"/>
    <w:rsid w:val="00C17C5F"/>
    <w:rsid w:val="00C17E3F"/>
    <w:rsid w:val="00C200AA"/>
    <w:rsid w:val="00C207D6"/>
    <w:rsid w:val="00C208C6"/>
    <w:rsid w:val="00C20BDE"/>
    <w:rsid w:val="00C20E46"/>
    <w:rsid w:val="00C213A5"/>
    <w:rsid w:val="00C2155A"/>
    <w:rsid w:val="00C21AA6"/>
    <w:rsid w:val="00C2266F"/>
    <w:rsid w:val="00C22870"/>
    <w:rsid w:val="00C22977"/>
    <w:rsid w:val="00C22EFF"/>
    <w:rsid w:val="00C231C8"/>
    <w:rsid w:val="00C2332F"/>
    <w:rsid w:val="00C235F4"/>
    <w:rsid w:val="00C237ED"/>
    <w:rsid w:val="00C23A7D"/>
    <w:rsid w:val="00C24632"/>
    <w:rsid w:val="00C247A9"/>
    <w:rsid w:val="00C249EE"/>
    <w:rsid w:val="00C24A50"/>
    <w:rsid w:val="00C25418"/>
    <w:rsid w:val="00C25D9C"/>
    <w:rsid w:val="00C25F43"/>
    <w:rsid w:val="00C263E3"/>
    <w:rsid w:val="00C26E88"/>
    <w:rsid w:val="00C270F1"/>
    <w:rsid w:val="00C27430"/>
    <w:rsid w:val="00C275A4"/>
    <w:rsid w:val="00C2778B"/>
    <w:rsid w:val="00C27D8F"/>
    <w:rsid w:val="00C30174"/>
    <w:rsid w:val="00C30AAF"/>
    <w:rsid w:val="00C31649"/>
    <w:rsid w:val="00C31B32"/>
    <w:rsid w:val="00C31F60"/>
    <w:rsid w:val="00C32CD7"/>
    <w:rsid w:val="00C32E67"/>
    <w:rsid w:val="00C32EA0"/>
    <w:rsid w:val="00C32F57"/>
    <w:rsid w:val="00C33B29"/>
    <w:rsid w:val="00C33D3F"/>
    <w:rsid w:val="00C341A7"/>
    <w:rsid w:val="00C3434C"/>
    <w:rsid w:val="00C34354"/>
    <w:rsid w:val="00C34D1E"/>
    <w:rsid w:val="00C34E13"/>
    <w:rsid w:val="00C35410"/>
    <w:rsid w:val="00C35FA9"/>
    <w:rsid w:val="00C35FD9"/>
    <w:rsid w:val="00C36717"/>
    <w:rsid w:val="00C36968"/>
    <w:rsid w:val="00C37234"/>
    <w:rsid w:val="00C37BC9"/>
    <w:rsid w:val="00C37DA6"/>
    <w:rsid w:val="00C37F80"/>
    <w:rsid w:val="00C40385"/>
    <w:rsid w:val="00C40572"/>
    <w:rsid w:val="00C40E5A"/>
    <w:rsid w:val="00C41755"/>
    <w:rsid w:val="00C41768"/>
    <w:rsid w:val="00C419B4"/>
    <w:rsid w:val="00C41E8A"/>
    <w:rsid w:val="00C430D6"/>
    <w:rsid w:val="00C43489"/>
    <w:rsid w:val="00C43864"/>
    <w:rsid w:val="00C439BF"/>
    <w:rsid w:val="00C444D1"/>
    <w:rsid w:val="00C4495C"/>
    <w:rsid w:val="00C44BD4"/>
    <w:rsid w:val="00C44C2C"/>
    <w:rsid w:val="00C44EAD"/>
    <w:rsid w:val="00C450A6"/>
    <w:rsid w:val="00C45399"/>
    <w:rsid w:val="00C46464"/>
    <w:rsid w:val="00C464BB"/>
    <w:rsid w:val="00C46848"/>
    <w:rsid w:val="00C46926"/>
    <w:rsid w:val="00C46C1A"/>
    <w:rsid w:val="00C46EE5"/>
    <w:rsid w:val="00C475AA"/>
    <w:rsid w:val="00C479CD"/>
    <w:rsid w:val="00C503F0"/>
    <w:rsid w:val="00C50516"/>
    <w:rsid w:val="00C51100"/>
    <w:rsid w:val="00C5123D"/>
    <w:rsid w:val="00C51BDA"/>
    <w:rsid w:val="00C5263E"/>
    <w:rsid w:val="00C5270B"/>
    <w:rsid w:val="00C5277E"/>
    <w:rsid w:val="00C527C7"/>
    <w:rsid w:val="00C5283F"/>
    <w:rsid w:val="00C530E6"/>
    <w:rsid w:val="00C53392"/>
    <w:rsid w:val="00C5379E"/>
    <w:rsid w:val="00C53ACD"/>
    <w:rsid w:val="00C53C98"/>
    <w:rsid w:val="00C543C1"/>
    <w:rsid w:val="00C54F2C"/>
    <w:rsid w:val="00C55E44"/>
    <w:rsid w:val="00C56480"/>
    <w:rsid w:val="00C5665D"/>
    <w:rsid w:val="00C568EF"/>
    <w:rsid w:val="00C56A5E"/>
    <w:rsid w:val="00C56AED"/>
    <w:rsid w:val="00C56FCF"/>
    <w:rsid w:val="00C572A2"/>
    <w:rsid w:val="00C572F6"/>
    <w:rsid w:val="00C5742B"/>
    <w:rsid w:val="00C57793"/>
    <w:rsid w:val="00C579B8"/>
    <w:rsid w:val="00C57B6C"/>
    <w:rsid w:val="00C602F1"/>
    <w:rsid w:val="00C60CB4"/>
    <w:rsid w:val="00C615BC"/>
    <w:rsid w:val="00C61A59"/>
    <w:rsid w:val="00C62103"/>
    <w:rsid w:val="00C628A6"/>
    <w:rsid w:val="00C63005"/>
    <w:rsid w:val="00C6340E"/>
    <w:rsid w:val="00C63884"/>
    <w:rsid w:val="00C63ED4"/>
    <w:rsid w:val="00C64344"/>
    <w:rsid w:val="00C64523"/>
    <w:rsid w:val="00C65108"/>
    <w:rsid w:val="00C65576"/>
    <w:rsid w:val="00C6564F"/>
    <w:rsid w:val="00C65C22"/>
    <w:rsid w:val="00C660B3"/>
    <w:rsid w:val="00C66165"/>
    <w:rsid w:val="00C66969"/>
    <w:rsid w:val="00C70112"/>
    <w:rsid w:val="00C70392"/>
    <w:rsid w:val="00C7060A"/>
    <w:rsid w:val="00C70838"/>
    <w:rsid w:val="00C70AEB"/>
    <w:rsid w:val="00C7151A"/>
    <w:rsid w:val="00C717E3"/>
    <w:rsid w:val="00C717F0"/>
    <w:rsid w:val="00C71C73"/>
    <w:rsid w:val="00C71F60"/>
    <w:rsid w:val="00C72241"/>
    <w:rsid w:val="00C72428"/>
    <w:rsid w:val="00C72D05"/>
    <w:rsid w:val="00C7300F"/>
    <w:rsid w:val="00C73019"/>
    <w:rsid w:val="00C7396D"/>
    <w:rsid w:val="00C73BCF"/>
    <w:rsid w:val="00C73CF1"/>
    <w:rsid w:val="00C740CE"/>
    <w:rsid w:val="00C7412D"/>
    <w:rsid w:val="00C743A0"/>
    <w:rsid w:val="00C7459C"/>
    <w:rsid w:val="00C747E2"/>
    <w:rsid w:val="00C74F02"/>
    <w:rsid w:val="00C7503C"/>
    <w:rsid w:val="00C750C8"/>
    <w:rsid w:val="00C75534"/>
    <w:rsid w:val="00C7560F"/>
    <w:rsid w:val="00C758B6"/>
    <w:rsid w:val="00C7609B"/>
    <w:rsid w:val="00C761CB"/>
    <w:rsid w:val="00C76482"/>
    <w:rsid w:val="00C765F8"/>
    <w:rsid w:val="00C76674"/>
    <w:rsid w:val="00C76904"/>
    <w:rsid w:val="00C76D92"/>
    <w:rsid w:val="00C779C9"/>
    <w:rsid w:val="00C803C0"/>
    <w:rsid w:val="00C80A0E"/>
    <w:rsid w:val="00C81168"/>
    <w:rsid w:val="00C813CE"/>
    <w:rsid w:val="00C813E9"/>
    <w:rsid w:val="00C81B3B"/>
    <w:rsid w:val="00C81C68"/>
    <w:rsid w:val="00C81C86"/>
    <w:rsid w:val="00C8213F"/>
    <w:rsid w:val="00C82240"/>
    <w:rsid w:val="00C82645"/>
    <w:rsid w:val="00C82846"/>
    <w:rsid w:val="00C82941"/>
    <w:rsid w:val="00C82C67"/>
    <w:rsid w:val="00C82CE6"/>
    <w:rsid w:val="00C82EA5"/>
    <w:rsid w:val="00C82F6B"/>
    <w:rsid w:val="00C8303F"/>
    <w:rsid w:val="00C833BF"/>
    <w:rsid w:val="00C83F25"/>
    <w:rsid w:val="00C84B6B"/>
    <w:rsid w:val="00C85121"/>
    <w:rsid w:val="00C85154"/>
    <w:rsid w:val="00C8566C"/>
    <w:rsid w:val="00C85A70"/>
    <w:rsid w:val="00C85AA5"/>
    <w:rsid w:val="00C85F1E"/>
    <w:rsid w:val="00C86460"/>
    <w:rsid w:val="00C867E1"/>
    <w:rsid w:val="00C874B8"/>
    <w:rsid w:val="00C87806"/>
    <w:rsid w:val="00C8797A"/>
    <w:rsid w:val="00C87EFD"/>
    <w:rsid w:val="00C87F5D"/>
    <w:rsid w:val="00C900B8"/>
    <w:rsid w:val="00C90197"/>
    <w:rsid w:val="00C903A4"/>
    <w:rsid w:val="00C905F7"/>
    <w:rsid w:val="00C90C1E"/>
    <w:rsid w:val="00C90C71"/>
    <w:rsid w:val="00C90FFC"/>
    <w:rsid w:val="00C912F3"/>
    <w:rsid w:val="00C91D09"/>
    <w:rsid w:val="00C91FD1"/>
    <w:rsid w:val="00C9211B"/>
    <w:rsid w:val="00C931CF"/>
    <w:rsid w:val="00C933CA"/>
    <w:rsid w:val="00C938CF"/>
    <w:rsid w:val="00C93EA4"/>
    <w:rsid w:val="00C94053"/>
    <w:rsid w:val="00C945BB"/>
    <w:rsid w:val="00C95156"/>
    <w:rsid w:val="00C954F0"/>
    <w:rsid w:val="00C95A04"/>
    <w:rsid w:val="00C96035"/>
    <w:rsid w:val="00C9624D"/>
    <w:rsid w:val="00C96662"/>
    <w:rsid w:val="00C969DA"/>
    <w:rsid w:val="00C97119"/>
    <w:rsid w:val="00C97128"/>
    <w:rsid w:val="00C97173"/>
    <w:rsid w:val="00C979DA"/>
    <w:rsid w:val="00C97ACD"/>
    <w:rsid w:val="00C97CE8"/>
    <w:rsid w:val="00CA00E0"/>
    <w:rsid w:val="00CA0729"/>
    <w:rsid w:val="00CA0B69"/>
    <w:rsid w:val="00CA157A"/>
    <w:rsid w:val="00CA2688"/>
    <w:rsid w:val="00CA27C6"/>
    <w:rsid w:val="00CA28FA"/>
    <w:rsid w:val="00CA29DC"/>
    <w:rsid w:val="00CA2C77"/>
    <w:rsid w:val="00CA444F"/>
    <w:rsid w:val="00CA4525"/>
    <w:rsid w:val="00CA5144"/>
    <w:rsid w:val="00CA51B0"/>
    <w:rsid w:val="00CA5245"/>
    <w:rsid w:val="00CA5853"/>
    <w:rsid w:val="00CA597D"/>
    <w:rsid w:val="00CA5AD7"/>
    <w:rsid w:val="00CA5D4E"/>
    <w:rsid w:val="00CA5F12"/>
    <w:rsid w:val="00CA6B68"/>
    <w:rsid w:val="00CA7074"/>
    <w:rsid w:val="00CA71F4"/>
    <w:rsid w:val="00CA7A20"/>
    <w:rsid w:val="00CA7B09"/>
    <w:rsid w:val="00CA7F5C"/>
    <w:rsid w:val="00CB019C"/>
    <w:rsid w:val="00CB12A5"/>
    <w:rsid w:val="00CB13F7"/>
    <w:rsid w:val="00CB195B"/>
    <w:rsid w:val="00CB1B2F"/>
    <w:rsid w:val="00CB1CAC"/>
    <w:rsid w:val="00CB1F3D"/>
    <w:rsid w:val="00CB255A"/>
    <w:rsid w:val="00CB2F2A"/>
    <w:rsid w:val="00CB3100"/>
    <w:rsid w:val="00CB3319"/>
    <w:rsid w:val="00CB463F"/>
    <w:rsid w:val="00CB4E68"/>
    <w:rsid w:val="00CB53A0"/>
    <w:rsid w:val="00CB5476"/>
    <w:rsid w:val="00CB57F4"/>
    <w:rsid w:val="00CB58E7"/>
    <w:rsid w:val="00CB5B1A"/>
    <w:rsid w:val="00CB65CB"/>
    <w:rsid w:val="00CB6B22"/>
    <w:rsid w:val="00CB6B60"/>
    <w:rsid w:val="00CB7001"/>
    <w:rsid w:val="00CB77A2"/>
    <w:rsid w:val="00CB7F5F"/>
    <w:rsid w:val="00CC01F6"/>
    <w:rsid w:val="00CC09A9"/>
    <w:rsid w:val="00CC0C7B"/>
    <w:rsid w:val="00CC1B39"/>
    <w:rsid w:val="00CC1BFA"/>
    <w:rsid w:val="00CC2E9F"/>
    <w:rsid w:val="00CC2F0D"/>
    <w:rsid w:val="00CC3501"/>
    <w:rsid w:val="00CC35EA"/>
    <w:rsid w:val="00CC3848"/>
    <w:rsid w:val="00CC39DD"/>
    <w:rsid w:val="00CC3E8D"/>
    <w:rsid w:val="00CC3F34"/>
    <w:rsid w:val="00CC3F47"/>
    <w:rsid w:val="00CC3FC6"/>
    <w:rsid w:val="00CC4219"/>
    <w:rsid w:val="00CC4464"/>
    <w:rsid w:val="00CC4483"/>
    <w:rsid w:val="00CC4648"/>
    <w:rsid w:val="00CC55FE"/>
    <w:rsid w:val="00CC567E"/>
    <w:rsid w:val="00CC5D2D"/>
    <w:rsid w:val="00CC5E6E"/>
    <w:rsid w:val="00CC6594"/>
    <w:rsid w:val="00CC6D5E"/>
    <w:rsid w:val="00CC7234"/>
    <w:rsid w:val="00CC7906"/>
    <w:rsid w:val="00CC79F6"/>
    <w:rsid w:val="00CD0200"/>
    <w:rsid w:val="00CD0F5F"/>
    <w:rsid w:val="00CD12A7"/>
    <w:rsid w:val="00CD1457"/>
    <w:rsid w:val="00CD16B2"/>
    <w:rsid w:val="00CD3595"/>
    <w:rsid w:val="00CD3B22"/>
    <w:rsid w:val="00CD3BD6"/>
    <w:rsid w:val="00CD3CC0"/>
    <w:rsid w:val="00CD3F77"/>
    <w:rsid w:val="00CD3FF3"/>
    <w:rsid w:val="00CD4897"/>
    <w:rsid w:val="00CD51F1"/>
    <w:rsid w:val="00CD54EA"/>
    <w:rsid w:val="00CD5EB4"/>
    <w:rsid w:val="00CD5ECF"/>
    <w:rsid w:val="00CD645E"/>
    <w:rsid w:val="00CD64BB"/>
    <w:rsid w:val="00CD6777"/>
    <w:rsid w:val="00CD6ADC"/>
    <w:rsid w:val="00CD6B03"/>
    <w:rsid w:val="00CD6B79"/>
    <w:rsid w:val="00CD6CE2"/>
    <w:rsid w:val="00CD7193"/>
    <w:rsid w:val="00CD7602"/>
    <w:rsid w:val="00CD7A74"/>
    <w:rsid w:val="00CD7F80"/>
    <w:rsid w:val="00CE124F"/>
    <w:rsid w:val="00CE1DFF"/>
    <w:rsid w:val="00CE2D51"/>
    <w:rsid w:val="00CE3424"/>
    <w:rsid w:val="00CE38C8"/>
    <w:rsid w:val="00CE3C09"/>
    <w:rsid w:val="00CE475B"/>
    <w:rsid w:val="00CE4E86"/>
    <w:rsid w:val="00CE524F"/>
    <w:rsid w:val="00CE52B4"/>
    <w:rsid w:val="00CE58CC"/>
    <w:rsid w:val="00CE5A1F"/>
    <w:rsid w:val="00CE5A35"/>
    <w:rsid w:val="00CE6274"/>
    <w:rsid w:val="00CE6963"/>
    <w:rsid w:val="00CE714C"/>
    <w:rsid w:val="00CE77B6"/>
    <w:rsid w:val="00CE7DD5"/>
    <w:rsid w:val="00CF0874"/>
    <w:rsid w:val="00CF1898"/>
    <w:rsid w:val="00CF18D3"/>
    <w:rsid w:val="00CF24CF"/>
    <w:rsid w:val="00CF2B8D"/>
    <w:rsid w:val="00CF2DCA"/>
    <w:rsid w:val="00CF3125"/>
    <w:rsid w:val="00CF3268"/>
    <w:rsid w:val="00CF3A1B"/>
    <w:rsid w:val="00CF3CC9"/>
    <w:rsid w:val="00CF3D3B"/>
    <w:rsid w:val="00CF4176"/>
    <w:rsid w:val="00CF456B"/>
    <w:rsid w:val="00CF4C87"/>
    <w:rsid w:val="00CF4F3F"/>
    <w:rsid w:val="00CF4F55"/>
    <w:rsid w:val="00CF59E9"/>
    <w:rsid w:val="00CF5A22"/>
    <w:rsid w:val="00CF5D7D"/>
    <w:rsid w:val="00CF5F3B"/>
    <w:rsid w:val="00CF69FE"/>
    <w:rsid w:val="00CF6D15"/>
    <w:rsid w:val="00CF6FFB"/>
    <w:rsid w:val="00CF766A"/>
    <w:rsid w:val="00D00802"/>
    <w:rsid w:val="00D00DA2"/>
    <w:rsid w:val="00D01542"/>
    <w:rsid w:val="00D025CF"/>
    <w:rsid w:val="00D0262E"/>
    <w:rsid w:val="00D0272D"/>
    <w:rsid w:val="00D02C66"/>
    <w:rsid w:val="00D02FA5"/>
    <w:rsid w:val="00D0358E"/>
    <w:rsid w:val="00D03679"/>
    <w:rsid w:val="00D03AE5"/>
    <w:rsid w:val="00D03F13"/>
    <w:rsid w:val="00D042F2"/>
    <w:rsid w:val="00D046CF"/>
    <w:rsid w:val="00D04776"/>
    <w:rsid w:val="00D04ACC"/>
    <w:rsid w:val="00D0550F"/>
    <w:rsid w:val="00D05804"/>
    <w:rsid w:val="00D05E3D"/>
    <w:rsid w:val="00D05FDB"/>
    <w:rsid w:val="00D06139"/>
    <w:rsid w:val="00D064D8"/>
    <w:rsid w:val="00D06972"/>
    <w:rsid w:val="00D069A9"/>
    <w:rsid w:val="00D06F21"/>
    <w:rsid w:val="00D0770A"/>
    <w:rsid w:val="00D100A4"/>
    <w:rsid w:val="00D10324"/>
    <w:rsid w:val="00D10414"/>
    <w:rsid w:val="00D106E3"/>
    <w:rsid w:val="00D106E7"/>
    <w:rsid w:val="00D107E6"/>
    <w:rsid w:val="00D10C40"/>
    <w:rsid w:val="00D11089"/>
    <w:rsid w:val="00D110B3"/>
    <w:rsid w:val="00D110BD"/>
    <w:rsid w:val="00D1135D"/>
    <w:rsid w:val="00D11814"/>
    <w:rsid w:val="00D1209C"/>
    <w:rsid w:val="00D1214F"/>
    <w:rsid w:val="00D1280F"/>
    <w:rsid w:val="00D12B92"/>
    <w:rsid w:val="00D12FF0"/>
    <w:rsid w:val="00D130B3"/>
    <w:rsid w:val="00D13675"/>
    <w:rsid w:val="00D141E1"/>
    <w:rsid w:val="00D14899"/>
    <w:rsid w:val="00D14964"/>
    <w:rsid w:val="00D14E62"/>
    <w:rsid w:val="00D15314"/>
    <w:rsid w:val="00D15906"/>
    <w:rsid w:val="00D15B48"/>
    <w:rsid w:val="00D161D8"/>
    <w:rsid w:val="00D16241"/>
    <w:rsid w:val="00D16FD1"/>
    <w:rsid w:val="00D17326"/>
    <w:rsid w:val="00D17678"/>
    <w:rsid w:val="00D17D6C"/>
    <w:rsid w:val="00D200F5"/>
    <w:rsid w:val="00D2044B"/>
    <w:rsid w:val="00D20EFE"/>
    <w:rsid w:val="00D2155B"/>
    <w:rsid w:val="00D2214E"/>
    <w:rsid w:val="00D22674"/>
    <w:rsid w:val="00D23856"/>
    <w:rsid w:val="00D23865"/>
    <w:rsid w:val="00D23D11"/>
    <w:rsid w:val="00D24107"/>
    <w:rsid w:val="00D242DC"/>
    <w:rsid w:val="00D244B6"/>
    <w:rsid w:val="00D2463D"/>
    <w:rsid w:val="00D24C6B"/>
    <w:rsid w:val="00D24F69"/>
    <w:rsid w:val="00D255F1"/>
    <w:rsid w:val="00D25E7F"/>
    <w:rsid w:val="00D25F7B"/>
    <w:rsid w:val="00D2600D"/>
    <w:rsid w:val="00D260CB"/>
    <w:rsid w:val="00D266BF"/>
    <w:rsid w:val="00D26B6B"/>
    <w:rsid w:val="00D2754D"/>
    <w:rsid w:val="00D27B27"/>
    <w:rsid w:val="00D27CDC"/>
    <w:rsid w:val="00D305CD"/>
    <w:rsid w:val="00D30D5B"/>
    <w:rsid w:val="00D310FE"/>
    <w:rsid w:val="00D31667"/>
    <w:rsid w:val="00D318A9"/>
    <w:rsid w:val="00D31F0C"/>
    <w:rsid w:val="00D326BE"/>
    <w:rsid w:val="00D32CAA"/>
    <w:rsid w:val="00D3326A"/>
    <w:rsid w:val="00D33BE9"/>
    <w:rsid w:val="00D33C15"/>
    <w:rsid w:val="00D33E4C"/>
    <w:rsid w:val="00D33F93"/>
    <w:rsid w:val="00D34B6A"/>
    <w:rsid w:val="00D34FEA"/>
    <w:rsid w:val="00D357FF"/>
    <w:rsid w:val="00D35F4D"/>
    <w:rsid w:val="00D3619B"/>
    <w:rsid w:val="00D37820"/>
    <w:rsid w:val="00D3784C"/>
    <w:rsid w:val="00D37CD1"/>
    <w:rsid w:val="00D400A8"/>
    <w:rsid w:val="00D400E4"/>
    <w:rsid w:val="00D4033A"/>
    <w:rsid w:val="00D40D4C"/>
    <w:rsid w:val="00D41716"/>
    <w:rsid w:val="00D4195F"/>
    <w:rsid w:val="00D41A50"/>
    <w:rsid w:val="00D41D1C"/>
    <w:rsid w:val="00D424C7"/>
    <w:rsid w:val="00D425B7"/>
    <w:rsid w:val="00D42790"/>
    <w:rsid w:val="00D428B6"/>
    <w:rsid w:val="00D42B65"/>
    <w:rsid w:val="00D42FBB"/>
    <w:rsid w:val="00D4373C"/>
    <w:rsid w:val="00D43B2A"/>
    <w:rsid w:val="00D43CF1"/>
    <w:rsid w:val="00D43D83"/>
    <w:rsid w:val="00D44704"/>
    <w:rsid w:val="00D44E35"/>
    <w:rsid w:val="00D44E57"/>
    <w:rsid w:val="00D4513B"/>
    <w:rsid w:val="00D45E07"/>
    <w:rsid w:val="00D46049"/>
    <w:rsid w:val="00D468D8"/>
    <w:rsid w:val="00D46D98"/>
    <w:rsid w:val="00D470FF"/>
    <w:rsid w:val="00D4735A"/>
    <w:rsid w:val="00D47575"/>
    <w:rsid w:val="00D47B77"/>
    <w:rsid w:val="00D47BCF"/>
    <w:rsid w:val="00D50A3A"/>
    <w:rsid w:val="00D50C86"/>
    <w:rsid w:val="00D50EEA"/>
    <w:rsid w:val="00D51133"/>
    <w:rsid w:val="00D51A33"/>
    <w:rsid w:val="00D51A56"/>
    <w:rsid w:val="00D5221F"/>
    <w:rsid w:val="00D522F2"/>
    <w:rsid w:val="00D523DF"/>
    <w:rsid w:val="00D5243B"/>
    <w:rsid w:val="00D52457"/>
    <w:rsid w:val="00D528F4"/>
    <w:rsid w:val="00D52BEF"/>
    <w:rsid w:val="00D533A4"/>
    <w:rsid w:val="00D533EC"/>
    <w:rsid w:val="00D53428"/>
    <w:rsid w:val="00D5359A"/>
    <w:rsid w:val="00D53714"/>
    <w:rsid w:val="00D53764"/>
    <w:rsid w:val="00D53767"/>
    <w:rsid w:val="00D539BB"/>
    <w:rsid w:val="00D53CD7"/>
    <w:rsid w:val="00D54300"/>
    <w:rsid w:val="00D545E0"/>
    <w:rsid w:val="00D55CA6"/>
    <w:rsid w:val="00D55D42"/>
    <w:rsid w:val="00D5624C"/>
    <w:rsid w:val="00D566E3"/>
    <w:rsid w:val="00D56A11"/>
    <w:rsid w:val="00D56A95"/>
    <w:rsid w:val="00D56F68"/>
    <w:rsid w:val="00D570E7"/>
    <w:rsid w:val="00D572E7"/>
    <w:rsid w:val="00D574DF"/>
    <w:rsid w:val="00D57691"/>
    <w:rsid w:val="00D6076E"/>
    <w:rsid w:val="00D60B60"/>
    <w:rsid w:val="00D60EF7"/>
    <w:rsid w:val="00D61A91"/>
    <w:rsid w:val="00D6223F"/>
    <w:rsid w:val="00D6249C"/>
    <w:rsid w:val="00D6290E"/>
    <w:rsid w:val="00D63314"/>
    <w:rsid w:val="00D63B5B"/>
    <w:rsid w:val="00D63D0C"/>
    <w:rsid w:val="00D645D5"/>
    <w:rsid w:val="00D64862"/>
    <w:rsid w:val="00D64E7B"/>
    <w:rsid w:val="00D65BEF"/>
    <w:rsid w:val="00D65DB0"/>
    <w:rsid w:val="00D66256"/>
    <w:rsid w:val="00D6695A"/>
    <w:rsid w:val="00D66BC8"/>
    <w:rsid w:val="00D66F17"/>
    <w:rsid w:val="00D67010"/>
    <w:rsid w:val="00D67808"/>
    <w:rsid w:val="00D6783C"/>
    <w:rsid w:val="00D67897"/>
    <w:rsid w:val="00D67908"/>
    <w:rsid w:val="00D67AFE"/>
    <w:rsid w:val="00D70F16"/>
    <w:rsid w:val="00D71074"/>
    <w:rsid w:val="00D716B7"/>
    <w:rsid w:val="00D71834"/>
    <w:rsid w:val="00D71B14"/>
    <w:rsid w:val="00D720E1"/>
    <w:rsid w:val="00D72283"/>
    <w:rsid w:val="00D72617"/>
    <w:rsid w:val="00D7274D"/>
    <w:rsid w:val="00D72781"/>
    <w:rsid w:val="00D72C3C"/>
    <w:rsid w:val="00D72C98"/>
    <w:rsid w:val="00D72CE8"/>
    <w:rsid w:val="00D72F57"/>
    <w:rsid w:val="00D737F8"/>
    <w:rsid w:val="00D7407C"/>
    <w:rsid w:val="00D742BA"/>
    <w:rsid w:val="00D74C92"/>
    <w:rsid w:val="00D75903"/>
    <w:rsid w:val="00D75E31"/>
    <w:rsid w:val="00D760CC"/>
    <w:rsid w:val="00D76106"/>
    <w:rsid w:val="00D76A44"/>
    <w:rsid w:val="00D770A7"/>
    <w:rsid w:val="00D77257"/>
    <w:rsid w:val="00D8064D"/>
    <w:rsid w:val="00D80B42"/>
    <w:rsid w:val="00D80F16"/>
    <w:rsid w:val="00D810A1"/>
    <w:rsid w:val="00D81356"/>
    <w:rsid w:val="00D815EF"/>
    <w:rsid w:val="00D81949"/>
    <w:rsid w:val="00D81B9D"/>
    <w:rsid w:val="00D81C42"/>
    <w:rsid w:val="00D81DAC"/>
    <w:rsid w:val="00D81F26"/>
    <w:rsid w:val="00D822E2"/>
    <w:rsid w:val="00D82CBC"/>
    <w:rsid w:val="00D835FB"/>
    <w:rsid w:val="00D8392D"/>
    <w:rsid w:val="00D83AF8"/>
    <w:rsid w:val="00D83CFA"/>
    <w:rsid w:val="00D843F2"/>
    <w:rsid w:val="00D84B85"/>
    <w:rsid w:val="00D84E06"/>
    <w:rsid w:val="00D8578D"/>
    <w:rsid w:val="00D85BD0"/>
    <w:rsid w:val="00D85D85"/>
    <w:rsid w:val="00D86231"/>
    <w:rsid w:val="00D86241"/>
    <w:rsid w:val="00D867A9"/>
    <w:rsid w:val="00D86FEE"/>
    <w:rsid w:val="00D873F9"/>
    <w:rsid w:val="00D87B0F"/>
    <w:rsid w:val="00D87B5A"/>
    <w:rsid w:val="00D87DF5"/>
    <w:rsid w:val="00D87F34"/>
    <w:rsid w:val="00D90033"/>
    <w:rsid w:val="00D901FF"/>
    <w:rsid w:val="00D90272"/>
    <w:rsid w:val="00D90587"/>
    <w:rsid w:val="00D912AB"/>
    <w:rsid w:val="00D9184B"/>
    <w:rsid w:val="00D918D6"/>
    <w:rsid w:val="00D91923"/>
    <w:rsid w:val="00D92CC9"/>
    <w:rsid w:val="00D92D05"/>
    <w:rsid w:val="00D92D9D"/>
    <w:rsid w:val="00D93135"/>
    <w:rsid w:val="00D93753"/>
    <w:rsid w:val="00D939B3"/>
    <w:rsid w:val="00D93AB4"/>
    <w:rsid w:val="00D93E56"/>
    <w:rsid w:val="00D94165"/>
    <w:rsid w:val="00D94570"/>
    <w:rsid w:val="00D950C9"/>
    <w:rsid w:val="00D958BF"/>
    <w:rsid w:val="00D9642B"/>
    <w:rsid w:val="00D97352"/>
    <w:rsid w:val="00D9786D"/>
    <w:rsid w:val="00D97E59"/>
    <w:rsid w:val="00D97F3B"/>
    <w:rsid w:val="00D97F9B"/>
    <w:rsid w:val="00D97FC1"/>
    <w:rsid w:val="00DA07F5"/>
    <w:rsid w:val="00DA0E27"/>
    <w:rsid w:val="00DA179C"/>
    <w:rsid w:val="00DA1DA3"/>
    <w:rsid w:val="00DA1DE2"/>
    <w:rsid w:val="00DA20A2"/>
    <w:rsid w:val="00DA22A2"/>
    <w:rsid w:val="00DA2603"/>
    <w:rsid w:val="00DA2ACD"/>
    <w:rsid w:val="00DA2DC0"/>
    <w:rsid w:val="00DA3167"/>
    <w:rsid w:val="00DA3366"/>
    <w:rsid w:val="00DA3715"/>
    <w:rsid w:val="00DA375B"/>
    <w:rsid w:val="00DA3983"/>
    <w:rsid w:val="00DA3B10"/>
    <w:rsid w:val="00DA409D"/>
    <w:rsid w:val="00DA4508"/>
    <w:rsid w:val="00DA4688"/>
    <w:rsid w:val="00DA49CD"/>
    <w:rsid w:val="00DA4DC3"/>
    <w:rsid w:val="00DA5331"/>
    <w:rsid w:val="00DA5405"/>
    <w:rsid w:val="00DA541F"/>
    <w:rsid w:val="00DA581B"/>
    <w:rsid w:val="00DA64A0"/>
    <w:rsid w:val="00DA69FC"/>
    <w:rsid w:val="00DA6C2C"/>
    <w:rsid w:val="00DA6D1D"/>
    <w:rsid w:val="00DA6D93"/>
    <w:rsid w:val="00DA77A5"/>
    <w:rsid w:val="00DA7A5B"/>
    <w:rsid w:val="00DA7B17"/>
    <w:rsid w:val="00DA7D3B"/>
    <w:rsid w:val="00DB0198"/>
    <w:rsid w:val="00DB0306"/>
    <w:rsid w:val="00DB04E7"/>
    <w:rsid w:val="00DB07DC"/>
    <w:rsid w:val="00DB0E36"/>
    <w:rsid w:val="00DB103E"/>
    <w:rsid w:val="00DB140C"/>
    <w:rsid w:val="00DB1E20"/>
    <w:rsid w:val="00DB212E"/>
    <w:rsid w:val="00DB22CF"/>
    <w:rsid w:val="00DB231E"/>
    <w:rsid w:val="00DB2723"/>
    <w:rsid w:val="00DB2919"/>
    <w:rsid w:val="00DB2CC3"/>
    <w:rsid w:val="00DB2D87"/>
    <w:rsid w:val="00DB30DF"/>
    <w:rsid w:val="00DB3DBF"/>
    <w:rsid w:val="00DB4397"/>
    <w:rsid w:val="00DB484F"/>
    <w:rsid w:val="00DB4868"/>
    <w:rsid w:val="00DB486B"/>
    <w:rsid w:val="00DB570D"/>
    <w:rsid w:val="00DB60E0"/>
    <w:rsid w:val="00DB6438"/>
    <w:rsid w:val="00DB64EE"/>
    <w:rsid w:val="00DB6673"/>
    <w:rsid w:val="00DB693D"/>
    <w:rsid w:val="00DB70B2"/>
    <w:rsid w:val="00DB71F6"/>
    <w:rsid w:val="00DB75B3"/>
    <w:rsid w:val="00DC01B2"/>
    <w:rsid w:val="00DC03F6"/>
    <w:rsid w:val="00DC04F6"/>
    <w:rsid w:val="00DC0690"/>
    <w:rsid w:val="00DC0928"/>
    <w:rsid w:val="00DC0D13"/>
    <w:rsid w:val="00DC12AC"/>
    <w:rsid w:val="00DC14F1"/>
    <w:rsid w:val="00DC1D65"/>
    <w:rsid w:val="00DC21CB"/>
    <w:rsid w:val="00DC2880"/>
    <w:rsid w:val="00DC2C20"/>
    <w:rsid w:val="00DC2CEF"/>
    <w:rsid w:val="00DC3039"/>
    <w:rsid w:val="00DC3950"/>
    <w:rsid w:val="00DC3C57"/>
    <w:rsid w:val="00DC4112"/>
    <w:rsid w:val="00DC45C8"/>
    <w:rsid w:val="00DC4AE7"/>
    <w:rsid w:val="00DC4B8B"/>
    <w:rsid w:val="00DC4D97"/>
    <w:rsid w:val="00DC4E56"/>
    <w:rsid w:val="00DC5501"/>
    <w:rsid w:val="00DC5649"/>
    <w:rsid w:val="00DC5A61"/>
    <w:rsid w:val="00DC5DE4"/>
    <w:rsid w:val="00DC677F"/>
    <w:rsid w:val="00DC7154"/>
    <w:rsid w:val="00DC77DB"/>
    <w:rsid w:val="00DC7843"/>
    <w:rsid w:val="00DC7DE0"/>
    <w:rsid w:val="00DC7E8A"/>
    <w:rsid w:val="00DD009B"/>
    <w:rsid w:val="00DD020B"/>
    <w:rsid w:val="00DD0DCF"/>
    <w:rsid w:val="00DD0F78"/>
    <w:rsid w:val="00DD11D4"/>
    <w:rsid w:val="00DD1336"/>
    <w:rsid w:val="00DD234B"/>
    <w:rsid w:val="00DD273C"/>
    <w:rsid w:val="00DD34B2"/>
    <w:rsid w:val="00DD3A5E"/>
    <w:rsid w:val="00DD3A98"/>
    <w:rsid w:val="00DD3AE0"/>
    <w:rsid w:val="00DD3B93"/>
    <w:rsid w:val="00DD3F28"/>
    <w:rsid w:val="00DD4446"/>
    <w:rsid w:val="00DD4537"/>
    <w:rsid w:val="00DD4E15"/>
    <w:rsid w:val="00DD51A5"/>
    <w:rsid w:val="00DD5428"/>
    <w:rsid w:val="00DD5F84"/>
    <w:rsid w:val="00DD6039"/>
    <w:rsid w:val="00DD6AC1"/>
    <w:rsid w:val="00DD6EA8"/>
    <w:rsid w:val="00DD757E"/>
    <w:rsid w:val="00DD7852"/>
    <w:rsid w:val="00DD7F59"/>
    <w:rsid w:val="00DE21C8"/>
    <w:rsid w:val="00DE2232"/>
    <w:rsid w:val="00DE2304"/>
    <w:rsid w:val="00DE2E21"/>
    <w:rsid w:val="00DE2E26"/>
    <w:rsid w:val="00DE3138"/>
    <w:rsid w:val="00DE37F8"/>
    <w:rsid w:val="00DE3DDB"/>
    <w:rsid w:val="00DE41F0"/>
    <w:rsid w:val="00DE4269"/>
    <w:rsid w:val="00DE4273"/>
    <w:rsid w:val="00DE46EC"/>
    <w:rsid w:val="00DE4CB6"/>
    <w:rsid w:val="00DE4FCB"/>
    <w:rsid w:val="00DE5060"/>
    <w:rsid w:val="00DE5823"/>
    <w:rsid w:val="00DE5A09"/>
    <w:rsid w:val="00DE5A8C"/>
    <w:rsid w:val="00DE5CC4"/>
    <w:rsid w:val="00DE5D07"/>
    <w:rsid w:val="00DE5EA2"/>
    <w:rsid w:val="00DE62C5"/>
    <w:rsid w:val="00DE64ED"/>
    <w:rsid w:val="00DE6728"/>
    <w:rsid w:val="00DE67EE"/>
    <w:rsid w:val="00DE6F3D"/>
    <w:rsid w:val="00DE6F8C"/>
    <w:rsid w:val="00DE72A7"/>
    <w:rsid w:val="00DE7832"/>
    <w:rsid w:val="00DE7898"/>
    <w:rsid w:val="00DE78EB"/>
    <w:rsid w:val="00DE79F8"/>
    <w:rsid w:val="00DF0853"/>
    <w:rsid w:val="00DF18FC"/>
    <w:rsid w:val="00DF19ED"/>
    <w:rsid w:val="00DF1A67"/>
    <w:rsid w:val="00DF1E78"/>
    <w:rsid w:val="00DF25D8"/>
    <w:rsid w:val="00DF2C7D"/>
    <w:rsid w:val="00DF2E21"/>
    <w:rsid w:val="00DF347D"/>
    <w:rsid w:val="00DF3685"/>
    <w:rsid w:val="00DF3EE2"/>
    <w:rsid w:val="00DF400E"/>
    <w:rsid w:val="00DF42BF"/>
    <w:rsid w:val="00DF47E0"/>
    <w:rsid w:val="00DF4B8E"/>
    <w:rsid w:val="00DF538E"/>
    <w:rsid w:val="00DF5448"/>
    <w:rsid w:val="00DF5724"/>
    <w:rsid w:val="00DF5906"/>
    <w:rsid w:val="00DF59C7"/>
    <w:rsid w:val="00DF5B2D"/>
    <w:rsid w:val="00DF5D2B"/>
    <w:rsid w:val="00DF6182"/>
    <w:rsid w:val="00DF6341"/>
    <w:rsid w:val="00DF678F"/>
    <w:rsid w:val="00DF6FAB"/>
    <w:rsid w:val="00DF6FC1"/>
    <w:rsid w:val="00DF740D"/>
    <w:rsid w:val="00DF76BF"/>
    <w:rsid w:val="00DF7C2A"/>
    <w:rsid w:val="00DF7D7D"/>
    <w:rsid w:val="00E003F6"/>
    <w:rsid w:val="00E00491"/>
    <w:rsid w:val="00E00991"/>
    <w:rsid w:val="00E00E8E"/>
    <w:rsid w:val="00E00FD8"/>
    <w:rsid w:val="00E01459"/>
    <w:rsid w:val="00E01890"/>
    <w:rsid w:val="00E01AA4"/>
    <w:rsid w:val="00E01E34"/>
    <w:rsid w:val="00E01FC8"/>
    <w:rsid w:val="00E020FA"/>
    <w:rsid w:val="00E021DA"/>
    <w:rsid w:val="00E024D7"/>
    <w:rsid w:val="00E02A1D"/>
    <w:rsid w:val="00E02E4B"/>
    <w:rsid w:val="00E03DDA"/>
    <w:rsid w:val="00E03EAB"/>
    <w:rsid w:val="00E043C7"/>
    <w:rsid w:val="00E04A27"/>
    <w:rsid w:val="00E055F4"/>
    <w:rsid w:val="00E05630"/>
    <w:rsid w:val="00E05642"/>
    <w:rsid w:val="00E0623C"/>
    <w:rsid w:val="00E0692C"/>
    <w:rsid w:val="00E06C2A"/>
    <w:rsid w:val="00E06C42"/>
    <w:rsid w:val="00E06DBB"/>
    <w:rsid w:val="00E06EDC"/>
    <w:rsid w:val="00E06F79"/>
    <w:rsid w:val="00E06FC9"/>
    <w:rsid w:val="00E070A7"/>
    <w:rsid w:val="00E07179"/>
    <w:rsid w:val="00E07199"/>
    <w:rsid w:val="00E071A7"/>
    <w:rsid w:val="00E071BC"/>
    <w:rsid w:val="00E0735B"/>
    <w:rsid w:val="00E073B5"/>
    <w:rsid w:val="00E07FA7"/>
    <w:rsid w:val="00E10149"/>
    <w:rsid w:val="00E1053B"/>
    <w:rsid w:val="00E11340"/>
    <w:rsid w:val="00E11509"/>
    <w:rsid w:val="00E11F18"/>
    <w:rsid w:val="00E120AF"/>
    <w:rsid w:val="00E122A1"/>
    <w:rsid w:val="00E12AEE"/>
    <w:rsid w:val="00E12BA8"/>
    <w:rsid w:val="00E13412"/>
    <w:rsid w:val="00E13512"/>
    <w:rsid w:val="00E14406"/>
    <w:rsid w:val="00E14C05"/>
    <w:rsid w:val="00E14E09"/>
    <w:rsid w:val="00E15158"/>
    <w:rsid w:val="00E15220"/>
    <w:rsid w:val="00E159BA"/>
    <w:rsid w:val="00E16372"/>
    <w:rsid w:val="00E16A54"/>
    <w:rsid w:val="00E16AD8"/>
    <w:rsid w:val="00E16B63"/>
    <w:rsid w:val="00E16CA8"/>
    <w:rsid w:val="00E16EDE"/>
    <w:rsid w:val="00E175AB"/>
    <w:rsid w:val="00E175B6"/>
    <w:rsid w:val="00E176DF"/>
    <w:rsid w:val="00E177A7"/>
    <w:rsid w:val="00E17A3D"/>
    <w:rsid w:val="00E17A6A"/>
    <w:rsid w:val="00E17A79"/>
    <w:rsid w:val="00E17FFA"/>
    <w:rsid w:val="00E208E6"/>
    <w:rsid w:val="00E20B33"/>
    <w:rsid w:val="00E20B95"/>
    <w:rsid w:val="00E20E4D"/>
    <w:rsid w:val="00E20ED6"/>
    <w:rsid w:val="00E2111A"/>
    <w:rsid w:val="00E21358"/>
    <w:rsid w:val="00E217DA"/>
    <w:rsid w:val="00E21D4C"/>
    <w:rsid w:val="00E2249B"/>
    <w:rsid w:val="00E22930"/>
    <w:rsid w:val="00E22A0D"/>
    <w:rsid w:val="00E22ACD"/>
    <w:rsid w:val="00E22B81"/>
    <w:rsid w:val="00E23496"/>
    <w:rsid w:val="00E23BA1"/>
    <w:rsid w:val="00E23C3C"/>
    <w:rsid w:val="00E244F6"/>
    <w:rsid w:val="00E25004"/>
    <w:rsid w:val="00E25089"/>
    <w:rsid w:val="00E25113"/>
    <w:rsid w:val="00E2543E"/>
    <w:rsid w:val="00E258DB"/>
    <w:rsid w:val="00E259DA"/>
    <w:rsid w:val="00E25DCE"/>
    <w:rsid w:val="00E25EA4"/>
    <w:rsid w:val="00E2676D"/>
    <w:rsid w:val="00E2696E"/>
    <w:rsid w:val="00E26E20"/>
    <w:rsid w:val="00E27017"/>
    <w:rsid w:val="00E275B3"/>
    <w:rsid w:val="00E2771E"/>
    <w:rsid w:val="00E27AC1"/>
    <w:rsid w:val="00E302D4"/>
    <w:rsid w:val="00E3064F"/>
    <w:rsid w:val="00E30CC4"/>
    <w:rsid w:val="00E30F33"/>
    <w:rsid w:val="00E311EF"/>
    <w:rsid w:val="00E32180"/>
    <w:rsid w:val="00E3248B"/>
    <w:rsid w:val="00E327E9"/>
    <w:rsid w:val="00E3280D"/>
    <w:rsid w:val="00E33872"/>
    <w:rsid w:val="00E338B0"/>
    <w:rsid w:val="00E33B80"/>
    <w:rsid w:val="00E33EB5"/>
    <w:rsid w:val="00E34520"/>
    <w:rsid w:val="00E34594"/>
    <w:rsid w:val="00E34948"/>
    <w:rsid w:val="00E3561F"/>
    <w:rsid w:val="00E35B12"/>
    <w:rsid w:val="00E360F8"/>
    <w:rsid w:val="00E36425"/>
    <w:rsid w:val="00E36B0A"/>
    <w:rsid w:val="00E37569"/>
    <w:rsid w:val="00E37DA1"/>
    <w:rsid w:val="00E400A9"/>
    <w:rsid w:val="00E401B2"/>
    <w:rsid w:val="00E40D81"/>
    <w:rsid w:val="00E40E49"/>
    <w:rsid w:val="00E40F68"/>
    <w:rsid w:val="00E41C9E"/>
    <w:rsid w:val="00E41CB6"/>
    <w:rsid w:val="00E41E30"/>
    <w:rsid w:val="00E42B2D"/>
    <w:rsid w:val="00E42F73"/>
    <w:rsid w:val="00E4395B"/>
    <w:rsid w:val="00E439E7"/>
    <w:rsid w:val="00E43D70"/>
    <w:rsid w:val="00E43FF7"/>
    <w:rsid w:val="00E4419C"/>
    <w:rsid w:val="00E444D3"/>
    <w:rsid w:val="00E44E8C"/>
    <w:rsid w:val="00E452DE"/>
    <w:rsid w:val="00E45535"/>
    <w:rsid w:val="00E459DC"/>
    <w:rsid w:val="00E45F61"/>
    <w:rsid w:val="00E45F6F"/>
    <w:rsid w:val="00E460E3"/>
    <w:rsid w:val="00E462AE"/>
    <w:rsid w:val="00E464EA"/>
    <w:rsid w:val="00E466F3"/>
    <w:rsid w:val="00E46ABC"/>
    <w:rsid w:val="00E46F5D"/>
    <w:rsid w:val="00E47224"/>
    <w:rsid w:val="00E4745C"/>
    <w:rsid w:val="00E47B2C"/>
    <w:rsid w:val="00E47BAB"/>
    <w:rsid w:val="00E47E8E"/>
    <w:rsid w:val="00E47EC1"/>
    <w:rsid w:val="00E500AE"/>
    <w:rsid w:val="00E51560"/>
    <w:rsid w:val="00E51673"/>
    <w:rsid w:val="00E51821"/>
    <w:rsid w:val="00E52139"/>
    <w:rsid w:val="00E52238"/>
    <w:rsid w:val="00E52782"/>
    <w:rsid w:val="00E530F8"/>
    <w:rsid w:val="00E53E93"/>
    <w:rsid w:val="00E53FC8"/>
    <w:rsid w:val="00E54334"/>
    <w:rsid w:val="00E54347"/>
    <w:rsid w:val="00E54718"/>
    <w:rsid w:val="00E548DD"/>
    <w:rsid w:val="00E55424"/>
    <w:rsid w:val="00E55915"/>
    <w:rsid w:val="00E55BB5"/>
    <w:rsid w:val="00E561EC"/>
    <w:rsid w:val="00E56648"/>
    <w:rsid w:val="00E570B1"/>
    <w:rsid w:val="00E57362"/>
    <w:rsid w:val="00E5739B"/>
    <w:rsid w:val="00E57C88"/>
    <w:rsid w:val="00E600DB"/>
    <w:rsid w:val="00E602E9"/>
    <w:rsid w:val="00E606AC"/>
    <w:rsid w:val="00E60DAE"/>
    <w:rsid w:val="00E6101F"/>
    <w:rsid w:val="00E611DF"/>
    <w:rsid w:val="00E615A7"/>
    <w:rsid w:val="00E61F84"/>
    <w:rsid w:val="00E62356"/>
    <w:rsid w:val="00E62A87"/>
    <w:rsid w:val="00E63150"/>
    <w:rsid w:val="00E6377F"/>
    <w:rsid w:val="00E63BC1"/>
    <w:rsid w:val="00E649C8"/>
    <w:rsid w:val="00E652A5"/>
    <w:rsid w:val="00E65641"/>
    <w:rsid w:val="00E6568C"/>
    <w:rsid w:val="00E65835"/>
    <w:rsid w:val="00E658A6"/>
    <w:rsid w:val="00E65E79"/>
    <w:rsid w:val="00E66316"/>
    <w:rsid w:val="00E6641F"/>
    <w:rsid w:val="00E666DC"/>
    <w:rsid w:val="00E66832"/>
    <w:rsid w:val="00E66A1A"/>
    <w:rsid w:val="00E66BA2"/>
    <w:rsid w:val="00E66EBD"/>
    <w:rsid w:val="00E6729E"/>
    <w:rsid w:val="00E67416"/>
    <w:rsid w:val="00E70096"/>
    <w:rsid w:val="00E70300"/>
    <w:rsid w:val="00E70C9D"/>
    <w:rsid w:val="00E716F4"/>
    <w:rsid w:val="00E718B6"/>
    <w:rsid w:val="00E721B2"/>
    <w:rsid w:val="00E722DB"/>
    <w:rsid w:val="00E722EF"/>
    <w:rsid w:val="00E723BA"/>
    <w:rsid w:val="00E7270B"/>
    <w:rsid w:val="00E7294B"/>
    <w:rsid w:val="00E733B4"/>
    <w:rsid w:val="00E73581"/>
    <w:rsid w:val="00E73D0B"/>
    <w:rsid w:val="00E73D94"/>
    <w:rsid w:val="00E7473E"/>
    <w:rsid w:val="00E74E6A"/>
    <w:rsid w:val="00E753EB"/>
    <w:rsid w:val="00E7550C"/>
    <w:rsid w:val="00E758CF"/>
    <w:rsid w:val="00E75B97"/>
    <w:rsid w:val="00E75E1C"/>
    <w:rsid w:val="00E75E2C"/>
    <w:rsid w:val="00E76506"/>
    <w:rsid w:val="00E7668A"/>
    <w:rsid w:val="00E767DC"/>
    <w:rsid w:val="00E76ABB"/>
    <w:rsid w:val="00E76F5D"/>
    <w:rsid w:val="00E772E6"/>
    <w:rsid w:val="00E77320"/>
    <w:rsid w:val="00E775C4"/>
    <w:rsid w:val="00E77BD8"/>
    <w:rsid w:val="00E807BF"/>
    <w:rsid w:val="00E80E40"/>
    <w:rsid w:val="00E80F6A"/>
    <w:rsid w:val="00E80FF3"/>
    <w:rsid w:val="00E81646"/>
    <w:rsid w:val="00E818BC"/>
    <w:rsid w:val="00E81B64"/>
    <w:rsid w:val="00E81B91"/>
    <w:rsid w:val="00E81DBB"/>
    <w:rsid w:val="00E82ABA"/>
    <w:rsid w:val="00E82B98"/>
    <w:rsid w:val="00E82E7D"/>
    <w:rsid w:val="00E830DB"/>
    <w:rsid w:val="00E833F7"/>
    <w:rsid w:val="00E83BDF"/>
    <w:rsid w:val="00E842DA"/>
    <w:rsid w:val="00E84735"/>
    <w:rsid w:val="00E84837"/>
    <w:rsid w:val="00E84B7D"/>
    <w:rsid w:val="00E84ED2"/>
    <w:rsid w:val="00E85368"/>
    <w:rsid w:val="00E8540E"/>
    <w:rsid w:val="00E85C23"/>
    <w:rsid w:val="00E85D0E"/>
    <w:rsid w:val="00E86A83"/>
    <w:rsid w:val="00E86AAC"/>
    <w:rsid w:val="00E86BBD"/>
    <w:rsid w:val="00E86FCC"/>
    <w:rsid w:val="00E8721F"/>
    <w:rsid w:val="00E876E8"/>
    <w:rsid w:val="00E87A1D"/>
    <w:rsid w:val="00E87AD6"/>
    <w:rsid w:val="00E87DF9"/>
    <w:rsid w:val="00E901B3"/>
    <w:rsid w:val="00E90807"/>
    <w:rsid w:val="00E9094A"/>
    <w:rsid w:val="00E90AF0"/>
    <w:rsid w:val="00E9118B"/>
    <w:rsid w:val="00E916E1"/>
    <w:rsid w:val="00E91B9D"/>
    <w:rsid w:val="00E91D35"/>
    <w:rsid w:val="00E923AB"/>
    <w:rsid w:val="00E926A5"/>
    <w:rsid w:val="00E9271D"/>
    <w:rsid w:val="00E927B3"/>
    <w:rsid w:val="00E92C0F"/>
    <w:rsid w:val="00E92D16"/>
    <w:rsid w:val="00E92E70"/>
    <w:rsid w:val="00E92E9A"/>
    <w:rsid w:val="00E93925"/>
    <w:rsid w:val="00E93EB3"/>
    <w:rsid w:val="00E93FE0"/>
    <w:rsid w:val="00E9436C"/>
    <w:rsid w:val="00E94926"/>
    <w:rsid w:val="00E9509B"/>
    <w:rsid w:val="00E95234"/>
    <w:rsid w:val="00E95244"/>
    <w:rsid w:val="00E9542C"/>
    <w:rsid w:val="00E95B2B"/>
    <w:rsid w:val="00E95C9B"/>
    <w:rsid w:val="00E9628D"/>
    <w:rsid w:val="00E962CC"/>
    <w:rsid w:val="00E9671A"/>
    <w:rsid w:val="00E96D9B"/>
    <w:rsid w:val="00E96DE2"/>
    <w:rsid w:val="00E9706D"/>
    <w:rsid w:val="00E97115"/>
    <w:rsid w:val="00E97693"/>
    <w:rsid w:val="00EA0ECC"/>
    <w:rsid w:val="00EA1685"/>
    <w:rsid w:val="00EA1771"/>
    <w:rsid w:val="00EA17C3"/>
    <w:rsid w:val="00EA17D8"/>
    <w:rsid w:val="00EA1FDF"/>
    <w:rsid w:val="00EA22C8"/>
    <w:rsid w:val="00EA2456"/>
    <w:rsid w:val="00EA2CAA"/>
    <w:rsid w:val="00EA2D1F"/>
    <w:rsid w:val="00EA3206"/>
    <w:rsid w:val="00EA33A2"/>
    <w:rsid w:val="00EA3510"/>
    <w:rsid w:val="00EA3535"/>
    <w:rsid w:val="00EA37DA"/>
    <w:rsid w:val="00EA3864"/>
    <w:rsid w:val="00EA39F8"/>
    <w:rsid w:val="00EA3C1A"/>
    <w:rsid w:val="00EA414F"/>
    <w:rsid w:val="00EA42B6"/>
    <w:rsid w:val="00EA43BB"/>
    <w:rsid w:val="00EA44E3"/>
    <w:rsid w:val="00EA5805"/>
    <w:rsid w:val="00EA5A49"/>
    <w:rsid w:val="00EA5CA8"/>
    <w:rsid w:val="00EA6256"/>
    <w:rsid w:val="00EA6730"/>
    <w:rsid w:val="00EA67C0"/>
    <w:rsid w:val="00EA736C"/>
    <w:rsid w:val="00EA7440"/>
    <w:rsid w:val="00EA7F1C"/>
    <w:rsid w:val="00EB06D7"/>
    <w:rsid w:val="00EB0BFE"/>
    <w:rsid w:val="00EB0E99"/>
    <w:rsid w:val="00EB1127"/>
    <w:rsid w:val="00EB15B6"/>
    <w:rsid w:val="00EB1913"/>
    <w:rsid w:val="00EB1FA4"/>
    <w:rsid w:val="00EB269B"/>
    <w:rsid w:val="00EB2921"/>
    <w:rsid w:val="00EB2AF3"/>
    <w:rsid w:val="00EB2D06"/>
    <w:rsid w:val="00EB3D06"/>
    <w:rsid w:val="00EB3D52"/>
    <w:rsid w:val="00EB3E41"/>
    <w:rsid w:val="00EB4513"/>
    <w:rsid w:val="00EB4868"/>
    <w:rsid w:val="00EB4916"/>
    <w:rsid w:val="00EB5B7D"/>
    <w:rsid w:val="00EB5E07"/>
    <w:rsid w:val="00EB5E2C"/>
    <w:rsid w:val="00EB6A9F"/>
    <w:rsid w:val="00EB793D"/>
    <w:rsid w:val="00EB7B1B"/>
    <w:rsid w:val="00EB7CB1"/>
    <w:rsid w:val="00EC00C9"/>
    <w:rsid w:val="00EC0214"/>
    <w:rsid w:val="00EC0942"/>
    <w:rsid w:val="00EC0DD9"/>
    <w:rsid w:val="00EC1523"/>
    <w:rsid w:val="00EC17D7"/>
    <w:rsid w:val="00EC17F8"/>
    <w:rsid w:val="00EC21AB"/>
    <w:rsid w:val="00EC236A"/>
    <w:rsid w:val="00EC2649"/>
    <w:rsid w:val="00EC27A3"/>
    <w:rsid w:val="00EC2A53"/>
    <w:rsid w:val="00EC31EC"/>
    <w:rsid w:val="00EC31ED"/>
    <w:rsid w:val="00EC34F4"/>
    <w:rsid w:val="00EC3A8F"/>
    <w:rsid w:val="00EC3B28"/>
    <w:rsid w:val="00EC4504"/>
    <w:rsid w:val="00EC4AD4"/>
    <w:rsid w:val="00EC54C0"/>
    <w:rsid w:val="00EC5836"/>
    <w:rsid w:val="00EC5ACD"/>
    <w:rsid w:val="00EC62DC"/>
    <w:rsid w:val="00EC6405"/>
    <w:rsid w:val="00EC688C"/>
    <w:rsid w:val="00EC6C55"/>
    <w:rsid w:val="00EC6E55"/>
    <w:rsid w:val="00EC7627"/>
    <w:rsid w:val="00ED0502"/>
    <w:rsid w:val="00ED0CBB"/>
    <w:rsid w:val="00ED12E3"/>
    <w:rsid w:val="00ED15BA"/>
    <w:rsid w:val="00ED1800"/>
    <w:rsid w:val="00ED29DC"/>
    <w:rsid w:val="00ED2AA4"/>
    <w:rsid w:val="00ED31B2"/>
    <w:rsid w:val="00ED354D"/>
    <w:rsid w:val="00ED3BF1"/>
    <w:rsid w:val="00ED3DE9"/>
    <w:rsid w:val="00ED3F74"/>
    <w:rsid w:val="00ED4219"/>
    <w:rsid w:val="00ED42DB"/>
    <w:rsid w:val="00ED4A7B"/>
    <w:rsid w:val="00ED4AFA"/>
    <w:rsid w:val="00ED4B04"/>
    <w:rsid w:val="00ED4FCB"/>
    <w:rsid w:val="00ED51EA"/>
    <w:rsid w:val="00ED57EA"/>
    <w:rsid w:val="00ED57F8"/>
    <w:rsid w:val="00ED5BD4"/>
    <w:rsid w:val="00ED6583"/>
    <w:rsid w:val="00ED67C1"/>
    <w:rsid w:val="00ED6CB6"/>
    <w:rsid w:val="00ED6F3F"/>
    <w:rsid w:val="00ED6FAE"/>
    <w:rsid w:val="00ED70C3"/>
    <w:rsid w:val="00ED740A"/>
    <w:rsid w:val="00ED77CB"/>
    <w:rsid w:val="00ED7CE7"/>
    <w:rsid w:val="00ED7EBD"/>
    <w:rsid w:val="00EE008B"/>
    <w:rsid w:val="00EE01EC"/>
    <w:rsid w:val="00EE0680"/>
    <w:rsid w:val="00EE07D3"/>
    <w:rsid w:val="00EE0A29"/>
    <w:rsid w:val="00EE0CD3"/>
    <w:rsid w:val="00EE0D1A"/>
    <w:rsid w:val="00EE0DC5"/>
    <w:rsid w:val="00EE1156"/>
    <w:rsid w:val="00EE1996"/>
    <w:rsid w:val="00EE1BA8"/>
    <w:rsid w:val="00EE1C01"/>
    <w:rsid w:val="00EE22AF"/>
    <w:rsid w:val="00EE2CE1"/>
    <w:rsid w:val="00EE330A"/>
    <w:rsid w:val="00EE3D2E"/>
    <w:rsid w:val="00EE3E80"/>
    <w:rsid w:val="00EE4296"/>
    <w:rsid w:val="00EE45F2"/>
    <w:rsid w:val="00EE5214"/>
    <w:rsid w:val="00EE554F"/>
    <w:rsid w:val="00EE5647"/>
    <w:rsid w:val="00EE57CC"/>
    <w:rsid w:val="00EE64EA"/>
    <w:rsid w:val="00EE69E4"/>
    <w:rsid w:val="00EE6E08"/>
    <w:rsid w:val="00EE735F"/>
    <w:rsid w:val="00EE783A"/>
    <w:rsid w:val="00EE7FC7"/>
    <w:rsid w:val="00EF0141"/>
    <w:rsid w:val="00EF0171"/>
    <w:rsid w:val="00EF025D"/>
    <w:rsid w:val="00EF06A2"/>
    <w:rsid w:val="00EF1925"/>
    <w:rsid w:val="00EF1B25"/>
    <w:rsid w:val="00EF1B37"/>
    <w:rsid w:val="00EF1DA0"/>
    <w:rsid w:val="00EF29B5"/>
    <w:rsid w:val="00EF2CA0"/>
    <w:rsid w:val="00EF2D9A"/>
    <w:rsid w:val="00EF3815"/>
    <w:rsid w:val="00EF464F"/>
    <w:rsid w:val="00EF4694"/>
    <w:rsid w:val="00EF4747"/>
    <w:rsid w:val="00EF4AA6"/>
    <w:rsid w:val="00EF4B40"/>
    <w:rsid w:val="00EF4BF8"/>
    <w:rsid w:val="00EF5684"/>
    <w:rsid w:val="00EF583D"/>
    <w:rsid w:val="00EF5AE7"/>
    <w:rsid w:val="00EF5D41"/>
    <w:rsid w:val="00EF5D5F"/>
    <w:rsid w:val="00EF6BDE"/>
    <w:rsid w:val="00EF6DA1"/>
    <w:rsid w:val="00EF6F64"/>
    <w:rsid w:val="00EF7C13"/>
    <w:rsid w:val="00F0035A"/>
    <w:rsid w:val="00F012DF"/>
    <w:rsid w:val="00F02253"/>
    <w:rsid w:val="00F024E4"/>
    <w:rsid w:val="00F024E6"/>
    <w:rsid w:val="00F02540"/>
    <w:rsid w:val="00F0275D"/>
    <w:rsid w:val="00F02911"/>
    <w:rsid w:val="00F029AE"/>
    <w:rsid w:val="00F03882"/>
    <w:rsid w:val="00F03C2E"/>
    <w:rsid w:val="00F03C4A"/>
    <w:rsid w:val="00F042DD"/>
    <w:rsid w:val="00F04A66"/>
    <w:rsid w:val="00F04B4B"/>
    <w:rsid w:val="00F0516C"/>
    <w:rsid w:val="00F054C6"/>
    <w:rsid w:val="00F056C6"/>
    <w:rsid w:val="00F067A2"/>
    <w:rsid w:val="00F0738F"/>
    <w:rsid w:val="00F0750A"/>
    <w:rsid w:val="00F07B9E"/>
    <w:rsid w:val="00F1082B"/>
    <w:rsid w:val="00F10D39"/>
    <w:rsid w:val="00F10DF1"/>
    <w:rsid w:val="00F1116F"/>
    <w:rsid w:val="00F111EE"/>
    <w:rsid w:val="00F115CE"/>
    <w:rsid w:val="00F12638"/>
    <w:rsid w:val="00F1263A"/>
    <w:rsid w:val="00F12D53"/>
    <w:rsid w:val="00F13156"/>
    <w:rsid w:val="00F139C5"/>
    <w:rsid w:val="00F13AC1"/>
    <w:rsid w:val="00F13B78"/>
    <w:rsid w:val="00F141F5"/>
    <w:rsid w:val="00F142A9"/>
    <w:rsid w:val="00F145EA"/>
    <w:rsid w:val="00F14605"/>
    <w:rsid w:val="00F14C81"/>
    <w:rsid w:val="00F15B77"/>
    <w:rsid w:val="00F16A77"/>
    <w:rsid w:val="00F16BEA"/>
    <w:rsid w:val="00F17322"/>
    <w:rsid w:val="00F17515"/>
    <w:rsid w:val="00F2007B"/>
    <w:rsid w:val="00F20559"/>
    <w:rsid w:val="00F20A54"/>
    <w:rsid w:val="00F20B91"/>
    <w:rsid w:val="00F21236"/>
    <w:rsid w:val="00F2159C"/>
    <w:rsid w:val="00F21D75"/>
    <w:rsid w:val="00F223CF"/>
    <w:rsid w:val="00F22B9B"/>
    <w:rsid w:val="00F22ED7"/>
    <w:rsid w:val="00F2303E"/>
    <w:rsid w:val="00F2308C"/>
    <w:rsid w:val="00F230B4"/>
    <w:rsid w:val="00F231A2"/>
    <w:rsid w:val="00F239DF"/>
    <w:rsid w:val="00F23B87"/>
    <w:rsid w:val="00F24837"/>
    <w:rsid w:val="00F2546B"/>
    <w:rsid w:val="00F2575F"/>
    <w:rsid w:val="00F25A6A"/>
    <w:rsid w:val="00F26A82"/>
    <w:rsid w:val="00F26FAC"/>
    <w:rsid w:val="00F26FDF"/>
    <w:rsid w:val="00F27565"/>
    <w:rsid w:val="00F27979"/>
    <w:rsid w:val="00F279FE"/>
    <w:rsid w:val="00F27D9B"/>
    <w:rsid w:val="00F307C9"/>
    <w:rsid w:val="00F3081A"/>
    <w:rsid w:val="00F310D4"/>
    <w:rsid w:val="00F31317"/>
    <w:rsid w:val="00F319D1"/>
    <w:rsid w:val="00F31D5A"/>
    <w:rsid w:val="00F3201A"/>
    <w:rsid w:val="00F328E6"/>
    <w:rsid w:val="00F32AD2"/>
    <w:rsid w:val="00F32B3A"/>
    <w:rsid w:val="00F32B64"/>
    <w:rsid w:val="00F32BD9"/>
    <w:rsid w:val="00F32DFB"/>
    <w:rsid w:val="00F32EC3"/>
    <w:rsid w:val="00F33175"/>
    <w:rsid w:val="00F3357E"/>
    <w:rsid w:val="00F33975"/>
    <w:rsid w:val="00F33DA2"/>
    <w:rsid w:val="00F33DE9"/>
    <w:rsid w:val="00F3455B"/>
    <w:rsid w:val="00F348D2"/>
    <w:rsid w:val="00F34D82"/>
    <w:rsid w:val="00F35363"/>
    <w:rsid w:val="00F35AFD"/>
    <w:rsid w:val="00F35E6D"/>
    <w:rsid w:val="00F3619A"/>
    <w:rsid w:val="00F36BE0"/>
    <w:rsid w:val="00F3716D"/>
    <w:rsid w:val="00F37427"/>
    <w:rsid w:val="00F374D0"/>
    <w:rsid w:val="00F37C14"/>
    <w:rsid w:val="00F37CC5"/>
    <w:rsid w:val="00F37D66"/>
    <w:rsid w:val="00F40026"/>
    <w:rsid w:val="00F40121"/>
    <w:rsid w:val="00F4019B"/>
    <w:rsid w:val="00F401C5"/>
    <w:rsid w:val="00F40AAA"/>
    <w:rsid w:val="00F40BA7"/>
    <w:rsid w:val="00F40E10"/>
    <w:rsid w:val="00F40F9D"/>
    <w:rsid w:val="00F41ACD"/>
    <w:rsid w:val="00F41C12"/>
    <w:rsid w:val="00F41EA6"/>
    <w:rsid w:val="00F42971"/>
    <w:rsid w:val="00F42A1E"/>
    <w:rsid w:val="00F42DBA"/>
    <w:rsid w:val="00F4366B"/>
    <w:rsid w:val="00F44600"/>
    <w:rsid w:val="00F4494F"/>
    <w:rsid w:val="00F44BF5"/>
    <w:rsid w:val="00F45522"/>
    <w:rsid w:val="00F45E5C"/>
    <w:rsid w:val="00F45FA1"/>
    <w:rsid w:val="00F4609D"/>
    <w:rsid w:val="00F464BD"/>
    <w:rsid w:val="00F46903"/>
    <w:rsid w:val="00F469CC"/>
    <w:rsid w:val="00F46C8B"/>
    <w:rsid w:val="00F46CB6"/>
    <w:rsid w:val="00F470E3"/>
    <w:rsid w:val="00F473AC"/>
    <w:rsid w:val="00F4756D"/>
    <w:rsid w:val="00F4787D"/>
    <w:rsid w:val="00F47DA1"/>
    <w:rsid w:val="00F47DE8"/>
    <w:rsid w:val="00F51CBD"/>
    <w:rsid w:val="00F51D45"/>
    <w:rsid w:val="00F52106"/>
    <w:rsid w:val="00F522FA"/>
    <w:rsid w:val="00F52503"/>
    <w:rsid w:val="00F53F94"/>
    <w:rsid w:val="00F54197"/>
    <w:rsid w:val="00F542C1"/>
    <w:rsid w:val="00F54468"/>
    <w:rsid w:val="00F54705"/>
    <w:rsid w:val="00F54756"/>
    <w:rsid w:val="00F549CE"/>
    <w:rsid w:val="00F54D09"/>
    <w:rsid w:val="00F550E3"/>
    <w:rsid w:val="00F55277"/>
    <w:rsid w:val="00F55E1E"/>
    <w:rsid w:val="00F55E73"/>
    <w:rsid w:val="00F55EDA"/>
    <w:rsid w:val="00F561EA"/>
    <w:rsid w:val="00F568CA"/>
    <w:rsid w:val="00F56B16"/>
    <w:rsid w:val="00F56C32"/>
    <w:rsid w:val="00F56C80"/>
    <w:rsid w:val="00F57903"/>
    <w:rsid w:val="00F57A0E"/>
    <w:rsid w:val="00F60092"/>
    <w:rsid w:val="00F601FF"/>
    <w:rsid w:val="00F60B61"/>
    <w:rsid w:val="00F61617"/>
    <w:rsid w:val="00F61644"/>
    <w:rsid w:val="00F61A81"/>
    <w:rsid w:val="00F61C18"/>
    <w:rsid w:val="00F6202C"/>
    <w:rsid w:val="00F6296D"/>
    <w:rsid w:val="00F62AFC"/>
    <w:rsid w:val="00F62BF7"/>
    <w:rsid w:val="00F6303D"/>
    <w:rsid w:val="00F63506"/>
    <w:rsid w:val="00F64888"/>
    <w:rsid w:val="00F64AC0"/>
    <w:rsid w:val="00F64C09"/>
    <w:rsid w:val="00F652ED"/>
    <w:rsid w:val="00F653E6"/>
    <w:rsid w:val="00F656E5"/>
    <w:rsid w:val="00F65F4B"/>
    <w:rsid w:val="00F66644"/>
    <w:rsid w:val="00F666C9"/>
    <w:rsid w:val="00F666CD"/>
    <w:rsid w:val="00F674F3"/>
    <w:rsid w:val="00F6750B"/>
    <w:rsid w:val="00F67563"/>
    <w:rsid w:val="00F67690"/>
    <w:rsid w:val="00F676B0"/>
    <w:rsid w:val="00F67797"/>
    <w:rsid w:val="00F67A69"/>
    <w:rsid w:val="00F70814"/>
    <w:rsid w:val="00F70BFF"/>
    <w:rsid w:val="00F70C9D"/>
    <w:rsid w:val="00F71D45"/>
    <w:rsid w:val="00F71D62"/>
    <w:rsid w:val="00F720C5"/>
    <w:rsid w:val="00F723FF"/>
    <w:rsid w:val="00F727DA"/>
    <w:rsid w:val="00F7294C"/>
    <w:rsid w:val="00F72CA7"/>
    <w:rsid w:val="00F730CA"/>
    <w:rsid w:val="00F73D7F"/>
    <w:rsid w:val="00F73E08"/>
    <w:rsid w:val="00F745BB"/>
    <w:rsid w:val="00F74CD9"/>
    <w:rsid w:val="00F74D0C"/>
    <w:rsid w:val="00F74E66"/>
    <w:rsid w:val="00F7516D"/>
    <w:rsid w:val="00F758E2"/>
    <w:rsid w:val="00F75D2E"/>
    <w:rsid w:val="00F761BE"/>
    <w:rsid w:val="00F76670"/>
    <w:rsid w:val="00F76752"/>
    <w:rsid w:val="00F7675E"/>
    <w:rsid w:val="00F768B4"/>
    <w:rsid w:val="00F776EA"/>
    <w:rsid w:val="00F77998"/>
    <w:rsid w:val="00F77C63"/>
    <w:rsid w:val="00F801B2"/>
    <w:rsid w:val="00F80480"/>
    <w:rsid w:val="00F8082F"/>
    <w:rsid w:val="00F80A7B"/>
    <w:rsid w:val="00F80E5D"/>
    <w:rsid w:val="00F817D3"/>
    <w:rsid w:val="00F81CB1"/>
    <w:rsid w:val="00F81CDA"/>
    <w:rsid w:val="00F81DA5"/>
    <w:rsid w:val="00F81E78"/>
    <w:rsid w:val="00F8253A"/>
    <w:rsid w:val="00F8292C"/>
    <w:rsid w:val="00F82BCC"/>
    <w:rsid w:val="00F82E98"/>
    <w:rsid w:val="00F83466"/>
    <w:rsid w:val="00F83916"/>
    <w:rsid w:val="00F83E6A"/>
    <w:rsid w:val="00F84182"/>
    <w:rsid w:val="00F84705"/>
    <w:rsid w:val="00F848EB"/>
    <w:rsid w:val="00F85124"/>
    <w:rsid w:val="00F851CE"/>
    <w:rsid w:val="00F85694"/>
    <w:rsid w:val="00F85908"/>
    <w:rsid w:val="00F85A67"/>
    <w:rsid w:val="00F85EC1"/>
    <w:rsid w:val="00F8620C"/>
    <w:rsid w:val="00F865F7"/>
    <w:rsid w:val="00F868AF"/>
    <w:rsid w:val="00F909AD"/>
    <w:rsid w:val="00F90C19"/>
    <w:rsid w:val="00F90F3A"/>
    <w:rsid w:val="00F911FB"/>
    <w:rsid w:val="00F91219"/>
    <w:rsid w:val="00F91320"/>
    <w:rsid w:val="00F9142A"/>
    <w:rsid w:val="00F9158E"/>
    <w:rsid w:val="00F918E0"/>
    <w:rsid w:val="00F92444"/>
    <w:rsid w:val="00F92980"/>
    <w:rsid w:val="00F929B8"/>
    <w:rsid w:val="00F933C9"/>
    <w:rsid w:val="00F9393E"/>
    <w:rsid w:val="00F94A5E"/>
    <w:rsid w:val="00F94B3F"/>
    <w:rsid w:val="00F94EBB"/>
    <w:rsid w:val="00F953C0"/>
    <w:rsid w:val="00F95471"/>
    <w:rsid w:val="00F954D3"/>
    <w:rsid w:val="00F958E4"/>
    <w:rsid w:val="00F958F4"/>
    <w:rsid w:val="00F95BE3"/>
    <w:rsid w:val="00F95CE8"/>
    <w:rsid w:val="00F95ECD"/>
    <w:rsid w:val="00F9630D"/>
    <w:rsid w:val="00F969C2"/>
    <w:rsid w:val="00F96E0B"/>
    <w:rsid w:val="00F96F71"/>
    <w:rsid w:val="00F96FD0"/>
    <w:rsid w:val="00F97904"/>
    <w:rsid w:val="00F97A78"/>
    <w:rsid w:val="00F97BE3"/>
    <w:rsid w:val="00F97DC6"/>
    <w:rsid w:val="00F97F0A"/>
    <w:rsid w:val="00F97FF6"/>
    <w:rsid w:val="00FA04B2"/>
    <w:rsid w:val="00FA0684"/>
    <w:rsid w:val="00FA0811"/>
    <w:rsid w:val="00FA093A"/>
    <w:rsid w:val="00FA0AB4"/>
    <w:rsid w:val="00FA0B20"/>
    <w:rsid w:val="00FA100E"/>
    <w:rsid w:val="00FA118A"/>
    <w:rsid w:val="00FA15C2"/>
    <w:rsid w:val="00FA20DD"/>
    <w:rsid w:val="00FA2209"/>
    <w:rsid w:val="00FA24E7"/>
    <w:rsid w:val="00FA2C06"/>
    <w:rsid w:val="00FA3026"/>
    <w:rsid w:val="00FA339A"/>
    <w:rsid w:val="00FA3B62"/>
    <w:rsid w:val="00FA44DB"/>
    <w:rsid w:val="00FA4588"/>
    <w:rsid w:val="00FA530A"/>
    <w:rsid w:val="00FA557F"/>
    <w:rsid w:val="00FA5EE6"/>
    <w:rsid w:val="00FA67D4"/>
    <w:rsid w:val="00FA6915"/>
    <w:rsid w:val="00FA7566"/>
    <w:rsid w:val="00FA777E"/>
    <w:rsid w:val="00FA786C"/>
    <w:rsid w:val="00FA7956"/>
    <w:rsid w:val="00FA7DE1"/>
    <w:rsid w:val="00FA7F9D"/>
    <w:rsid w:val="00FA7FC5"/>
    <w:rsid w:val="00FB0197"/>
    <w:rsid w:val="00FB0824"/>
    <w:rsid w:val="00FB084B"/>
    <w:rsid w:val="00FB0997"/>
    <w:rsid w:val="00FB1046"/>
    <w:rsid w:val="00FB1BE3"/>
    <w:rsid w:val="00FB2046"/>
    <w:rsid w:val="00FB218D"/>
    <w:rsid w:val="00FB21A2"/>
    <w:rsid w:val="00FB23EC"/>
    <w:rsid w:val="00FB262A"/>
    <w:rsid w:val="00FB2752"/>
    <w:rsid w:val="00FB2FCB"/>
    <w:rsid w:val="00FB3322"/>
    <w:rsid w:val="00FB3552"/>
    <w:rsid w:val="00FB4C9C"/>
    <w:rsid w:val="00FB5199"/>
    <w:rsid w:val="00FB5301"/>
    <w:rsid w:val="00FB57CD"/>
    <w:rsid w:val="00FB5C61"/>
    <w:rsid w:val="00FB5FF8"/>
    <w:rsid w:val="00FB6291"/>
    <w:rsid w:val="00FB645C"/>
    <w:rsid w:val="00FB69EC"/>
    <w:rsid w:val="00FB6E68"/>
    <w:rsid w:val="00FB6F9D"/>
    <w:rsid w:val="00FB7138"/>
    <w:rsid w:val="00FB7764"/>
    <w:rsid w:val="00FB7C55"/>
    <w:rsid w:val="00FC01D9"/>
    <w:rsid w:val="00FC0224"/>
    <w:rsid w:val="00FC0995"/>
    <w:rsid w:val="00FC0ABE"/>
    <w:rsid w:val="00FC1074"/>
    <w:rsid w:val="00FC1884"/>
    <w:rsid w:val="00FC18EC"/>
    <w:rsid w:val="00FC1D3A"/>
    <w:rsid w:val="00FC1F01"/>
    <w:rsid w:val="00FC1F47"/>
    <w:rsid w:val="00FC27E6"/>
    <w:rsid w:val="00FC2FC7"/>
    <w:rsid w:val="00FC32F3"/>
    <w:rsid w:val="00FC371D"/>
    <w:rsid w:val="00FC3884"/>
    <w:rsid w:val="00FC3DBE"/>
    <w:rsid w:val="00FC47E4"/>
    <w:rsid w:val="00FC501A"/>
    <w:rsid w:val="00FC50D2"/>
    <w:rsid w:val="00FC537B"/>
    <w:rsid w:val="00FC54BE"/>
    <w:rsid w:val="00FC54F2"/>
    <w:rsid w:val="00FC560E"/>
    <w:rsid w:val="00FC566C"/>
    <w:rsid w:val="00FC5EA5"/>
    <w:rsid w:val="00FC5F0B"/>
    <w:rsid w:val="00FC6B10"/>
    <w:rsid w:val="00FC6DE0"/>
    <w:rsid w:val="00FC7DC4"/>
    <w:rsid w:val="00FC7F3B"/>
    <w:rsid w:val="00FD0015"/>
    <w:rsid w:val="00FD099C"/>
    <w:rsid w:val="00FD0AAA"/>
    <w:rsid w:val="00FD1076"/>
    <w:rsid w:val="00FD144F"/>
    <w:rsid w:val="00FD20C4"/>
    <w:rsid w:val="00FD2100"/>
    <w:rsid w:val="00FD28A6"/>
    <w:rsid w:val="00FD292D"/>
    <w:rsid w:val="00FD3BE3"/>
    <w:rsid w:val="00FD4261"/>
    <w:rsid w:val="00FD436C"/>
    <w:rsid w:val="00FD446D"/>
    <w:rsid w:val="00FD4F2C"/>
    <w:rsid w:val="00FD5083"/>
    <w:rsid w:val="00FD6394"/>
    <w:rsid w:val="00FD65D2"/>
    <w:rsid w:val="00FD6739"/>
    <w:rsid w:val="00FD6982"/>
    <w:rsid w:val="00FD7166"/>
    <w:rsid w:val="00FD73F4"/>
    <w:rsid w:val="00FD797F"/>
    <w:rsid w:val="00FD7A40"/>
    <w:rsid w:val="00FE0A5C"/>
    <w:rsid w:val="00FE0A8C"/>
    <w:rsid w:val="00FE0B11"/>
    <w:rsid w:val="00FE0E6C"/>
    <w:rsid w:val="00FE11A4"/>
    <w:rsid w:val="00FE14F5"/>
    <w:rsid w:val="00FE1990"/>
    <w:rsid w:val="00FE1CDC"/>
    <w:rsid w:val="00FE1E3E"/>
    <w:rsid w:val="00FE22D0"/>
    <w:rsid w:val="00FE33AF"/>
    <w:rsid w:val="00FE374C"/>
    <w:rsid w:val="00FE3E01"/>
    <w:rsid w:val="00FE43DC"/>
    <w:rsid w:val="00FE4F30"/>
    <w:rsid w:val="00FE5151"/>
    <w:rsid w:val="00FE5591"/>
    <w:rsid w:val="00FE5B17"/>
    <w:rsid w:val="00FE614E"/>
    <w:rsid w:val="00FE64A7"/>
    <w:rsid w:val="00FE70C3"/>
    <w:rsid w:val="00FE7CBE"/>
    <w:rsid w:val="00FF0451"/>
    <w:rsid w:val="00FF047F"/>
    <w:rsid w:val="00FF1215"/>
    <w:rsid w:val="00FF1A09"/>
    <w:rsid w:val="00FF1A8B"/>
    <w:rsid w:val="00FF1ADA"/>
    <w:rsid w:val="00FF1D23"/>
    <w:rsid w:val="00FF20DA"/>
    <w:rsid w:val="00FF2186"/>
    <w:rsid w:val="00FF24C5"/>
    <w:rsid w:val="00FF2AD9"/>
    <w:rsid w:val="00FF359F"/>
    <w:rsid w:val="00FF3CFF"/>
    <w:rsid w:val="00FF3DCF"/>
    <w:rsid w:val="00FF421A"/>
    <w:rsid w:val="00FF47FC"/>
    <w:rsid w:val="00FF492C"/>
    <w:rsid w:val="00FF4A21"/>
    <w:rsid w:val="00FF4C27"/>
    <w:rsid w:val="00FF57DA"/>
    <w:rsid w:val="00FF588A"/>
    <w:rsid w:val="00FF5AA3"/>
    <w:rsid w:val="00FF5AD8"/>
    <w:rsid w:val="00FF6040"/>
    <w:rsid w:val="00FF6250"/>
    <w:rsid w:val="00FF6486"/>
    <w:rsid w:val="00FF66BE"/>
    <w:rsid w:val="00FF6825"/>
    <w:rsid w:val="00FF6A5E"/>
    <w:rsid w:val="00FF6B47"/>
    <w:rsid w:val="00FF6F5B"/>
    <w:rsid w:val="00FF6FB9"/>
    <w:rsid w:val="00FF6FEB"/>
    <w:rsid w:val="00FF73B4"/>
    <w:rsid w:val="00FF73DC"/>
    <w:rsid w:val="00FF7ABB"/>
    <w:rsid w:val="00FF7D29"/>
    <w:rsid w:val="02C48AD9"/>
    <w:rsid w:val="030EBCFB"/>
    <w:rsid w:val="034A41EA"/>
    <w:rsid w:val="03C9AB4D"/>
    <w:rsid w:val="04A83166"/>
    <w:rsid w:val="05873340"/>
    <w:rsid w:val="05B67972"/>
    <w:rsid w:val="05F6AB0E"/>
    <w:rsid w:val="06EE77C3"/>
    <w:rsid w:val="0C346B79"/>
    <w:rsid w:val="0C8EA8FE"/>
    <w:rsid w:val="0CE0C53A"/>
    <w:rsid w:val="0E434B1D"/>
    <w:rsid w:val="0F437185"/>
    <w:rsid w:val="0FDB18CF"/>
    <w:rsid w:val="112A996D"/>
    <w:rsid w:val="1700F1BF"/>
    <w:rsid w:val="18747CBC"/>
    <w:rsid w:val="188E5894"/>
    <w:rsid w:val="1993FF56"/>
    <w:rsid w:val="1BF4D81A"/>
    <w:rsid w:val="1EA4E6F8"/>
    <w:rsid w:val="1F24A3BA"/>
    <w:rsid w:val="215948AE"/>
    <w:rsid w:val="21A16318"/>
    <w:rsid w:val="22984864"/>
    <w:rsid w:val="2380F384"/>
    <w:rsid w:val="24D91DE6"/>
    <w:rsid w:val="24F061CE"/>
    <w:rsid w:val="2600E3E6"/>
    <w:rsid w:val="273DE0F9"/>
    <w:rsid w:val="28A079C1"/>
    <w:rsid w:val="29122587"/>
    <w:rsid w:val="2BFF8043"/>
    <w:rsid w:val="2D7E0BA4"/>
    <w:rsid w:val="2EDF7165"/>
    <w:rsid w:val="2F887756"/>
    <w:rsid w:val="2FD03E50"/>
    <w:rsid w:val="30B80CE4"/>
    <w:rsid w:val="31C254A3"/>
    <w:rsid w:val="3300E2F8"/>
    <w:rsid w:val="3335B920"/>
    <w:rsid w:val="34F3C41A"/>
    <w:rsid w:val="35582B1E"/>
    <w:rsid w:val="35F54C9D"/>
    <w:rsid w:val="37AAFCB2"/>
    <w:rsid w:val="37FA4836"/>
    <w:rsid w:val="38856A5F"/>
    <w:rsid w:val="390AA7DF"/>
    <w:rsid w:val="39250CC7"/>
    <w:rsid w:val="3B520F08"/>
    <w:rsid w:val="3CA04A8E"/>
    <w:rsid w:val="3CC8515E"/>
    <w:rsid w:val="3E189B37"/>
    <w:rsid w:val="3FEEABC3"/>
    <w:rsid w:val="4075B624"/>
    <w:rsid w:val="411A6BA4"/>
    <w:rsid w:val="4194E18C"/>
    <w:rsid w:val="448351F6"/>
    <w:rsid w:val="45F41FAC"/>
    <w:rsid w:val="461ADB04"/>
    <w:rsid w:val="46D3362D"/>
    <w:rsid w:val="4738EA49"/>
    <w:rsid w:val="4747260A"/>
    <w:rsid w:val="479B60B3"/>
    <w:rsid w:val="4B68A704"/>
    <w:rsid w:val="4C3AAC68"/>
    <w:rsid w:val="51556E5D"/>
    <w:rsid w:val="54516FF7"/>
    <w:rsid w:val="5457B197"/>
    <w:rsid w:val="5467646D"/>
    <w:rsid w:val="5487F7DA"/>
    <w:rsid w:val="56DC5D73"/>
    <w:rsid w:val="58254E42"/>
    <w:rsid w:val="5871A185"/>
    <w:rsid w:val="59C58D61"/>
    <w:rsid w:val="5BFDA386"/>
    <w:rsid w:val="5C40D614"/>
    <w:rsid w:val="64D3428D"/>
    <w:rsid w:val="663BB61F"/>
    <w:rsid w:val="675DB95A"/>
    <w:rsid w:val="691E9AE3"/>
    <w:rsid w:val="6ACAACF8"/>
    <w:rsid w:val="6B42210A"/>
    <w:rsid w:val="6D12B42A"/>
    <w:rsid w:val="6D2E14DC"/>
    <w:rsid w:val="6D53B7F6"/>
    <w:rsid w:val="6EDB63E7"/>
    <w:rsid w:val="6F8B700B"/>
    <w:rsid w:val="723BA5AE"/>
    <w:rsid w:val="72BF7779"/>
    <w:rsid w:val="72CC9657"/>
    <w:rsid w:val="732ACD29"/>
    <w:rsid w:val="733957FC"/>
    <w:rsid w:val="733F58E9"/>
    <w:rsid w:val="7499C00B"/>
    <w:rsid w:val="7694DD81"/>
    <w:rsid w:val="799DA99B"/>
    <w:rsid w:val="7BE50B36"/>
    <w:rsid w:val="7C2700C6"/>
    <w:rsid w:val="7FEDD2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8B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RTI AMCP Table,Dossier Table,Legemiddelverket 3"/>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aliases w:val="Hyperlink - H39"/>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8E1CBB"/>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link w:val="In-tableHeadingChar"/>
    <w:autoRedefine/>
    <w:qFormat/>
    <w:rsid w:val="00510D4B"/>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701FDE"/>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01FDE"/>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8E1CBB"/>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paragraph" w:customStyle="1" w:styleId="TableBullet">
    <w:name w:val="Table Bullet"/>
    <w:basedOn w:val="TableText0"/>
    <w:qFormat/>
    <w:rsid w:val="00A234B1"/>
    <w:pPr>
      <w:keepNext w:val="0"/>
      <w:keepLines w:val="0"/>
      <w:numPr>
        <w:numId w:val="7"/>
      </w:numPr>
      <w:spacing w:before="40" w:after="40" w:line="276" w:lineRule="auto"/>
    </w:pPr>
    <w:rPr>
      <w:rFonts w:eastAsiaTheme="minorHAnsi" w:cs="Calibri (Body)"/>
      <w:bCs w:val="0"/>
      <w:szCs w:val="20"/>
      <w:lang w:val="en-GB" w:eastAsia="en-US"/>
    </w:rPr>
  </w:style>
  <w:style w:type="paragraph" w:customStyle="1" w:styleId="TableLeft">
    <w:name w:val="Table Left"/>
    <w:basedOn w:val="Normal"/>
    <w:link w:val="TableLeftChar"/>
    <w:uiPriority w:val="99"/>
    <w:qFormat/>
    <w:rsid w:val="00A234B1"/>
    <w:rPr>
      <w:rFonts w:eastAsiaTheme="majorEastAsia" w:cstheme="majorBidi"/>
      <w:sz w:val="18"/>
      <w:szCs w:val="22"/>
      <w:lang w:val="en-GB" w:eastAsia="en-US" w:bidi="en-US"/>
    </w:rPr>
  </w:style>
  <w:style w:type="character" w:customStyle="1" w:styleId="TableLeftChar">
    <w:name w:val="Table Left Char"/>
    <w:basedOn w:val="DefaultParagraphFont"/>
    <w:link w:val="TableLeft"/>
    <w:uiPriority w:val="99"/>
    <w:locked/>
    <w:rsid w:val="00A234B1"/>
    <w:rPr>
      <w:rFonts w:ascii="Calibri" w:eastAsiaTheme="majorEastAsia" w:hAnsi="Calibri" w:cstheme="majorBidi"/>
      <w:sz w:val="18"/>
      <w:szCs w:val="22"/>
      <w:lang w:val="en-GB" w:eastAsia="en-US" w:bidi="en-US"/>
    </w:rPr>
  </w:style>
  <w:style w:type="paragraph" w:styleId="FootnoteText">
    <w:name w:val="footnote text"/>
    <w:basedOn w:val="Normal"/>
    <w:link w:val="FootnoteTextChar"/>
    <w:semiHidden/>
    <w:unhideWhenUsed/>
    <w:rsid w:val="00D42FBB"/>
    <w:rPr>
      <w:sz w:val="20"/>
      <w:szCs w:val="20"/>
    </w:rPr>
  </w:style>
  <w:style w:type="character" w:customStyle="1" w:styleId="FootnoteTextChar">
    <w:name w:val="Footnote Text Char"/>
    <w:basedOn w:val="DefaultParagraphFont"/>
    <w:link w:val="FootnoteText"/>
    <w:semiHidden/>
    <w:rsid w:val="00D42FBB"/>
    <w:rPr>
      <w:rFonts w:ascii="Calibri" w:hAnsi="Calibri" w:cs="Arial"/>
    </w:rPr>
  </w:style>
  <w:style w:type="character" w:styleId="FootnoteReference">
    <w:name w:val="footnote reference"/>
    <w:basedOn w:val="DefaultParagraphFont"/>
    <w:semiHidden/>
    <w:unhideWhenUsed/>
    <w:rsid w:val="00D42FBB"/>
    <w:rPr>
      <w:vertAlign w:val="superscript"/>
    </w:rPr>
  </w:style>
  <w:style w:type="table" w:customStyle="1" w:styleId="Submissionstandard">
    <w:name w:val="Submission standard"/>
    <w:basedOn w:val="TableNormal"/>
    <w:uiPriority w:val="99"/>
    <w:qFormat/>
    <w:rsid w:val="004F4DE6"/>
    <w:pPr>
      <w:contextualSpacing/>
    </w:pPr>
    <w:rPr>
      <w:rFonts w:asciiTheme="minorHAnsi" w:eastAsiaTheme="majorEastAsia" w:hAnsiTheme="minorHAnsi" w:cstheme="majorBidi"/>
      <w:sz w:val="18"/>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libri" w:hAnsi="Calibri"/>
        <w:b/>
        <w:sz w:val="18"/>
      </w:rPr>
      <w:tblPr/>
      <w:tcPr>
        <w:shd w:val="clear" w:color="auto" w:fill="BFBFBF" w:themeFill="background1" w:themeFillShade="BF"/>
      </w:tcPr>
    </w:tblStylePr>
  </w:style>
  <w:style w:type="character" w:customStyle="1" w:styleId="ui-provider">
    <w:name w:val="ui-provider"/>
    <w:basedOn w:val="DefaultParagraphFont"/>
    <w:rsid w:val="004F4DE6"/>
  </w:style>
  <w:style w:type="character" w:styleId="UnresolvedMention">
    <w:name w:val="Unresolved Mention"/>
    <w:basedOn w:val="DefaultParagraphFont"/>
    <w:uiPriority w:val="99"/>
    <w:semiHidden/>
    <w:unhideWhenUsed/>
    <w:rsid w:val="00E327E9"/>
    <w:rPr>
      <w:color w:val="605E5C"/>
      <w:shd w:val="clear" w:color="auto" w:fill="E1DFDD"/>
    </w:rPr>
  </w:style>
  <w:style w:type="paragraph" w:customStyle="1" w:styleId="EndNoteBibliographyTitle">
    <w:name w:val="EndNote Bibliography Title"/>
    <w:basedOn w:val="Normal"/>
    <w:link w:val="EndNoteBibliographyTitleChar"/>
    <w:rsid w:val="00C76D92"/>
    <w:pPr>
      <w:jc w:val="center"/>
    </w:pPr>
    <w:rPr>
      <w:rFonts w:eastAsiaTheme="majorEastAsia" w:cs="Calibri"/>
      <w:noProof/>
      <w:lang w:val="en-US"/>
    </w:rPr>
  </w:style>
  <w:style w:type="character" w:customStyle="1" w:styleId="In-tableHeadingChar">
    <w:name w:val="In-table Heading Char"/>
    <w:basedOn w:val="DefaultParagraphFont"/>
    <w:link w:val="In-tableHeading"/>
    <w:rsid w:val="00C76D92"/>
    <w:rPr>
      <w:rFonts w:ascii="Arial Narrow" w:eastAsiaTheme="majorEastAsia" w:hAnsi="Arial Narrow"/>
      <w:b/>
      <w:szCs w:val="24"/>
      <w:lang w:val="en-US"/>
    </w:rPr>
  </w:style>
  <w:style w:type="character" w:customStyle="1" w:styleId="EndNoteBibliographyTitleChar">
    <w:name w:val="EndNote Bibliography Title Char"/>
    <w:basedOn w:val="In-tableHeadingChar"/>
    <w:link w:val="EndNoteBibliographyTitle"/>
    <w:rsid w:val="00C76D92"/>
    <w:rPr>
      <w:rFonts w:ascii="Calibri" w:eastAsiaTheme="majorEastAsia" w:hAnsi="Calibri" w:cs="Calibri"/>
      <w:b w:val="0"/>
      <w:noProof/>
      <w:sz w:val="24"/>
      <w:szCs w:val="24"/>
      <w:lang w:val="en-US"/>
    </w:rPr>
  </w:style>
  <w:style w:type="paragraph" w:customStyle="1" w:styleId="EndNoteBibliography">
    <w:name w:val="EndNote Bibliography"/>
    <w:basedOn w:val="Normal"/>
    <w:link w:val="EndNoteBibliographyChar"/>
    <w:rsid w:val="00C76D92"/>
    <w:rPr>
      <w:rFonts w:eastAsiaTheme="majorEastAsia" w:cs="Calibri"/>
      <w:noProof/>
      <w:lang w:val="en-US"/>
    </w:rPr>
  </w:style>
  <w:style w:type="character" w:customStyle="1" w:styleId="EndNoteBibliographyChar">
    <w:name w:val="EndNote Bibliography Char"/>
    <w:basedOn w:val="In-tableHeadingChar"/>
    <w:link w:val="EndNoteBibliography"/>
    <w:rsid w:val="00C76D92"/>
    <w:rPr>
      <w:rFonts w:ascii="Calibri" w:eastAsiaTheme="majorEastAsia" w:hAnsi="Calibri" w:cs="Calibri"/>
      <w:b w:val="0"/>
      <w:noProof/>
      <w:sz w:val="24"/>
      <w:szCs w:val="24"/>
      <w:lang w:val="en-US"/>
    </w:rPr>
  </w:style>
  <w:style w:type="character" w:customStyle="1" w:styleId="eop">
    <w:name w:val="eop"/>
    <w:basedOn w:val="DefaultParagraphFont"/>
    <w:rsid w:val="002C1E96"/>
  </w:style>
  <w:style w:type="paragraph" w:customStyle="1" w:styleId="paragraph">
    <w:name w:val="paragraph"/>
    <w:basedOn w:val="Normal"/>
    <w:rsid w:val="00B319B9"/>
    <w:pPr>
      <w:spacing w:before="100" w:beforeAutospacing="1" w:after="100" w:afterAutospacing="1"/>
      <w:jc w:val="left"/>
    </w:pPr>
    <w:rPr>
      <w:rFonts w:ascii="Times New Roman" w:hAnsi="Times New Roman" w:cs="Times New Roman"/>
    </w:rPr>
  </w:style>
  <w:style w:type="character" w:styleId="Mention">
    <w:name w:val="Mention"/>
    <w:basedOn w:val="DefaultParagraphFont"/>
    <w:uiPriority w:val="99"/>
    <w:unhideWhenUsed/>
    <w:rsid w:val="00B87177"/>
    <w:rPr>
      <w:color w:val="2B579A"/>
      <w:shd w:val="clear" w:color="auto" w:fill="E1DFDD"/>
    </w:rPr>
  </w:style>
  <w:style w:type="paragraph" w:customStyle="1" w:styleId="3-SubsectionHeading">
    <w:name w:val="3-Subsection Heading"/>
    <w:basedOn w:val="Heading2"/>
    <w:next w:val="Normal"/>
    <w:link w:val="3-SubsectionHeadingChar"/>
    <w:qFormat/>
    <w:rsid w:val="00AE70A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E70AE"/>
    <w:rPr>
      <w:rFonts w:asciiTheme="minorHAnsi" w:eastAsiaTheme="majorEastAsia" w:hAnsiTheme="minorHAnsi" w:cstheme="majorBidi"/>
      <w:b/>
      <w:i/>
      <w:snapToGrid/>
      <w:spacing w:val="5"/>
      <w:kern w:val="28"/>
      <w:sz w:val="28"/>
      <w:szCs w:val="36"/>
      <w:lang w:eastAsia="en-US"/>
    </w:rPr>
  </w:style>
  <w:style w:type="paragraph" w:customStyle="1" w:styleId="Tabletitle">
    <w:name w:val="Table title"/>
    <w:basedOn w:val="Normal"/>
    <w:link w:val="TabletitleChar"/>
    <w:qFormat/>
    <w:rsid w:val="002D5640"/>
    <w:pPr>
      <w:jc w:val="left"/>
    </w:pPr>
    <w:rPr>
      <w:rFonts w:ascii="Arial Narrow" w:eastAsia="Calibri" w:hAnsi="Arial Narrow"/>
      <w:b/>
      <w:sz w:val="20"/>
      <w:szCs w:val="20"/>
    </w:rPr>
  </w:style>
  <w:style w:type="character" w:customStyle="1" w:styleId="TabletitleChar">
    <w:name w:val="Table title Char"/>
    <w:basedOn w:val="DefaultParagraphFont"/>
    <w:link w:val="Tabletitle"/>
    <w:rsid w:val="002D5640"/>
    <w:rPr>
      <w:rFonts w:ascii="Arial Narrow" w:eastAsia="Calibri" w:hAnsi="Arial Narrow" w:cs="Arial"/>
      <w:b/>
    </w:rPr>
  </w:style>
  <w:style w:type="paragraph" w:customStyle="1" w:styleId="COMH1numbered">
    <w:name w:val="COM H1 numbered"/>
    <w:next w:val="Normal"/>
    <w:qFormat/>
    <w:rsid w:val="0039524B"/>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39524B"/>
    <w:pPr>
      <w:numPr>
        <w:numId w:val="0"/>
      </w:numPr>
      <w:ind w:left="720" w:hanging="720"/>
      <w:jc w:val="both"/>
    </w:pPr>
  </w:style>
  <w:style w:type="character" w:customStyle="1" w:styleId="COMexecsumnumberedparaChar">
    <w:name w:val="COM exec sum numbered para Char"/>
    <w:basedOn w:val="DefaultParagraphFont"/>
    <w:link w:val="COMexecsumnumberedpara"/>
    <w:rsid w:val="00EA1685"/>
    <w:rPr>
      <w:rFonts w:asciiTheme="minorHAnsi" w:hAnsiTheme="minorHAnsi" w:cs="Arial"/>
      <w:snapToGrid w:val="0"/>
      <w:sz w:val="24"/>
      <w:szCs w:val="24"/>
    </w:rPr>
  </w:style>
  <w:style w:type="table" w:customStyle="1" w:styleId="Tabellengitternetz9pt1">
    <w:name w:val="Tabellengitternetz 9pt1"/>
    <w:basedOn w:val="TableNormal"/>
    <w:next w:val="TableGrid"/>
    <w:uiPriority w:val="39"/>
    <w:rsid w:val="00825672"/>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gemiddelverket31">
    <w:name w:val="Legemiddelverket 31"/>
    <w:basedOn w:val="TableNormal"/>
    <w:next w:val="TableGrid"/>
    <w:uiPriority w:val="39"/>
    <w:rsid w:val="00825672"/>
    <w:rPr>
      <w:rFonts w:eastAsia="Aptos"/>
      <w:kern w:val="2"/>
      <w:sz w:val="24"/>
      <w:szCs w:val="24"/>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1">
    <w:name w:val="Submission standard1"/>
    <w:basedOn w:val="TableNormal"/>
    <w:uiPriority w:val="99"/>
    <w:qFormat/>
    <w:rsid w:val="00825672"/>
    <w:pPr>
      <w:contextualSpacing/>
    </w:pPr>
    <w:rPr>
      <w:rFonts w:ascii="Aptos" w:eastAsia="Yu Gothic Light" w:hAnsi="Aptos"/>
      <w:sz w:val="18"/>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Calibri" w:hAnsi="Calibri" w:cs="Calibri" w:hint="default"/>
        <w:b/>
        <w:sz w:val="18"/>
        <w:szCs w:val="18"/>
      </w:rPr>
      <w:tblPr/>
      <w:tcPr>
        <w:shd w:val="clear" w:color="auto" w:fill="BFBFBF"/>
      </w:tcPr>
    </w:tblStylePr>
  </w:style>
  <w:style w:type="character" w:customStyle="1" w:styleId="cf01">
    <w:name w:val="cf01"/>
    <w:basedOn w:val="DefaultParagraphFont"/>
    <w:rsid w:val="00825672"/>
    <w:rPr>
      <w:rFonts w:ascii="Segoe UI" w:hAnsi="Segoe UI" w:cs="Segoe UI" w:hint="default"/>
      <w:sz w:val="18"/>
      <w:szCs w:val="18"/>
    </w:rPr>
  </w:style>
  <w:style w:type="paragraph" w:customStyle="1" w:styleId="00Paragraph">
    <w:name w:val="00Paragraph"/>
    <w:link w:val="00Paragraph0"/>
    <w:qFormat/>
    <w:rsid w:val="00825672"/>
    <w:pPr>
      <w:spacing w:before="120" w:after="120" w:line="300" w:lineRule="atLeast"/>
    </w:pPr>
    <w:rPr>
      <w:rFonts w:eastAsia="MS Mincho"/>
      <w:sz w:val="24"/>
      <w:szCs w:val="24"/>
      <w:lang w:val="en-US" w:eastAsia="en-US"/>
    </w:rPr>
  </w:style>
  <w:style w:type="character" w:customStyle="1" w:styleId="00Paragraph0">
    <w:name w:val="00Paragraph (文字)"/>
    <w:link w:val="00Paragraph"/>
    <w:rsid w:val="00825672"/>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95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371473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0223345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6451576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9217110">
      <w:bodyDiv w:val="1"/>
      <w:marLeft w:val="0"/>
      <w:marRight w:val="0"/>
      <w:marTop w:val="0"/>
      <w:marBottom w:val="0"/>
      <w:divBdr>
        <w:top w:val="none" w:sz="0" w:space="0" w:color="auto"/>
        <w:left w:val="none" w:sz="0" w:space="0" w:color="auto"/>
        <w:bottom w:val="none" w:sz="0" w:space="0" w:color="auto"/>
        <w:right w:val="none" w:sz="0" w:space="0" w:color="auto"/>
      </w:divBdr>
    </w:div>
    <w:div w:id="1268928983">
      <w:bodyDiv w:val="1"/>
      <w:marLeft w:val="0"/>
      <w:marRight w:val="0"/>
      <w:marTop w:val="0"/>
      <w:marBottom w:val="0"/>
      <w:divBdr>
        <w:top w:val="none" w:sz="0" w:space="0" w:color="auto"/>
        <w:left w:val="none" w:sz="0" w:space="0" w:color="auto"/>
        <w:bottom w:val="none" w:sz="0" w:space="0" w:color="auto"/>
        <w:right w:val="none" w:sz="0" w:space="0" w:color="auto"/>
      </w:divBdr>
      <w:divsChild>
        <w:div w:id="110441835">
          <w:marLeft w:val="0"/>
          <w:marRight w:val="0"/>
          <w:marTop w:val="0"/>
          <w:marBottom w:val="0"/>
          <w:divBdr>
            <w:top w:val="none" w:sz="0" w:space="0" w:color="auto"/>
            <w:left w:val="none" w:sz="0" w:space="0" w:color="auto"/>
            <w:bottom w:val="none" w:sz="0" w:space="0" w:color="auto"/>
            <w:right w:val="none" w:sz="0" w:space="0" w:color="auto"/>
          </w:divBdr>
        </w:div>
        <w:div w:id="1664776286">
          <w:marLeft w:val="0"/>
          <w:marRight w:val="0"/>
          <w:marTop w:val="0"/>
          <w:marBottom w:val="0"/>
          <w:divBdr>
            <w:top w:val="none" w:sz="0" w:space="0" w:color="auto"/>
            <w:left w:val="none" w:sz="0" w:space="0" w:color="auto"/>
            <w:bottom w:val="none" w:sz="0" w:space="0" w:color="auto"/>
            <w:right w:val="none" w:sz="0" w:space="0" w:color="auto"/>
          </w:divBdr>
        </w:div>
        <w:div w:id="1501042024">
          <w:marLeft w:val="0"/>
          <w:marRight w:val="0"/>
          <w:marTop w:val="0"/>
          <w:marBottom w:val="0"/>
          <w:divBdr>
            <w:top w:val="none" w:sz="0" w:space="0" w:color="auto"/>
            <w:left w:val="none" w:sz="0" w:space="0" w:color="auto"/>
            <w:bottom w:val="none" w:sz="0" w:space="0" w:color="auto"/>
            <w:right w:val="none" w:sz="0" w:space="0" w:color="auto"/>
          </w:divBdr>
        </w:div>
      </w:divsChild>
    </w:div>
    <w:div w:id="191242733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3073725">
      <w:bodyDiv w:val="1"/>
      <w:marLeft w:val="0"/>
      <w:marRight w:val="0"/>
      <w:marTop w:val="0"/>
      <w:marBottom w:val="0"/>
      <w:divBdr>
        <w:top w:val="none" w:sz="0" w:space="0" w:color="auto"/>
        <w:left w:val="none" w:sz="0" w:space="0" w:color="auto"/>
        <w:bottom w:val="none" w:sz="0" w:space="0" w:color="auto"/>
        <w:right w:val="none" w:sz="0" w:space="0" w:color="auto"/>
      </w:divBdr>
    </w:div>
    <w:div w:id="20529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11136-023-03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9EE0D2ED-6C70-451D-A855-4AD809F05DA0}"/>
</file>

<file path=customXml/itemProps3.xml><?xml version="1.0" encoding="utf-8"?>
<ds:datastoreItem xmlns:ds="http://schemas.openxmlformats.org/officeDocument/2006/customXml" ds:itemID="{6C13BEC0-A7C0-4B7E-AB3E-786C46A8E5FC}"/>
</file>

<file path=customXml/itemProps4.xml><?xml version="1.0" encoding="utf-8"?>
<ds:datastoreItem xmlns:ds="http://schemas.openxmlformats.org/officeDocument/2006/customXml" ds:itemID="{0683418D-1CE8-4EB4-B146-56D116C46B99}"/>
</file>

<file path=docProps/app.xml><?xml version="1.0" encoding="utf-8"?>
<Properties xmlns="http://schemas.openxmlformats.org/officeDocument/2006/extended-properties" xmlns:vt="http://schemas.openxmlformats.org/officeDocument/2006/docPropsVTypes">
  <Template>Normal.dotm</Template>
  <TotalTime>0</TotalTime>
  <Pages>78</Pages>
  <Words>29459</Words>
  <Characters>166321</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2025-08-26T09:23:00Z</dcterms:created>
  <dcterms:modified xsi:type="dcterms:W3CDTF">2025-08-26T09:25:00Z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41218658,728b9108,145417f3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3c007714,12bee210,2f3c32be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2025-08-26T09:25:08Z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9e9ba2ab-93eb-4014-94f9-18c975d2cd6e</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